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664" w:rsidRPr="00482F63" w:rsidRDefault="00602664" w:rsidP="005821C7">
      <w:pPr>
        <w:pStyle w:val="Heading1spacebefore"/>
        <w:spacing w:before="480" w:after="340"/>
      </w:pPr>
      <w:r w:rsidRPr="00482F63">
        <w:t>Policy costing—outside the caretaker period</w:t>
      </w:r>
    </w:p>
    <w:tbl>
      <w:tblPr>
        <w:tblStyle w:val="LightGrid-Accent6"/>
        <w:tblW w:w="5053" w:type="pct"/>
        <w:tblLook w:val="0600" w:firstRow="0" w:lastRow="0" w:firstColumn="0" w:lastColumn="0" w:noHBand="1" w:noVBand="1"/>
      </w:tblPr>
      <w:tblGrid>
        <w:gridCol w:w="3063"/>
        <w:gridCol w:w="1303"/>
        <w:gridCol w:w="4252"/>
      </w:tblGrid>
      <w:tr w:rsidR="0098222F" w:rsidRPr="008D77AF" w:rsidTr="00E51804">
        <w:tc>
          <w:tcPr>
            <w:tcW w:w="1777" w:type="pct"/>
            <w:shd w:val="clear" w:color="auto" w:fill="D7DDE9" w:themeFill="accent3"/>
          </w:tcPr>
          <w:p w:rsidR="0098222F" w:rsidRPr="008D77AF" w:rsidRDefault="0098222F" w:rsidP="0098222F">
            <w:pPr>
              <w:pStyle w:val="PullOutBoxHeading"/>
            </w:pPr>
            <w:r w:rsidRPr="008D77AF">
              <w:t>Name of proposal:</w:t>
            </w:r>
          </w:p>
        </w:tc>
        <w:tc>
          <w:tcPr>
            <w:tcW w:w="3223" w:type="pct"/>
            <w:gridSpan w:val="2"/>
            <w:shd w:val="clear" w:color="auto" w:fill="D7DDE9" w:themeFill="accent3"/>
          </w:tcPr>
          <w:p w:rsidR="004B3022" w:rsidRPr="008D77AF" w:rsidRDefault="00CF50A1" w:rsidP="00101F12">
            <w:pPr>
              <w:pStyle w:val="PullOutBoxHeading"/>
            </w:pPr>
            <w:r w:rsidRPr="00CF50A1">
              <w:t xml:space="preserve">Higher threshold for </w:t>
            </w:r>
            <w:r w:rsidR="00101F12">
              <w:t>r</w:t>
            </w:r>
            <w:r w:rsidRPr="00CF50A1">
              <w:t xml:space="preserve">egional </w:t>
            </w:r>
            <w:r w:rsidR="00101F12">
              <w:t>s</w:t>
            </w:r>
            <w:r w:rsidRPr="00CF50A1">
              <w:t>tudent HELP repayments</w:t>
            </w:r>
          </w:p>
        </w:tc>
      </w:tr>
      <w:tr w:rsidR="0098222F" w:rsidRPr="008D77AF" w:rsidTr="00E51804">
        <w:tc>
          <w:tcPr>
            <w:tcW w:w="1777" w:type="pct"/>
          </w:tcPr>
          <w:p w:rsidR="0098222F" w:rsidRPr="0085008A" w:rsidRDefault="0098222F" w:rsidP="0098222F">
            <w:pPr>
              <w:pStyle w:val="PullOutBoxBodyText"/>
            </w:pPr>
            <w:r w:rsidRPr="0085008A">
              <w:t>Summary of proposal:</w:t>
            </w:r>
          </w:p>
        </w:tc>
        <w:tc>
          <w:tcPr>
            <w:tcW w:w="3223" w:type="pct"/>
            <w:gridSpan w:val="2"/>
          </w:tcPr>
          <w:p w:rsidR="00B72512" w:rsidRDefault="00411272" w:rsidP="002D3DAF">
            <w:pPr>
              <w:pStyle w:val="PullOutBoxBodyText"/>
            </w:pPr>
            <w:r>
              <w:t xml:space="preserve">The proposal would amend the income threshold for repayment of the Higher Education Loan Program (HELP) debt for students </w:t>
            </w:r>
            <w:r w:rsidRPr="00411272">
              <w:t>studying courses at a recognised regional campus</w:t>
            </w:r>
            <w:r>
              <w:t xml:space="preserve">.  Students </w:t>
            </w:r>
            <w:r w:rsidR="00E51804">
              <w:t>who</w:t>
            </w:r>
            <w:r>
              <w:t xml:space="preserve"> attend a campus that receives </w:t>
            </w:r>
            <w:r w:rsidRPr="00CD4BE2">
              <w:t>the ‘regional loading’</w:t>
            </w:r>
            <w:r>
              <w:t xml:space="preserve"> would not be required to start repaying their HELP debt on the units completed at the regional campus until they reach the 3.5</w:t>
            </w:r>
            <w:r w:rsidR="00E51804">
              <w:t xml:space="preserve"> per cent</w:t>
            </w:r>
            <w:r>
              <w:t xml:space="preserve"> threshold </w:t>
            </w:r>
            <w:r w:rsidR="002D3DAF">
              <w:t>under the proposed legislation ($56,205 - $59,576). Repayments would then continue as per the legislation.</w:t>
            </w:r>
          </w:p>
          <w:p w:rsidR="002D3DAF" w:rsidRPr="0085008A" w:rsidRDefault="002D3DAF" w:rsidP="002D3DAF">
            <w:pPr>
              <w:pStyle w:val="PullOutBoxBodyText"/>
            </w:pPr>
            <w:r>
              <w:t>The proposal would have effect from 1 July 2018.</w:t>
            </w:r>
          </w:p>
        </w:tc>
      </w:tr>
      <w:tr w:rsidR="0098222F" w:rsidRPr="008D77AF" w:rsidTr="00E51804">
        <w:tc>
          <w:tcPr>
            <w:tcW w:w="1777" w:type="pct"/>
          </w:tcPr>
          <w:p w:rsidR="0098222F" w:rsidRPr="0085008A" w:rsidRDefault="0098222F" w:rsidP="0098222F">
            <w:pPr>
              <w:pStyle w:val="PullOutBoxBodyText"/>
            </w:pPr>
            <w:r w:rsidRPr="0085008A">
              <w:t>Person/party requesting the costing:</w:t>
            </w:r>
          </w:p>
        </w:tc>
        <w:tc>
          <w:tcPr>
            <w:tcW w:w="3223" w:type="pct"/>
            <w:gridSpan w:val="2"/>
          </w:tcPr>
          <w:p w:rsidR="0098222F" w:rsidRPr="0085008A" w:rsidRDefault="002D3DAF" w:rsidP="00FD1EE0">
            <w:pPr>
              <w:pStyle w:val="PullOutBoxBodyText"/>
            </w:pPr>
            <w:r>
              <w:t>Ms Cathy McGowan AO MP, Member of Indi</w:t>
            </w:r>
          </w:p>
        </w:tc>
      </w:tr>
      <w:tr w:rsidR="008112CC" w:rsidRPr="008D77AF" w:rsidTr="00E51804">
        <w:tc>
          <w:tcPr>
            <w:tcW w:w="1777" w:type="pct"/>
          </w:tcPr>
          <w:p w:rsidR="008112CC" w:rsidRPr="008D77AF" w:rsidRDefault="008112CC" w:rsidP="0056001A">
            <w:pPr>
              <w:pStyle w:val="PullOutBoxBodyText"/>
            </w:pPr>
            <w:r w:rsidRPr="008D77AF">
              <w:t>Did the applicant request the costing be confidential:</w:t>
            </w:r>
          </w:p>
        </w:tc>
        <w:tc>
          <w:tcPr>
            <w:tcW w:w="756" w:type="pct"/>
            <w:tcBorders>
              <w:right w:val="nil"/>
            </w:tcBorders>
          </w:tcPr>
          <w:p w:rsidR="008112CC" w:rsidRPr="008D77AF" w:rsidRDefault="00537DBB" w:rsidP="0056001A">
            <w:pPr>
              <w:pStyle w:val="PullOutBoxBodyText"/>
            </w:pPr>
            <w:sdt>
              <w:sdtPr>
                <w:id w:val="33003715"/>
                <w14:checkbox>
                  <w14:checked w14:val="1"/>
                  <w14:checkedState w14:val="2612" w14:font="MS Gothic"/>
                  <w14:uncheckedState w14:val="2610" w14:font="MS Gothic"/>
                </w14:checkbox>
              </w:sdtPr>
              <w:sdtEndPr/>
              <w:sdtContent>
                <w:r w:rsidR="00E51804">
                  <w:rPr>
                    <w:rFonts w:ascii="MS Gothic" w:eastAsia="MS Gothic" w:hAnsi="MS Gothic" w:hint="eastAsia"/>
                  </w:rPr>
                  <w:t>☒</w:t>
                </w:r>
              </w:sdtContent>
            </w:sdt>
            <w:r w:rsidR="008112CC" w:rsidRPr="008D77AF">
              <w:t xml:space="preserve"> Yes</w:t>
            </w:r>
          </w:p>
        </w:tc>
        <w:tc>
          <w:tcPr>
            <w:tcW w:w="2467" w:type="pct"/>
            <w:tcBorders>
              <w:left w:val="nil"/>
              <w:right w:val="single" w:sz="4" w:space="0" w:color="788184" w:themeColor="accent6"/>
            </w:tcBorders>
          </w:tcPr>
          <w:p w:rsidR="008112CC" w:rsidRPr="008D77AF" w:rsidRDefault="00537DBB" w:rsidP="0056001A">
            <w:pPr>
              <w:pStyle w:val="PullOutBoxBodyText"/>
            </w:pPr>
            <w:sdt>
              <w:sdtPr>
                <w:id w:val="-864130722"/>
                <w14:checkbox>
                  <w14:checked w14:val="0"/>
                  <w14:checkedState w14:val="2612" w14:font="MS Gothic"/>
                  <w14:uncheckedState w14:val="2610" w14:font="MS Gothic"/>
                </w14:checkbox>
              </w:sdtPr>
              <w:sdtEndPr/>
              <w:sdtContent>
                <w:r w:rsidR="008112CC" w:rsidRPr="008D77AF">
                  <w:rPr>
                    <w:rFonts w:ascii="MS Gothic" w:eastAsia="MS Gothic" w:hAnsi="MS Gothic" w:hint="eastAsia"/>
                  </w:rPr>
                  <w:t>☐</w:t>
                </w:r>
              </w:sdtContent>
            </w:sdt>
            <w:r w:rsidR="008112CC" w:rsidRPr="008D77AF">
              <w:t xml:space="preserve"> No</w:t>
            </w:r>
          </w:p>
        </w:tc>
      </w:tr>
      <w:tr w:rsidR="008112CC" w:rsidRPr="008D77AF" w:rsidTr="00E51804">
        <w:tc>
          <w:tcPr>
            <w:tcW w:w="1777" w:type="pct"/>
          </w:tcPr>
          <w:p w:rsidR="008112CC" w:rsidRPr="008D77AF" w:rsidRDefault="008112CC" w:rsidP="0056001A">
            <w:pPr>
              <w:pStyle w:val="PullOutBoxBodyText"/>
            </w:pPr>
            <w:r w:rsidRPr="008D77AF">
              <w:t>Date costing request received:</w:t>
            </w:r>
          </w:p>
        </w:tc>
        <w:tc>
          <w:tcPr>
            <w:tcW w:w="3223" w:type="pct"/>
            <w:gridSpan w:val="2"/>
          </w:tcPr>
          <w:p w:rsidR="008112CC" w:rsidRPr="008D77AF" w:rsidRDefault="002D3DAF" w:rsidP="0056001A">
            <w:pPr>
              <w:pStyle w:val="PullOutBoxBodyText"/>
            </w:pPr>
            <w:r>
              <w:t>7 July</w:t>
            </w:r>
            <w:r w:rsidR="00D35836">
              <w:t xml:space="preserve"> 2017</w:t>
            </w:r>
          </w:p>
        </w:tc>
      </w:tr>
      <w:tr w:rsidR="008112CC" w:rsidRPr="008D77AF" w:rsidTr="00E51804">
        <w:tc>
          <w:tcPr>
            <w:tcW w:w="1777" w:type="pct"/>
          </w:tcPr>
          <w:p w:rsidR="008112CC" w:rsidRPr="008D77AF" w:rsidRDefault="008112CC" w:rsidP="0098222F">
            <w:pPr>
              <w:pStyle w:val="PullOutBoxBodyText"/>
            </w:pPr>
            <w:r w:rsidRPr="008D77AF">
              <w:t>Date costing completed:</w:t>
            </w:r>
          </w:p>
        </w:tc>
        <w:tc>
          <w:tcPr>
            <w:tcW w:w="3223" w:type="pct"/>
            <w:gridSpan w:val="2"/>
          </w:tcPr>
          <w:p w:rsidR="008112CC" w:rsidRPr="008D77AF" w:rsidRDefault="00BB3B54" w:rsidP="0098222F">
            <w:pPr>
              <w:pStyle w:val="PullOutBoxBodyText"/>
            </w:pPr>
            <w:r>
              <w:t>7</w:t>
            </w:r>
            <w:r w:rsidR="001D3683">
              <w:t xml:space="preserve"> September</w:t>
            </w:r>
            <w:r w:rsidR="00D35836">
              <w:t xml:space="preserve"> 2017</w:t>
            </w:r>
          </w:p>
        </w:tc>
      </w:tr>
      <w:tr w:rsidR="008112CC" w:rsidRPr="008D77AF" w:rsidTr="00E51804">
        <w:tc>
          <w:tcPr>
            <w:tcW w:w="1777" w:type="pct"/>
          </w:tcPr>
          <w:p w:rsidR="008112CC" w:rsidRPr="008D77AF" w:rsidRDefault="008112CC" w:rsidP="0098222F">
            <w:pPr>
              <w:pStyle w:val="PullOutBoxBodyText"/>
            </w:pPr>
            <w:r w:rsidRPr="008D77AF">
              <w:t>Expiry date of the costing:</w:t>
            </w:r>
          </w:p>
        </w:tc>
        <w:tc>
          <w:tcPr>
            <w:tcW w:w="3223" w:type="pct"/>
            <w:gridSpan w:val="2"/>
          </w:tcPr>
          <w:p w:rsidR="008112CC" w:rsidRPr="008D77AF" w:rsidRDefault="008112CC" w:rsidP="0098222F">
            <w:pPr>
              <w:pStyle w:val="PullOutBoxBodyText"/>
            </w:pPr>
            <w:r w:rsidRPr="008D77AF">
              <w:t>Release of the next economic and fiscal outlook report.</w:t>
            </w:r>
          </w:p>
        </w:tc>
      </w:tr>
    </w:tbl>
    <w:p w:rsidR="0046444F" w:rsidRPr="008D77AF" w:rsidRDefault="0046444F" w:rsidP="0046444F">
      <w:pPr>
        <w:pStyle w:val="Heading1"/>
      </w:pPr>
      <w:r w:rsidRPr="008D77AF">
        <w:t>Costing overview</w:t>
      </w:r>
    </w:p>
    <w:p w:rsidR="00C23FC9" w:rsidRDefault="006C3668" w:rsidP="006C3668">
      <w:pPr>
        <w:pStyle w:val="BodyText"/>
      </w:pPr>
      <w:r w:rsidRPr="00C23FC9">
        <w:t xml:space="preserve">This proposal </w:t>
      </w:r>
      <w:r w:rsidR="0056001A" w:rsidRPr="00C23FC9">
        <w:t xml:space="preserve">would be </w:t>
      </w:r>
      <w:r w:rsidRPr="00C23FC9">
        <w:t xml:space="preserve">expected </w:t>
      </w:r>
      <w:r w:rsidR="00BB3B54">
        <w:t xml:space="preserve">to </w:t>
      </w:r>
      <w:r w:rsidRPr="00C23FC9">
        <w:t>decrease the fiscal balance by $</w:t>
      </w:r>
      <w:r w:rsidR="00C44A53">
        <w:t>9.7</w:t>
      </w:r>
      <w:r w:rsidRPr="00C23FC9">
        <w:t> million</w:t>
      </w:r>
      <w:r w:rsidR="00C23FC9" w:rsidRPr="00C23FC9">
        <w:t>,</w:t>
      </w:r>
      <w:r w:rsidRPr="00C23FC9">
        <w:t xml:space="preserve"> the underlying cash balance by $</w:t>
      </w:r>
      <w:r w:rsidR="00C44A53">
        <w:t>5</w:t>
      </w:r>
      <w:r w:rsidR="00622440">
        <w:t>.</w:t>
      </w:r>
      <w:r w:rsidR="00C23FC9" w:rsidRPr="00C23FC9">
        <w:t>8</w:t>
      </w:r>
      <w:r w:rsidRPr="00C23FC9">
        <w:t> million</w:t>
      </w:r>
      <w:r w:rsidR="00C23FC9" w:rsidRPr="00C23FC9">
        <w:t xml:space="preserve"> and the headline cash balance by $</w:t>
      </w:r>
      <w:r w:rsidR="00C44A53">
        <w:t>21.6</w:t>
      </w:r>
      <w:r w:rsidR="00C23FC9" w:rsidRPr="00C23FC9">
        <w:t> million</w:t>
      </w:r>
      <w:r w:rsidRPr="00C23FC9">
        <w:t xml:space="preserve"> over the 201</w:t>
      </w:r>
      <w:r w:rsidR="002179B6" w:rsidRPr="00C23FC9">
        <w:t>7</w:t>
      </w:r>
      <w:r w:rsidRPr="00C23FC9">
        <w:noBreakHyphen/>
        <w:t>1</w:t>
      </w:r>
      <w:r w:rsidR="002179B6" w:rsidRPr="00C23FC9">
        <w:t>8</w:t>
      </w:r>
      <w:r w:rsidR="001B373B">
        <w:t> </w:t>
      </w:r>
      <w:r w:rsidRPr="00C23FC9">
        <w:t>Budget forward estimates period.</w:t>
      </w:r>
    </w:p>
    <w:p w:rsidR="00EA40EF" w:rsidRPr="00E258C2" w:rsidRDefault="00EA40EF" w:rsidP="00EA40EF">
      <w:pPr>
        <w:pStyle w:val="BodyText"/>
        <w:keepNext/>
        <w:keepLines/>
      </w:pPr>
      <w:r>
        <w:t>The proposal would not be expected to result in additional departmental expenditure as the implementation of the policy is expected to be within the scope of administering the existing HELP</w:t>
      </w:r>
      <w:r w:rsidRPr="00E258C2">
        <w:t>.</w:t>
      </w:r>
    </w:p>
    <w:p w:rsidR="00C23FC9" w:rsidRDefault="00C23FC9" w:rsidP="00C23FC9">
      <w:pPr>
        <w:pStyle w:val="BodyText"/>
        <w:spacing w:before="114"/>
      </w:pPr>
      <w:r w:rsidRPr="007055D7">
        <w:t>This proposal would be expected to have an ongoing impact beyond the 201</w:t>
      </w:r>
      <w:r>
        <w:t>7</w:t>
      </w:r>
      <w:r w:rsidRPr="007055D7">
        <w:t>-1</w:t>
      </w:r>
      <w:r>
        <w:t>8</w:t>
      </w:r>
      <w:r w:rsidRPr="007055D7">
        <w:t xml:space="preserve"> Budget forward estimates period.  </w:t>
      </w:r>
      <w:r>
        <w:t>The disaggregated impacts</w:t>
      </w:r>
      <w:r w:rsidRPr="007055D7">
        <w:t xml:space="preserve"> of </w:t>
      </w:r>
      <w:r>
        <w:t>the proposal</w:t>
      </w:r>
      <w:r w:rsidR="00C44A53">
        <w:t xml:space="preserve"> over the period 2017</w:t>
      </w:r>
      <w:r w:rsidR="00C44A53">
        <w:noBreakHyphen/>
      </w:r>
      <w:r>
        <w:t>18 to 202</w:t>
      </w:r>
      <w:r w:rsidR="008A0143">
        <w:t>7</w:t>
      </w:r>
      <w:r>
        <w:noBreakHyphen/>
        <w:t>2</w:t>
      </w:r>
      <w:r w:rsidR="008A0143">
        <w:t>8</w:t>
      </w:r>
      <w:r>
        <w:t xml:space="preserve"> are</w:t>
      </w:r>
      <w:r w:rsidRPr="007055D7">
        <w:t xml:space="preserve"> provided at </w:t>
      </w:r>
      <w:r w:rsidRPr="007055D7">
        <w:rPr>
          <w:u w:val="single"/>
        </w:rPr>
        <w:t xml:space="preserve">Attachment </w:t>
      </w:r>
      <w:r>
        <w:rPr>
          <w:u w:val="single"/>
        </w:rPr>
        <w:t>A</w:t>
      </w:r>
      <w:r w:rsidRPr="007055D7">
        <w:t>.</w:t>
      </w:r>
    </w:p>
    <w:p w:rsidR="005821C7" w:rsidRDefault="00C23FC9" w:rsidP="006C3668">
      <w:pPr>
        <w:pStyle w:val="BodyText"/>
      </w:pPr>
      <w:r w:rsidRPr="00C23FC9">
        <w:t xml:space="preserve">As the proposal involves the transaction of financial assets, the Public Debt Interest (PDI) impact of the proposal has been included.  A note on the accounting treatment of income contingent loans is included at </w:t>
      </w:r>
      <w:r w:rsidRPr="00C23FC9">
        <w:rPr>
          <w:u w:val="single"/>
        </w:rPr>
        <w:t>Attachment B</w:t>
      </w:r>
      <w:r w:rsidRPr="00C23FC9">
        <w:t>.</w:t>
      </w:r>
    </w:p>
    <w:p w:rsidR="005821C7" w:rsidRDefault="005821C7">
      <w:pPr>
        <w:sectPr w:rsidR="005821C7" w:rsidSect="005821C7">
          <w:headerReference w:type="even" r:id="rId9"/>
          <w:headerReference w:type="default" r:id="rId10"/>
          <w:footerReference w:type="even" r:id="rId11"/>
          <w:footerReference w:type="default" r:id="rId12"/>
          <w:headerReference w:type="first" r:id="rId13"/>
          <w:footerReference w:type="first" r:id="rId14"/>
          <w:pgSz w:w="11906" w:h="16838" w:code="9"/>
          <w:pgMar w:top="1361" w:right="1797" w:bottom="1474" w:left="1797" w:header="284" w:footer="454" w:gutter="0"/>
          <w:cols w:space="708"/>
          <w:formProt w:val="0"/>
          <w:docGrid w:linePitch="360"/>
        </w:sectPr>
      </w:pPr>
    </w:p>
    <w:p w:rsidR="001046E8" w:rsidRPr="001046E8" w:rsidRDefault="001046E8" w:rsidP="006C3668">
      <w:pPr>
        <w:pStyle w:val="BodyText"/>
      </w:pPr>
      <w:r>
        <w:lastRenderedPageBreak/>
        <w:t>The</w:t>
      </w:r>
      <w:r w:rsidRPr="001046E8">
        <w:t xml:space="preserve"> estimates </w:t>
      </w:r>
      <w:r>
        <w:t>of the financial implications of</w:t>
      </w:r>
      <w:r w:rsidRPr="001046E8">
        <w:t xml:space="preserve"> this proposal are subject to uncertainty related to</w:t>
      </w:r>
      <w:r w:rsidR="008A0143">
        <w:t xml:space="preserve"> a number of factors including</w:t>
      </w:r>
      <w:r w:rsidRPr="001046E8">
        <w:t xml:space="preserve"> the potential behavioural responses by students and education institutions affected by the proposal</w:t>
      </w:r>
      <w:r w:rsidR="008A0143">
        <w:t>,</w:t>
      </w:r>
      <w:r>
        <w:t xml:space="preserve"> </w:t>
      </w:r>
      <w:r w:rsidRPr="001046E8">
        <w:t>limited information regarding loan repayment profiles</w:t>
      </w:r>
      <w:r w:rsidR="008A0143">
        <w:t>,</w:t>
      </w:r>
      <w:r>
        <w:t xml:space="preserve"> and</w:t>
      </w:r>
      <w:r w:rsidRPr="001046E8">
        <w:t xml:space="preserve"> inherent uncertainties in th</w:t>
      </w:r>
      <w:r>
        <w:t>e baseline estimates for</w:t>
      </w:r>
      <w:r w:rsidRPr="001046E8">
        <w:t xml:space="preserve"> </w:t>
      </w:r>
      <w:r w:rsidR="00CD4BE2">
        <w:t>the</w:t>
      </w:r>
      <w:r w:rsidR="00CD4BE2" w:rsidRPr="001046E8">
        <w:t xml:space="preserve"> </w:t>
      </w:r>
      <w:r w:rsidR="00EA40EF">
        <w:t xml:space="preserve">HELP </w:t>
      </w:r>
      <w:r w:rsidRPr="001046E8">
        <w:t>program.</w:t>
      </w:r>
    </w:p>
    <w:p w:rsidR="0046444F" w:rsidRPr="005B0970" w:rsidRDefault="008112CC" w:rsidP="008112CC">
      <w:pPr>
        <w:pStyle w:val="Caption"/>
      </w:pPr>
      <w:r w:rsidRPr="008112CC">
        <w:t xml:space="preserve">Table </w:t>
      </w:r>
      <w:fldSimple w:instr=" SEQ Table \* ARABIC \s 1 ">
        <w:r w:rsidR="005F6133">
          <w:rPr>
            <w:noProof/>
          </w:rPr>
          <w:t>1</w:t>
        </w:r>
      </w:fldSimple>
      <w:r w:rsidRPr="008112CC">
        <w:t xml:space="preserve">: </w:t>
      </w:r>
      <w:r>
        <w:t xml:space="preserve">Financial </w:t>
      </w:r>
      <w:proofErr w:type="gramStart"/>
      <w:r>
        <w:t>implications</w:t>
      </w:r>
      <w:r w:rsidRPr="008112CC">
        <w:rPr>
          <w:vertAlign w:val="superscript"/>
        </w:rPr>
        <w:t>(</w:t>
      </w:r>
      <w:proofErr w:type="gramEnd"/>
      <w:r w:rsidRPr="008112CC">
        <w:rPr>
          <w:vertAlign w:val="superscript"/>
        </w:rPr>
        <w:t>a)(b)</w:t>
      </w:r>
    </w:p>
    <w:tbl>
      <w:tblPr>
        <w:tblStyle w:val="LightGrid-Accent6"/>
        <w:tblW w:w="5000" w:type="pct"/>
        <w:tblLook w:val="0680" w:firstRow="0" w:lastRow="0" w:firstColumn="1" w:lastColumn="0" w:noHBand="1" w:noVBand="1"/>
      </w:tblPr>
      <w:tblGrid>
        <w:gridCol w:w="2518"/>
        <w:gridCol w:w="1203"/>
        <w:gridCol w:w="1202"/>
        <w:gridCol w:w="1202"/>
        <w:gridCol w:w="1202"/>
        <w:gridCol w:w="1201"/>
      </w:tblGrid>
      <w:tr w:rsidR="005B0970" w:rsidTr="005B0970">
        <w:tc>
          <w:tcPr>
            <w:cnfStyle w:val="001000000000" w:firstRow="0" w:lastRow="0" w:firstColumn="1" w:lastColumn="0" w:oddVBand="0" w:evenVBand="0" w:oddHBand="0" w:evenHBand="0" w:firstRowFirstColumn="0" w:firstRowLastColumn="0" w:lastRowFirstColumn="0" w:lastRowLastColumn="0"/>
            <w:tcW w:w="1476" w:type="pct"/>
            <w:shd w:val="clear" w:color="auto" w:fill="D7DDE9" w:themeFill="accent3"/>
            <w:vAlign w:val="center"/>
          </w:tcPr>
          <w:p w:rsidR="005B0970" w:rsidRPr="006509C3" w:rsidRDefault="005B0970" w:rsidP="005B0970">
            <w:pPr>
              <w:pStyle w:val="TableHeading"/>
              <w:rPr>
                <w:b w:val="0"/>
              </w:rPr>
            </w:pPr>
            <w:r w:rsidRPr="006509C3">
              <w:rPr>
                <w:b w:val="0"/>
              </w:rPr>
              <w:t>Impact on ($m)</w:t>
            </w:r>
          </w:p>
        </w:tc>
        <w:tc>
          <w:tcPr>
            <w:tcW w:w="705" w:type="pct"/>
            <w:shd w:val="clear" w:color="auto" w:fill="D7DDE9" w:themeFill="accent3"/>
            <w:vAlign w:val="center"/>
          </w:tcPr>
          <w:p w:rsidR="005B0970" w:rsidRPr="005B0970" w:rsidRDefault="00E25B1B" w:rsidP="005B0970">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2017–18</w:t>
            </w:r>
          </w:p>
        </w:tc>
        <w:tc>
          <w:tcPr>
            <w:tcW w:w="705" w:type="pct"/>
            <w:shd w:val="clear" w:color="auto" w:fill="D7DDE9" w:themeFill="accent3"/>
            <w:vAlign w:val="center"/>
          </w:tcPr>
          <w:p w:rsidR="005B0970" w:rsidRPr="005B0970" w:rsidRDefault="00E25B1B" w:rsidP="005B0970">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2018–19</w:t>
            </w:r>
          </w:p>
        </w:tc>
        <w:tc>
          <w:tcPr>
            <w:tcW w:w="705" w:type="pct"/>
            <w:shd w:val="clear" w:color="auto" w:fill="D7DDE9" w:themeFill="accent3"/>
            <w:vAlign w:val="center"/>
          </w:tcPr>
          <w:p w:rsidR="005B0970" w:rsidRPr="005B0970" w:rsidRDefault="005B0970" w:rsidP="004A4F1C">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w:t>
            </w:r>
            <w:r w:rsidR="004A4F1C">
              <w:rPr>
                <w:b w:val="0"/>
              </w:rPr>
              <w:t>9–20</w:t>
            </w:r>
          </w:p>
        </w:tc>
        <w:tc>
          <w:tcPr>
            <w:tcW w:w="705" w:type="pct"/>
            <w:shd w:val="clear" w:color="auto" w:fill="D7DDE9" w:themeFill="accent3"/>
            <w:vAlign w:val="center"/>
          </w:tcPr>
          <w:p w:rsidR="005B0970" w:rsidRPr="005B0970" w:rsidRDefault="00E25B1B" w:rsidP="00E25B1B">
            <w:pPr>
              <w:pStyle w:val="TableHeadingRight"/>
              <w:cnfStyle w:val="000000000000" w:firstRow="0" w:lastRow="0" w:firstColumn="0" w:lastColumn="0" w:oddVBand="0" w:evenVBand="0" w:oddHBand="0" w:evenHBand="0" w:firstRowFirstColumn="0" w:firstRowLastColumn="0" w:lastRowFirstColumn="0" w:lastRowLastColumn="0"/>
              <w:rPr>
                <w:b w:val="0"/>
              </w:rPr>
            </w:pPr>
            <w:r>
              <w:rPr>
                <w:b w:val="0"/>
              </w:rPr>
              <w:t>2020–21</w:t>
            </w:r>
          </w:p>
        </w:tc>
        <w:tc>
          <w:tcPr>
            <w:tcW w:w="704" w:type="pct"/>
            <w:shd w:val="clear" w:color="auto" w:fill="D7DDE9" w:themeFill="accent3"/>
            <w:vAlign w:val="center"/>
          </w:tcPr>
          <w:p w:rsidR="005B0970" w:rsidRPr="005B0970" w:rsidRDefault="005B0970" w:rsidP="005B0970">
            <w:pPr>
              <w:pStyle w:val="TableHeadingRight"/>
              <w:cnfStyle w:val="000000000000" w:firstRow="0" w:lastRow="0" w:firstColumn="0" w:lastColumn="0" w:oddVBand="0" w:evenVBand="0" w:oddHBand="0" w:evenHBand="0" w:firstRowFirstColumn="0" w:firstRowLastColumn="0" w:lastRowFirstColumn="0" w:lastRowLastColumn="0"/>
            </w:pPr>
            <w:r w:rsidRPr="005B0970">
              <w:t xml:space="preserve">Total to </w:t>
            </w:r>
            <w:r w:rsidR="00E25B1B">
              <w:t>2020–21</w:t>
            </w:r>
          </w:p>
        </w:tc>
      </w:tr>
      <w:tr w:rsidR="004D1638" w:rsidTr="000B6F50">
        <w:tc>
          <w:tcPr>
            <w:cnfStyle w:val="001000000000" w:firstRow="0" w:lastRow="0" w:firstColumn="1" w:lastColumn="0" w:oddVBand="0" w:evenVBand="0" w:oddHBand="0" w:evenHBand="0" w:firstRowFirstColumn="0" w:firstRowLastColumn="0" w:lastRowFirstColumn="0" w:lastRowLastColumn="0"/>
            <w:tcW w:w="1476" w:type="pct"/>
            <w:vAlign w:val="center"/>
          </w:tcPr>
          <w:p w:rsidR="004D1638" w:rsidRPr="006509C3" w:rsidRDefault="004D1638" w:rsidP="005B0970">
            <w:pPr>
              <w:pStyle w:val="TableHeading"/>
              <w:rPr>
                <w:rFonts w:asciiTheme="majorHAnsi" w:hAnsiTheme="majorHAnsi"/>
                <w:b w:val="0"/>
              </w:rPr>
            </w:pPr>
            <w:r w:rsidRPr="006509C3">
              <w:rPr>
                <w:b w:val="0"/>
              </w:rPr>
              <w:t>Fiscal balance</w:t>
            </w:r>
          </w:p>
        </w:tc>
        <w:tc>
          <w:tcPr>
            <w:tcW w:w="705" w:type="pct"/>
          </w:tcPr>
          <w:p w:rsidR="004D1638" w:rsidRPr="004D1638" w:rsidRDefault="004D1638" w:rsidP="004D163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4D1638">
              <w:rPr>
                <w:sz w:val="20"/>
                <w:szCs w:val="20"/>
              </w:rPr>
              <w:t>-1.4</w:t>
            </w:r>
          </w:p>
        </w:tc>
        <w:tc>
          <w:tcPr>
            <w:tcW w:w="705" w:type="pct"/>
          </w:tcPr>
          <w:p w:rsidR="004D1638" w:rsidRPr="004D1638" w:rsidRDefault="004D1638" w:rsidP="004D163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4D1638">
              <w:rPr>
                <w:sz w:val="20"/>
                <w:szCs w:val="20"/>
              </w:rPr>
              <w:t>-2.1</w:t>
            </w:r>
          </w:p>
        </w:tc>
        <w:tc>
          <w:tcPr>
            <w:tcW w:w="705" w:type="pct"/>
          </w:tcPr>
          <w:p w:rsidR="004D1638" w:rsidRPr="004D1638" w:rsidRDefault="004D1638" w:rsidP="004D163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4D1638">
              <w:rPr>
                <w:sz w:val="20"/>
                <w:szCs w:val="20"/>
              </w:rPr>
              <w:t>-2.7</w:t>
            </w:r>
          </w:p>
        </w:tc>
        <w:tc>
          <w:tcPr>
            <w:tcW w:w="705" w:type="pct"/>
          </w:tcPr>
          <w:p w:rsidR="004D1638" w:rsidRPr="004D1638" w:rsidRDefault="004D1638" w:rsidP="004D163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4D1638">
              <w:rPr>
                <w:sz w:val="20"/>
                <w:szCs w:val="20"/>
              </w:rPr>
              <w:t>-3.4</w:t>
            </w:r>
          </w:p>
        </w:tc>
        <w:tc>
          <w:tcPr>
            <w:tcW w:w="704" w:type="pct"/>
          </w:tcPr>
          <w:p w:rsidR="004D1638" w:rsidRPr="004D1638" w:rsidRDefault="004D1638" w:rsidP="004D163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4D1638">
              <w:rPr>
                <w:b/>
                <w:sz w:val="20"/>
                <w:szCs w:val="20"/>
              </w:rPr>
              <w:t>-9.7</w:t>
            </w:r>
          </w:p>
        </w:tc>
      </w:tr>
      <w:tr w:rsidR="004D1638" w:rsidTr="000B6F50">
        <w:tc>
          <w:tcPr>
            <w:cnfStyle w:val="001000000000" w:firstRow="0" w:lastRow="0" w:firstColumn="1" w:lastColumn="0" w:oddVBand="0" w:evenVBand="0" w:oddHBand="0" w:evenHBand="0" w:firstRowFirstColumn="0" w:firstRowLastColumn="0" w:lastRowFirstColumn="0" w:lastRowLastColumn="0"/>
            <w:tcW w:w="1476" w:type="pct"/>
            <w:vAlign w:val="center"/>
          </w:tcPr>
          <w:p w:rsidR="004D1638" w:rsidRPr="006509C3" w:rsidRDefault="004D1638" w:rsidP="005B0970">
            <w:pPr>
              <w:pStyle w:val="TableHeading"/>
              <w:rPr>
                <w:b w:val="0"/>
              </w:rPr>
            </w:pPr>
            <w:r w:rsidRPr="006509C3">
              <w:rPr>
                <w:b w:val="0"/>
              </w:rPr>
              <w:t>Underlying cash balance</w:t>
            </w:r>
          </w:p>
        </w:tc>
        <w:tc>
          <w:tcPr>
            <w:tcW w:w="705" w:type="pct"/>
          </w:tcPr>
          <w:p w:rsidR="004D1638" w:rsidRPr="004D1638" w:rsidRDefault="004D1638" w:rsidP="004D163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4D1638">
              <w:rPr>
                <w:sz w:val="20"/>
                <w:szCs w:val="20"/>
              </w:rPr>
              <w:t>0.1</w:t>
            </w:r>
          </w:p>
        </w:tc>
        <w:tc>
          <w:tcPr>
            <w:tcW w:w="705" w:type="pct"/>
          </w:tcPr>
          <w:p w:rsidR="004D1638" w:rsidRPr="004D1638" w:rsidRDefault="004D1638" w:rsidP="004D163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4D1638">
              <w:rPr>
                <w:sz w:val="20"/>
                <w:szCs w:val="20"/>
              </w:rPr>
              <w:t>-1.5</w:t>
            </w:r>
          </w:p>
        </w:tc>
        <w:tc>
          <w:tcPr>
            <w:tcW w:w="705" w:type="pct"/>
          </w:tcPr>
          <w:p w:rsidR="004D1638" w:rsidRPr="004D1638" w:rsidRDefault="004D1638" w:rsidP="004D163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4D1638">
              <w:rPr>
                <w:sz w:val="20"/>
                <w:szCs w:val="20"/>
              </w:rPr>
              <w:t>-2.0</w:t>
            </w:r>
          </w:p>
        </w:tc>
        <w:tc>
          <w:tcPr>
            <w:tcW w:w="705" w:type="pct"/>
          </w:tcPr>
          <w:p w:rsidR="004D1638" w:rsidRPr="004D1638" w:rsidRDefault="004D1638" w:rsidP="004D163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4D1638">
              <w:rPr>
                <w:sz w:val="20"/>
                <w:szCs w:val="20"/>
              </w:rPr>
              <w:t>-2.4</w:t>
            </w:r>
          </w:p>
        </w:tc>
        <w:tc>
          <w:tcPr>
            <w:tcW w:w="704" w:type="pct"/>
          </w:tcPr>
          <w:p w:rsidR="004D1638" w:rsidRPr="004D1638" w:rsidRDefault="004D1638" w:rsidP="004D163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4D1638">
              <w:rPr>
                <w:b/>
                <w:sz w:val="20"/>
                <w:szCs w:val="20"/>
              </w:rPr>
              <w:t>-5.8</w:t>
            </w:r>
          </w:p>
        </w:tc>
      </w:tr>
      <w:tr w:rsidR="004D1638" w:rsidTr="000B6F50">
        <w:tc>
          <w:tcPr>
            <w:cnfStyle w:val="001000000000" w:firstRow="0" w:lastRow="0" w:firstColumn="1" w:lastColumn="0" w:oddVBand="0" w:evenVBand="0" w:oddHBand="0" w:evenHBand="0" w:firstRowFirstColumn="0" w:firstRowLastColumn="0" w:lastRowFirstColumn="0" w:lastRowLastColumn="0"/>
            <w:tcW w:w="1476" w:type="pct"/>
            <w:vAlign w:val="center"/>
          </w:tcPr>
          <w:p w:rsidR="004D1638" w:rsidRPr="006509C3" w:rsidRDefault="004D1638" w:rsidP="005B0970">
            <w:pPr>
              <w:pStyle w:val="TableHeading"/>
              <w:rPr>
                <w:b w:val="0"/>
              </w:rPr>
            </w:pPr>
            <w:r>
              <w:rPr>
                <w:b w:val="0"/>
              </w:rPr>
              <w:t>Headline cash balance</w:t>
            </w:r>
          </w:p>
        </w:tc>
        <w:tc>
          <w:tcPr>
            <w:tcW w:w="705" w:type="pct"/>
          </w:tcPr>
          <w:p w:rsidR="004D1638" w:rsidRPr="004D1638" w:rsidRDefault="004D1638" w:rsidP="004D163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4D1638">
              <w:rPr>
                <w:sz w:val="20"/>
                <w:szCs w:val="20"/>
              </w:rPr>
              <w:t>0.1</w:t>
            </w:r>
          </w:p>
        </w:tc>
        <w:tc>
          <w:tcPr>
            <w:tcW w:w="705" w:type="pct"/>
          </w:tcPr>
          <w:p w:rsidR="004D1638" w:rsidRPr="004D1638" w:rsidRDefault="004D1638" w:rsidP="004D163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4D1638">
              <w:rPr>
                <w:sz w:val="20"/>
                <w:szCs w:val="20"/>
              </w:rPr>
              <w:t>-6.0</w:t>
            </w:r>
          </w:p>
        </w:tc>
        <w:tc>
          <w:tcPr>
            <w:tcW w:w="705" w:type="pct"/>
          </w:tcPr>
          <w:p w:rsidR="004D1638" w:rsidRPr="004D1638" w:rsidRDefault="004D1638" w:rsidP="004D163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4D1638">
              <w:rPr>
                <w:sz w:val="20"/>
                <w:szCs w:val="20"/>
              </w:rPr>
              <w:t>-7.3</w:t>
            </w:r>
          </w:p>
        </w:tc>
        <w:tc>
          <w:tcPr>
            <w:tcW w:w="705" w:type="pct"/>
          </w:tcPr>
          <w:p w:rsidR="004D1638" w:rsidRPr="004D1638" w:rsidRDefault="004D1638" w:rsidP="004D163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 w:val="20"/>
                <w:szCs w:val="20"/>
              </w:rPr>
            </w:pPr>
            <w:r w:rsidRPr="004D1638">
              <w:rPr>
                <w:sz w:val="20"/>
                <w:szCs w:val="20"/>
              </w:rPr>
              <w:t>-8.4</w:t>
            </w:r>
          </w:p>
        </w:tc>
        <w:tc>
          <w:tcPr>
            <w:tcW w:w="704" w:type="pct"/>
          </w:tcPr>
          <w:p w:rsidR="004D1638" w:rsidRPr="004D1638" w:rsidRDefault="004D1638" w:rsidP="004D163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sz w:val="20"/>
                <w:szCs w:val="20"/>
              </w:rPr>
            </w:pPr>
            <w:r w:rsidRPr="004D1638">
              <w:rPr>
                <w:b/>
                <w:sz w:val="20"/>
                <w:szCs w:val="20"/>
              </w:rPr>
              <w:t>-21.6</w:t>
            </w:r>
          </w:p>
        </w:tc>
      </w:tr>
    </w:tbl>
    <w:p w:rsidR="008112CC" w:rsidRDefault="005B0970" w:rsidP="00897F60">
      <w:pPr>
        <w:pStyle w:val="TableFootnotes"/>
        <w:ind w:left="284" w:hanging="284"/>
      </w:pPr>
      <w:r>
        <w:t>A positive number represents an increase in the relevant budget balance</w:t>
      </w:r>
      <w:r w:rsidR="002D0BAB">
        <w:t>;</w:t>
      </w:r>
      <w:r>
        <w:t xml:space="preserve"> a negative number represents a decrease.</w:t>
      </w:r>
    </w:p>
    <w:p w:rsidR="005B0970" w:rsidRDefault="005B0970" w:rsidP="00897F60">
      <w:pPr>
        <w:pStyle w:val="TableFootnotes"/>
        <w:ind w:left="284" w:hanging="284"/>
      </w:pPr>
      <w:r>
        <w:t>Figures may not sum to totals due to rounding.</w:t>
      </w:r>
    </w:p>
    <w:p w:rsidR="00FE3B13" w:rsidRPr="00CA06C8" w:rsidRDefault="00FE3B13" w:rsidP="00CA06C8">
      <w:pPr>
        <w:pStyle w:val="Heading1"/>
      </w:pPr>
      <w:r w:rsidRPr="00CA06C8">
        <w:t>Key assumptions</w:t>
      </w:r>
    </w:p>
    <w:p w:rsidR="008A6287" w:rsidRDefault="008A6287" w:rsidP="008A6287">
      <w:pPr>
        <w:pStyle w:val="BodyText"/>
      </w:pPr>
      <w:r>
        <w:t>In costing this proposal, it has been assumed that:</w:t>
      </w:r>
    </w:p>
    <w:p w:rsidR="008A6287" w:rsidRDefault="00BB3B54" w:rsidP="00E51804">
      <w:pPr>
        <w:pStyle w:val="ListBullet"/>
      </w:pPr>
      <w:r>
        <w:t>t</w:t>
      </w:r>
      <w:r w:rsidR="008A6287">
        <w:t>he legislation giving effect to the proposal would be passed before the end of the 2017</w:t>
      </w:r>
      <w:r w:rsidR="008A6287">
        <w:noBreakHyphen/>
        <w:t>18 financial year</w:t>
      </w:r>
    </w:p>
    <w:p w:rsidR="00110026" w:rsidRDefault="008A6287" w:rsidP="00110026">
      <w:pPr>
        <w:pStyle w:val="ListBullet2"/>
      </w:pPr>
      <w:r>
        <w:t xml:space="preserve">The prospect of repayments from both new and existing loans </w:t>
      </w:r>
      <w:r w:rsidR="00110026">
        <w:t xml:space="preserve">deteriorates </w:t>
      </w:r>
      <w:r>
        <w:t xml:space="preserve">when the enabling legislation is passed. </w:t>
      </w:r>
      <w:r w:rsidR="003B055F">
        <w:t xml:space="preserve"> On a fiscal balance basis, t</w:t>
      </w:r>
      <w:r>
        <w:t xml:space="preserve">his </w:t>
      </w:r>
      <w:r w:rsidR="00110026">
        <w:t>reflects decreased Government interest revenue from a decrease in the amount of debt likely to be repaid on which interest is accrued, which has a negative impact on the fiscal balance, partly offset by higher interest revenue as HELP debts are paid off more slowly</w:t>
      </w:r>
      <w:r w:rsidR="00981A02">
        <w:t xml:space="preserve"> and the outstanding principle is higher than is reflected in the baseline</w:t>
      </w:r>
      <w:r w:rsidR="009B24C3">
        <w:t>.</w:t>
      </w:r>
    </w:p>
    <w:p w:rsidR="00492128" w:rsidRDefault="00BB3B54" w:rsidP="008A6287">
      <w:pPr>
        <w:pStyle w:val="ListBullet"/>
      </w:pPr>
      <w:r>
        <w:t>s</w:t>
      </w:r>
      <w:r w:rsidR="00492128">
        <w:t xml:space="preserve">tudents studying at a campus that receives the ‘regional loading’ would have the same income distribution as </w:t>
      </w:r>
      <w:r w:rsidR="00CD4BE2">
        <w:t xml:space="preserve">all </w:t>
      </w:r>
      <w:r w:rsidR="00492128">
        <w:t>other</w:t>
      </w:r>
      <w:r w:rsidR="00CD4BE2">
        <w:t xml:space="preserve"> university</w:t>
      </w:r>
      <w:r>
        <w:t xml:space="preserve"> students</w:t>
      </w:r>
    </w:p>
    <w:p w:rsidR="008A6287" w:rsidRDefault="00BB3B54" w:rsidP="008A6287">
      <w:pPr>
        <w:pStyle w:val="ListBullet"/>
      </w:pPr>
      <w:r>
        <w:t>v</w:t>
      </w:r>
      <w:r w:rsidR="008A6287" w:rsidRPr="00830396">
        <w:t>oluntary repayments would n</w:t>
      </w:r>
      <w:r w:rsidR="008A6287">
        <w:t>ot be affected by this proposal</w:t>
      </w:r>
    </w:p>
    <w:p w:rsidR="008A6287" w:rsidRDefault="00BB3B54" w:rsidP="008A6287">
      <w:pPr>
        <w:pStyle w:val="ListBullet"/>
      </w:pPr>
      <w:proofErr w:type="gramStart"/>
      <w:r>
        <w:t>d</w:t>
      </w:r>
      <w:r w:rsidR="008A6287" w:rsidRPr="00830396">
        <w:t>emand</w:t>
      </w:r>
      <w:proofErr w:type="gramEnd"/>
      <w:r w:rsidR="008A6287" w:rsidRPr="00830396">
        <w:t xml:space="preserve"> for </w:t>
      </w:r>
      <w:r>
        <w:t>HELP</w:t>
      </w:r>
      <w:r w:rsidR="008A6287" w:rsidRPr="00830396">
        <w:t xml:space="preserve"> loans are unaffected by this proposal.</w:t>
      </w:r>
    </w:p>
    <w:p w:rsidR="00FE3B13" w:rsidRDefault="00FE3B13" w:rsidP="0056001A">
      <w:pPr>
        <w:pStyle w:val="Heading1"/>
      </w:pPr>
      <w:r>
        <w:t>Methodology</w:t>
      </w:r>
    </w:p>
    <w:p w:rsidR="008A6287" w:rsidRPr="00002D5D" w:rsidRDefault="008A6287" w:rsidP="008A6287">
      <w:pPr>
        <w:pStyle w:val="BodyText"/>
      </w:pPr>
      <w:r w:rsidRPr="008A6287">
        <w:t xml:space="preserve">The financial impacts of </w:t>
      </w:r>
      <w:r>
        <w:t>amending</w:t>
      </w:r>
      <w:r w:rsidRPr="008A6287">
        <w:t xml:space="preserve"> repayment thresholds </w:t>
      </w:r>
      <w:r>
        <w:t xml:space="preserve">from 1 July </w:t>
      </w:r>
      <w:r w:rsidR="001F07BC">
        <w:t>2018</w:t>
      </w:r>
      <w:r w:rsidRPr="008A6287">
        <w:t xml:space="preserve"> were estimated based on the difference between existing policy and a simulation of loan repayments by borrowers, taking into account the proposed repayment thresholds, borrowers’ income</w:t>
      </w:r>
      <w:r w:rsidR="00331241">
        <w:t>,</w:t>
      </w:r>
      <w:r w:rsidRPr="008A6287">
        <w:t xml:space="preserve"> existing HELP debts</w:t>
      </w:r>
      <w:r w:rsidR="00BB3B54">
        <w:t>,</w:t>
      </w:r>
      <w:r w:rsidR="00331241">
        <w:t xml:space="preserve"> and the proportion of HELP debts from students studying at a campus that receives the ‘regional loading’</w:t>
      </w:r>
      <w:r w:rsidRPr="008A6287">
        <w:t>.</w:t>
      </w:r>
    </w:p>
    <w:p w:rsidR="00FE3B13" w:rsidRDefault="00FE3B13" w:rsidP="00FE3B13">
      <w:pPr>
        <w:pStyle w:val="Heading1"/>
      </w:pPr>
      <w:r>
        <w:lastRenderedPageBreak/>
        <w:t>Data sources</w:t>
      </w:r>
    </w:p>
    <w:p w:rsidR="005F0ACC" w:rsidRDefault="005F0ACC" w:rsidP="001F07BC">
      <w:pPr>
        <w:pStyle w:val="BodyText"/>
      </w:pPr>
      <w:r>
        <w:t>The Department of Education and Training provided</w:t>
      </w:r>
      <w:r w:rsidR="001F07BC">
        <w:t xml:space="preserve"> the value of loans under HELP loans and the VET Student Loans program issued to students who attended a campus receiving regional loading over the calendar years 2012 to 2016.</w:t>
      </w:r>
    </w:p>
    <w:p w:rsidR="005F0ACC" w:rsidRPr="00380ADE" w:rsidRDefault="001046E8" w:rsidP="005F0ACC">
      <w:pPr>
        <w:pStyle w:val="BodyText"/>
      </w:pPr>
      <w:r>
        <w:t xml:space="preserve">Australian Taxation Office - </w:t>
      </w:r>
      <w:r w:rsidR="005F0ACC">
        <w:t>2012-13 unit record tax data.</w:t>
      </w:r>
    </w:p>
    <w:p w:rsidR="007D0ABE" w:rsidRPr="0046444F" w:rsidRDefault="007D0ABE" w:rsidP="00B311BA">
      <w:pPr>
        <w:pStyle w:val="BodyText"/>
      </w:pPr>
    </w:p>
    <w:p w:rsidR="0046444F" w:rsidRDefault="0046444F" w:rsidP="00B311BA">
      <w:pPr>
        <w:pStyle w:val="BodyText"/>
        <w:sectPr w:rsidR="0046444F" w:rsidSect="005821C7">
          <w:headerReference w:type="default" r:id="rId15"/>
          <w:pgSz w:w="11906" w:h="16838" w:code="9"/>
          <w:pgMar w:top="1361" w:right="1797" w:bottom="1474" w:left="1797" w:header="284" w:footer="454" w:gutter="0"/>
          <w:cols w:space="708"/>
          <w:formProt w:val="0"/>
          <w:docGrid w:linePitch="360"/>
        </w:sectPr>
      </w:pPr>
    </w:p>
    <w:p w:rsidR="00016D53" w:rsidRPr="002D239A" w:rsidRDefault="00016D53" w:rsidP="00482F63">
      <w:pPr>
        <w:pStyle w:val="Heading8"/>
      </w:pPr>
      <w:r w:rsidRPr="002D239A">
        <w:lastRenderedPageBreak/>
        <w:t xml:space="preserve">– </w:t>
      </w:r>
      <w:r w:rsidR="007334D4">
        <w:t xml:space="preserve">Higher </w:t>
      </w:r>
      <w:r w:rsidR="00BB3B54" w:rsidRPr="00CF50A1">
        <w:t xml:space="preserve">threshold for </w:t>
      </w:r>
      <w:r w:rsidR="00BB3B54">
        <w:t>r</w:t>
      </w:r>
      <w:r w:rsidR="00BB3B54" w:rsidRPr="00CF50A1">
        <w:t xml:space="preserve">egional </w:t>
      </w:r>
      <w:r w:rsidR="00BB3B54">
        <w:t>s</w:t>
      </w:r>
      <w:r w:rsidR="00BB3B54" w:rsidRPr="00CF50A1">
        <w:t>tudent HELP repayments</w:t>
      </w:r>
      <w:r w:rsidRPr="002D239A">
        <w:t>—</w:t>
      </w:r>
      <w:r w:rsidRPr="00482F63">
        <w:t>financial</w:t>
      </w:r>
      <w:r w:rsidRPr="002D239A">
        <w:t> implications</w:t>
      </w:r>
    </w:p>
    <w:p w:rsidR="00FF44C3" w:rsidRDefault="00FF44C3" w:rsidP="00FF44C3">
      <w:pPr>
        <w:pStyle w:val="Caption"/>
        <w:keepLines/>
        <w:rPr>
          <w:vertAlign w:val="superscript"/>
        </w:rPr>
      </w:pPr>
      <w:r>
        <w:t>T</w:t>
      </w:r>
      <w:r w:rsidRPr="002D239A">
        <w:t xml:space="preserve">able </w:t>
      </w:r>
      <w:fldSimple w:instr=" STYLEREF 8 \s ">
        <w:r w:rsidR="005F6133">
          <w:rPr>
            <w:noProof/>
          </w:rPr>
          <w:t>A</w:t>
        </w:r>
      </w:fldSimple>
      <w:r w:rsidR="00C75A13">
        <w:rPr>
          <w:noProof/>
        </w:rPr>
        <w:t>1</w:t>
      </w:r>
      <w:r w:rsidRPr="002D239A">
        <w:t xml:space="preserve">: </w:t>
      </w:r>
      <w:r w:rsidR="00EF6346" w:rsidRPr="00CF50A1">
        <w:t xml:space="preserve">Higher threshold for </w:t>
      </w:r>
      <w:r w:rsidR="00EF6346">
        <w:t>r</w:t>
      </w:r>
      <w:r w:rsidR="00EF6346" w:rsidRPr="00CF50A1">
        <w:t xml:space="preserve">egional </w:t>
      </w:r>
      <w:r w:rsidR="00EF6346">
        <w:t>s</w:t>
      </w:r>
      <w:r w:rsidR="00EF6346" w:rsidRPr="00CF50A1">
        <w:t>tudent HELP repayments</w:t>
      </w:r>
      <w:r>
        <w:t xml:space="preserve">—Fiscal </w:t>
      </w:r>
      <w:proofErr w:type="gramStart"/>
      <w:r>
        <w:t>balance</w:t>
      </w:r>
      <w:r w:rsidRPr="002D239A">
        <w:rPr>
          <w:vertAlign w:val="superscript"/>
        </w:rPr>
        <w:t>(</w:t>
      </w:r>
      <w:proofErr w:type="gramEnd"/>
      <w:r w:rsidRPr="002D239A">
        <w:rPr>
          <w:vertAlign w:val="superscript"/>
        </w:rPr>
        <w:t>a)(b)</w:t>
      </w:r>
    </w:p>
    <w:tbl>
      <w:tblPr>
        <w:tblW w:w="14055" w:type="dxa"/>
        <w:tblInd w:w="93" w:type="dxa"/>
        <w:tblLayout w:type="fixed"/>
        <w:tblLook w:val="04A0" w:firstRow="1" w:lastRow="0" w:firstColumn="1" w:lastColumn="0" w:noHBand="0" w:noVBand="1"/>
      </w:tblPr>
      <w:tblGrid>
        <w:gridCol w:w="2891"/>
        <w:gridCol w:w="850"/>
        <w:gridCol w:w="850"/>
        <w:gridCol w:w="850"/>
        <w:gridCol w:w="907"/>
        <w:gridCol w:w="850"/>
        <w:gridCol w:w="850"/>
        <w:gridCol w:w="850"/>
        <w:gridCol w:w="850"/>
        <w:gridCol w:w="850"/>
        <w:gridCol w:w="850"/>
        <w:gridCol w:w="850"/>
        <w:gridCol w:w="850"/>
        <w:gridCol w:w="907"/>
      </w:tblGrid>
      <w:tr w:rsidR="001C5FCE" w:rsidRPr="001754D7" w:rsidTr="001C5FCE">
        <w:tc>
          <w:tcPr>
            <w:tcW w:w="2891" w:type="dxa"/>
            <w:tcBorders>
              <w:top w:val="single" w:sz="8" w:space="0" w:color="A6A6A6"/>
              <w:left w:val="single" w:sz="8" w:space="0" w:color="A6A6A6"/>
              <w:bottom w:val="single" w:sz="8" w:space="0" w:color="A6A6A6"/>
              <w:right w:val="single" w:sz="8" w:space="0" w:color="A6A6A6"/>
            </w:tcBorders>
            <w:shd w:val="clear" w:color="auto" w:fill="D7DDE9" w:themeFill="accent3"/>
            <w:vAlign w:val="center"/>
            <w:hideMark/>
          </w:tcPr>
          <w:p w:rsidR="009E7226" w:rsidRPr="001E6909" w:rsidRDefault="009E7226" w:rsidP="001C5FCE">
            <w:pPr>
              <w:spacing w:before="70" w:after="70" w:line="260" w:lineRule="atLeast"/>
              <w:ind w:left="-57" w:right="-57"/>
              <w:rPr>
                <w:rFonts w:eastAsia="Times New Roman"/>
                <w:color w:val="000000"/>
                <w:sz w:val="20"/>
                <w:szCs w:val="20"/>
                <w:lang w:eastAsia="en-AU"/>
              </w:rPr>
            </w:pPr>
            <w:r w:rsidRPr="001E6909">
              <w:rPr>
                <w:rFonts w:eastAsia="Times New Roman"/>
                <w:color w:val="000000"/>
                <w:sz w:val="20"/>
                <w:szCs w:val="20"/>
                <w:lang w:eastAsia="en-AU"/>
              </w:rPr>
              <w:t>Financial impact ($m)</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2017</w:t>
            </w:r>
            <w:r w:rsidRPr="005B0970">
              <w:t>–</w:t>
            </w:r>
            <w:r w:rsidRPr="001E6909">
              <w:rPr>
                <w:rFonts w:eastAsia="Times New Roman"/>
                <w:color w:val="000000"/>
                <w:sz w:val="20"/>
                <w:szCs w:val="20"/>
                <w:lang w:eastAsia="en-AU"/>
              </w:rPr>
              <w:t>18</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2018</w:t>
            </w:r>
            <w:r w:rsidRPr="005B0970">
              <w:t>–</w:t>
            </w:r>
            <w:r w:rsidRPr="001E6909">
              <w:rPr>
                <w:rFonts w:eastAsia="Times New Roman"/>
                <w:color w:val="000000"/>
                <w:sz w:val="20"/>
                <w:szCs w:val="20"/>
                <w:lang w:eastAsia="en-AU"/>
              </w:rPr>
              <w:t>19</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2019</w:t>
            </w:r>
            <w:r w:rsidRPr="005B0970">
              <w:t>–</w:t>
            </w:r>
            <w:r w:rsidRPr="001E6909">
              <w:rPr>
                <w:rFonts w:eastAsia="Times New Roman"/>
                <w:color w:val="000000"/>
                <w:sz w:val="20"/>
                <w:szCs w:val="20"/>
                <w:lang w:eastAsia="en-AU"/>
              </w:rPr>
              <w:t>20</w:t>
            </w:r>
          </w:p>
        </w:tc>
        <w:tc>
          <w:tcPr>
            <w:tcW w:w="907"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w:t>
            </w:r>
            <w:r>
              <w:rPr>
                <w:rFonts w:eastAsia="Times New Roman"/>
                <w:color w:val="000000"/>
                <w:sz w:val="20"/>
                <w:szCs w:val="20"/>
                <w:lang w:eastAsia="en-AU"/>
              </w:rPr>
              <w:t>20</w:t>
            </w:r>
            <w:r w:rsidRPr="005B0970">
              <w:t>–</w:t>
            </w:r>
            <w:r w:rsidRPr="001E6909">
              <w:rPr>
                <w:rFonts w:eastAsia="Times New Roman"/>
                <w:color w:val="000000"/>
                <w:sz w:val="20"/>
                <w:szCs w:val="20"/>
                <w:lang w:eastAsia="en-AU"/>
              </w:rPr>
              <w:t>2</w:t>
            </w:r>
            <w:r>
              <w:rPr>
                <w:rFonts w:eastAsia="Times New Roman"/>
                <w:color w:val="000000"/>
                <w:sz w:val="20"/>
                <w:szCs w:val="20"/>
                <w:lang w:eastAsia="en-AU"/>
              </w:rPr>
              <w:t>1</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spacing w:before="70" w:after="70" w:line="260" w:lineRule="atLeast"/>
              <w:ind w:left="-57" w:right="-57"/>
              <w:jc w:val="right"/>
              <w:rPr>
                <w:rFonts w:eastAsia="Times New Roman"/>
                <w:b/>
                <w:bCs/>
                <w:color w:val="000000"/>
                <w:sz w:val="20"/>
                <w:szCs w:val="20"/>
                <w:lang w:eastAsia="en-AU"/>
              </w:rPr>
            </w:pPr>
            <w:r w:rsidRPr="001E6909">
              <w:rPr>
                <w:rFonts w:eastAsia="Times New Roman"/>
                <w:b/>
                <w:bCs/>
                <w:color w:val="000000"/>
                <w:sz w:val="20"/>
                <w:szCs w:val="20"/>
                <w:lang w:eastAsia="en-AU"/>
              </w:rPr>
              <w:t>Total to 20</w:t>
            </w:r>
            <w:r>
              <w:rPr>
                <w:rFonts w:eastAsia="Times New Roman"/>
                <w:b/>
                <w:bCs/>
                <w:color w:val="000000"/>
                <w:sz w:val="20"/>
                <w:szCs w:val="20"/>
                <w:lang w:eastAsia="en-AU"/>
              </w:rPr>
              <w:t>20</w:t>
            </w:r>
            <w:r w:rsidRPr="005B0970">
              <w:t>–</w:t>
            </w:r>
            <w:r w:rsidRPr="001E6909">
              <w:rPr>
                <w:rFonts w:eastAsia="Times New Roman"/>
                <w:b/>
                <w:bCs/>
                <w:color w:val="000000"/>
                <w:sz w:val="20"/>
                <w:szCs w:val="20"/>
                <w:lang w:eastAsia="en-AU"/>
              </w:rPr>
              <w:t>2</w:t>
            </w:r>
            <w:r>
              <w:rPr>
                <w:rFonts w:eastAsia="Times New Roman"/>
                <w:b/>
                <w:bCs/>
                <w:color w:val="000000"/>
                <w:sz w:val="20"/>
                <w:szCs w:val="20"/>
                <w:lang w:eastAsia="en-AU"/>
              </w:rPr>
              <w:t>1</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2021</w:t>
            </w:r>
            <w:r w:rsidRPr="005B0970">
              <w:t>–</w:t>
            </w:r>
            <w:r w:rsidRPr="001E6909">
              <w:rPr>
                <w:rFonts w:eastAsia="Times New Roman"/>
                <w:color w:val="000000"/>
                <w:sz w:val="20"/>
                <w:szCs w:val="20"/>
                <w:lang w:eastAsia="en-AU"/>
              </w:rPr>
              <w:t>22</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2022</w:t>
            </w:r>
            <w:r w:rsidRPr="005B0970">
              <w:t>–</w:t>
            </w:r>
            <w:r w:rsidRPr="001E6909">
              <w:rPr>
                <w:rFonts w:eastAsia="Times New Roman"/>
                <w:color w:val="000000"/>
                <w:sz w:val="20"/>
                <w:szCs w:val="20"/>
                <w:lang w:eastAsia="en-AU"/>
              </w:rPr>
              <w:t>23</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2023</w:t>
            </w:r>
            <w:r w:rsidRPr="005B0970">
              <w:t>–</w:t>
            </w:r>
            <w:r w:rsidRPr="001E6909">
              <w:rPr>
                <w:rFonts w:eastAsia="Times New Roman"/>
                <w:color w:val="000000"/>
                <w:sz w:val="20"/>
                <w:szCs w:val="20"/>
                <w:lang w:eastAsia="en-AU"/>
              </w:rPr>
              <w:t>24</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2024</w:t>
            </w:r>
            <w:r w:rsidRPr="005B0970">
              <w:t>–</w:t>
            </w:r>
            <w:r w:rsidRPr="001E6909">
              <w:rPr>
                <w:rFonts w:eastAsia="Times New Roman"/>
                <w:color w:val="000000"/>
                <w:sz w:val="20"/>
                <w:szCs w:val="20"/>
                <w:lang w:eastAsia="en-AU"/>
              </w:rPr>
              <w:t>25</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2025</w:t>
            </w:r>
            <w:r w:rsidRPr="005B0970">
              <w:t>–</w:t>
            </w:r>
            <w:r w:rsidRPr="001E6909">
              <w:rPr>
                <w:rFonts w:eastAsia="Times New Roman"/>
                <w:color w:val="000000"/>
                <w:sz w:val="20"/>
                <w:szCs w:val="20"/>
                <w:lang w:eastAsia="en-AU"/>
              </w:rPr>
              <w:t>26</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2026</w:t>
            </w:r>
            <w:r w:rsidRPr="005B0970">
              <w:t>–</w:t>
            </w:r>
            <w:r w:rsidRPr="001E6909">
              <w:rPr>
                <w:rFonts w:eastAsia="Times New Roman"/>
                <w:color w:val="000000"/>
                <w:sz w:val="20"/>
                <w:szCs w:val="20"/>
                <w:lang w:eastAsia="en-AU"/>
              </w:rPr>
              <w:t>27</w:t>
            </w:r>
          </w:p>
        </w:tc>
        <w:tc>
          <w:tcPr>
            <w:tcW w:w="850" w:type="dxa"/>
            <w:tcBorders>
              <w:top w:val="single" w:sz="8" w:space="0" w:color="A6A6A6"/>
              <w:left w:val="nil"/>
              <w:bottom w:val="single" w:sz="8" w:space="0" w:color="A6A6A6"/>
              <w:right w:val="single" w:sz="8" w:space="0" w:color="A6A6A6" w:themeColor="background1" w:themeShade="A6"/>
            </w:tcBorders>
            <w:shd w:val="clear" w:color="auto" w:fill="D7DDE9" w:themeFill="accent3"/>
            <w:vAlign w:val="center"/>
            <w:hideMark/>
          </w:tcPr>
          <w:p w:rsidR="009E7226" w:rsidRPr="001E6909" w:rsidRDefault="009E7226" w:rsidP="001C5FCE">
            <w:pPr>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w:t>
            </w:r>
            <w:r>
              <w:rPr>
                <w:rFonts w:eastAsia="Times New Roman"/>
                <w:color w:val="000000"/>
                <w:sz w:val="20"/>
                <w:szCs w:val="20"/>
                <w:lang w:eastAsia="en-AU"/>
              </w:rPr>
              <w:t>7</w:t>
            </w:r>
            <w:r w:rsidRPr="005B0970">
              <w:t>–</w:t>
            </w:r>
            <w:r w:rsidRPr="001E6909">
              <w:rPr>
                <w:rFonts w:eastAsia="Times New Roman"/>
                <w:color w:val="000000"/>
                <w:sz w:val="20"/>
                <w:szCs w:val="20"/>
                <w:lang w:eastAsia="en-AU"/>
              </w:rPr>
              <w:t>2</w:t>
            </w:r>
            <w:r>
              <w:rPr>
                <w:rFonts w:eastAsia="Times New Roman"/>
                <w:color w:val="000000"/>
                <w:sz w:val="20"/>
                <w:szCs w:val="20"/>
                <w:lang w:eastAsia="en-AU"/>
              </w:rPr>
              <w:t>8</w:t>
            </w:r>
          </w:p>
        </w:tc>
        <w:tc>
          <w:tcPr>
            <w:tcW w:w="907" w:type="dxa"/>
            <w:tcBorders>
              <w:top w:val="single" w:sz="8" w:space="0" w:color="A6A6A6"/>
              <w:left w:val="single" w:sz="8" w:space="0" w:color="A6A6A6" w:themeColor="background1" w:themeShade="A6"/>
              <w:bottom w:val="single" w:sz="8" w:space="0" w:color="A6A6A6"/>
              <w:right w:val="single" w:sz="8" w:space="0" w:color="A6A6A6" w:themeColor="background1" w:themeShade="A6"/>
            </w:tcBorders>
            <w:shd w:val="clear" w:color="auto" w:fill="D7DDE9" w:themeFill="accent3"/>
          </w:tcPr>
          <w:p w:rsidR="009E7226" w:rsidRPr="001E6909" w:rsidRDefault="009E7226" w:rsidP="001C5FCE">
            <w:pPr>
              <w:spacing w:before="70" w:after="70" w:line="260" w:lineRule="atLeast"/>
              <w:ind w:left="-57" w:right="-57"/>
              <w:jc w:val="right"/>
              <w:rPr>
                <w:rFonts w:eastAsia="Times New Roman"/>
                <w:color w:val="000000"/>
                <w:sz w:val="20"/>
                <w:szCs w:val="20"/>
                <w:lang w:eastAsia="en-AU"/>
              </w:rPr>
            </w:pPr>
            <w:r w:rsidRPr="001E6909">
              <w:rPr>
                <w:rFonts w:eastAsia="Times New Roman"/>
                <w:b/>
                <w:bCs/>
                <w:color w:val="000000"/>
                <w:sz w:val="20"/>
                <w:szCs w:val="20"/>
                <w:lang w:eastAsia="en-AU"/>
              </w:rPr>
              <w:t>Total to 202</w:t>
            </w:r>
            <w:r>
              <w:rPr>
                <w:rFonts w:eastAsia="Times New Roman"/>
                <w:b/>
                <w:bCs/>
                <w:color w:val="000000"/>
                <w:sz w:val="20"/>
                <w:szCs w:val="20"/>
                <w:lang w:eastAsia="en-AU"/>
              </w:rPr>
              <w:t>7</w:t>
            </w:r>
            <w:r w:rsidRPr="005B0970">
              <w:t>–</w:t>
            </w:r>
            <w:r w:rsidRPr="001E6909">
              <w:rPr>
                <w:rFonts w:eastAsia="Times New Roman"/>
                <w:b/>
                <w:bCs/>
                <w:color w:val="000000"/>
                <w:sz w:val="20"/>
                <w:szCs w:val="20"/>
                <w:lang w:eastAsia="en-AU"/>
              </w:rPr>
              <w:t>2</w:t>
            </w:r>
            <w:r>
              <w:rPr>
                <w:rFonts w:eastAsia="Times New Roman"/>
                <w:b/>
                <w:bCs/>
                <w:color w:val="000000"/>
                <w:sz w:val="20"/>
                <w:szCs w:val="20"/>
                <w:lang w:eastAsia="en-AU"/>
              </w:rPr>
              <w:t>8</w:t>
            </w:r>
          </w:p>
        </w:tc>
      </w:tr>
      <w:tr w:rsidR="001C5FCE" w:rsidRPr="001754D7" w:rsidTr="001C5FCE">
        <w:tc>
          <w:tcPr>
            <w:tcW w:w="2891" w:type="dxa"/>
            <w:tcBorders>
              <w:top w:val="nil"/>
              <w:left w:val="single" w:sz="8" w:space="0" w:color="A6A6A6"/>
              <w:bottom w:val="single" w:sz="8" w:space="0" w:color="A6A6A6"/>
              <w:right w:val="single" w:sz="8" w:space="0" w:color="A6A6A6"/>
            </w:tcBorders>
            <w:shd w:val="clear" w:color="auto" w:fill="auto"/>
            <w:vAlign w:val="center"/>
          </w:tcPr>
          <w:p w:rsidR="009E7226" w:rsidRDefault="009E7226" w:rsidP="001C5FCE">
            <w:pPr>
              <w:tabs>
                <w:tab w:val="left" w:pos="420"/>
                <w:tab w:val="left" w:pos="467"/>
              </w:tabs>
              <w:spacing w:before="70" w:after="70" w:line="260" w:lineRule="atLeast"/>
              <w:ind w:left="-57" w:right="-57"/>
              <w:rPr>
                <w:rFonts w:eastAsia="Times New Roman"/>
                <w:color w:val="000000"/>
                <w:sz w:val="20"/>
                <w:szCs w:val="20"/>
                <w:lang w:eastAsia="en-AU"/>
              </w:rPr>
            </w:pPr>
            <w:r>
              <w:rPr>
                <w:rFonts w:eastAsia="Times New Roman"/>
                <w:color w:val="000000"/>
                <w:sz w:val="20"/>
                <w:szCs w:val="20"/>
                <w:lang w:eastAsia="en-AU"/>
              </w:rPr>
              <w:t>Higher Education Loan Program</w:t>
            </w: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spacing w:before="70" w:after="70" w:line="260" w:lineRule="atLeast"/>
              <w:ind w:left="-57" w:right="-57"/>
              <w:jc w:val="right"/>
              <w:rPr>
                <w:i/>
                <w:sz w:val="20"/>
                <w:szCs w:val="20"/>
              </w:rPr>
            </w:pPr>
          </w:p>
        </w:tc>
        <w:tc>
          <w:tcPr>
            <w:tcW w:w="907" w:type="dxa"/>
            <w:tcBorders>
              <w:top w:val="nil"/>
              <w:left w:val="nil"/>
              <w:bottom w:val="single" w:sz="8" w:space="0" w:color="A6A6A6"/>
              <w:right w:val="single" w:sz="8" w:space="0" w:color="A6A6A6"/>
            </w:tcBorders>
            <w:shd w:val="clear" w:color="auto" w:fill="auto"/>
          </w:tcPr>
          <w:p w:rsidR="009E7226" w:rsidRPr="00CD5719" w:rsidRDefault="009E7226" w:rsidP="001C5FCE">
            <w:pPr>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spacing w:before="70" w:after="70" w:line="260" w:lineRule="atLeast"/>
              <w:ind w:left="-57" w:right="-57"/>
              <w:jc w:val="right"/>
              <w:rPr>
                <w:b/>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spacing w:before="70" w:after="70" w:line="260" w:lineRule="atLeast"/>
              <w:ind w:left="-57" w:right="-57"/>
              <w:jc w:val="right"/>
              <w:rPr>
                <w:i/>
                <w:sz w:val="20"/>
                <w:szCs w:val="20"/>
              </w:rPr>
            </w:pPr>
          </w:p>
        </w:tc>
        <w:tc>
          <w:tcPr>
            <w:tcW w:w="907" w:type="dxa"/>
            <w:tcBorders>
              <w:top w:val="single" w:sz="8" w:space="0" w:color="A6A6A6"/>
              <w:left w:val="nil"/>
              <w:bottom w:val="single" w:sz="8" w:space="0" w:color="A6A6A6"/>
              <w:right w:val="single" w:sz="8" w:space="0" w:color="A6A6A6"/>
            </w:tcBorders>
          </w:tcPr>
          <w:p w:rsidR="009E7226" w:rsidRPr="00CD5719" w:rsidRDefault="009E7226" w:rsidP="001C5FCE">
            <w:pPr>
              <w:spacing w:before="70" w:after="70" w:line="260" w:lineRule="atLeast"/>
              <w:ind w:left="-57" w:right="-57"/>
              <w:jc w:val="right"/>
              <w:rPr>
                <w:i/>
                <w:sz w:val="20"/>
                <w:szCs w:val="20"/>
              </w:rPr>
            </w:pPr>
          </w:p>
        </w:tc>
      </w:tr>
      <w:tr w:rsidR="001C5FCE" w:rsidRPr="00601A22" w:rsidTr="001C5FCE">
        <w:tc>
          <w:tcPr>
            <w:tcW w:w="2891" w:type="dxa"/>
            <w:tcBorders>
              <w:top w:val="nil"/>
              <w:left w:val="single" w:sz="8" w:space="0" w:color="A6A6A6"/>
              <w:bottom w:val="single" w:sz="8" w:space="0" w:color="A6A6A6"/>
              <w:right w:val="single" w:sz="8" w:space="0" w:color="A6A6A6"/>
            </w:tcBorders>
            <w:shd w:val="clear" w:color="auto" w:fill="auto"/>
            <w:vAlign w:val="center"/>
          </w:tcPr>
          <w:p w:rsidR="009E7226" w:rsidRPr="001E6909" w:rsidRDefault="009E7226" w:rsidP="001C5FCE">
            <w:pPr>
              <w:spacing w:before="70" w:after="70" w:line="260" w:lineRule="atLeast"/>
              <w:ind w:left="227"/>
              <w:rPr>
                <w:rFonts w:eastAsia="Times New Roman"/>
                <w:i/>
                <w:iCs/>
                <w:color w:val="000000"/>
                <w:sz w:val="20"/>
                <w:szCs w:val="20"/>
                <w:lang w:eastAsia="en-AU"/>
              </w:rPr>
            </w:pPr>
            <w:r w:rsidRPr="001E6909">
              <w:rPr>
                <w:rFonts w:eastAsia="Times New Roman"/>
                <w:i/>
                <w:iCs/>
                <w:color w:val="000000"/>
                <w:sz w:val="20"/>
                <w:szCs w:val="20"/>
                <w:lang w:eastAsia="en-AU"/>
              </w:rPr>
              <w:t>Concessional loan discount expense</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-1.3</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-1.4</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-1.3</w:t>
            </w:r>
          </w:p>
        </w:tc>
        <w:tc>
          <w:tcPr>
            <w:tcW w:w="907"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-1.3</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b/>
                <w:i/>
                <w:sz w:val="20"/>
                <w:szCs w:val="20"/>
              </w:rPr>
            </w:pPr>
            <w:r w:rsidRPr="009E7226">
              <w:rPr>
                <w:b/>
                <w:i/>
                <w:sz w:val="20"/>
                <w:szCs w:val="20"/>
              </w:rPr>
              <w:t>-5.3</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-1.4</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-1.4</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-1.4</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-1.5</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-1.5</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-1.6</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-1.7</w:t>
            </w:r>
          </w:p>
        </w:tc>
        <w:tc>
          <w:tcPr>
            <w:tcW w:w="907" w:type="dxa"/>
            <w:tcBorders>
              <w:top w:val="single" w:sz="8" w:space="0" w:color="A6A6A6"/>
              <w:left w:val="nil"/>
              <w:bottom w:val="single" w:sz="8" w:space="0" w:color="A6A6A6"/>
              <w:right w:val="single" w:sz="8" w:space="0" w:color="A6A6A6"/>
            </w:tcBorders>
          </w:tcPr>
          <w:p w:rsidR="009E7226" w:rsidRPr="009E7226" w:rsidRDefault="009E7226" w:rsidP="001C5FCE">
            <w:pPr>
              <w:spacing w:before="70" w:after="70" w:line="260" w:lineRule="atLeast"/>
              <w:ind w:left="-57" w:right="-57"/>
              <w:jc w:val="right"/>
              <w:rPr>
                <w:b/>
                <w:i/>
                <w:sz w:val="20"/>
                <w:szCs w:val="20"/>
              </w:rPr>
            </w:pPr>
            <w:r w:rsidRPr="009E7226">
              <w:rPr>
                <w:b/>
                <w:i/>
                <w:sz w:val="20"/>
                <w:szCs w:val="20"/>
              </w:rPr>
              <w:t>-15.7</w:t>
            </w:r>
          </w:p>
        </w:tc>
      </w:tr>
      <w:tr w:rsidR="001C5FCE" w:rsidRPr="00601A22" w:rsidTr="001C5FCE">
        <w:tc>
          <w:tcPr>
            <w:tcW w:w="2891" w:type="dxa"/>
            <w:tcBorders>
              <w:top w:val="nil"/>
              <w:left w:val="single" w:sz="8" w:space="0" w:color="A6A6A6"/>
              <w:bottom w:val="single" w:sz="8" w:space="0" w:color="A6A6A6"/>
              <w:right w:val="single" w:sz="8" w:space="0" w:color="A6A6A6"/>
            </w:tcBorders>
            <w:shd w:val="clear" w:color="auto" w:fill="auto"/>
            <w:vAlign w:val="center"/>
            <w:hideMark/>
          </w:tcPr>
          <w:p w:rsidR="009E7226" w:rsidRPr="001E6909" w:rsidRDefault="009E7226" w:rsidP="001C5FCE">
            <w:pPr>
              <w:spacing w:before="70" w:after="70" w:line="260" w:lineRule="atLeast"/>
              <w:ind w:left="227"/>
              <w:rPr>
                <w:rFonts w:eastAsia="Times New Roman"/>
                <w:i/>
                <w:iCs/>
                <w:color w:val="000000"/>
                <w:sz w:val="20"/>
                <w:szCs w:val="20"/>
                <w:lang w:eastAsia="en-AU"/>
              </w:rPr>
            </w:pPr>
            <w:r w:rsidRPr="001E6909">
              <w:rPr>
                <w:rFonts w:eastAsia="Times New Roman"/>
                <w:i/>
                <w:iCs/>
                <w:color w:val="000000"/>
                <w:sz w:val="20"/>
                <w:szCs w:val="20"/>
                <w:lang w:eastAsia="en-AU"/>
              </w:rPr>
              <w:t>Concessional loan discount unwinding revenue</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-0.3</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-0.5</w:t>
            </w:r>
          </w:p>
        </w:tc>
        <w:tc>
          <w:tcPr>
            <w:tcW w:w="907"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-0.8</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b/>
                <w:i/>
                <w:sz w:val="20"/>
                <w:szCs w:val="20"/>
              </w:rPr>
            </w:pPr>
            <w:r w:rsidRPr="009E7226">
              <w:rPr>
                <w:b/>
                <w:i/>
                <w:sz w:val="20"/>
                <w:szCs w:val="20"/>
              </w:rPr>
              <w:t>-1.6</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-1.1</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-1.3</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-1.6</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-1.9</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-2.1</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-2.3</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-2.5</w:t>
            </w:r>
          </w:p>
        </w:tc>
        <w:tc>
          <w:tcPr>
            <w:tcW w:w="907" w:type="dxa"/>
            <w:tcBorders>
              <w:top w:val="single" w:sz="8" w:space="0" w:color="A6A6A6"/>
              <w:left w:val="nil"/>
              <w:bottom w:val="single" w:sz="8" w:space="0" w:color="A6A6A6"/>
              <w:right w:val="single" w:sz="8" w:space="0" w:color="A6A6A6"/>
            </w:tcBorders>
          </w:tcPr>
          <w:p w:rsidR="009E7226" w:rsidRPr="009E7226" w:rsidRDefault="009E7226" w:rsidP="001C5FCE">
            <w:pPr>
              <w:spacing w:before="70" w:after="70" w:line="260" w:lineRule="atLeast"/>
              <w:ind w:left="-57" w:right="-57"/>
              <w:jc w:val="right"/>
              <w:rPr>
                <w:b/>
                <w:i/>
                <w:sz w:val="20"/>
                <w:szCs w:val="20"/>
              </w:rPr>
            </w:pPr>
            <w:r w:rsidRPr="009E7226">
              <w:rPr>
                <w:b/>
                <w:i/>
                <w:sz w:val="20"/>
                <w:szCs w:val="20"/>
              </w:rPr>
              <w:t>-14.4</w:t>
            </w:r>
          </w:p>
        </w:tc>
      </w:tr>
      <w:tr w:rsidR="001C5FCE" w:rsidRPr="00601A22" w:rsidTr="001C5FCE">
        <w:tc>
          <w:tcPr>
            <w:tcW w:w="2891" w:type="dxa"/>
            <w:tcBorders>
              <w:top w:val="nil"/>
              <w:left w:val="single" w:sz="8" w:space="0" w:color="A6A6A6"/>
              <w:bottom w:val="single" w:sz="8" w:space="0" w:color="A6A6A6"/>
              <w:right w:val="single" w:sz="8" w:space="0" w:color="A6A6A6"/>
            </w:tcBorders>
            <w:shd w:val="clear" w:color="auto" w:fill="auto"/>
            <w:vAlign w:val="center"/>
            <w:hideMark/>
          </w:tcPr>
          <w:p w:rsidR="009E7226" w:rsidRPr="001E6909" w:rsidRDefault="009E7226" w:rsidP="001C5FCE">
            <w:pPr>
              <w:tabs>
                <w:tab w:val="left" w:pos="419"/>
              </w:tabs>
              <w:spacing w:before="70" w:after="70" w:line="260" w:lineRule="atLeast"/>
              <w:ind w:left="113"/>
              <w:rPr>
                <w:rFonts w:eastAsia="Times New Roman"/>
                <w:color w:val="000000"/>
                <w:sz w:val="20"/>
                <w:szCs w:val="20"/>
                <w:lang w:eastAsia="en-AU"/>
              </w:rPr>
            </w:pPr>
            <w:r w:rsidRPr="001E6909">
              <w:rPr>
                <w:rFonts w:eastAsia="Times New Roman"/>
                <w:color w:val="000000"/>
                <w:sz w:val="20"/>
                <w:szCs w:val="20"/>
                <w:lang w:eastAsia="en-AU"/>
              </w:rPr>
              <w:t>Net concessional loan discount</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-1.3</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-1.6</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-1.8</w:t>
            </w:r>
          </w:p>
        </w:tc>
        <w:tc>
          <w:tcPr>
            <w:tcW w:w="907"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-2.1</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b/>
                <w:i/>
                <w:sz w:val="20"/>
                <w:szCs w:val="20"/>
              </w:rPr>
            </w:pPr>
            <w:r w:rsidRPr="009E7226">
              <w:rPr>
                <w:b/>
                <w:i/>
                <w:sz w:val="20"/>
                <w:szCs w:val="20"/>
              </w:rPr>
              <w:t>-6.9</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-2.5</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-2.7</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-3.0</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-3.3</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-3.6</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-3.9</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-4.2</w:t>
            </w:r>
          </w:p>
        </w:tc>
        <w:tc>
          <w:tcPr>
            <w:tcW w:w="907" w:type="dxa"/>
            <w:tcBorders>
              <w:top w:val="single" w:sz="8" w:space="0" w:color="A6A6A6"/>
              <w:left w:val="nil"/>
              <w:bottom w:val="single" w:sz="8" w:space="0" w:color="A6A6A6"/>
              <w:right w:val="single" w:sz="8" w:space="0" w:color="A6A6A6"/>
            </w:tcBorders>
          </w:tcPr>
          <w:p w:rsidR="009E7226" w:rsidRPr="009E7226" w:rsidRDefault="009E7226" w:rsidP="001C5FCE">
            <w:pPr>
              <w:spacing w:before="70" w:after="70" w:line="260" w:lineRule="atLeast"/>
              <w:ind w:left="-57" w:right="-57"/>
              <w:jc w:val="right"/>
              <w:rPr>
                <w:b/>
                <w:i/>
                <w:sz w:val="20"/>
                <w:szCs w:val="20"/>
              </w:rPr>
            </w:pPr>
            <w:r w:rsidRPr="009E7226">
              <w:rPr>
                <w:b/>
                <w:i/>
                <w:sz w:val="20"/>
                <w:szCs w:val="20"/>
              </w:rPr>
              <w:t>-30.1</w:t>
            </w:r>
          </w:p>
        </w:tc>
      </w:tr>
      <w:tr w:rsidR="001C5FCE" w:rsidRPr="00601A22" w:rsidTr="001C5FCE">
        <w:tc>
          <w:tcPr>
            <w:tcW w:w="2891" w:type="dxa"/>
            <w:tcBorders>
              <w:top w:val="nil"/>
              <w:left w:val="single" w:sz="8" w:space="0" w:color="A6A6A6"/>
              <w:bottom w:val="single" w:sz="8" w:space="0" w:color="A6A6A6"/>
              <w:right w:val="single" w:sz="8" w:space="0" w:color="A6A6A6"/>
            </w:tcBorders>
            <w:shd w:val="clear" w:color="auto" w:fill="auto"/>
            <w:vAlign w:val="center"/>
            <w:hideMark/>
          </w:tcPr>
          <w:p w:rsidR="009E7226" w:rsidRPr="001E6909" w:rsidRDefault="009E7226" w:rsidP="001C5FCE">
            <w:pPr>
              <w:spacing w:before="70" w:after="70" w:line="260" w:lineRule="atLeast"/>
              <w:ind w:left="113"/>
              <w:rPr>
                <w:rFonts w:eastAsia="Times New Roman"/>
                <w:color w:val="000000"/>
                <w:sz w:val="20"/>
                <w:szCs w:val="20"/>
                <w:lang w:eastAsia="en-AU"/>
              </w:rPr>
            </w:pPr>
            <w:r w:rsidRPr="001E6909">
              <w:rPr>
                <w:rFonts w:eastAsia="Times New Roman"/>
                <w:color w:val="000000"/>
                <w:sz w:val="20"/>
                <w:szCs w:val="20"/>
                <w:lang w:eastAsia="en-AU"/>
              </w:rPr>
              <w:t>Interest revenue accrued</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-0.2</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-0.5</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-0.8</w:t>
            </w:r>
          </w:p>
        </w:tc>
        <w:tc>
          <w:tcPr>
            <w:tcW w:w="907"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-1.0</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b/>
                <w:i/>
                <w:sz w:val="20"/>
                <w:szCs w:val="20"/>
              </w:rPr>
            </w:pPr>
            <w:r w:rsidRPr="009E7226">
              <w:rPr>
                <w:b/>
                <w:i/>
                <w:sz w:val="20"/>
                <w:szCs w:val="20"/>
              </w:rPr>
              <w:t>-2.4</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-1.1</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-1.3</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-1.5</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-1.6</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-1.8</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-1.9</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-2.1</w:t>
            </w:r>
          </w:p>
        </w:tc>
        <w:tc>
          <w:tcPr>
            <w:tcW w:w="907" w:type="dxa"/>
            <w:tcBorders>
              <w:top w:val="single" w:sz="8" w:space="0" w:color="A6A6A6"/>
              <w:left w:val="nil"/>
              <w:bottom w:val="single" w:sz="8" w:space="0" w:color="A6A6A6"/>
              <w:right w:val="single" w:sz="8" w:space="0" w:color="A6A6A6"/>
            </w:tcBorders>
          </w:tcPr>
          <w:p w:rsidR="009E7226" w:rsidRPr="009E7226" w:rsidRDefault="009E7226" w:rsidP="001C5FCE">
            <w:pPr>
              <w:spacing w:before="70" w:after="70" w:line="260" w:lineRule="atLeast"/>
              <w:ind w:left="-57" w:right="-57"/>
              <w:jc w:val="right"/>
              <w:rPr>
                <w:b/>
                <w:i/>
                <w:sz w:val="20"/>
                <w:szCs w:val="20"/>
              </w:rPr>
            </w:pPr>
            <w:r w:rsidRPr="009E7226">
              <w:rPr>
                <w:b/>
                <w:i/>
                <w:sz w:val="20"/>
                <w:szCs w:val="20"/>
              </w:rPr>
              <w:t>-13.7</w:t>
            </w:r>
          </w:p>
        </w:tc>
      </w:tr>
      <w:tr w:rsidR="001C5FCE" w:rsidRPr="00601A22" w:rsidTr="001C5FCE">
        <w:tc>
          <w:tcPr>
            <w:tcW w:w="2891" w:type="dxa"/>
            <w:tcBorders>
              <w:top w:val="nil"/>
              <w:left w:val="single" w:sz="8" w:space="0" w:color="A6A6A6"/>
              <w:bottom w:val="single" w:sz="8" w:space="0" w:color="A6A6A6"/>
              <w:right w:val="single" w:sz="8" w:space="0" w:color="A6A6A6"/>
            </w:tcBorders>
            <w:shd w:val="clear" w:color="auto" w:fill="auto"/>
            <w:vAlign w:val="center"/>
            <w:hideMark/>
          </w:tcPr>
          <w:p w:rsidR="009E7226" w:rsidRPr="001E6909" w:rsidRDefault="009E7226" w:rsidP="001C5FCE">
            <w:pPr>
              <w:spacing w:before="70" w:after="70" w:line="260" w:lineRule="atLeast"/>
              <w:ind w:left="113"/>
              <w:rPr>
                <w:rFonts w:eastAsia="Times New Roman"/>
                <w:color w:val="000000"/>
                <w:sz w:val="20"/>
                <w:szCs w:val="20"/>
                <w:lang w:eastAsia="en-AU"/>
              </w:rPr>
            </w:pPr>
            <w:r w:rsidRPr="001E6909">
              <w:rPr>
                <w:rFonts w:eastAsia="Times New Roman"/>
                <w:color w:val="000000"/>
                <w:sz w:val="20"/>
                <w:szCs w:val="20"/>
                <w:lang w:eastAsia="en-AU"/>
              </w:rPr>
              <w:t xml:space="preserve">Loan </w:t>
            </w:r>
            <w:proofErr w:type="spellStart"/>
            <w:r w:rsidRPr="001E6909">
              <w:rPr>
                <w:rFonts w:eastAsia="Times New Roman"/>
                <w:color w:val="000000"/>
                <w:sz w:val="20"/>
                <w:szCs w:val="20"/>
                <w:lang w:eastAsia="en-AU"/>
              </w:rPr>
              <w:t>writedowns</w:t>
            </w:r>
            <w:proofErr w:type="spellEnd"/>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w:t>
            </w:r>
          </w:p>
        </w:tc>
        <w:tc>
          <w:tcPr>
            <w:tcW w:w="907"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b/>
                <w:i/>
                <w:sz w:val="20"/>
                <w:szCs w:val="20"/>
              </w:rPr>
            </w:pPr>
            <w:r w:rsidRPr="009E7226">
              <w:rPr>
                <w:b/>
                <w:i/>
                <w:sz w:val="20"/>
                <w:szCs w:val="20"/>
              </w:rPr>
              <w:t>-0.1</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-0.2</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-0.2</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-0.3</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-0.3</w:t>
            </w:r>
          </w:p>
        </w:tc>
        <w:tc>
          <w:tcPr>
            <w:tcW w:w="850" w:type="dxa"/>
            <w:tcBorders>
              <w:top w:val="nil"/>
              <w:left w:val="nil"/>
              <w:bottom w:val="single" w:sz="8" w:space="0" w:color="A6A6A6"/>
              <w:right w:val="single" w:sz="8" w:space="0" w:color="A6A6A6"/>
            </w:tcBorders>
            <w:shd w:val="clear" w:color="auto" w:fill="auto"/>
            <w:hideMark/>
          </w:tcPr>
          <w:p w:rsidR="009E7226" w:rsidRPr="009E7226" w:rsidRDefault="009E7226" w:rsidP="001C5FCE">
            <w:pPr>
              <w:spacing w:before="70" w:after="70" w:line="260" w:lineRule="atLeast"/>
              <w:ind w:left="-57" w:right="-57"/>
              <w:jc w:val="right"/>
              <w:rPr>
                <w:i/>
                <w:sz w:val="20"/>
                <w:szCs w:val="20"/>
              </w:rPr>
            </w:pPr>
            <w:r w:rsidRPr="009E7226">
              <w:rPr>
                <w:i/>
                <w:sz w:val="20"/>
                <w:szCs w:val="20"/>
              </w:rPr>
              <w:t>-0.4</w:t>
            </w:r>
          </w:p>
        </w:tc>
        <w:tc>
          <w:tcPr>
            <w:tcW w:w="907" w:type="dxa"/>
            <w:tcBorders>
              <w:top w:val="single" w:sz="8" w:space="0" w:color="A6A6A6"/>
              <w:left w:val="nil"/>
              <w:bottom w:val="single" w:sz="8" w:space="0" w:color="A6A6A6"/>
              <w:right w:val="single" w:sz="8" w:space="0" w:color="A6A6A6"/>
            </w:tcBorders>
          </w:tcPr>
          <w:p w:rsidR="009E7226" w:rsidRPr="009E7226" w:rsidRDefault="009E7226" w:rsidP="001C5FCE">
            <w:pPr>
              <w:spacing w:before="70" w:after="70" w:line="260" w:lineRule="atLeast"/>
              <w:ind w:left="-57" w:right="-57"/>
              <w:jc w:val="right"/>
              <w:rPr>
                <w:b/>
                <w:i/>
                <w:sz w:val="20"/>
                <w:szCs w:val="20"/>
              </w:rPr>
            </w:pPr>
            <w:r w:rsidRPr="009E7226">
              <w:rPr>
                <w:b/>
                <w:i/>
                <w:sz w:val="20"/>
                <w:szCs w:val="20"/>
              </w:rPr>
              <w:t>-1.6</w:t>
            </w:r>
          </w:p>
        </w:tc>
      </w:tr>
      <w:tr w:rsidR="001C5FCE" w:rsidRPr="00601A22" w:rsidTr="001C5FCE">
        <w:tc>
          <w:tcPr>
            <w:tcW w:w="2891" w:type="dxa"/>
            <w:tcBorders>
              <w:top w:val="nil"/>
              <w:left w:val="single" w:sz="8" w:space="0" w:color="A6A6A6"/>
              <w:bottom w:val="single" w:sz="8" w:space="0" w:color="A6A6A6"/>
              <w:right w:val="single" w:sz="8" w:space="0" w:color="A6A6A6"/>
            </w:tcBorders>
            <w:shd w:val="clear" w:color="auto" w:fill="auto"/>
            <w:vAlign w:val="center"/>
          </w:tcPr>
          <w:p w:rsidR="009E7226" w:rsidRPr="001E6909" w:rsidRDefault="009E7226" w:rsidP="001C5FCE">
            <w:pPr>
              <w:spacing w:before="70" w:after="70" w:line="260" w:lineRule="atLeast"/>
              <w:ind w:left="113"/>
              <w:rPr>
                <w:rFonts w:eastAsia="Times New Roman"/>
                <w:color w:val="000000"/>
                <w:sz w:val="20"/>
                <w:szCs w:val="20"/>
                <w:lang w:eastAsia="en-AU"/>
              </w:rPr>
            </w:pPr>
            <w:r>
              <w:rPr>
                <w:rFonts w:eastAsia="Times New Roman"/>
                <w:color w:val="000000"/>
                <w:sz w:val="20"/>
                <w:szCs w:val="20"/>
                <w:lang w:eastAsia="en-AU"/>
              </w:rPr>
              <w:t>Other revenue</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0.1</w:t>
            </w:r>
          </w:p>
        </w:tc>
        <w:tc>
          <w:tcPr>
            <w:tcW w:w="907"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b/>
                <w:i/>
                <w:sz w:val="20"/>
                <w:szCs w:val="20"/>
              </w:rPr>
            </w:pPr>
            <w:r w:rsidRPr="009E7226">
              <w:rPr>
                <w:b/>
                <w:i/>
                <w:sz w:val="20"/>
                <w:szCs w:val="20"/>
              </w:rPr>
              <w:t>0.4</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0.2</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0.2</w:t>
            </w:r>
          </w:p>
        </w:tc>
        <w:tc>
          <w:tcPr>
            <w:tcW w:w="907" w:type="dxa"/>
            <w:tcBorders>
              <w:top w:val="single" w:sz="8" w:space="0" w:color="A6A6A6"/>
              <w:left w:val="nil"/>
              <w:bottom w:val="single" w:sz="8" w:space="0" w:color="A6A6A6"/>
              <w:right w:val="single" w:sz="8" w:space="0" w:color="A6A6A6"/>
            </w:tcBorders>
          </w:tcPr>
          <w:p w:rsidR="009E7226" w:rsidRPr="009E7226" w:rsidRDefault="009E7226" w:rsidP="001C5FCE">
            <w:pPr>
              <w:spacing w:before="70" w:after="70" w:line="260" w:lineRule="atLeast"/>
              <w:ind w:left="-57" w:right="-57"/>
              <w:jc w:val="right"/>
              <w:rPr>
                <w:b/>
                <w:i/>
                <w:sz w:val="20"/>
                <w:szCs w:val="20"/>
              </w:rPr>
            </w:pPr>
            <w:r w:rsidRPr="009E7226">
              <w:rPr>
                <w:b/>
                <w:i/>
                <w:sz w:val="20"/>
                <w:szCs w:val="20"/>
              </w:rPr>
              <w:t>1.4</w:t>
            </w:r>
          </w:p>
        </w:tc>
      </w:tr>
      <w:tr w:rsidR="001C5FCE" w:rsidRPr="00601A22" w:rsidTr="001C5FCE">
        <w:tc>
          <w:tcPr>
            <w:tcW w:w="2891" w:type="dxa"/>
            <w:tcBorders>
              <w:top w:val="nil"/>
              <w:left w:val="single" w:sz="8" w:space="0" w:color="A6A6A6"/>
              <w:bottom w:val="single" w:sz="8" w:space="0" w:color="A6A6A6"/>
              <w:right w:val="single" w:sz="8" w:space="0" w:color="A6A6A6"/>
            </w:tcBorders>
            <w:shd w:val="clear" w:color="auto" w:fill="auto"/>
            <w:vAlign w:val="center"/>
          </w:tcPr>
          <w:p w:rsidR="009E7226" w:rsidRDefault="009E7226" w:rsidP="001C5FCE">
            <w:pPr>
              <w:spacing w:before="70" w:after="70" w:line="260" w:lineRule="atLeast"/>
              <w:ind w:left="-57" w:right="-57"/>
              <w:rPr>
                <w:rFonts w:eastAsia="Times New Roman"/>
                <w:color w:val="000000"/>
                <w:sz w:val="20"/>
                <w:szCs w:val="20"/>
                <w:lang w:eastAsia="en-AU"/>
              </w:rPr>
            </w:pPr>
            <w:r>
              <w:rPr>
                <w:rFonts w:eastAsia="Times New Roman"/>
                <w:color w:val="000000"/>
                <w:sz w:val="20"/>
                <w:szCs w:val="20"/>
                <w:lang w:eastAsia="en-AU"/>
              </w:rPr>
              <w:t>PDI impacts</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-0.2</w:t>
            </w:r>
          </w:p>
        </w:tc>
        <w:tc>
          <w:tcPr>
            <w:tcW w:w="907"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-0.4</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b/>
                <w:i/>
                <w:sz w:val="20"/>
                <w:szCs w:val="20"/>
              </w:rPr>
            </w:pPr>
            <w:r w:rsidRPr="009E7226">
              <w:rPr>
                <w:b/>
                <w:i/>
                <w:sz w:val="20"/>
                <w:szCs w:val="20"/>
              </w:rPr>
              <w:t>-0.7</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-0.7</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-1.1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-1.7</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-2.3</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-3.1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-4.1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spacing w:before="70" w:after="70" w:line="260" w:lineRule="atLeast"/>
              <w:ind w:left="-57" w:right="-57"/>
              <w:jc w:val="right"/>
              <w:rPr>
                <w:i/>
                <w:sz w:val="20"/>
                <w:szCs w:val="20"/>
              </w:rPr>
            </w:pPr>
            <w:r w:rsidRPr="009E7226">
              <w:rPr>
                <w:i/>
                <w:sz w:val="20"/>
                <w:szCs w:val="20"/>
              </w:rPr>
              <w:t>-5.2</w:t>
            </w:r>
          </w:p>
        </w:tc>
        <w:tc>
          <w:tcPr>
            <w:tcW w:w="907" w:type="dxa"/>
            <w:tcBorders>
              <w:top w:val="single" w:sz="8" w:space="0" w:color="A6A6A6"/>
              <w:left w:val="nil"/>
              <w:bottom w:val="single" w:sz="8" w:space="0" w:color="A6A6A6"/>
              <w:right w:val="single" w:sz="8" w:space="0" w:color="A6A6A6"/>
            </w:tcBorders>
          </w:tcPr>
          <w:p w:rsidR="009E7226" w:rsidRPr="009E7226" w:rsidRDefault="009E7226" w:rsidP="001C5FCE">
            <w:pPr>
              <w:spacing w:before="70" w:after="70" w:line="260" w:lineRule="atLeast"/>
              <w:ind w:left="-57" w:right="-57"/>
              <w:jc w:val="right"/>
              <w:rPr>
                <w:b/>
                <w:i/>
                <w:sz w:val="20"/>
                <w:szCs w:val="20"/>
              </w:rPr>
            </w:pPr>
            <w:r w:rsidRPr="009E7226">
              <w:rPr>
                <w:b/>
                <w:i/>
                <w:sz w:val="20"/>
                <w:szCs w:val="20"/>
              </w:rPr>
              <w:t>-19.0</w:t>
            </w:r>
          </w:p>
        </w:tc>
      </w:tr>
      <w:tr w:rsidR="001C5FCE" w:rsidRPr="00601A22" w:rsidTr="001C5FCE">
        <w:tc>
          <w:tcPr>
            <w:tcW w:w="2891" w:type="dxa"/>
            <w:tcBorders>
              <w:top w:val="nil"/>
              <w:left w:val="single" w:sz="8" w:space="0" w:color="A6A6A6"/>
              <w:bottom w:val="single" w:sz="8" w:space="0" w:color="A6A6A6"/>
              <w:right w:val="single" w:sz="8" w:space="0" w:color="A6A6A6"/>
            </w:tcBorders>
            <w:shd w:val="clear" w:color="auto" w:fill="D7DDE9" w:themeFill="accent3"/>
            <w:vAlign w:val="center"/>
            <w:hideMark/>
          </w:tcPr>
          <w:p w:rsidR="009E7226" w:rsidRPr="001E6909" w:rsidRDefault="009E7226" w:rsidP="001C5FCE">
            <w:pPr>
              <w:spacing w:before="70" w:after="70" w:line="260" w:lineRule="atLeast"/>
              <w:ind w:left="-57" w:right="-57"/>
              <w:rPr>
                <w:rFonts w:eastAsia="Times New Roman"/>
                <w:b/>
                <w:bCs/>
                <w:color w:val="000000"/>
                <w:sz w:val="20"/>
                <w:szCs w:val="20"/>
                <w:lang w:eastAsia="en-AU"/>
              </w:rPr>
            </w:pPr>
            <w:r>
              <w:rPr>
                <w:rFonts w:eastAsia="Times New Roman"/>
                <w:b/>
                <w:bCs/>
                <w:color w:val="000000"/>
                <w:sz w:val="20"/>
                <w:szCs w:val="20"/>
                <w:lang w:eastAsia="en-AU"/>
              </w:rPr>
              <w:t>Total</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spacing w:before="70" w:after="70" w:line="260" w:lineRule="atLeast"/>
              <w:ind w:left="-57" w:right="-57"/>
              <w:jc w:val="right"/>
              <w:rPr>
                <w:b/>
                <w:sz w:val="20"/>
                <w:szCs w:val="20"/>
              </w:rPr>
            </w:pPr>
            <w:r w:rsidRPr="009E7226">
              <w:rPr>
                <w:b/>
                <w:sz w:val="20"/>
                <w:szCs w:val="20"/>
              </w:rPr>
              <w:t>-1.4</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spacing w:before="70" w:after="70" w:line="260" w:lineRule="atLeast"/>
              <w:ind w:left="-57" w:right="-57"/>
              <w:jc w:val="right"/>
              <w:rPr>
                <w:b/>
                <w:sz w:val="20"/>
                <w:szCs w:val="20"/>
              </w:rPr>
            </w:pPr>
            <w:r w:rsidRPr="009E7226">
              <w:rPr>
                <w:b/>
                <w:sz w:val="20"/>
                <w:szCs w:val="20"/>
              </w:rPr>
              <w:t>-2.1</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spacing w:before="70" w:after="70" w:line="260" w:lineRule="atLeast"/>
              <w:ind w:left="-57" w:right="-57"/>
              <w:jc w:val="right"/>
              <w:rPr>
                <w:b/>
                <w:sz w:val="20"/>
                <w:szCs w:val="20"/>
              </w:rPr>
            </w:pPr>
            <w:r w:rsidRPr="009E7226">
              <w:rPr>
                <w:b/>
                <w:sz w:val="20"/>
                <w:szCs w:val="20"/>
              </w:rPr>
              <w:t>-2.7</w:t>
            </w:r>
          </w:p>
        </w:tc>
        <w:tc>
          <w:tcPr>
            <w:tcW w:w="907"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spacing w:before="70" w:after="70" w:line="260" w:lineRule="atLeast"/>
              <w:ind w:left="-57" w:right="-57"/>
              <w:jc w:val="right"/>
              <w:rPr>
                <w:b/>
                <w:sz w:val="20"/>
                <w:szCs w:val="20"/>
              </w:rPr>
            </w:pPr>
            <w:r w:rsidRPr="009E7226">
              <w:rPr>
                <w:b/>
                <w:sz w:val="20"/>
                <w:szCs w:val="20"/>
              </w:rPr>
              <w:t>-3.4</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spacing w:before="70" w:after="70" w:line="260" w:lineRule="atLeast"/>
              <w:ind w:left="-57" w:right="-57"/>
              <w:jc w:val="right"/>
              <w:rPr>
                <w:b/>
                <w:sz w:val="20"/>
                <w:szCs w:val="20"/>
              </w:rPr>
            </w:pPr>
            <w:r w:rsidRPr="009E7226">
              <w:rPr>
                <w:b/>
                <w:sz w:val="20"/>
                <w:szCs w:val="20"/>
              </w:rPr>
              <w:t>-9.7</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spacing w:before="70" w:after="70" w:line="260" w:lineRule="atLeast"/>
              <w:ind w:left="-57" w:right="-57"/>
              <w:jc w:val="right"/>
              <w:rPr>
                <w:b/>
                <w:sz w:val="20"/>
                <w:szCs w:val="20"/>
              </w:rPr>
            </w:pPr>
            <w:r w:rsidRPr="009E7226">
              <w:rPr>
                <w:b/>
                <w:sz w:val="20"/>
                <w:szCs w:val="20"/>
              </w:rPr>
              <w:t>-4.2</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spacing w:before="70" w:after="70" w:line="260" w:lineRule="atLeast"/>
              <w:ind w:left="-57" w:right="-57"/>
              <w:jc w:val="right"/>
              <w:rPr>
                <w:b/>
                <w:sz w:val="20"/>
                <w:szCs w:val="20"/>
              </w:rPr>
            </w:pPr>
            <w:r w:rsidRPr="009E7226">
              <w:rPr>
                <w:b/>
                <w:sz w:val="20"/>
                <w:szCs w:val="20"/>
              </w:rPr>
              <w:t>-5.1</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spacing w:before="70" w:after="70" w:line="260" w:lineRule="atLeast"/>
              <w:ind w:left="-57" w:right="-57"/>
              <w:jc w:val="right"/>
              <w:rPr>
                <w:b/>
                <w:sz w:val="20"/>
                <w:szCs w:val="20"/>
              </w:rPr>
            </w:pPr>
            <w:r w:rsidRPr="009E7226">
              <w:rPr>
                <w:b/>
                <w:sz w:val="20"/>
                <w:szCs w:val="20"/>
              </w:rPr>
              <w:t>-6.2</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spacing w:before="70" w:after="70" w:line="260" w:lineRule="atLeast"/>
              <w:ind w:left="-57" w:right="-57"/>
              <w:jc w:val="right"/>
              <w:rPr>
                <w:b/>
                <w:sz w:val="20"/>
                <w:szCs w:val="20"/>
              </w:rPr>
            </w:pPr>
            <w:r w:rsidRPr="009E7226">
              <w:rPr>
                <w:b/>
                <w:sz w:val="20"/>
                <w:szCs w:val="20"/>
              </w:rPr>
              <w:t>-7.4</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spacing w:before="70" w:after="70" w:line="260" w:lineRule="atLeast"/>
              <w:ind w:left="-57" w:right="-57"/>
              <w:jc w:val="right"/>
              <w:rPr>
                <w:b/>
                <w:sz w:val="20"/>
                <w:szCs w:val="20"/>
              </w:rPr>
            </w:pPr>
            <w:r w:rsidRPr="009E7226">
              <w:rPr>
                <w:b/>
                <w:sz w:val="20"/>
                <w:szCs w:val="20"/>
              </w:rPr>
              <w:t>-8.7</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spacing w:before="70" w:after="70" w:line="260" w:lineRule="atLeast"/>
              <w:ind w:left="-57" w:right="-57"/>
              <w:jc w:val="right"/>
              <w:rPr>
                <w:b/>
                <w:sz w:val="20"/>
                <w:szCs w:val="20"/>
              </w:rPr>
            </w:pPr>
            <w:r w:rsidRPr="009E7226">
              <w:rPr>
                <w:b/>
                <w:sz w:val="20"/>
                <w:szCs w:val="20"/>
              </w:rPr>
              <w:t>-10.1</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spacing w:before="70" w:after="70" w:line="260" w:lineRule="atLeast"/>
              <w:ind w:left="-57" w:right="-57"/>
              <w:jc w:val="right"/>
              <w:rPr>
                <w:b/>
                <w:sz w:val="20"/>
                <w:szCs w:val="20"/>
              </w:rPr>
            </w:pPr>
            <w:r w:rsidRPr="009E7226">
              <w:rPr>
                <w:b/>
                <w:sz w:val="20"/>
                <w:szCs w:val="20"/>
              </w:rPr>
              <w:t>-11.7</w:t>
            </w:r>
          </w:p>
        </w:tc>
        <w:tc>
          <w:tcPr>
            <w:tcW w:w="907" w:type="dxa"/>
            <w:tcBorders>
              <w:top w:val="single" w:sz="8" w:space="0" w:color="A6A6A6"/>
              <w:left w:val="nil"/>
              <w:bottom w:val="single" w:sz="8" w:space="0" w:color="A6A6A6"/>
              <w:right w:val="single" w:sz="8" w:space="0" w:color="A6A6A6"/>
            </w:tcBorders>
            <w:shd w:val="clear" w:color="auto" w:fill="D7DDE9" w:themeFill="accent3"/>
          </w:tcPr>
          <w:p w:rsidR="009E7226" w:rsidRPr="009E7226" w:rsidRDefault="009E7226" w:rsidP="001C5FCE">
            <w:pPr>
              <w:spacing w:before="70" w:after="70" w:line="260" w:lineRule="atLeast"/>
              <w:ind w:left="-57" w:right="-57"/>
              <w:jc w:val="right"/>
              <w:rPr>
                <w:b/>
                <w:sz w:val="20"/>
                <w:szCs w:val="20"/>
              </w:rPr>
            </w:pPr>
            <w:r w:rsidRPr="009E7226">
              <w:rPr>
                <w:b/>
                <w:sz w:val="20"/>
                <w:szCs w:val="20"/>
              </w:rPr>
              <w:t>-63.1</w:t>
            </w:r>
          </w:p>
        </w:tc>
      </w:tr>
    </w:tbl>
    <w:p w:rsidR="00FF44C3" w:rsidRDefault="00FF44C3" w:rsidP="004A383E">
      <w:pPr>
        <w:pStyle w:val="TableFootnotes"/>
        <w:numPr>
          <w:ilvl w:val="0"/>
          <w:numId w:val="35"/>
        </w:numPr>
        <w:ind w:left="284" w:hanging="284"/>
      </w:pPr>
      <w:r w:rsidRPr="0049302B">
        <w:t xml:space="preserve">A positive number for the fiscal balance indicates an increase in revenue or a decrease in expenses or net capital investment in accrual terms. </w:t>
      </w:r>
      <w:r>
        <w:t xml:space="preserve"> </w:t>
      </w:r>
      <w:r w:rsidRPr="0049302B">
        <w:t>A negative number for the fiscal balance indicates a decrease in revenue or an increase in expenses or net capital investment in accrual terms.</w:t>
      </w:r>
    </w:p>
    <w:p w:rsidR="00FF44C3" w:rsidRDefault="00FF44C3" w:rsidP="00FF44C3">
      <w:pPr>
        <w:pStyle w:val="TableFootnotes"/>
        <w:keepLines w:val="0"/>
        <w:ind w:left="284" w:hanging="284"/>
      </w:pPr>
      <w:r>
        <w:t>Figures may not sum to totals due to rounding.</w:t>
      </w:r>
    </w:p>
    <w:p w:rsidR="00FF44C3" w:rsidRDefault="00FF44C3" w:rsidP="00FF44C3">
      <w:pPr>
        <w:pStyle w:val="TableFootnotes"/>
        <w:keepLines w:val="0"/>
        <w:numPr>
          <w:ilvl w:val="0"/>
          <w:numId w:val="0"/>
        </w:numPr>
        <w:ind w:left="284" w:hanging="284"/>
      </w:pPr>
      <w:r>
        <w:t>..</w:t>
      </w:r>
      <w:r>
        <w:tab/>
        <w:t>Not zero but rounded to zero.</w:t>
      </w:r>
    </w:p>
    <w:p w:rsidR="00FF44C3" w:rsidRDefault="00FF44C3" w:rsidP="00FF44C3">
      <w:pPr>
        <w:pStyle w:val="TableFootnotes"/>
        <w:keepLines w:val="0"/>
        <w:numPr>
          <w:ilvl w:val="0"/>
          <w:numId w:val="11"/>
        </w:numPr>
        <w:ind w:left="284" w:hanging="284"/>
      </w:pPr>
      <w:r>
        <w:t>Indicates nil.</w:t>
      </w:r>
    </w:p>
    <w:p w:rsidR="00FF44C3" w:rsidRDefault="00FF44C3" w:rsidP="001C5FCE">
      <w:pPr>
        <w:pStyle w:val="Caption"/>
        <w:widowControl w:val="0"/>
        <w:rPr>
          <w:vertAlign w:val="superscript"/>
        </w:rPr>
      </w:pPr>
      <w:r>
        <w:lastRenderedPageBreak/>
        <w:t>T</w:t>
      </w:r>
      <w:r w:rsidRPr="002D239A">
        <w:t xml:space="preserve">able </w:t>
      </w:r>
      <w:fldSimple w:instr=" STYLEREF 8 \s ">
        <w:r w:rsidR="005F6133">
          <w:rPr>
            <w:noProof/>
          </w:rPr>
          <w:t>A</w:t>
        </w:r>
      </w:fldSimple>
      <w:r w:rsidR="00C34245">
        <w:rPr>
          <w:noProof/>
        </w:rPr>
        <w:t>2</w:t>
      </w:r>
      <w:r w:rsidRPr="002D239A">
        <w:t xml:space="preserve">: </w:t>
      </w:r>
      <w:r w:rsidR="00EF6346" w:rsidRPr="00CF50A1">
        <w:t xml:space="preserve">Higher threshold for </w:t>
      </w:r>
      <w:r w:rsidR="00EF6346">
        <w:t>r</w:t>
      </w:r>
      <w:r w:rsidR="00EF6346" w:rsidRPr="00CF50A1">
        <w:t xml:space="preserve">egional </w:t>
      </w:r>
      <w:r w:rsidR="00EF6346">
        <w:t>s</w:t>
      </w:r>
      <w:r w:rsidR="00EF6346" w:rsidRPr="00CF50A1">
        <w:t>tudent HELP repayments</w:t>
      </w:r>
      <w:r>
        <w:t xml:space="preserve">—Underlying cash </w:t>
      </w:r>
      <w:proofErr w:type="gramStart"/>
      <w:r>
        <w:t>balance</w:t>
      </w:r>
      <w:r w:rsidRPr="002D239A">
        <w:rPr>
          <w:vertAlign w:val="superscript"/>
        </w:rPr>
        <w:t>(</w:t>
      </w:r>
      <w:proofErr w:type="gramEnd"/>
      <w:r w:rsidRPr="002D239A">
        <w:rPr>
          <w:vertAlign w:val="superscript"/>
        </w:rPr>
        <w:t>a)(b)</w:t>
      </w:r>
    </w:p>
    <w:tbl>
      <w:tblPr>
        <w:tblW w:w="14055" w:type="dxa"/>
        <w:tblInd w:w="93" w:type="dxa"/>
        <w:tblLayout w:type="fixed"/>
        <w:tblLook w:val="04A0" w:firstRow="1" w:lastRow="0" w:firstColumn="1" w:lastColumn="0" w:noHBand="0" w:noVBand="1"/>
      </w:tblPr>
      <w:tblGrid>
        <w:gridCol w:w="2891"/>
        <w:gridCol w:w="850"/>
        <w:gridCol w:w="850"/>
        <w:gridCol w:w="850"/>
        <w:gridCol w:w="850"/>
        <w:gridCol w:w="907"/>
        <w:gridCol w:w="850"/>
        <w:gridCol w:w="850"/>
        <w:gridCol w:w="850"/>
        <w:gridCol w:w="850"/>
        <w:gridCol w:w="850"/>
        <w:gridCol w:w="850"/>
        <w:gridCol w:w="850"/>
        <w:gridCol w:w="907"/>
      </w:tblGrid>
      <w:tr w:rsidR="001C5FCE" w:rsidRPr="001754D7" w:rsidTr="001C5FCE">
        <w:tc>
          <w:tcPr>
            <w:tcW w:w="2891" w:type="dxa"/>
            <w:tcBorders>
              <w:top w:val="single" w:sz="8" w:space="0" w:color="A6A6A6"/>
              <w:left w:val="single" w:sz="8" w:space="0" w:color="A6A6A6"/>
              <w:bottom w:val="single" w:sz="8" w:space="0" w:color="A6A6A6"/>
              <w:right w:val="single" w:sz="8" w:space="0" w:color="A6A6A6"/>
            </w:tcBorders>
            <w:shd w:val="clear" w:color="auto" w:fill="D7DDE9" w:themeFill="accent3"/>
            <w:vAlign w:val="center"/>
            <w:hideMark/>
          </w:tcPr>
          <w:p w:rsidR="009E7226" w:rsidRPr="001E6909" w:rsidRDefault="009E7226" w:rsidP="001C5FCE">
            <w:pPr>
              <w:keepNext/>
              <w:widowControl w:val="0"/>
              <w:spacing w:before="70" w:after="70" w:line="260" w:lineRule="atLeast"/>
              <w:ind w:left="-57" w:right="-57"/>
              <w:rPr>
                <w:rFonts w:eastAsia="Times New Roman"/>
                <w:color w:val="000000"/>
                <w:sz w:val="20"/>
                <w:szCs w:val="20"/>
                <w:lang w:eastAsia="en-AU"/>
              </w:rPr>
            </w:pPr>
            <w:r w:rsidRPr="001E6909">
              <w:rPr>
                <w:rFonts w:eastAsia="Times New Roman"/>
                <w:color w:val="000000"/>
                <w:sz w:val="20"/>
                <w:szCs w:val="20"/>
                <w:lang w:eastAsia="en-AU"/>
              </w:rPr>
              <w:t>Financial impact ($m)</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2017</w:t>
            </w:r>
            <w:r w:rsidRPr="005B0970">
              <w:t>–</w:t>
            </w:r>
            <w:r w:rsidRPr="001E6909">
              <w:rPr>
                <w:rFonts w:eastAsia="Times New Roman"/>
                <w:color w:val="000000"/>
                <w:sz w:val="20"/>
                <w:szCs w:val="20"/>
                <w:lang w:eastAsia="en-AU"/>
              </w:rPr>
              <w:t>18</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2018</w:t>
            </w:r>
            <w:r w:rsidRPr="005B0970">
              <w:t>–</w:t>
            </w:r>
            <w:r w:rsidRPr="001E6909">
              <w:rPr>
                <w:rFonts w:eastAsia="Times New Roman"/>
                <w:color w:val="000000"/>
                <w:sz w:val="20"/>
                <w:szCs w:val="20"/>
                <w:lang w:eastAsia="en-AU"/>
              </w:rPr>
              <w:t>19</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2019</w:t>
            </w:r>
            <w:r w:rsidRPr="005B0970">
              <w:t>–</w:t>
            </w:r>
            <w:r w:rsidRPr="001E6909">
              <w:rPr>
                <w:rFonts w:eastAsia="Times New Roman"/>
                <w:color w:val="000000"/>
                <w:sz w:val="20"/>
                <w:szCs w:val="20"/>
                <w:lang w:eastAsia="en-AU"/>
              </w:rPr>
              <w:t>20</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w:t>
            </w:r>
            <w:r>
              <w:rPr>
                <w:rFonts w:eastAsia="Times New Roman"/>
                <w:color w:val="000000"/>
                <w:sz w:val="20"/>
                <w:szCs w:val="20"/>
                <w:lang w:eastAsia="en-AU"/>
              </w:rPr>
              <w:t>20</w:t>
            </w:r>
            <w:r w:rsidRPr="005B0970">
              <w:t>–</w:t>
            </w:r>
            <w:r w:rsidRPr="001E6909">
              <w:rPr>
                <w:rFonts w:eastAsia="Times New Roman"/>
                <w:color w:val="000000"/>
                <w:sz w:val="20"/>
                <w:szCs w:val="20"/>
                <w:lang w:eastAsia="en-AU"/>
              </w:rPr>
              <w:t>2</w:t>
            </w:r>
            <w:r>
              <w:rPr>
                <w:rFonts w:eastAsia="Times New Roman"/>
                <w:color w:val="000000"/>
                <w:sz w:val="20"/>
                <w:szCs w:val="20"/>
                <w:lang w:eastAsia="en-AU"/>
              </w:rPr>
              <w:t>1</w:t>
            </w:r>
          </w:p>
        </w:tc>
        <w:tc>
          <w:tcPr>
            <w:tcW w:w="907"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keepNext/>
              <w:widowControl w:val="0"/>
              <w:spacing w:before="70" w:after="70" w:line="260" w:lineRule="atLeast"/>
              <w:ind w:left="-57" w:right="-57"/>
              <w:jc w:val="right"/>
              <w:rPr>
                <w:rFonts w:eastAsia="Times New Roman"/>
                <w:b/>
                <w:bCs/>
                <w:color w:val="000000"/>
                <w:sz w:val="20"/>
                <w:szCs w:val="20"/>
                <w:lang w:eastAsia="en-AU"/>
              </w:rPr>
            </w:pPr>
            <w:r w:rsidRPr="001E6909">
              <w:rPr>
                <w:rFonts w:eastAsia="Times New Roman"/>
                <w:b/>
                <w:bCs/>
                <w:color w:val="000000"/>
                <w:sz w:val="20"/>
                <w:szCs w:val="20"/>
                <w:lang w:eastAsia="en-AU"/>
              </w:rPr>
              <w:t>Total to 20</w:t>
            </w:r>
            <w:r>
              <w:rPr>
                <w:rFonts w:eastAsia="Times New Roman"/>
                <w:b/>
                <w:bCs/>
                <w:color w:val="000000"/>
                <w:sz w:val="20"/>
                <w:szCs w:val="20"/>
                <w:lang w:eastAsia="en-AU"/>
              </w:rPr>
              <w:t>20</w:t>
            </w:r>
            <w:r w:rsidRPr="005B0970">
              <w:t>–</w:t>
            </w:r>
            <w:r w:rsidRPr="001E6909">
              <w:rPr>
                <w:rFonts w:eastAsia="Times New Roman"/>
                <w:b/>
                <w:bCs/>
                <w:color w:val="000000"/>
                <w:sz w:val="20"/>
                <w:szCs w:val="20"/>
                <w:lang w:eastAsia="en-AU"/>
              </w:rPr>
              <w:t>2</w:t>
            </w:r>
            <w:r>
              <w:rPr>
                <w:rFonts w:eastAsia="Times New Roman"/>
                <w:b/>
                <w:bCs/>
                <w:color w:val="000000"/>
                <w:sz w:val="20"/>
                <w:szCs w:val="20"/>
                <w:lang w:eastAsia="en-AU"/>
              </w:rPr>
              <w:t>1</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2021</w:t>
            </w:r>
            <w:r w:rsidRPr="005B0970">
              <w:t>–</w:t>
            </w:r>
            <w:r w:rsidRPr="001E6909">
              <w:rPr>
                <w:rFonts w:eastAsia="Times New Roman"/>
                <w:color w:val="000000"/>
                <w:sz w:val="20"/>
                <w:szCs w:val="20"/>
                <w:lang w:eastAsia="en-AU"/>
              </w:rPr>
              <w:t>22</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2022</w:t>
            </w:r>
            <w:r w:rsidRPr="005B0970">
              <w:t>–</w:t>
            </w:r>
            <w:r w:rsidRPr="001E6909">
              <w:rPr>
                <w:rFonts w:eastAsia="Times New Roman"/>
                <w:color w:val="000000"/>
                <w:sz w:val="20"/>
                <w:szCs w:val="20"/>
                <w:lang w:eastAsia="en-AU"/>
              </w:rPr>
              <w:t>23</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2023</w:t>
            </w:r>
            <w:r w:rsidRPr="005B0970">
              <w:t>–</w:t>
            </w:r>
            <w:r w:rsidRPr="001E6909">
              <w:rPr>
                <w:rFonts w:eastAsia="Times New Roman"/>
                <w:color w:val="000000"/>
                <w:sz w:val="20"/>
                <w:szCs w:val="20"/>
                <w:lang w:eastAsia="en-AU"/>
              </w:rPr>
              <w:t>24</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2024</w:t>
            </w:r>
            <w:r w:rsidRPr="005B0970">
              <w:t>–</w:t>
            </w:r>
            <w:r w:rsidRPr="001E6909">
              <w:rPr>
                <w:rFonts w:eastAsia="Times New Roman"/>
                <w:color w:val="000000"/>
                <w:sz w:val="20"/>
                <w:szCs w:val="20"/>
                <w:lang w:eastAsia="en-AU"/>
              </w:rPr>
              <w:t>25</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2025</w:t>
            </w:r>
            <w:r w:rsidRPr="005B0970">
              <w:t>–</w:t>
            </w:r>
            <w:r w:rsidRPr="001E6909">
              <w:rPr>
                <w:rFonts w:eastAsia="Times New Roman"/>
                <w:color w:val="000000"/>
                <w:sz w:val="20"/>
                <w:szCs w:val="20"/>
                <w:lang w:eastAsia="en-AU"/>
              </w:rPr>
              <w:t>26</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2026</w:t>
            </w:r>
            <w:r w:rsidRPr="005B0970">
              <w:t>–</w:t>
            </w:r>
            <w:r w:rsidRPr="001E6909">
              <w:rPr>
                <w:rFonts w:eastAsia="Times New Roman"/>
                <w:color w:val="000000"/>
                <w:sz w:val="20"/>
                <w:szCs w:val="20"/>
                <w:lang w:eastAsia="en-AU"/>
              </w:rPr>
              <w:t>27</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1C5FCE">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w:t>
            </w:r>
            <w:r>
              <w:rPr>
                <w:rFonts w:eastAsia="Times New Roman"/>
                <w:color w:val="000000"/>
                <w:sz w:val="20"/>
                <w:szCs w:val="20"/>
                <w:lang w:eastAsia="en-AU"/>
              </w:rPr>
              <w:t>7</w:t>
            </w:r>
            <w:r w:rsidRPr="005B0970">
              <w:t>–</w:t>
            </w:r>
            <w:r w:rsidRPr="001E6909">
              <w:rPr>
                <w:rFonts w:eastAsia="Times New Roman"/>
                <w:color w:val="000000"/>
                <w:sz w:val="20"/>
                <w:szCs w:val="20"/>
                <w:lang w:eastAsia="en-AU"/>
              </w:rPr>
              <w:t>2</w:t>
            </w:r>
            <w:r>
              <w:rPr>
                <w:rFonts w:eastAsia="Times New Roman"/>
                <w:color w:val="000000"/>
                <w:sz w:val="20"/>
                <w:szCs w:val="20"/>
                <w:lang w:eastAsia="en-AU"/>
              </w:rPr>
              <w:t>8</w:t>
            </w:r>
          </w:p>
        </w:tc>
        <w:tc>
          <w:tcPr>
            <w:tcW w:w="907" w:type="dxa"/>
            <w:tcBorders>
              <w:top w:val="single" w:sz="8" w:space="0" w:color="A6A6A6"/>
              <w:left w:val="single" w:sz="8" w:space="0" w:color="A6A6A6"/>
              <w:bottom w:val="single" w:sz="8" w:space="0" w:color="A6A6A6"/>
              <w:right w:val="single" w:sz="8" w:space="0" w:color="A6A6A6"/>
            </w:tcBorders>
            <w:shd w:val="clear" w:color="auto" w:fill="D7DDE9" w:themeFill="accent3"/>
          </w:tcPr>
          <w:p w:rsidR="009E7226" w:rsidRPr="001E6909" w:rsidRDefault="009E7226" w:rsidP="001C5FCE">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b/>
                <w:bCs/>
                <w:color w:val="000000"/>
                <w:sz w:val="20"/>
                <w:szCs w:val="20"/>
                <w:lang w:eastAsia="en-AU"/>
              </w:rPr>
              <w:t>Total to 202</w:t>
            </w:r>
            <w:r>
              <w:rPr>
                <w:rFonts w:eastAsia="Times New Roman"/>
                <w:b/>
                <w:bCs/>
                <w:color w:val="000000"/>
                <w:sz w:val="20"/>
                <w:szCs w:val="20"/>
                <w:lang w:eastAsia="en-AU"/>
              </w:rPr>
              <w:t>7</w:t>
            </w:r>
            <w:r w:rsidRPr="005B0970">
              <w:t>–</w:t>
            </w:r>
            <w:r w:rsidRPr="001E6909">
              <w:rPr>
                <w:rFonts w:eastAsia="Times New Roman"/>
                <w:b/>
                <w:bCs/>
                <w:color w:val="000000"/>
                <w:sz w:val="20"/>
                <w:szCs w:val="20"/>
                <w:lang w:eastAsia="en-AU"/>
              </w:rPr>
              <w:t>2</w:t>
            </w:r>
            <w:r>
              <w:rPr>
                <w:rFonts w:eastAsia="Times New Roman"/>
                <w:b/>
                <w:bCs/>
                <w:color w:val="000000"/>
                <w:sz w:val="20"/>
                <w:szCs w:val="20"/>
                <w:lang w:eastAsia="en-AU"/>
              </w:rPr>
              <w:t>8</w:t>
            </w:r>
          </w:p>
        </w:tc>
      </w:tr>
      <w:tr w:rsidR="001C5FCE" w:rsidRPr="0000005D" w:rsidTr="001C5FCE">
        <w:tc>
          <w:tcPr>
            <w:tcW w:w="2891" w:type="dxa"/>
            <w:tcBorders>
              <w:top w:val="nil"/>
              <w:left w:val="single" w:sz="8" w:space="0" w:color="A6A6A6"/>
              <w:bottom w:val="single" w:sz="8" w:space="0" w:color="A6A6A6"/>
              <w:right w:val="single" w:sz="8" w:space="0" w:color="A6A6A6"/>
            </w:tcBorders>
            <w:shd w:val="clear" w:color="auto" w:fill="auto"/>
            <w:vAlign w:val="center"/>
          </w:tcPr>
          <w:p w:rsidR="009E7226" w:rsidRDefault="009E7226" w:rsidP="001C5FCE">
            <w:pPr>
              <w:keepNext/>
              <w:widowControl w:val="0"/>
              <w:tabs>
                <w:tab w:val="left" w:pos="420"/>
                <w:tab w:val="left" w:pos="467"/>
              </w:tabs>
              <w:spacing w:before="70" w:after="70" w:line="260" w:lineRule="atLeast"/>
              <w:ind w:left="-57" w:right="-57"/>
              <w:rPr>
                <w:rFonts w:eastAsia="Times New Roman"/>
                <w:color w:val="000000"/>
                <w:sz w:val="20"/>
                <w:szCs w:val="20"/>
                <w:lang w:eastAsia="en-AU"/>
              </w:rPr>
            </w:pPr>
            <w:r>
              <w:rPr>
                <w:rFonts w:eastAsia="Times New Roman"/>
                <w:color w:val="000000"/>
                <w:sz w:val="20"/>
                <w:szCs w:val="20"/>
                <w:lang w:eastAsia="en-AU"/>
              </w:rPr>
              <w:t>Higher Education Loan Program</w:t>
            </w: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keepNext/>
              <w:widowControl w:val="0"/>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keepNext/>
              <w:widowControl w:val="0"/>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keepNext/>
              <w:widowControl w:val="0"/>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keepNext/>
              <w:widowControl w:val="0"/>
              <w:spacing w:before="70" w:after="70" w:line="260" w:lineRule="atLeast"/>
              <w:ind w:left="-57" w:right="-57"/>
              <w:jc w:val="right"/>
              <w:rPr>
                <w:i/>
                <w:sz w:val="20"/>
                <w:szCs w:val="20"/>
              </w:rPr>
            </w:pPr>
          </w:p>
        </w:tc>
        <w:tc>
          <w:tcPr>
            <w:tcW w:w="907" w:type="dxa"/>
            <w:tcBorders>
              <w:top w:val="nil"/>
              <w:left w:val="nil"/>
              <w:bottom w:val="single" w:sz="8" w:space="0" w:color="A6A6A6"/>
              <w:right w:val="single" w:sz="8" w:space="0" w:color="A6A6A6"/>
            </w:tcBorders>
            <w:shd w:val="clear" w:color="auto" w:fill="auto"/>
          </w:tcPr>
          <w:p w:rsidR="009E7226" w:rsidRPr="00CD5719" w:rsidRDefault="009E7226" w:rsidP="001C5FCE">
            <w:pPr>
              <w:keepNext/>
              <w:widowControl w:val="0"/>
              <w:spacing w:before="70" w:after="70" w:line="260" w:lineRule="atLeast"/>
              <w:ind w:left="-57" w:right="-57"/>
              <w:jc w:val="right"/>
              <w:rPr>
                <w:b/>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keepNext/>
              <w:widowControl w:val="0"/>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keepNext/>
              <w:widowControl w:val="0"/>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keepNext/>
              <w:widowControl w:val="0"/>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keepNext/>
              <w:widowControl w:val="0"/>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keepNext/>
              <w:widowControl w:val="0"/>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keepNext/>
              <w:widowControl w:val="0"/>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CD5719" w:rsidRDefault="009E7226" w:rsidP="001C5FCE">
            <w:pPr>
              <w:keepNext/>
              <w:widowControl w:val="0"/>
              <w:spacing w:before="70" w:after="70" w:line="260" w:lineRule="atLeast"/>
              <w:ind w:left="-57" w:right="-57"/>
              <w:jc w:val="right"/>
              <w:rPr>
                <w:i/>
                <w:sz w:val="20"/>
                <w:szCs w:val="20"/>
              </w:rPr>
            </w:pPr>
          </w:p>
        </w:tc>
        <w:tc>
          <w:tcPr>
            <w:tcW w:w="907" w:type="dxa"/>
            <w:tcBorders>
              <w:top w:val="single" w:sz="8" w:space="0" w:color="A6A6A6"/>
              <w:left w:val="nil"/>
              <w:bottom w:val="single" w:sz="8" w:space="0" w:color="A6A6A6"/>
              <w:right w:val="single" w:sz="8" w:space="0" w:color="A6A6A6"/>
            </w:tcBorders>
          </w:tcPr>
          <w:p w:rsidR="009E7226" w:rsidRPr="00CD5719" w:rsidRDefault="009E7226" w:rsidP="001C5FCE">
            <w:pPr>
              <w:keepNext/>
              <w:widowControl w:val="0"/>
              <w:spacing w:before="70" w:after="70" w:line="260" w:lineRule="atLeast"/>
              <w:ind w:left="-57" w:right="-57"/>
              <w:jc w:val="right"/>
              <w:rPr>
                <w:i/>
                <w:sz w:val="20"/>
                <w:szCs w:val="20"/>
              </w:rPr>
            </w:pPr>
          </w:p>
        </w:tc>
      </w:tr>
      <w:tr w:rsidR="001C5FCE" w:rsidRPr="0000005D" w:rsidTr="001C5FCE">
        <w:tc>
          <w:tcPr>
            <w:tcW w:w="2891" w:type="dxa"/>
            <w:tcBorders>
              <w:top w:val="nil"/>
              <w:left w:val="single" w:sz="8" w:space="0" w:color="A6A6A6"/>
              <w:bottom w:val="single" w:sz="8" w:space="0" w:color="A6A6A6"/>
              <w:right w:val="single" w:sz="8" w:space="0" w:color="A6A6A6"/>
            </w:tcBorders>
            <w:shd w:val="clear" w:color="auto" w:fill="auto"/>
            <w:vAlign w:val="center"/>
          </w:tcPr>
          <w:p w:rsidR="009E7226" w:rsidRPr="001E6909" w:rsidRDefault="009E7226" w:rsidP="001C5FCE">
            <w:pPr>
              <w:keepNext/>
              <w:widowControl w:val="0"/>
              <w:spacing w:before="70" w:after="70" w:line="260" w:lineRule="atLeast"/>
              <w:ind w:left="113"/>
              <w:rPr>
                <w:rFonts w:eastAsia="Times New Roman"/>
                <w:color w:val="000000"/>
                <w:sz w:val="20"/>
                <w:szCs w:val="20"/>
                <w:lang w:eastAsia="en-AU"/>
              </w:rPr>
            </w:pPr>
            <w:r w:rsidRPr="001E6909">
              <w:rPr>
                <w:rFonts w:eastAsia="Times New Roman"/>
                <w:color w:val="000000"/>
                <w:sz w:val="20"/>
                <w:szCs w:val="20"/>
                <w:lang w:eastAsia="en-AU"/>
              </w:rPr>
              <w:t>Interest received</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-1.6</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-1.9</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-2.1</w:t>
            </w:r>
          </w:p>
        </w:tc>
        <w:tc>
          <w:tcPr>
            <w:tcW w:w="907"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b/>
                <w:i/>
                <w:sz w:val="20"/>
                <w:szCs w:val="20"/>
              </w:rPr>
            </w:pPr>
            <w:r w:rsidRPr="009E7226">
              <w:rPr>
                <w:b/>
                <w:i/>
                <w:sz w:val="20"/>
                <w:szCs w:val="20"/>
              </w:rPr>
              <w:t>-5.5</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-2.4</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-2.7</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-3.0</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-3.3</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-3.6</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-4.0</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-4.3</w:t>
            </w:r>
          </w:p>
        </w:tc>
        <w:tc>
          <w:tcPr>
            <w:tcW w:w="907" w:type="dxa"/>
            <w:tcBorders>
              <w:top w:val="single" w:sz="8" w:space="0" w:color="A6A6A6"/>
              <w:left w:val="nil"/>
              <w:bottom w:val="single" w:sz="8" w:space="0" w:color="A6A6A6"/>
              <w:right w:val="single" w:sz="8" w:space="0" w:color="A6A6A6"/>
            </w:tcBorders>
          </w:tcPr>
          <w:p w:rsidR="009E7226" w:rsidRPr="009E7226" w:rsidRDefault="009E7226" w:rsidP="001C5FCE">
            <w:pPr>
              <w:keepNext/>
              <w:widowControl w:val="0"/>
              <w:spacing w:before="70" w:after="70" w:line="260" w:lineRule="atLeast"/>
              <w:ind w:left="-57" w:right="-57"/>
              <w:jc w:val="right"/>
              <w:rPr>
                <w:b/>
                <w:i/>
                <w:sz w:val="20"/>
                <w:szCs w:val="20"/>
              </w:rPr>
            </w:pPr>
            <w:r w:rsidRPr="009E7226">
              <w:rPr>
                <w:b/>
                <w:i/>
                <w:sz w:val="20"/>
                <w:szCs w:val="20"/>
              </w:rPr>
              <w:t>-28.7</w:t>
            </w:r>
          </w:p>
        </w:tc>
      </w:tr>
      <w:tr w:rsidR="001C5FCE" w:rsidRPr="0000005D" w:rsidTr="001C5FCE">
        <w:tc>
          <w:tcPr>
            <w:tcW w:w="2891" w:type="dxa"/>
            <w:tcBorders>
              <w:top w:val="nil"/>
              <w:left w:val="single" w:sz="8" w:space="0" w:color="A6A6A6"/>
              <w:bottom w:val="single" w:sz="8" w:space="0" w:color="A6A6A6"/>
              <w:right w:val="single" w:sz="8" w:space="0" w:color="A6A6A6"/>
            </w:tcBorders>
            <w:shd w:val="clear" w:color="auto" w:fill="auto"/>
            <w:vAlign w:val="center"/>
          </w:tcPr>
          <w:p w:rsidR="009E7226" w:rsidRPr="001E6909" w:rsidRDefault="009E7226" w:rsidP="001C5FCE">
            <w:pPr>
              <w:keepNext/>
              <w:widowControl w:val="0"/>
              <w:spacing w:before="70" w:after="70" w:line="260" w:lineRule="atLeast"/>
              <w:ind w:left="113"/>
              <w:rPr>
                <w:rFonts w:eastAsia="Times New Roman"/>
                <w:color w:val="000000"/>
                <w:sz w:val="20"/>
                <w:szCs w:val="20"/>
                <w:lang w:eastAsia="en-AU"/>
              </w:rPr>
            </w:pPr>
            <w:r>
              <w:rPr>
                <w:rFonts w:eastAsia="Times New Roman"/>
                <w:color w:val="000000"/>
                <w:sz w:val="20"/>
                <w:szCs w:val="20"/>
                <w:lang w:eastAsia="en-AU"/>
              </w:rPr>
              <w:t>Other revenue</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0.1</w:t>
            </w:r>
          </w:p>
        </w:tc>
        <w:tc>
          <w:tcPr>
            <w:tcW w:w="907"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b/>
                <w:i/>
                <w:sz w:val="20"/>
                <w:szCs w:val="20"/>
              </w:rPr>
            </w:pPr>
            <w:r w:rsidRPr="009E7226">
              <w:rPr>
                <w:b/>
                <w:i/>
                <w:sz w:val="20"/>
                <w:szCs w:val="20"/>
              </w:rPr>
              <w:t>0.4</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0.2</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0.2</w:t>
            </w:r>
          </w:p>
        </w:tc>
        <w:tc>
          <w:tcPr>
            <w:tcW w:w="907" w:type="dxa"/>
            <w:tcBorders>
              <w:top w:val="single" w:sz="8" w:space="0" w:color="A6A6A6"/>
              <w:left w:val="nil"/>
              <w:bottom w:val="single" w:sz="8" w:space="0" w:color="A6A6A6"/>
              <w:right w:val="single" w:sz="8" w:space="0" w:color="A6A6A6"/>
            </w:tcBorders>
          </w:tcPr>
          <w:p w:rsidR="009E7226" w:rsidRPr="009E7226" w:rsidRDefault="009E7226" w:rsidP="001C5FCE">
            <w:pPr>
              <w:keepNext/>
              <w:widowControl w:val="0"/>
              <w:spacing w:before="70" w:after="70" w:line="260" w:lineRule="atLeast"/>
              <w:ind w:left="-57" w:right="-57"/>
              <w:jc w:val="right"/>
              <w:rPr>
                <w:b/>
                <w:i/>
                <w:sz w:val="20"/>
                <w:szCs w:val="20"/>
              </w:rPr>
            </w:pPr>
            <w:r w:rsidRPr="009E7226">
              <w:rPr>
                <w:b/>
                <w:i/>
                <w:sz w:val="20"/>
                <w:szCs w:val="20"/>
              </w:rPr>
              <w:t>1.4</w:t>
            </w:r>
          </w:p>
        </w:tc>
      </w:tr>
      <w:tr w:rsidR="001C5FCE" w:rsidRPr="0000005D" w:rsidTr="001C5FCE">
        <w:tc>
          <w:tcPr>
            <w:tcW w:w="2891" w:type="dxa"/>
            <w:tcBorders>
              <w:top w:val="nil"/>
              <w:left w:val="single" w:sz="8" w:space="0" w:color="A6A6A6"/>
              <w:bottom w:val="single" w:sz="8" w:space="0" w:color="A6A6A6"/>
              <w:right w:val="single" w:sz="8" w:space="0" w:color="A6A6A6"/>
            </w:tcBorders>
            <w:shd w:val="clear" w:color="auto" w:fill="auto"/>
            <w:vAlign w:val="center"/>
          </w:tcPr>
          <w:p w:rsidR="009E7226" w:rsidRDefault="009E7226" w:rsidP="001C5FCE">
            <w:pPr>
              <w:keepNext/>
              <w:widowControl w:val="0"/>
              <w:spacing w:before="70" w:after="70" w:line="260" w:lineRule="atLeast"/>
              <w:ind w:left="-57" w:right="-57"/>
              <w:rPr>
                <w:rFonts w:eastAsia="Times New Roman"/>
                <w:color w:val="000000"/>
                <w:sz w:val="20"/>
                <w:szCs w:val="20"/>
                <w:lang w:eastAsia="en-AU"/>
              </w:rPr>
            </w:pPr>
            <w:r>
              <w:rPr>
                <w:rFonts w:eastAsia="Times New Roman"/>
                <w:color w:val="000000"/>
                <w:sz w:val="20"/>
                <w:szCs w:val="20"/>
                <w:lang w:eastAsia="en-AU"/>
              </w:rPr>
              <w:t>PDI impacts</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-0.2</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-0.4</w:t>
            </w:r>
          </w:p>
        </w:tc>
        <w:tc>
          <w:tcPr>
            <w:tcW w:w="907"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b/>
                <w:i/>
                <w:sz w:val="20"/>
                <w:szCs w:val="20"/>
              </w:rPr>
            </w:pPr>
            <w:r w:rsidRPr="009E7226">
              <w:rPr>
                <w:b/>
                <w:i/>
                <w:sz w:val="20"/>
                <w:szCs w:val="20"/>
              </w:rPr>
              <w:t>-0.7</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-0.7</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-1.1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-1.6</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-2.3</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-3.1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-4.0</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1C5FCE">
            <w:pPr>
              <w:keepNext/>
              <w:widowControl w:val="0"/>
              <w:spacing w:before="70" w:after="70" w:line="260" w:lineRule="atLeast"/>
              <w:ind w:left="-57" w:right="-57"/>
              <w:jc w:val="right"/>
              <w:rPr>
                <w:i/>
                <w:sz w:val="20"/>
                <w:szCs w:val="20"/>
              </w:rPr>
            </w:pPr>
            <w:r w:rsidRPr="009E7226">
              <w:rPr>
                <w:i/>
                <w:sz w:val="20"/>
                <w:szCs w:val="20"/>
              </w:rPr>
              <w:t>-5.2</w:t>
            </w:r>
          </w:p>
        </w:tc>
        <w:tc>
          <w:tcPr>
            <w:tcW w:w="907" w:type="dxa"/>
            <w:tcBorders>
              <w:top w:val="single" w:sz="8" w:space="0" w:color="A6A6A6"/>
              <w:left w:val="nil"/>
              <w:bottom w:val="single" w:sz="8" w:space="0" w:color="A6A6A6"/>
              <w:right w:val="single" w:sz="8" w:space="0" w:color="A6A6A6"/>
            </w:tcBorders>
          </w:tcPr>
          <w:p w:rsidR="009E7226" w:rsidRPr="009E7226" w:rsidRDefault="009E7226" w:rsidP="001C5FCE">
            <w:pPr>
              <w:keepNext/>
              <w:widowControl w:val="0"/>
              <w:spacing w:before="70" w:after="70" w:line="260" w:lineRule="atLeast"/>
              <w:ind w:left="-57" w:right="-57"/>
              <w:jc w:val="right"/>
              <w:rPr>
                <w:b/>
                <w:i/>
                <w:sz w:val="20"/>
                <w:szCs w:val="20"/>
              </w:rPr>
            </w:pPr>
            <w:r w:rsidRPr="009E7226">
              <w:rPr>
                <w:b/>
                <w:i/>
                <w:sz w:val="20"/>
                <w:szCs w:val="20"/>
              </w:rPr>
              <w:t>-18.7</w:t>
            </w:r>
          </w:p>
        </w:tc>
      </w:tr>
      <w:tr w:rsidR="001C5FCE" w:rsidRPr="00601A22" w:rsidTr="001C5FCE">
        <w:tc>
          <w:tcPr>
            <w:tcW w:w="2891" w:type="dxa"/>
            <w:tcBorders>
              <w:top w:val="nil"/>
              <w:left w:val="single" w:sz="8" w:space="0" w:color="A6A6A6"/>
              <w:bottom w:val="single" w:sz="8" w:space="0" w:color="A6A6A6"/>
              <w:right w:val="single" w:sz="8" w:space="0" w:color="A6A6A6"/>
            </w:tcBorders>
            <w:shd w:val="clear" w:color="auto" w:fill="D7DDE9" w:themeFill="accent3"/>
            <w:vAlign w:val="center"/>
            <w:hideMark/>
          </w:tcPr>
          <w:p w:rsidR="009E7226" w:rsidRPr="001E6909" w:rsidRDefault="009E7226" w:rsidP="001C5FCE">
            <w:pPr>
              <w:keepNext/>
              <w:widowControl w:val="0"/>
              <w:spacing w:before="70" w:after="70" w:line="260" w:lineRule="atLeast"/>
              <w:ind w:left="-57" w:right="-57"/>
              <w:rPr>
                <w:rFonts w:eastAsia="Times New Roman"/>
                <w:b/>
                <w:bCs/>
                <w:color w:val="000000"/>
                <w:sz w:val="20"/>
                <w:szCs w:val="20"/>
                <w:lang w:eastAsia="en-AU"/>
              </w:rPr>
            </w:pPr>
            <w:r>
              <w:rPr>
                <w:rFonts w:eastAsia="Times New Roman"/>
                <w:b/>
                <w:bCs/>
                <w:color w:val="000000"/>
                <w:sz w:val="20"/>
                <w:szCs w:val="20"/>
                <w:lang w:eastAsia="en-AU"/>
              </w:rPr>
              <w:t>Total</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keepNext/>
              <w:widowControl w:val="0"/>
              <w:spacing w:before="70" w:after="70" w:line="260" w:lineRule="atLeast"/>
              <w:ind w:left="-57" w:right="-57"/>
              <w:jc w:val="right"/>
              <w:rPr>
                <w:b/>
                <w:sz w:val="20"/>
                <w:szCs w:val="20"/>
              </w:rPr>
            </w:pPr>
            <w:r w:rsidRPr="009E7226">
              <w:rPr>
                <w:b/>
                <w:sz w:val="20"/>
                <w:szCs w:val="20"/>
              </w:rPr>
              <w:t>0.1</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keepNext/>
              <w:widowControl w:val="0"/>
              <w:spacing w:before="70" w:after="70" w:line="260" w:lineRule="atLeast"/>
              <w:ind w:left="-57" w:right="-57"/>
              <w:jc w:val="right"/>
              <w:rPr>
                <w:b/>
                <w:sz w:val="20"/>
                <w:szCs w:val="20"/>
              </w:rPr>
            </w:pPr>
            <w:r w:rsidRPr="009E7226">
              <w:rPr>
                <w:b/>
                <w:sz w:val="20"/>
                <w:szCs w:val="20"/>
              </w:rPr>
              <w:t>-1.5</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keepNext/>
              <w:widowControl w:val="0"/>
              <w:spacing w:before="70" w:after="70" w:line="260" w:lineRule="atLeast"/>
              <w:ind w:left="-57" w:right="-57"/>
              <w:jc w:val="right"/>
              <w:rPr>
                <w:b/>
                <w:sz w:val="20"/>
                <w:szCs w:val="20"/>
              </w:rPr>
            </w:pPr>
            <w:r w:rsidRPr="009E7226">
              <w:rPr>
                <w:b/>
                <w:sz w:val="20"/>
                <w:szCs w:val="20"/>
              </w:rPr>
              <w:t>-2.0</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keepNext/>
              <w:widowControl w:val="0"/>
              <w:spacing w:before="70" w:after="70" w:line="260" w:lineRule="atLeast"/>
              <w:ind w:left="-57" w:right="-57"/>
              <w:jc w:val="right"/>
              <w:rPr>
                <w:b/>
                <w:sz w:val="20"/>
                <w:szCs w:val="20"/>
              </w:rPr>
            </w:pPr>
            <w:r w:rsidRPr="009E7226">
              <w:rPr>
                <w:b/>
                <w:sz w:val="20"/>
                <w:szCs w:val="20"/>
              </w:rPr>
              <w:t>-2.4</w:t>
            </w:r>
          </w:p>
        </w:tc>
        <w:tc>
          <w:tcPr>
            <w:tcW w:w="907"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keepNext/>
              <w:widowControl w:val="0"/>
              <w:spacing w:before="70" w:after="70" w:line="260" w:lineRule="atLeast"/>
              <w:ind w:left="-57" w:right="-57"/>
              <w:jc w:val="right"/>
              <w:rPr>
                <w:b/>
                <w:sz w:val="20"/>
                <w:szCs w:val="20"/>
              </w:rPr>
            </w:pPr>
            <w:r w:rsidRPr="009E7226">
              <w:rPr>
                <w:b/>
                <w:sz w:val="20"/>
                <w:szCs w:val="20"/>
              </w:rPr>
              <w:t>-5.8</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keepNext/>
              <w:widowControl w:val="0"/>
              <w:spacing w:before="70" w:after="70" w:line="260" w:lineRule="atLeast"/>
              <w:ind w:left="-57" w:right="-57"/>
              <w:jc w:val="right"/>
              <w:rPr>
                <w:b/>
                <w:sz w:val="20"/>
                <w:szCs w:val="20"/>
              </w:rPr>
            </w:pPr>
            <w:r w:rsidRPr="009E7226">
              <w:rPr>
                <w:b/>
                <w:sz w:val="20"/>
                <w:szCs w:val="20"/>
              </w:rPr>
              <w:t>-2.9</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keepNext/>
              <w:widowControl w:val="0"/>
              <w:spacing w:before="70" w:after="70" w:line="260" w:lineRule="atLeast"/>
              <w:ind w:left="-57" w:right="-57"/>
              <w:jc w:val="right"/>
              <w:rPr>
                <w:b/>
                <w:sz w:val="20"/>
                <w:szCs w:val="20"/>
              </w:rPr>
            </w:pPr>
            <w:r w:rsidRPr="009E7226">
              <w:rPr>
                <w:b/>
                <w:sz w:val="20"/>
                <w:szCs w:val="20"/>
              </w:rPr>
              <w:t>-3.6</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keepNext/>
              <w:widowControl w:val="0"/>
              <w:spacing w:before="70" w:after="70" w:line="260" w:lineRule="atLeast"/>
              <w:ind w:left="-57" w:right="-57"/>
              <w:jc w:val="right"/>
              <w:rPr>
                <w:b/>
                <w:sz w:val="20"/>
                <w:szCs w:val="20"/>
              </w:rPr>
            </w:pPr>
            <w:r w:rsidRPr="009E7226">
              <w:rPr>
                <w:b/>
                <w:sz w:val="20"/>
                <w:szCs w:val="20"/>
              </w:rPr>
              <w:t>-4.4</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keepNext/>
              <w:widowControl w:val="0"/>
              <w:spacing w:before="70" w:after="70" w:line="260" w:lineRule="atLeast"/>
              <w:ind w:left="-57" w:right="-57"/>
              <w:jc w:val="right"/>
              <w:rPr>
                <w:b/>
                <w:sz w:val="20"/>
                <w:szCs w:val="20"/>
              </w:rPr>
            </w:pPr>
            <w:r w:rsidRPr="009E7226">
              <w:rPr>
                <w:b/>
                <w:sz w:val="20"/>
                <w:szCs w:val="20"/>
              </w:rPr>
              <w:t>-5.4</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keepNext/>
              <w:widowControl w:val="0"/>
              <w:spacing w:before="70" w:after="70" w:line="260" w:lineRule="atLeast"/>
              <w:ind w:left="-57" w:right="-57"/>
              <w:jc w:val="right"/>
              <w:rPr>
                <w:b/>
                <w:sz w:val="20"/>
                <w:szCs w:val="20"/>
              </w:rPr>
            </w:pPr>
            <w:r w:rsidRPr="009E7226">
              <w:rPr>
                <w:b/>
                <w:sz w:val="20"/>
                <w:szCs w:val="20"/>
              </w:rPr>
              <w:t>-6.5</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keepNext/>
              <w:widowControl w:val="0"/>
              <w:spacing w:before="70" w:after="70" w:line="260" w:lineRule="atLeast"/>
              <w:ind w:left="-57" w:right="-57"/>
              <w:jc w:val="right"/>
              <w:rPr>
                <w:b/>
                <w:sz w:val="20"/>
                <w:szCs w:val="20"/>
              </w:rPr>
            </w:pPr>
            <w:r w:rsidRPr="009E7226">
              <w:rPr>
                <w:b/>
                <w:sz w:val="20"/>
                <w:szCs w:val="20"/>
              </w:rPr>
              <w:t>-7.8</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1C5FCE">
            <w:pPr>
              <w:keepNext/>
              <w:widowControl w:val="0"/>
              <w:spacing w:before="70" w:after="70" w:line="260" w:lineRule="atLeast"/>
              <w:ind w:left="-57" w:right="-57"/>
              <w:jc w:val="right"/>
              <w:rPr>
                <w:b/>
                <w:sz w:val="20"/>
                <w:szCs w:val="20"/>
              </w:rPr>
            </w:pPr>
            <w:r w:rsidRPr="009E7226">
              <w:rPr>
                <w:b/>
                <w:sz w:val="20"/>
                <w:szCs w:val="20"/>
              </w:rPr>
              <w:t>-9.3</w:t>
            </w:r>
          </w:p>
        </w:tc>
        <w:tc>
          <w:tcPr>
            <w:tcW w:w="907" w:type="dxa"/>
            <w:tcBorders>
              <w:top w:val="single" w:sz="8" w:space="0" w:color="A6A6A6"/>
              <w:left w:val="nil"/>
              <w:bottom w:val="single" w:sz="8" w:space="0" w:color="A6A6A6"/>
              <w:right w:val="single" w:sz="8" w:space="0" w:color="A6A6A6"/>
            </w:tcBorders>
            <w:shd w:val="clear" w:color="auto" w:fill="D7DDE9" w:themeFill="accent3"/>
          </w:tcPr>
          <w:p w:rsidR="009E7226" w:rsidRPr="009E7226" w:rsidRDefault="009E7226" w:rsidP="001C5FCE">
            <w:pPr>
              <w:keepNext/>
              <w:widowControl w:val="0"/>
              <w:spacing w:before="70" w:after="70" w:line="260" w:lineRule="atLeast"/>
              <w:ind w:left="-57" w:right="-57"/>
              <w:jc w:val="right"/>
              <w:rPr>
                <w:b/>
                <w:sz w:val="20"/>
                <w:szCs w:val="20"/>
              </w:rPr>
            </w:pPr>
            <w:r w:rsidRPr="009E7226">
              <w:rPr>
                <w:b/>
                <w:sz w:val="20"/>
                <w:szCs w:val="20"/>
              </w:rPr>
              <w:t>-46.0</w:t>
            </w:r>
          </w:p>
        </w:tc>
      </w:tr>
    </w:tbl>
    <w:p w:rsidR="00FF44C3" w:rsidRDefault="00FF44C3" w:rsidP="001C5FCE">
      <w:pPr>
        <w:pStyle w:val="TableFootnotes"/>
        <w:keepNext/>
        <w:keepLines w:val="0"/>
        <w:widowControl w:val="0"/>
        <w:numPr>
          <w:ilvl w:val="0"/>
          <w:numId w:val="36"/>
        </w:numPr>
        <w:ind w:left="284" w:hanging="284"/>
      </w:pPr>
      <w:r>
        <w:t xml:space="preserve">A </w:t>
      </w:r>
      <w:r w:rsidRPr="0043458B">
        <w:t xml:space="preserve">positive number for the underlying cash balance indicates an increase in receipts or a decrease in outlays or net capital investment in cash terms. </w:t>
      </w:r>
      <w:r>
        <w:t xml:space="preserve"> </w:t>
      </w:r>
      <w:r w:rsidRPr="0043458B">
        <w:t>A negative number for the underlying cash balance indicates a decrease in receipts or an increase in outlays or net capital investment in cash terms.</w:t>
      </w:r>
    </w:p>
    <w:p w:rsidR="00FF44C3" w:rsidRDefault="00FF44C3" w:rsidP="001C5FCE">
      <w:pPr>
        <w:pStyle w:val="TableFootnotes"/>
        <w:keepNext/>
        <w:keepLines w:val="0"/>
        <w:widowControl w:val="0"/>
        <w:ind w:left="284" w:hanging="284"/>
      </w:pPr>
      <w:r>
        <w:t>Figures may not sum to totals due to rounding.</w:t>
      </w:r>
    </w:p>
    <w:p w:rsidR="009E7226" w:rsidRDefault="009E7226" w:rsidP="001C5FCE">
      <w:pPr>
        <w:pStyle w:val="TableFootnotes"/>
        <w:keepNext/>
        <w:keepLines w:val="0"/>
        <w:widowControl w:val="0"/>
        <w:numPr>
          <w:ilvl w:val="0"/>
          <w:numId w:val="0"/>
        </w:numPr>
        <w:ind w:left="284" w:hanging="284"/>
      </w:pPr>
      <w:r>
        <w:t>..</w:t>
      </w:r>
      <w:r>
        <w:tab/>
        <w:t>Not zero but rounded to zero.</w:t>
      </w:r>
    </w:p>
    <w:p w:rsidR="009E7226" w:rsidRDefault="009E7226" w:rsidP="009E7226">
      <w:pPr>
        <w:pStyle w:val="TableFootnotes"/>
        <w:keepLines w:val="0"/>
        <w:numPr>
          <w:ilvl w:val="0"/>
          <w:numId w:val="11"/>
        </w:numPr>
        <w:ind w:left="284" w:hanging="284"/>
      </w:pPr>
      <w:r>
        <w:t>Indicates nil.</w:t>
      </w:r>
    </w:p>
    <w:p w:rsidR="00FF44C3" w:rsidRDefault="00FF44C3" w:rsidP="0051510F">
      <w:pPr>
        <w:pStyle w:val="Caption"/>
        <w:widowControl w:val="0"/>
        <w:rPr>
          <w:vertAlign w:val="superscript"/>
        </w:rPr>
      </w:pPr>
      <w:r>
        <w:lastRenderedPageBreak/>
        <w:t>T</w:t>
      </w:r>
      <w:r w:rsidRPr="002D239A">
        <w:t xml:space="preserve">able </w:t>
      </w:r>
      <w:fldSimple w:instr=" STYLEREF 8 \s ">
        <w:r w:rsidR="005F6133">
          <w:rPr>
            <w:noProof/>
          </w:rPr>
          <w:t>A</w:t>
        </w:r>
      </w:fldSimple>
      <w:r w:rsidR="00C34245">
        <w:rPr>
          <w:noProof/>
        </w:rPr>
        <w:t>3</w:t>
      </w:r>
      <w:r w:rsidRPr="002D239A">
        <w:t xml:space="preserve">: </w:t>
      </w:r>
      <w:r w:rsidR="00EF6346" w:rsidRPr="00CF50A1">
        <w:t xml:space="preserve">Higher threshold for </w:t>
      </w:r>
      <w:r w:rsidR="00EF6346">
        <w:t>r</w:t>
      </w:r>
      <w:r w:rsidR="00EF6346" w:rsidRPr="00CF50A1">
        <w:t xml:space="preserve">egional </w:t>
      </w:r>
      <w:r w:rsidR="00EF6346">
        <w:t>s</w:t>
      </w:r>
      <w:r w:rsidR="00EF6346" w:rsidRPr="00CF50A1">
        <w:t>tudent HELP repayments</w:t>
      </w:r>
      <w:r>
        <w:t xml:space="preserve">—Headline cash </w:t>
      </w:r>
      <w:proofErr w:type="gramStart"/>
      <w:r>
        <w:t>balance</w:t>
      </w:r>
      <w:r w:rsidRPr="002D239A">
        <w:rPr>
          <w:vertAlign w:val="superscript"/>
        </w:rPr>
        <w:t>(</w:t>
      </w:r>
      <w:proofErr w:type="gramEnd"/>
      <w:r w:rsidRPr="002D239A">
        <w:rPr>
          <w:vertAlign w:val="superscript"/>
        </w:rPr>
        <w:t>a)(b)</w:t>
      </w:r>
    </w:p>
    <w:tbl>
      <w:tblPr>
        <w:tblW w:w="14055" w:type="dxa"/>
        <w:tblInd w:w="93" w:type="dxa"/>
        <w:tblLayout w:type="fixed"/>
        <w:tblLook w:val="04A0" w:firstRow="1" w:lastRow="0" w:firstColumn="1" w:lastColumn="0" w:noHBand="0" w:noVBand="1"/>
      </w:tblPr>
      <w:tblGrid>
        <w:gridCol w:w="2891"/>
        <w:gridCol w:w="850"/>
        <w:gridCol w:w="850"/>
        <w:gridCol w:w="850"/>
        <w:gridCol w:w="850"/>
        <w:gridCol w:w="907"/>
        <w:gridCol w:w="850"/>
        <w:gridCol w:w="850"/>
        <w:gridCol w:w="850"/>
        <w:gridCol w:w="850"/>
        <w:gridCol w:w="850"/>
        <w:gridCol w:w="850"/>
        <w:gridCol w:w="850"/>
        <w:gridCol w:w="907"/>
      </w:tblGrid>
      <w:tr w:rsidR="009E7226" w:rsidRPr="001754D7" w:rsidTr="001C5FCE">
        <w:tc>
          <w:tcPr>
            <w:tcW w:w="2891" w:type="dxa"/>
            <w:tcBorders>
              <w:top w:val="single" w:sz="8" w:space="0" w:color="A6A6A6"/>
              <w:left w:val="single" w:sz="8" w:space="0" w:color="A6A6A6"/>
              <w:bottom w:val="single" w:sz="8" w:space="0" w:color="A6A6A6"/>
              <w:right w:val="single" w:sz="8" w:space="0" w:color="A6A6A6"/>
            </w:tcBorders>
            <w:shd w:val="clear" w:color="auto" w:fill="D7DDE9" w:themeFill="accent3"/>
            <w:vAlign w:val="center"/>
            <w:hideMark/>
          </w:tcPr>
          <w:p w:rsidR="009E7226" w:rsidRPr="001E6909" w:rsidRDefault="009E7226" w:rsidP="0051510F">
            <w:pPr>
              <w:keepNext/>
              <w:widowControl w:val="0"/>
              <w:spacing w:before="70" w:after="70" w:line="260" w:lineRule="atLeast"/>
              <w:ind w:left="-57" w:right="-57"/>
              <w:rPr>
                <w:rFonts w:eastAsia="Times New Roman"/>
                <w:color w:val="000000"/>
                <w:sz w:val="20"/>
                <w:szCs w:val="20"/>
                <w:lang w:eastAsia="en-AU"/>
              </w:rPr>
            </w:pPr>
            <w:r w:rsidRPr="001E6909">
              <w:rPr>
                <w:rFonts w:eastAsia="Times New Roman"/>
                <w:color w:val="000000"/>
                <w:sz w:val="20"/>
                <w:szCs w:val="20"/>
                <w:lang w:eastAsia="en-AU"/>
              </w:rPr>
              <w:t>Financial impact ($m)</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51510F">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2017</w:t>
            </w:r>
            <w:r w:rsidRPr="005B0970">
              <w:t>–</w:t>
            </w:r>
            <w:r w:rsidRPr="001E6909">
              <w:rPr>
                <w:rFonts w:eastAsia="Times New Roman"/>
                <w:color w:val="000000"/>
                <w:sz w:val="20"/>
                <w:szCs w:val="20"/>
                <w:lang w:eastAsia="en-AU"/>
              </w:rPr>
              <w:t>18</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51510F">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2018</w:t>
            </w:r>
            <w:r w:rsidRPr="005B0970">
              <w:t>–</w:t>
            </w:r>
            <w:r w:rsidRPr="001E6909">
              <w:rPr>
                <w:rFonts w:eastAsia="Times New Roman"/>
                <w:color w:val="000000"/>
                <w:sz w:val="20"/>
                <w:szCs w:val="20"/>
                <w:lang w:eastAsia="en-AU"/>
              </w:rPr>
              <w:t>19</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51510F">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2019</w:t>
            </w:r>
            <w:r w:rsidRPr="005B0970">
              <w:t>–</w:t>
            </w:r>
            <w:r w:rsidRPr="001E6909">
              <w:rPr>
                <w:rFonts w:eastAsia="Times New Roman"/>
                <w:color w:val="000000"/>
                <w:sz w:val="20"/>
                <w:szCs w:val="20"/>
                <w:lang w:eastAsia="en-AU"/>
              </w:rPr>
              <w:t>20</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51510F">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w:t>
            </w:r>
            <w:r>
              <w:rPr>
                <w:rFonts w:eastAsia="Times New Roman"/>
                <w:color w:val="000000"/>
                <w:sz w:val="20"/>
                <w:szCs w:val="20"/>
                <w:lang w:eastAsia="en-AU"/>
              </w:rPr>
              <w:t>20</w:t>
            </w:r>
            <w:r w:rsidRPr="005B0970">
              <w:t>–</w:t>
            </w:r>
            <w:r w:rsidRPr="001E6909">
              <w:rPr>
                <w:rFonts w:eastAsia="Times New Roman"/>
                <w:color w:val="000000"/>
                <w:sz w:val="20"/>
                <w:szCs w:val="20"/>
                <w:lang w:eastAsia="en-AU"/>
              </w:rPr>
              <w:t>2</w:t>
            </w:r>
            <w:r>
              <w:rPr>
                <w:rFonts w:eastAsia="Times New Roman"/>
                <w:color w:val="000000"/>
                <w:sz w:val="20"/>
                <w:szCs w:val="20"/>
                <w:lang w:eastAsia="en-AU"/>
              </w:rPr>
              <w:t>1</w:t>
            </w:r>
          </w:p>
        </w:tc>
        <w:tc>
          <w:tcPr>
            <w:tcW w:w="907"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51510F">
            <w:pPr>
              <w:keepNext/>
              <w:widowControl w:val="0"/>
              <w:spacing w:before="70" w:after="70" w:line="260" w:lineRule="atLeast"/>
              <w:ind w:left="-57" w:right="-57"/>
              <w:jc w:val="right"/>
              <w:rPr>
                <w:rFonts w:eastAsia="Times New Roman"/>
                <w:b/>
                <w:bCs/>
                <w:color w:val="000000"/>
                <w:sz w:val="20"/>
                <w:szCs w:val="20"/>
                <w:lang w:eastAsia="en-AU"/>
              </w:rPr>
            </w:pPr>
            <w:r w:rsidRPr="001E6909">
              <w:rPr>
                <w:rFonts w:eastAsia="Times New Roman"/>
                <w:b/>
                <w:bCs/>
                <w:color w:val="000000"/>
                <w:sz w:val="20"/>
                <w:szCs w:val="20"/>
                <w:lang w:eastAsia="en-AU"/>
              </w:rPr>
              <w:t>Total to 20</w:t>
            </w:r>
            <w:r>
              <w:rPr>
                <w:rFonts w:eastAsia="Times New Roman"/>
                <w:b/>
                <w:bCs/>
                <w:color w:val="000000"/>
                <w:sz w:val="20"/>
                <w:szCs w:val="20"/>
                <w:lang w:eastAsia="en-AU"/>
              </w:rPr>
              <w:t>20</w:t>
            </w:r>
            <w:r w:rsidRPr="005B0970">
              <w:t>–</w:t>
            </w:r>
            <w:r w:rsidRPr="001E6909">
              <w:rPr>
                <w:rFonts w:eastAsia="Times New Roman"/>
                <w:b/>
                <w:bCs/>
                <w:color w:val="000000"/>
                <w:sz w:val="20"/>
                <w:szCs w:val="20"/>
                <w:lang w:eastAsia="en-AU"/>
              </w:rPr>
              <w:t>2</w:t>
            </w:r>
            <w:r>
              <w:rPr>
                <w:rFonts w:eastAsia="Times New Roman"/>
                <w:b/>
                <w:bCs/>
                <w:color w:val="000000"/>
                <w:sz w:val="20"/>
                <w:szCs w:val="20"/>
                <w:lang w:eastAsia="en-AU"/>
              </w:rPr>
              <w:t>1</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51510F">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2021</w:t>
            </w:r>
            <w:r w:rsidRPr="005B0970">
              <w:t>–</w:t>
            </w:r>
            <w:r w:rsidRPr="001E6909">
              <w:rPr>
                <w:rFonts w:eastAsia="Times New Roman"/>
                <w:color w:val="000000"/>
                <w:sz w:val="20"/>
                <w:szCs w:val="20"/>
                <w:lang w:eastAsia="en-AU"/>
              </w:rPr>
              <w:t>22</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51510F">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2022</w:t>
            </w:r>
            <w:r w:rsidRPr="005B0970">
              <w:t>–</w:t>
            </w:r>
            <w:r w:rsidRPr="001E6909">
              <w:rPr>
                <w:rFonts w:eastAsia="Times New Roman"/>
                <w:color w:val="000000"/>
                <w:sz w:val="20"/>
                <w:szCs w:val="20"/>
                <w:lang w:eastAsia="en-AU"/>
              </w:rPr>
              <w:t>23</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51510F">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2023</w:t>
            </w:r>
            <w:r w:rsidRPr="005B0970">
              <w:t>–</w:t>
            </w:r>
            <w:r w:rsidRPr="001E6909">
              <w:rPr>
                <w:rFonts w:eastAsia="Times New Roman"/>
                <w:color w:val="000000"/>
                <w:sz w:val="20"/>
                <w:szCs w:val="20"/>
                <w:lang w:eastAsia="en-AU"/>
              </w:rPr>
              <w:t>24</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51510F">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2024</w:t>
            </w:r>
            <w:r w:rsidRPr="005B0970">
              <w:t>–</w:t>
            </w:r>
            <w:r w:rsidRPr="001E6909">
              <w:rPr>
                <w:rFonts w:eastAsia="Times New Roman"/>
                <w:color w:val="000000"/>
                <w:sz w:val="20"/>
                <w:szCs w:val="20"/>
                <w:lang w:eastAsia="en-AU"/>
              </w:rPr>
              <w:t>25</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51510F">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2025</w:t>
            </w:r>
            <w:r w:rsidRPr="005B0970">
              <w:t>–</w:t>
            </w:r>
            <w:r w:rsidRPr="001E6909">
              <w:rPr>
                <w:rFonts w:eastAsia="Times New Roman"/>
                <w:color w:val="000000"/>
                <w:sz w:val="20"/>
                <w:szCs w:val="20"/>
                <w:lang w:eastAsia="en-AU"/>
              </w:rPr>
              <w:t>26</w:t>
            </w:r>
          </w:p>
        </w:tc>
        <w:tc>
          <w:tcPr>
            <w:tcW w:w="850" w:type="dxa"/>
            <w:tcBorders>
              <w:top w:val="single" w:sz="8" w:space="0" w:color="A6A6A6"/>
              <w:left w:val="nil"/>
              <w:bottom w:val="single" w:sz="8" w:space="0" w:color="A6A6A6"/>
              <w:right w:val="single" w:sz="8" w:space="0" w:color="A6A6A6"/>
            </w:tcBorders>
            <w:shd w:val="clear" w:color="auto" w:fill="D7DDE9" w:themeFill="accent3"/>
            <w:vAlign w:val="center"/>
            <w:hideMark/>
          </w:tcPr>
          <w:p w:rsidR="009E7226" w:rsidRPr="001E6909" w:rsidRDefault="009E7226" w:rsidP="0051510F">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2026</w:t>
            </w:r>
            <w:r w:rsidRPr="005B0970">
              <w:t>–</w:t>
            </w:r>
            <w:r w:rsidRPr="001E6909">
              <w:rPr>
                <w:rFonts w:eastAsia="Times New Roman"/>
                <w:color w:val="000000"/>
                <w:sz w:val="20"/>
                <w:szCs w:val="20"/>
                <w:lang w:eastAsia="en-AU"/>
              </w:rPr>
              <w:t>27</w:t>
            </w:r>
          </w:p>
        </w:tc>
        <w:tc>
          <w:tcPr>
            <w:tcW w:w="850" w:type="dxa"/>
            <w:tcBorders>
              <w:top w:val="single" w:sz="8" w:space="0" w:color="A6A6A6"/>
              <w:left w:val="nil"/>
              <w:bottom w:val="single" w:sz="8" w:space="0" w:color="A6A6A6"/>
              <w:right w:val="single" w:sz="8" w:space="0" w:color="A6A6A6" w:themeColor="background1" w:themeShade="A6"/>
            </w:tcBorders>
            <w:shd w:val="clear" w:color="auto" w:fill="D7DDE9" w:themeFill="accent3"/>
            <w:vAlign w:val="center"/>
            <w:hideMark/>
          </w:tcPr>
          <w:p w:rsidR="009E7226" w:rsidRPr="001E6909" w:rsidRDefault="009E7226" w:rsidP="0051510F">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color w:val="000000"/>
                <w:sz w:val="20"/>
                <w:szCs w:val="20"/>
                <w:lang w:eastAsia="en-AU"/>
              </w:rPr>
              <w:t>202</w:t>
            </w:r>
            <w:r>
              <w:rPr>
                <w:rFonts w:eastAsia="Times New Roman"/>
                <w:color w:val="000000"/>
                <w:sz w:val="20"/>
                <w:szCs w:val="20"/>
                <w:lang w:eastAsia="en-AU"/>
              </w:rPr>
              <w:t>7</w:t>
            </w:r>
            <w:r w:rsidRPr="005B0970">
              <w:t>–</w:t>
            </w:r>
            <w:r w:rsidRPr="001E6909">
              <w:rPr>
                <w:rFonts w:eastAsia="Times New Roman"/>
                <w:color w:val="000000"/>
                <w:sz w:val="20"/>
                <w:szCs w:val="20"/>
                <w:lang w:eastAsia="en-AU"/>
              </w:rPr>
              <w:t>2</w:t>
            </w:r>
            <w:r>
              <w:rPr>
                <w:rFonts w:eastAsia="Times New Roman"/>
                <w:color w:val="000000"/>
                <w:sz w:val="20"/>
                <w:szCs w:val="20"/>
                <w:lang w:eastAsia="en-AU"/>
              </w:rPr>
              <w:t>8</w:t>
            </w:r>
          </w:p>
        </w:tc>
        <w:tc>
          <w:tcPr>
            <w:tcW w:w="907" w:type="dxa"/>
            <w:tcBorders>
              <w:top w:val="single" w:sz="8" w:space="0" w:color="A6A6A6"/>
              <w:left w:val="single" w:sz="8" w:space="0" w:color="A6A6A6" w:themeColor="background1" w:themeShade="A6"/>
              <w:bottom w:val="single" w:sz="8" w:space="0" w:color="A6A6A6"/>
              <w:right w:val="single" w:sz="8" w:space="0" w:color="A6A6A6" w:themeColor="background1" w:themeShade="A6"/>
            </w:tcBorders>
            <w:shd w:val="clear" w:color="auto" w:fill="D7DDE9" w:themeFill="accent3"/>
          </w:tcPr>
          <w:p w:rsidR="009E7226" w:rsidRPr="001E6909" w:rsidRDefault="009E7226" w:rsidP="0051510F">
            <w:pPr>
              <w:keepNext/>
              <w:widowControl w:val="0"/>
              <w:spacing w:before="70" w:after="70" w:line="260" w:lineRule="atLeast"/>
              <w:ind w:left="-57" w:right="-57"/>
              <w:jc w:val="right"/>
              <w:rPr>
                <w:rFonts w:eastAsia="Times New Roman"/>
                <w:color w:val="000000"/>
                <w:sz w:val="20"/>
                <w:szCs w:val="20"/>
                <w:lang w:eastAsia="en-AU"/>
              </w:rPr>
            </w:pPr>
            <w:r w:rsidRPr="001E6909">
              <w:rPr>
                <w:rFonts w:eastAsia="Times New Roman"/>
                <w:b/>
                <w:bCs/>
                <w:color w:val="000000"/>
                <w:sz w:val="20"/>
                <w:szCs w:val="20"/>
                <w:lang w:eastAsia="en-AU"/>
              </w:rPr>
              <w:t>Total to 202</w:t>
            </w:r>
            <w:r>
              <w:rPr>
                <w:rFonts w:eastAsia="Times New Roman"/>
                <w:b/>
                <w:bCs/>
                <w:color w:val="000000"/>
                <w:sz w:val="20"/>
                <w:szCs w:val="20"/>
                <w:lang w:eastAsia="en-AU"/>
              </w:rPr>
              <w:t>7</w:t>
            </w:r>
            <w:r w:rsidRPr="005B0970">
              <w:t>–</w:t>
            </w:r>
            <w:r w:rsidRPr="001E6909">
              <w:rPr>
                <w:rFonts w:eastAsia="Times New Roman"/>
                <w:b/>
                <w:bCs/>
                <w:color w:val="000000"/>
                <w:sz w:val="20"/>
                <w:szCs w:val="20"/>
                <w:lang w:eastAsia="en-AU"/>
              </w:rPr>
              <w:t>2</w:t>
            </w:r>
            <w:r>
              <w:rPr>
                <w:rFonts w:eastAsia="Times New Roman"/>
                <w:b/>
                <w:bCs/>
                <w:color w:val="000000"/>
                <w:sz w:val="20"/>
                <w:szCs w:val="20"/>
                <w:lang w:eastAsia="en-AU"/>
              </w:rPr>
              <w:t>8</w:t>
            </w:r>
          </w:p>
        </w:tc>
      </w:tr>
      <w:tr w:rsidR="009E7226" w:rsidRPr="00601A22" w:rsidTr="001C5FCE">
        <w:tc>
          <w:tcPr>
            <w:tcW w:w="2891" w:type="dxa"/>
            <w:tcBorders>
              <w:top w:val="nil"/>
              <w:left w:val="single" w:sz="8" w:space="0" w:color="A6A6A6"/>
              <w:bottom w:val="single" w:sz="8" w:space="0" w:color="A6A6A6"/>
              <w:right w:val="single" w:sz="8" w:space="0" w:color="A6A6A6"/>
            </w:tcBorders>
            <w:shd w:val="clear" w:color="auto" w:fill="auto"/>
            <w:vAlign w:val="center"/>
          </w:tcPr>
          <w:p w:rsidR="009E7226" w:rsidRDefault="009E7226" w:rsidP="0051510F">
            <w:pPr>
              <w:keepNext/>
              <w:widowControl w:val="0"/>
              <w:tabs>
                <w:tab w:val="left" w:pos="420"/>
                <w:tab w:val="left" w:pos="467"/>
              </w:tabs>
              <w:spacing w:before="70" w:after="70" w:line="260" w:lineRule="atLeast"/>
              <w:ind w:left="-57" w:right="-57"/>
              <w:rPr>
                <w:rFonts w:eastAsia="Times New Roman"/>
                <w:color w:val="000000"/>
                <w:sz w:val="20"/>
                <w:szCs w:val="20"/>
                <w:lang w:eastAsia="en-AU"/>
              </w:rPr>
            </w:pPr>
            <w:r>
              <w:rPr>
                <w:rFonts w:eastAsia="Times New Roman"/>
                <w:color w:val="000000"/>
                <w:sz w:val="20"/>
                <w:szCs w:val="20"/>
                <w:lang w:eastAsia="en-AU"/>
              </w:rPr>
              <w:t>Higher Education Loan Program</w:t>
            </w:r>
          </w:p>
        </w:tc>
        <w:tc>
          <w:tcPr>
            <w:tcW w:w="850" w:type="dxa"/>
            <w:tcBorders>
              <w:top w:val="nil"/>
              <w:left w:val="nil"/>
              <w:bottom w:val="single" w:sz="8" w:space="0" w:color="A6A6A6"/>
              <w:right w:val="single" w:sz="8" w:space="0" w:color="A6A6A6"/>
            </w:tcBorders>
            <w:shd w:val="clear" w:color="auto" w:fill="auto"/>
          </w:tcPr>
          <w:p w:rsidR="009E7226" w:rsidRPr="000E4A96" w:rsidRDefault="009E7226" w:rsidP="0051510F">
            <w:pPr>
              <w:keepNext/>
              <w:widowControl w:val="0"/>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0E4A96" w:rsidRDefault="009E7226" w:rsidP="0051510F">
            <w:pPr>
              <w:keepNext/>
              <w:widowControl w:val="0"/>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0E4A96" w:rsidRDefault="009E7226" w:rsidP="0051510F">
            <w:pPr>
              <w:keepNext/>
              <w:widowControl w:val="0"/>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0E4A96" w:rsidRDefault="009E7226" w:rsidP="0051510F">
            <w:pPr>
              <w:keepNext/>
              <w:widowControl w:val="0"/>
              <w:spacing w:before="70" w:after="70" w:line="260" w:lineRule="atLeast"/>
              <w:ind w:left="-57" w:right="-57"/>
              <w:jc w:val="right"/>
              <w:rPr>
                <w:i/>
                <w:sz w:val="20"/>
                <w:szCs w:val="20"/>
              </w:rPr>
            </w:pPr>
          </w:p>
        </w:tc>
        <w:tc>
          <w:tcPr>
            <w:tcW w:w="907" w:type="dxa"/>
            <w:tcBorders>
              <w:top w:val="nil"/>
              <w:left w:val="nil"/>
              <w:bottom w:val="single" w:sz="8" w:space="0" w:color="A6A6A6"/>
              <w:right w:val="single" w:sz="8" w:space="0" w:color="A6A6A6"/>
            </w:tcBorders>
            <w:shd w:val="clear" w:color="auto" w:fill="auto"/>
          </w:tcPr>
          <w:p w:rsidR="009E7226" w:rsidRPr="000E4A96" w:rsidRDefault="009E7226" w:rsidP="0051510F">
            <w:pPr>
              <w:keepNext/>
              <w:widowControl w:val="0"/>
              <w:spacing w:before="70" w:after="70" w:line="260" w:lineRule="atLeast"/>
              <w:ind w:left="-57" w:right="-57"/>
              <w:jc w:val="right"/>
              <w:rPr>
                <w:b/>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0E4A96" w:rsidRDefault="009E7226" w:rsidP="0051510F">
            <w:pPr>
              <w:keepNext/>
              <w:widowControl w:val="0"/>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0E4A96" w:rsidRDefault="009E7226" w:rsidP="0051510F">
            <w:pPr>
              <w:keepNext/>
              <w:widowControl w:val="0"/>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0E4A96" w:rsidRDefault="009E7226" w:rsidP="0051510F">
            <w:pPr>
              <w:keepNext/>
              <w:widowControl w:val="0"/>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0E4A96" w:rsidRDefault="009E7226" w:rsidP="0051510F">
            <w:pPr>
              <w:keepNext/>
              <w:widowControl w:val="0"/>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0E4A96" w:rsidRDefault="009E7226" w:rsidP="0051510F">
            <w:pPr>
              <w:keepNext/>
              <w:widowControl w:val="0"/>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0E4A96" w:rsidRDefault="009E7226" w:rsidP="0051510F">
            <w:pPr>
              <w:keepNext/>
              <w:widowControl w:val="0"/>
              <w:spacing w:before="70" w:after="70" w:line="260" w:lineRule="atLeast"/>
              <w:ind w:left="-57" w:right="-57"/>
              <w:jc w:val="right"/>
              <w:rPr>
                <w:i/>
                <w:sz w:val="20"/>
                <w:szCs w:val="20"/>
              </w:rPr>
            </w:pPr>
          </w:p>
        </w:tc>
        <w:tc>
          <w:tcPr>
            <w:tcW w:w="850" w:type="dxa"/>
            <w:tcBorders>
              <w:top w:val="nil"/>
              <w:left w:val="nil"/>
              <w:bottom w:val="single" w:sz="8" w:space="0" w:color="A6A6A6"/>
              <w:right w:val="single" w:sz="8" w:space="0" w:color="A6A6A6"/>
            </w:tcBorders>
            <w:shd w:val="clear" w:color="auto" w:fill="auto"/>
          </w:tcPr>
          <w:p w:rsidR="009E7226" w:rsidRPr="000E4A96" w:rsidRDefault="009E7226" w:rsidP="0051510F">
            <w:pPr>
              <w:keepNext/>
              <w:widowControl w:val="0"/>
              <w:spacing w:before="70" w:after="70" w:line="260" w:lineRule="atLeast"/>
              <w:ind w:left="-57" w:right="-57"/>
              <w:jc w:val="right"/>
              <w:rPr>
                <w:i/>
                <w:sz w:val="20"/>
                <w:szCs w:val="20"/>
              </w:rPr>
            </w:pPr>
          </w:p>
        </w:tc>
        <w:tc>
          <w:tcPr>
            <w:tcW w:w="907" w:type="dxa"/>
            <w:tcBorders>
              <w:top w:val="single" w:sz="8" w:space="0" w:color="A6A6A6"/>
              <w:left w:val="nil"/>
              <w:bottom w:val="single" w:sz="8" w:space="0" w:color="A6A6A6"/>
              <w:right w:val="single" w:sz="8" w:space="0" w:color="A6A6A6"/>
            </w:tcBorders>
          </w:tcPr>
          <w:p w:rsidR="009E7226" w:rsidRPr="000E4A96" w:rsidRDefault="009E7226" w:rsidP="0051510F">
            <w:pPr>
              <w:keepNext/>
              <w:widowControl w:val="0"/>
              <w:spacing w:before="70" w:after="70" w:line="260" w:lineRule="atLeast"/>
              <w:ind w:left="-57" w:right="-57"/>
              <w:jc w:val="right"/>
              <w:rPr>
                <w:i/>
                <w:sz w:val="20"/>
                <w:szCs w:val="20"/>
              </w:rPr>
            </w:pPr>
          </w:p>
        </w:tc>
      </w:tr>
      <w:tr w:rsidR="009E7226" w:rsidRPr="00601A22" w:rsidTr="001C5FCE">
        <w:tc>
          <w:tcPr>
            <w:tcW w:w="2891" w:type="dxa"/>
            <w:tcBorders>
              <w:top w:val="nil"/>
              <w:left w:val="single" w:sz="8" w:space="0" w:color="A6A6A6"/>
              <w:bottom w:val="single" w:sz="8" w:space="0" w:color="A6A6A6"/>
              <w:right w:val="single" w:sz="8" w:space="0" w:color="A6A6A6"/>
            </w:tcBorders>
            <w:shd w:val="clear" w:color="auto" w:fill="auto"/>
            <w:vAlign w:val="center"/>
          </w:tcPr>
          <w:p w:rsidR="009E7226" w:rsidRDefault="009E7226" w:rsidP="0051510F">
            <w:pPr>
              <w:keepNext/>
              <w:widowControl w:val="0"/>
              <w:tabs>
                <w:tab w:val="left" w:pos="432"/>
              </w:tabs>
              <w:spacing w:before="70" w:after="70" w:line="260" w:lineRule="atLeast"/>
              <w:ind w:left="113"/>
              <w:rPr>
                <w:rFonts w:ascii="Calibri" w:hAnsi="Calibri"/>
                <w:color w:val="000000"/>
                <w:sz w:val="20"/>
                <w:szCs w:val="20"/>
              </w:rPr>
            </w:pPr>
            <w:r>
              <w:rPr>
                <w:rFonts w:ascii="Calibri" w:hAnsi="Calibri"/>
                <w:color w:val="000000"/>
                <w:sz w:val="20"/>
                <w:szCs w:val="20"/>
              </w:rPr>
              <w:t>Repayments received (including interest received)</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-6.0</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-7.2</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-8.1</w:t>
            </w:r>
          </w:p>
        </w:tc>
        <w:tc>
          <w:tcPr>
            <w:tcW w:w="907"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b/>
                <w:i/>
                <w:sz w:val="20"/>
                <w:szCs w:val="20"/>
              </w:rPr>
            </w:pPr>
            <w:r w:rsidRPr="009E7226">
              <w:rPr>
                <w:b/>
                <w:i/>
                <w:sz w:val="20"/>
                <w:szCs w:val="20"/>
              </w:rPr>
              <w:t>-21.3</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-9.3</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-10.5</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-11.8</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-13.1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-14.5</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-16.0</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-17.5</w:t>
            </w:r>
          </w:p>
        </w:tc>
        <w:tc>
          <w:tcPr>
            <w:tcW w:w="907" w:type="dxa"/>
            <w:tcBorders>
              <w:top w:val="single" w:sz="8" w:space="0" w:color="A6A6A6"/>
              <w:left w:val="nil"/>
              <w:bottom w:val="single" w:sz="8" w:space="0" w:color="A6A6A6"/>
              <w:right w:val="single" w:sz="8" w:space="0" w:color="A6A6A6"/>
            </w:tcBorders>
          </w:tcPr>
          <w:p w:rsidR="009E7226" w:rsidRPr="009E7226" w:rsidRDefault="009E7226" w:rsidP="0051510F">
            <w:pPr>
              <w:keepNext/>
              <w:widowControl w:val="0"/>
              <w:spacing w:before="70" w:after="70" w:line="260" w:lineRule="atLeast"/>
              <w:ind w:left="-57" w:right="-57"/>
              <w:jc w:val="right"/>
              <w:rPr>
                <w:b/>
                <w:i/>
                <w:sz w:val="20"/>
                <w:szCs w:val="20"/>
              </w:rPr>
            </w:pPr>
            <w:r w:rsidRPr="009E7226">
              <w:rPr>
                <w:b/>
                <w:i/>
                <w:sz w:val="20"/>
                <w:szCs w:val="20"/>
              </w:rPr>
              <w:t>-113.9</w:t>
            </w:r>
          </w:p>
        </w:tc>
      </w:tr>
      <w:tr w:rsidR="009E7226" w:rsidRPr="00601A22" w:rsidTr="001C5FCE">
        <w:tc>
          <w:tcPr>
            <w:tcW w:w="2891" w:type="dxa"/>
            <w:tcBorders>
              <w:top w:val="nil"/>
              <w:left w:val="single" w:sz="8" w:space="0" w:color="A6A6A6"/>
              <w:bottom w:val="single" w:sz="8" w:space="0" w:color="A6A6A6"/>
              <w:right w:val="single" w:sz="8" w:space="0" w:color="A6A6A6"/>
            </w:tcBorders>
            <w:shd w:val="clear" w:color="auto" w:fill="auto"/>
            <w:vAlign w:val="center"/>
          </w:tcPr>
          <w:p w:rsidR="009E7226" w:rsidRDefault="009E7226" w:rsidP="0051510F">
            <w:pPr>
              <w:keepNext/>
              <w:widowControl w:val="0"/>
              <w:spacing w:before="70" w:after="70" w:line="260" w:lineRule="atLeast"/>
              <w:ind w:left="113"/>
              <w:rPr>
                <w:rFonts w:ascii="Calibri" w:hAnsi="Calibri"/>
                <w:color w:val="000000"/>
                <w:sz w:val="20"/>
                <w:szCs w:val="20"/>
              </w:rPr>
            </w:pPr>
            <w:r>
              <w:rPr>
                <w:rFonts w:ascii="Calibri" w:hAnsi="Calibri"/>
                <w:color w:val="000000"/>
                <w:sz w:val="20"/>
                <w:szCs w:val="20"/>
              </w:rPr>
              <w:t>Other revenue</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0.1</w:t>
            </w:r>
          </w:p>
        </w:tc>
        <w:tc>
          <w:tcPr>
            <w:tcW w:w="907"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b/>
                <w:i/>
                <w:sz w:val="20"/>
                <w:szCs w:val="20"/>
              </w:rPr>
            </w:pPr>
            <w:r w:rsidRPr="009E7226">
              <w:rPr>
                <w:b/>
                <w:i/>
                <w:sz w:val="20"/>
                <w:szCs w:val="20"/>
              </w:rPr>
              <w:t>0.4</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0.2</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0.2</w:t>
            </w:r>
          </w:p>
        </w:tc>
        <w:tc>
          <w:tcPr>
            <w:tcW w:w="907" w:type="dxa"/>
            <w:tcBorders>
              <w:top w:val="single" w:sz="8" w:space="0" w:color="A6A6A6"/>
              <w:left w:val="nil"/>
              <w:bottom w:val="single" w:sz="8" w:space="0" w:color="A6A6A6"/>
              <w:right w:val="single" w:sz="8" w:space="0" w:color="A6A6A6"/>
            </w:tcBorders>
          </w:tcPr>
          <w:p w:rsidR="009E7226" w:rsidRPr="009E7226" w:rsidRDefault="009E7226" w:rsidP="0051510F">
            <w:pPr>
              <w:keepNext/>
              <w:widowControl w:val="0"/>
              <w:spacing w:before="70" w:after="70" w:line="260" w:lineRule="atLeast"/>
              <w:ind w:left="-57" w:right="-57"/>
              <w:jc w:val="right"/>
              <w:rPr>
                <w:b/>
                <w:i/>
                <w:sz w:val="20"/>
                <w:szCs w:val="20"/>
              </w:rPr>
            </w:pPr>
            <w:r w:rsidRPr="009E7226">
              <w:rPr>
                <w:b/>
                <w:i/>
                <w:sz w:val="20"/>
                <w:szCs w:val="20"/>
              </w:rPr>
              <w:t>1.4</w:t>
            </w:r>
          </w:p>
        </w:tc>
      </w:tr>
      <w:tr w:rsidR="009E7226" w:rsidRPr="00601A22" w:rsidTr="001C5FCE">
        <w:tc>
          <w:tcPr>
            <w:tcW w:w="2891" w:type="dxa"/>
            <w:tcBorders>
              <w:top w:val="nil"/>
              <w:left w:val="single" w:sz="8" w:space="0" w:color="A6A6A6"/>
              <w:bottom w:val="single" w:sz="8" w:space="0" w:color="A6A6A6"/>
              <w:right w:val="single" w:sz="8" w:space="0" w:color="A6A6A6"/>
            </w:tcBorders>
            <w:shd w:val="clear" w:color="auto" w:fill="auto"/>
            <w:vAlign w:val="center"/>
          </w:tcPr>
          <w:p w:rsidR="009E7226" w:rsidRDefault="009E7226" w:rsidP="0051510F">
            <w:pPr>
              <w:keepNext/>
              <w:widowControl w:val="0"/>
              <w:spacing w:before="70" w:after="70" w:line="260" w:lineRule="atLeast"/>
              <w:ind w:left="-57" w:right="-57"/>
              <w:rPr>
                <w:rFonts w:eastAsia="Times New Roman"/>
                <w:color w:val="000000"/>
                <w:sz w:val="20"/>
                <w:szCs w:val="20"/>
                <w:lang w:eastAsia="en-AU"/>
              </w:rPr>
            </w:pPr>
            <w:r>
              <w:rPr>
                <w:rFonts w:eastAsia="Times New Roman"/>
                <w:color w:val="000000"/>
                <w:sz w:val="20"/>
                <w:szCs w:val="20"/>
                <w:lang w:eastAsia="en-AU"/>
              </w:rPr>
              <w:t>PDI impacts</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-0.1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-0.2</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-0.4</w:t>
            </w:r>
          </w:p>
        </w:tc>
        <w:tc>
          <w:tcPr>
            <w:tcW w:w="907"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b/>
                <w:i/>
                <w:sz w:val="20"/>
                <w:szCs w:val="20"/>
              </w:rPr>
            </w:pPr>
            <w:r w:rsidRPr="009E7226">
              <w:rPr>
                <w:b/>
                <w:i/>
                <w:sz w:val="20"/>
                <w:szCs w:val="20"/>
              </w:rPr>
              <w:t>-0.7</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-0.7</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-1.1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-1.6</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-2.3</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-3.1</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-4.0</w:t>
            </w:r>
          </w:p>
        </w:tc>
        <w:tc>
          <w:tcPr>
            <w:tcW w:w="850" w:type="dxa"/>
            <w:tcBorders>
              <w:top w:val="nil"/>
              <w:left w:val="nil"/>
              <w:bottom w:val="single" w:sz="8" w:space="0" w:color="A6A6A6"/>
              <w:right w:val="single" w:sz="8" w:space="0" w:color="A6A6A6"/>
            </w:tcBorders>
            <w:shd w:val="clear" w:color="auto" w:fill="auto"/>
          </w:tcPr>
          <w:p w:rsidR="009E7226" w:rsidRPr="009E7226" w:rsidRDefault="009E7226" w:rsidP="0051510F">
            <w:pPr>
              <w:keepNext/>
              <w:widowControl w:val="0"/>
              <w:spacing w:before="70" w:after="70" w:line="260" w:lineRule="atLeast"/>
              <w:ind w:left="-57" w:right="-57"/>
              <w:jc w:val="right"/>
              <w:rPr>
                <w:i/>
                <w:sz w:val="20"/>
                <w:szCs w:val="20"/>
              </w:rPr>
            </w:pPr>
            <w:r w:rsidRPr="009E7226">
              <w:rPr>
                <w:i/>
                <w:sz w:val="20"/>
                <w:szCs w:val="20"/>
              </w:rPr>
              <w:t>-5.2</w:t>
            </w:r>
          </w:p>
        </w:tc>
        <w:tc>
          <w:tcPr>
            <w:tcW w:w="907" w:type="dxa"/>
            <w:tcBorders>
              <w:top w:val="single" w:sz="8" w:space="0" w:color="A6A6A6"/>
              <w:left w:val="nil"/>
              <w:bottom w:val="single" w:sz="8" w:space="0" w:color="A6A6A6"/>
              <w:right w:val="single" w:sz="8" w:space="0" w:color="A6A6A6"/>
            </w:tcBorders>
          </w:tcPr>
          <w:p w:rsidR="009E7226" w:rsidRPr="009E7226" w:rsidRDefault="009E7226" w:rsidP="0051510F">
            <w:pPr>
              <w:keepNext/>
              <w:widowControl w:val="0"/>
              <w:spacing w:before="70" w:after="70" w:line="260" w:lineRule="atLeast"/>
              <w:ind w:left="-57" w:right="-57"/>
              <w:jc w:val="right"/>
              <w:rPr>
                <w:b/>
                <w:i/>
                <w:sz w:val="20"/>
                <w:szCs w:val="20"/>
              </w:rPr>
            </w:pPr>
            <w:r w:rsidRPr="009E7226">
              <w:rPr>
                <w:b/>
                <w:i/>
                <w:sz w:val="20"/>
                <w:szCs w:val="20"/>
              </w:rPr>
              <w:t>-18.7</w:t>
            </w:r>
          </w:p>
        </w:tc>
      </w:tr>
      <w:tr w:rsidR="009E7226" w:rsidRPr="001754D7" w:rsidTr="001C5FCE">
        <w:tc>
          <w:tcPr>
            <w:tcW w:w="2891" w:type="dxa"/>
            <w:tcBorders>
              <w:top w:val="nil"/>
              <w:left w:val="single" w:sz="8" w:space="0" w:color="A6A6A6"/>
              <w:bottom w:val="single" w:sz="8" w:space="0" w:color="A6A6A6"/>
              <w:right w:val="single" w:sz="8" w:space="0" w:color="A6A6A6"/>
            </w:tcBorders>
            <w:shd w:val="clear" w:color="auto" w:fill="D7DDE9" w:themeFill="accent3"/>
            <w:vAlign w:val="center"/>
            <w:hideMark/>
          </w:tcPr>
          <w:p w:rsidR="009E7226" w:rsidRPr="001E6909" w:rsidRDefault="009E7226" w:rsidP="0051510F">
            <w:pPr>
              <w:keepNext/>
              <w:widowControl w:val="0"/>
              <w:spacing w:before="70" w:after="70" w:line="260" w:lineRule="atLeast"/>
              <w:ind w:left="-57" w:right="-57"/>
              <w:rPr>
                <w:rFonts w:eastAsia="Times New Roman"/>
                <w:b/>
                <w:bCs/>
                <w:color w:val="000000"/>
                <w:sz w:val="20"/>
                <w:szCs w:val="20"/>
                <w:lang w:eastAsia="en-AU"/>
              </w:rPr>
            </w:pPr>
            <w:r>
              <w:rPr>
                <w:rFonts w:eastAsia="Times New Roman"/>
                <w:b/>
                <w:bCs/>
                <w:color w:val="000000"/>
                <w:sz w:val="20"/>
                <w:szCs w:val="20"/>
                <w:lang w:eastAsia="en-AU"/>
              </w:rPr>
              <w:t>Total</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51510F">
            <w:pPr>
              <w:keepNext/>
              <w:widowControl w:val="0"/>
              <w:spacing w:before="70" w:after="70" w:line="260" w:lineRule="atLeast"/>
              <w:ind w:left="-57" w:right="-57"/>
              <w:jc w:val="right"/>
              <w:rPr>
                <w:b/>
                <w:sz w:val="20"/>
                <w:szCs w:val="20"/>
              </w:rPr>
            </w:pPr>
            <w:r w:rsidRPr="009E7226">
              <w:rPr>
                <w:b/>
                <w:sz w:val="20"/>
                <w:szCs w:val="20"/>
              </w:rPr>
              <w:t>0.1</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51510F">
            <w:pPr>
              <w:keepNext/>
              <w:widowControl w:val="0"/>
              <w:spacing w:before="70" w:after="70" w:line="260" w:lineRule="atLeast"/>
              <w:ind w:left="-57" w:right="-57"/>
              <w:jc w:val="right"/>
              <w:rPr>
                <w:b/>
                <w:sz w:val="20"/>
                <w:szCs w:val="20"/>
              </w:rPr>
            </w:pPr>
            <w:r w:rsidRPr="009E7226">
              <w:rPr>
                <w:b/>
                <w:sz w:val="20"/>
                <w:szCs w:val="20"/>
              </w:rPr>
              <w:t>-6.0</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51510F">
            <w:pPr>
              <w:keepNext/>
              <w:widowControl w:val="0"/>
              <w:spacing w:before="70" w:after="70" w:line="260" w:lineRule="atLeast"/>
              <w:ind w:left="-57" w:right="-57"/>
              <w:jc w:val="right"/>
              <w:rPr>
                <w:b/>
                <w:sz w:val="20"/>
                <w:szCs w:val="20"/>
              </w:rPr>
            </w:pPr>
            <w:r w:rsidRPr="009E7226">
              <w:rPr>
                <w:b/>
                <w:sz w:val="20"/>
                <w:szCs w:val="20"/>
              </w:rPr>
              <w:t>-7.3</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51510F">
            <w:pPr>
              <w:keepNext/>
              <w:widowControl w:val="0"/>
              <w:spacing w:before="70" w:after="70" w:line="260" w:lineRule="atLeast"/>
              <w:ind w:left="-57" w:right="-57"/>
              <w:jc w:val="right"/>
              <w:rPr>
                <w:b/>
                <w:sz w:val="20"/>
                <w:szCs w:val="20"/>
              </w:rPr>
            </w:pPr>
            <w:r w:rsidRPr="009E7226">
              <w:rPr>
                <w:b/>
                <w:sz w:val="20"/>
                <w:szCs w:val="20"/>
              </w:rPr>
              <w:t>-8.4</w:t>
            </w:r>
          </w:p>
        </w:tc>
        <w:tc>
          <w:tcPr>
            <w:tcW w:w="907"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51510F">
            <w:pPr>
              <w:keepNext/>
              <w:widowControl w:val="0"/>
              <w:spacing w:before="70" w:after="70" w:line="260" w:lineRule="atLeast"/>
              <w:ind w:left="-57" w:right="-57"/>
              <w:jc w:val="right"/>
              <w:rPr>
                <w:b/>
                <w:sz w:val="20"/>
                <w:szCs w:val="20"/>
              </w:rPr>
            </w:pPr>
            <w:r w:rsidRPr="009E7226">
              <w:rPr>
                <w:b/>
                <w:sz w:val="20"/>
                <w:szCs w:val="20"/>
              </w:rPr>
              <w:t>-21.6</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51510F">
            <w:pPr>
              <w:keepNext/>
              <w:widowControl w:val="0"/>
              <w:spacing w:before="70" w:after="70" w:line="260" w:lineRule="atLeast"/>
              <w:ind w:left="-57" w:right="-57"/>
              <w:jc w:val="right"/>
              <w:rPr>
                <w:b/>
                <w:sz w:val="20"/>
                <w:szCs w:val="20"/>
              </w:rPr>
            </w:pPr>
            <w:r w:rsidRPr="009E7226">
              <w:rPr>
                <w:b/>
                <w:sz w:val="20"/>
                <w:szCs w:val="20"/>
              </w:rPr>
              <w:t>-9.8</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51510F">
            <w:pPr>
              <w:keepNext/>
              <w:widowControl w:val="0"/>
              <w:spacing w:before="70" w:after="70" w:line="260" w:lineRule="atLeast"/>
              <w:ind w:left="-57" w:right="-57"/>
              <w:jc w:val="right"/>
              <w:rPr>
                <w:b/>
                <w:sz w:val="20"/>
                <w:szCs w:val="20"/>
              </w:rPr>
            </w:pPr>
            <w:r w:rsidRPr="009E7226">
              <w:rPr>
                <w:b/>
                <w:sz w:val="20"/>
                <w:szCs w:val="20"/>
              </w:rPr>
              <w:t>-11.4</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51510F">
            <w:pPr>
              <w:keepNext/>
              <w:widowControl w:val="0"/>
              <w:spacing w:before="70" w:after="70" w:line="260" w:lineRule="atLeast"/>
              <w:ind w:left="-57" w:right="-57"/>
              <w:jc w:val="right"/>
              <w:rPr>
                <w:b/>
                <w:sz w:val="20"/>
                <w:szCs w:val="20"/>
              </w:rPr>
            </w:pPr>
            <w:r w:rsidRPr="009E7226">
              <w:rPr>
                <w:b/>
                <w:sz w:val="20"/>
                <w:szCs w:val="20"/>
              </w:rPr>
              <w:t>-13.3</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51510F">
            <w:pPr>
              <w:keepNext/>
              <w:widowControl w:val="0"/>
              <w:spacing w:before="70" w:after="70" w:line="260" w:lineRule="atLeast"/>
              <w:ind w:left="-57" w:right="-57"/>
              <w:jc w:val="right"/>
              <w:rPr>
                <w:b/>
                <w:sz w:val="20"/>
                <w:szCs w:val="20"/>
              </w:rPr>
            </w:pPr>
            <w:r w:rsidRPr="009E7226">
              <w:rPr>
                <w:b/>
                <w:sz w:val="20"/>
                <w:szCs w:val="20"/>
              </w:rPr>
              <w:t>-15.3</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51510F">
            <w:pPr>
              <w:keepNext/>
              <w:widowControl w:val="0"/>
              <w:spacing w:before="70" w:after="70" w:line="260" w:lineRule="atLeast"/>
              <w:ind w:left="-57" w:right="-57"/>
              <w:jc w:val="right"/>
              <w:rPr>
                <w:b/>
                <w:sz w:val="20"/>
                <w:szCs w:val="20"/>
              </w:rPr>
            </w:pPr>
            <w:r w:rsidRPr="009E7226">
              <w:rPr>
                <w:b/>
                <w:sz w:val="20"/>
                <w:szCs w:val="20"/>
              </w:rPr>
              <w:t>-17.5</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51510F">
            <w:pPr>
              <w:keepNext/>
              <w:widowControl w:val="0"/>
              <w:spacing w:before="70" w:after="70" w:line="260" w:lineRule="atLeast"/>
              <w:ind w:left="-57" w:right="-57"/>
              <w:jc w:val="right"/>
              <w:rPr>
                <w:b/>
                <w:sz w:val="20"/>
                <w:szCs w:val="20"/>
              </w:rPr>
            </w:pPr>
            <w:r w:rsidRPr="009E7226">
              <w:rPr>
                <w:b/>
                <w:sz w:val="20"/>
                <w:szCs w:val="20"/>
              </w:rPr>
              <w:t>-19.8</w:t>
            </w:r>
          </w:p>
        </w:tc>
        <w:tc>
          <w:tcPr>
            <w:tcW w:w="850" w:type="dxa"/>
            <w:tcBorders>
              <w:top w:val="nil"/>
              <w:left w:val="nil"/>
              <w:bottom w:val="single" w:sz="8" w:space="0" w:color="A6A6A6"/>
              <w:right w:val="single" w:sz="8" w:space="0" w:color="A6A6A6"/>
            </w:tcBorders>
            <w:shd w:val="clear" w:color="auto" w:fill="D7DDE9" w:themeFill="accent3"/>
            <w:hideMark/>
          </w:tcPr>
          <w:p w:rsidR="009E7226" w:rsidRPr="009E7226" w:rsidRDefault="009E7226" w:rsidP="0051510F">
            <w:pPr>
              <w:keepNext/>
              <w:widowControl w:val="0"/>
              <w:spacing w:before="70" w:after="70" w:line="260" w:lineRule="atLeast"/>
              <w:ind w:left="-57" w:right="-57"/>
              <w:jc w:val="right"/>
              <w:rPr>
                <w:b/>
                <w:sz w:val="20"/>
                <w:szCs w:val="20"/>
              </w:rPr>
            </w:pPr>
            <w:r w:rsidRPr="009E7226">
              <w:rPr>
                <w:b/>
                <w:sz w:val="20"/>
                <w:szCs w:val="20"/>
              </w:rPr>
              <w:t>-22.5</w:t>
            </w:r>
          </w:p>
        </w:tc>
        <w:tc>
          <w:tcPr>
            <w:tcW w:w="907" w:type="dxa"/>
            <w:tcBorders>
              <w:top w:val="single" w:sz="8" w:space="0" w:color="A6A6A6"/>
              <w:left w:val="nil"/>
              <w:bottom w:val="single" w:sz="8" w:space="0" w:color="A6A6A6"/>
              <w:right w:val="single" w:sz="8" w:space="0" w:color="A6A6A6"/>
            </w:tcBorders>
            <w:shd w:val="clear" w:color="auto" w:fill="D7DDE9" w:themeFill="accent3"/>
          </w:tcPr>
          <w:p w:rsidR="009E7226" w:rsidRPr="009E7226" w:rsidRDefault="009E7226" w:rsidP="0051510F">
            <w:pPr>
              <w:keepNext/>
              <w:widowControl w:val="0"/>
              <w:spacing w:before="70" w:after="70" w:line="260" w:lineRule="atLeast"/>
              <w:ind w:left="-57" w:right="-57"/>
              <w:jc w:val="right"/>
              <w:rPr>
                <w:b/>
                <w:sz w:val="20"/>
                <w:szCs w:val="20"/>
              </w:rPr>
            </w:pPr>
            <w:r w:rsidRPr="009E7226">
              <w:rPr>
                <w:b/>
                <w:sz w:val="20"/>
                <w:szCs w:val="20"/>
              </w:rPr>
              <w:t>-131.2</w:t>
            </w:r>
          </w:p>
        </w:tc>
      </w:tr>
    </w:tbl>
    <w:p w:rsidR="00FF44C3" w:rsidRDefault="00FF44C3" w:rsidP="0051510F">
      <w:pPr>
        <w:pStyle w:val="TableFootnotes"/>
        <w:keepNext/>
        <w:keepLines w:val="0"/>
        <w:widowControl w:val="0"/>
        <w:numPr>
          <w:ilvl w:val="0"/>
          <w:numId w:val="37"/>
        </w:numPr>
        <w:ind w:left="284" w:hanging="284"/>
      </w:pPr>
      <w:r>
        <w:t xml:space="preserve">A </w:t>
      </w:r>
      <w:r w:rsidRPr="0043458B">
        <w:t xml:space="preserve">positive number </w:t>
      </w:r>
      <w:r w:rsidR="00CD4BE2">
        <w:t>for the</w:t>
      </w:r>
      <w:r w:rsidRPr="0043458B">
        <w:t xml:space="preserve"> headline cash balance indicates an increase in </w:t>
      </w:r>
      <w:proofErr w:type="spellStart"/>
      <w:r w:rsidRPr="0043458B">
        <w:t>cashflow</w:t>
      </w:r>
      <w:proofErr w:type="spellEnd"/>
      <w:r w:rsidRPr="0043458B">
        <w:t xml:space="preserve">. </w:t>
      </w:r>
      <w:r>
        <w:t xml:space="preserve"> </w:t>
      </w:r>
      <w:r w:rsidRPr="0043458B">
        <w:t xml:space="preserve">A negative number </w:t>
      </w:r>
      <w:r w:rsidR="00CD4BE2">
        <w:t>for the</w:t>
      </w:r>
      <w:r w:rsidRPr="0043458B">
        <w:t xml:space="preserve"> headline cash balance indicates a decrease in </w:t>
      </w:r>
      <w:proofErr w:type="spellStart"/>
      <w:r w:rsidRPr="0043458B">
        <w:t>cashflow</w:t>
      </w:r>
      <w:proofErr w:type="spellEnd"/>
      <w:r>
        <w:t>.</w:t>
      </w:r>
    </w:p>
    <w:p w:rsidR="00FF44C3" w:rsidRDefault="00FF44C3" w:rsidP="0051510F">
      <w:pPr>
        <w:pStyle w:val="TableFootnotes"/>
        <w:keepNext/>
        <w:keepLines w:val="0"/>
        <w:widowControl w:val="0"/>
        <w:ind w:left="284" w:hanging="284"/>
      </w:pPr>
      <w:r>
        <w:t>Figures may not sum to totals due to rounding.</w:t>
      </w:r>
    </w:p>
    <w:p w:rsidR="0051510F" w:rsidRDefault="0051510F" w:rsidP="0051510F">
      <w:pPr>
        <w:pStyle w:val="TableFootnotes"/>
        <w:numPr>
          <w:ilvl w:val="0"/>
          <w:numId w:val="0"/>
        </w:numPr>
        <w:ind w:left="284" w:hanging="284"/>
      </w:pPr>
      <w:r>
        <w:t>..</w:t>
      </w:r>
      <w:r>
        <w:tab/>
        <w:t>Not zero but rounded to zero.</w:t>
      </w:r>
    </w:p>
    <w:p w:rsidR="00566A97" w:rsidRDefault="00FF44C3" w:rsidP="0051510F">
      <w:pPr>
        <w:pStyle w:val="TableFootnotes"/>
        <w:keepLines w:val="0"/>
        <w:numPr>
          <w:ilvl w:val="0"/>
          <w:numId w:val="11"/>
        </w:numPr>
        <w:ind w:left="284" w:hanging="284"/>
      </w:pPr>
      <w:r>
        <w:t>Indicates nil.</w:t>
      </w:r>
    </w:p>
    <w:p w:rsidR="006E393D" w:rsidRDefault="006E393D" w:rsidP="00713208">
      <w:pPr>
        <w:pStyle w:val="TableFootnotes"/>
        <w:keepLines w:val="0"/>
        <w:numPr>
          <w:ilvl w:val="0"/>
          <w:numId w:val="0"/>
        </w:numPr>
        <w:ind w:left="284"/>
        <w:sectPr w:rsidR="006E393D" w:rsidSect="001C5FCE">
          <w:footerReference w:type="default" r:id="rId16"/>
          <w:pgSz w:w="16839" w:h="11907" w:orient="landscape" w:code="9"/>
          <w:pgMar w:top="1361" w:right="1361" w:bottom="1474" w:left="1474" w:header="284" w:footer="454" w:gutter="0"/>
          <w:cols w:space="708"/>
          <w:formProt w:val="0"/>
          <w:docGrid w:linePitch="360"/>
        </w:sectPr>
      </w:pPr>
    </w:p>
    <w:p w:rsidR="0073435F" w:rsidRDefault="0073435F" w:rsidP="0073435F">
      <w:pPr>
        <w:pStyle w:val="Heading1"/>
        <w:spacing w:before="0" w:after="120"/>
      </w:pPr>
      <w:r>
        <w:lastRenderedPageBreak/>
        <w:t xml:space="preserve">Attachment B: </w:t>
      </w:r>
      <w:r w:rsidRPr="00E651A0">
        <w:t>Accounting Treatment of Income Contingent Loans</w:t>
      </w:r>
    </w:p>
    <w:p w:rsidR="0073435F" w:rsidRPr="001E6909" w:rsidRDefault="0073435F" w:rsidP="0073435F">
      <w:pPr>
        <w:pStyle w:val="BodyText"/>
      </w:pPr>
      <w:r w:rsidRPr="00BA74FA">
        <w:t xml:space="preserve">In accordance with PBO Guidance 02/2015 and the </w:t>
      </w:r>
      <w:r w:rsidRPr="001E6909">
        <w:rPr>
          <w:i/>
        </w:rPr>
        <w:t>Charter of Budget Honesty Policy Costing Guidelines</w:t>
      </w:r>
      <w:r w:rsidRPr="001E6909">
        <w:t>, proposals that “involve transactions of financial assets” would need to take into account the impact of PDI payments.  When estimating the proposal’s impact on PDI payments, the net headline cash balance impact is used.  The net headline cash balance impact includes not only the income contingent loan component of the proposal, but all associated components that are considered integral to the overall proposal.  The most widely known example of an income contingent loan is a loan under the Higher Education Loan Program (HELP).</w:t>
      </w:r>
    </w:p>
    <w:p w:rsidR="0073435F" w:rsidRPr="001E6909" w:rsidRDefault="0073435F" w:rsidP="0073435F">
      <w:pPr>
        <w:pStyle w:val="BodyText"/>
      </w:pPr>
      <w:r w:rsidRPr="001E6909">
        <w:t>The issuing of income contingent loans and repayments of principal themselves do not have an impact on the underlying cash or fiscal balances as they are treated as investments, while the associated PDI payments impact on all three budget balances.  The PDI impact is a result of the change in Government’s borrowing requirements to fund these loans.</w:t>
      </w:r>
    </w:p>
    <w:p w:rsidR="0073435F" w:rsidRPr="001E6909" w:rsidRDefault="0073435F" w:rsidP="0073435F">
      <w:pPr>
        <w:pStyle w:val="BodyText"/>
      </w:pPr>
      <w:r w:rsidRPr="001E6909">
        <w:t>The component of repayments that is considered interest is included as revenue in underlying cash balance terms.  As repayment amounts are linked to income levels, it is difficult to separate interest repayments from principal repayments.  In the forward estimates, a fixed proportion of all</w:t>
      </w:r>
      <w:r>
        <w:t xml:space="preserve"> </w:t>
      </w:r>
      <w:r w:rsidRPr="001E6909">
        <w:t xml:space="preserve">repayments </w:t>
      </w:r>
      <w:proofErr w:type="gramStart"/>
      <w:r w:rsidRPr="001E6909">
        <w:t>is</w:t>
      </w:r>
      <w:proofErr w:type="gramEnd"/>
      <w:r w:rsidRPr="001E6909">
        <w:t xml:space="preserve"> taken to be interest repayments. This is based on the average amount of interest paid over the life of the loan, and is based on the approach used for HELP loans.</w:t>
      </w:r>
    </w:p>
    <w:p w:rsidR="0073435F" w:rsidRPr="001E6909" w:rsidRDefault="0073435F" w:rsidP="0073435F">
      <w:pPr>
        <w:pStyle w:val="BodyText"/>
      </w:pPr>
      <w:r w:rsidRPr="001E6909">
        <w:t xml:space="preserve">Interest is also accounted for in fiscal balance terms.  This is the increase in the value of the debt due to the debiting of the interest on the outstanding balance of the loan each financial year.  Fiscal balance interest income is assessed on the “fair value” of the debt, consistent with relevant accounting standards, as it is unreasonable to claim interest income on a debt that is not expected to be repaid. </w:t>
      </w:r>
      <w:r>
        <w:t xml:space="preserve"> </w:t>
      </w:r>
      <w:r w:rsidRPr="001E6909">
        <w:t xml:space="preserve">For HELP loans, the interest rate of the loan is the rate of the increase in the </w:t>
      </w:r>
      <w:r>
        <w:t>Consumer Price Index (</w:t>
      </w:r>
      <w:r w:rsidRPr="001E6909">
        <w:t>CPI</w:t>
      </w:r>
      <w:r>
        <w:t>)</w:t>
      </w:r>
      <w:r w:rsidRPr="001E6909">
        <w:t>.</w:t>
      </w:r>
    </w:p>
    <w:p w:rsidR="0073435F" w:rsidRPr="001E6909" w:rsidRDefault="0073435F" w:rsidP="0073435F">
      <w:pPr>
        <w:pStyle w:val="BodyText"/>
      </w:pPr>
      <w:r w:rsidRPr="001E6909">
        <w:t>Furthermore, income contingent loans may be concessional to the extent that</w:t>
      </w:r>
      <w:r>
        <w:t xml:space="preserve"> the</w:t>
      </w:r>
      <w:r w:rsidRPr="001E6909">
        <w:t xml:space="preserve"> interest rate on the loan is less than the market interest rate that would be charged to the borrowers.  For </w:t>
      </w:r>
      <w:r>
        <w:t>B</w:t>
      </w:r>
      <w:r w:rsidRPr="001E6909">
        <w:t>udget purposes, the concession is estimated based on the difference between the Government bond rate and the interest rate on the concession</w:t>
      </w:r>
      <w:r w:rsidR="005153D0">
        <w:t>al</w:t>
      </w:r>
      <w:r w:rsidRPr="001E6909">
        <w:t xml:space="preserve"> loan.  The Budget accounts for the net present value of this concession as an expense in fiscal balance terms.  As loans are repaid, the amount of foregone interest income reduces, so this expense is “unwound”, having a positive impact on the fiscal balance.  For example, HELP loans are concessional as they are indexed to CPI.  </w:t>
      </w:r>
    </w:p>
    <w:p w:rsidR="0073435F" w:rsidRPr="001E6909" w:rsidRDefault="0073435F" w:rsidP="0073435F">
      <w:pPr>
        <w:pStyle w:val="BodyText"/>
      </w:pPr>
      <w:r w:rsidRPr="001E6909">
        <w:t xml:space="preserve">When the Commonwealth agrees to forgo the repayment of some or all of a debtor’s debt, this also has a negative impact on Budget aggregates.  Mutually agreed </w:t>
      </w:r>
      <w:proofErr w:type="spellStart"/>
      <w:r w:rsidRPr="001E6909">
        <w:t>writedowns</w:t>
      </w:r>
      <w:proofErr w:type="spellEnd"/>
      <w:r w:rsidRPr="001E6909">
        <w:t xml:space="preserve"> or write</w:t>
      </w:r>
      <w:r>
        <w:noBreakHyphen/>
      </w:r>
      <w:r w:rsidRPr="001E6909">
        <w:t>offs (for example in the case of death of the borrower) have no impact on the underlying cash balance, but are an expense in fiscal balance terms.</w:t>
      </w:r>
    </w:p>
    <w:p w:rsidR="0073435F" w:rsidRPr="001E6909" w:rsidRDefault="0073435F" w:rsidP="0073435F">
      <w:pPr>
        <w:pStyle w:val="BodyText"/>
      </w:pPr>
      <w:r w:rsidRPr="001E6909">
        <w:t>The headline cash balance is tracked in Budget papers, and is normally reported in policy costings when it differs from the underlying cash balance.</w:t>
      </w:r>
    </w:p>
    <w:p w:rsidR="0073435F" w:rsidRPr="001E6909" w:rsidRDefault="0073435F" w:rsidP="0073435F">
      <w:pPr>
        <w:pStyle w:val="BodyText"/>
      </w:pPr>
      <w:r w:rsidRPr="001E6909">
        <w:t>The fair value of the debt is a positive contributor to the Government’s net financial worth.</w:t>
      </w:r>
    </w:p>
    <w:p w:rsidR="00566A97" w:rsidRDefault="00566A97" w:rsidP="0073435F">
      <w:pPr>
        <w:pStyle w:val="BodyText"/>
      </w:pPr>
    </w:p>
    <w:sectPr w:rsidR="00566A97" w:rsidSect="002A43A0">
      <w:pgSz w:w="11907" w:h="16839" w:code="9"/>
      <w:pgMar w:top="1361" w:right="1797" w:bottom="1474" w:left="1797" w:header="284"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0A1" w:rsidRDefault="00CF50A1" w:rsidP="00A20802">
      <w:pPr>
        <w:spacing w:line="240" w:lineRule="auto"/>
      </w:pPr>
      <w:r>
        <w:separator/>
      </w:r>
    </w:p>
    <w:p w:rsidR="00CF50A1" w:rsidRDefault="00CF50A1"/>
    <w:p w:rsidR="00CF50A1" w:rsidRDefault="00CF50A1"/>
  </w:endnote>
  <w:endnote w:type="continuationSeparator" w:id="0">
    <w:p w:rsidR="00CF50A1" w:rsidRDefault="00CF50A1" w:rsidP="00A20802">
      <w:pPr>
        <w:spacing w:line="240" w:lineRule="auto"/>
      </w:pPr>
      <w:r>
        <w:continuationSeparator/>
      </w:r>
    </w:p>
    <w:p w:rsidR="00CF50A1" w:rsidRDefault="00CF50A1"/>
    <w:p w:rsidR="00CF50A1" w:rsidRDefault="00CF5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DBB" w:rsidRDefault="00537D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0A1" w:rsidRDefault="00CF50A1" w:rsidP="00602664">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537DBB">
      <w:rPr>
        <w:rStyle w:val="FooterChar"/>
        <w:b/>
        <w:noProof/>
      </w:rPr>
      <w:t>2</w:t>
    </w:r>
    <w:r w:rsidRPr="002C4DA6">
      <w:rPr>
        <w:rStyle w:val="FooterChar"/>
        <w:b/>
      </w:rPr>
      <w:fldChar w:fldCharType="end"/>
    </w:r>
    <w:r w:rsidRPr="002C4DA6">
      <w:rPr>
        <w:rStyle w:val="FooterChar"/>
        <w:b/>
      </w:rPr>
      <w:t xml:space="preserve"> of </w:t>
    </w:r>
    <w:r w:rsidRPr="002C4DA6">
      <w:rPr>
        <w:rStyle w:val="FooterChar"/>
        <w:b/>
      </w:rPr>
      <w:fldChar w:fldCharType="begin"/>
    </w:r>
    <w:r w:rsidRPr="002C4DA6">
      <w:rPr>
        <w:rStyle w:val="FooterChar"/>
        <w:b/>
      </w:rPr>
      <w:instrText xml:space="preserve"> NUMPAGES  \* Arabic  \* MERGEFORMAT </w:instrText>
    </w:r>
    <w:r w:rsidRPr="002C4DA6">
      <w:rPr>
        <w:rStyle w:val="FooterChar"/>
        <w:b/>
      </w:rPr>
      <w:fldChar w:fldCharType="separate"/>
    </w:r>
    <w:r w:rsidR="00537DBB">
      <w:rPr>
        <w:rStyle w:val="FooterChar"/>
        <w:b/>
        <w:noProof/>
      </w:rPr>
      <w:t>7</w:t>
    </w:r>
    <w:r w:rsidRPr="002C4DA6">
      <w:rPr>
        <w:rStyle w:val="FooterChar"/>
        <w:b/>
      </w:rPr>
      <w:fldChar w:fldCharType="end"/>
    </w:r>
  </w:p>
  <w:p w:rsidR="00CF50A1" w:rsidRPr="005821C7" w:rsidRDefault="00CF50A1" w:rsidP="00482F63">
    <w:pPr>
      <w:pStyle w:val="Footer"/>
      <w:ind w:left="3714" w:hanging="3714"/>
      <w:jc w:val="center"/>
      <w:rPr>
        <w:rFonts w:ascii="Calibri" w:hAnsi="Calibri" w:cs="Arial"/>
        <w:strike/>
        <w:color w:val="FF0000"/>
        <w:sz w:val="40"/>
        <w:szCs w:val="40"/>
      </w:rPr>
    </w:pPr>
    <w:r w:rsidRPr="005821C7">
      <w:rPr>
        <w:rStyle w:val="FooterChar"/>
        <w:rFonts w:ascii="Calibri" w:hAnsi="Calibri" w:cs="Arial"/>
        <w:b/>
        <w:strike/>
        <w:color w:val="FF0000"/>
        <w:sz w:val="40"/>
        <w:szCs w:val="40"/>
      </w:rPr>
      <w:t>Sensitive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0A1" w:rsidRDefault="00CF50A1" w:rsidP="00476133">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5821C7">
      <w:rPr>
        <w:rStyle w:val="FooterChar"/>
        <w:b/>
        <w:noProof/>
      </w:rPr>
      <w:t>2</w:t>
    </w:r>
    <w:r w:rsidRPr="002C4DA6">
      <w:rPr>
        <w:rStyle w:val="FooterChar"/>
        <w:b/>
      </w:rPr>
      <w:fldChar w:fldCharType="end"/>
    </w:r>
    <w:r w:rsidRPr="002C4DA6">
      <w:rPr>
        <w:rStyle w:val="FooterChar"/>
        <w:b/>
      </w:rPr>
      <w:t xml:space="preserve"> of </w:t>
    </w:r>
    <w:r w:rsidRPr="002C4DA6">
      <w:rPr>
        <w:rStyle w:val="FooterChar"/>
        <w:b/>
      </w:rPr>
      <w:fldChar w:fldCharType="begin"/>
    </w:r>
    <w:r w:rsidRPr="002C4DA6">
      <w:rPr>
        <w:rStyle w:val="FooterChar"/>
        <w:b/>
      </w:rPr>
      <w:instrText xml:space="preserve"> NUMPAGES  \* Arabic  \* MERGEFORMAT </w:instrText>
    </w:r>
    <w:r w:rsidRPr="002C4DA6">
      <w:rPr>
        <w:rStyle w:val="FooterChar"/>
        <w:b/>
      </w:rPr>
      <w:fldChar w:fldCharType="separate"/>
    </w:r>
    <w:r w:rsidR="005821C7">
      <w:rPr>
        <w:rStyle w:val="FooterChar"/>
        <w:b/>
        <w:noProof/>
      </w:rPr>
      <w:t>8</w:t>
    </w:r>
    <w:r w:rsidRPr="002C4DA6">
      <w:rPr>
        <w:rStyle w:val="FooterChar"/>
        <w:b/>
      </w:rPr>
      <w:fldChar w:fldCharType="end"/>
    </w:r>
  </w:p>
  <w:p w:rsidR="00CF50A1" w:rsidRPr="007A47D0" w:rsidRDefault="00CF50A1" w:rsidP="00EF0A00">
    <w:pPr>
      <w:pStyle w:val="Footer"/>
      <w:ind w:left="3714" w:hanging="3714"/>
      <w:jc w:val="center"/>
      <w:rPr>
        <w:rFonts w:ascii="Calibri" w:hAnsi="Calibri" w:cs="Arial"/>
        <w:color w:val="FF0000"/>
        <w:sz w:val="40"/>
        <w:szCs w:val="40"/>
      </w:rPr>
    </w:pPr>
    <w:r w:rsidRPr="007A47D0">
      <w:rPr>
        <w:rStyle w:val="FooterChar"/>
        <w:rFonts w:ascii="Calibri" w:hAnsi="Calibri" w:cs="Arial"/>
        <w:b/>
        <w:color w:val="FF0000"/>
        <w:sz w:val="40"/>
        <w:szCs w:val="40"/>
      </w:rPr>
      <w:t>Sensitive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0A1" w:rsidRDefault="00CF50A1" w:rsidP="00602664">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537DBB">
      <w:rPr>
        <w:rStyle w:val="FooterChar"/>
        <w:b/>
        <w:noProof/>
      </w:rPr>
      <w:t>5</w:t>
    </w:r>
    <w:r w:rsidRPr="002C4DA6">
      <w:rPr>
        <w:rStyle w:val="FooterChar"/>
        <w:b/>
      </w:rPr>
      <w:fldChar w:fldCharType="end"/>
    </w:r>
    <w:r w:rsidRPr="002C4DA6">
      <w:rPr>
        <w:rStyle w:val="FooterChar"/>
        <w:b/>
      </w:rPr>
      <w:t xml:space="preserve"> of </w:t>
    </w:r>
    <w:r w:rsidRPr="002C4DA6">
      <w:rPr>
        <w:rStyle w:val="FooterChar"/>
        <w:b/>
      </w:rPr>
      <w:fldChar w:fldCharType="begin"/>
    </w:r>
    <w:r w:rsidRPr="002C4DA6">
      <w:rPr>
        <w:rStyle w:val="FooterChar"/>
        <w:b/>
      </w:rPr>
      <w:instrText xml:space="preserve"> NUMPAGES  \* Arabic  \* MERGEFORMAT </w:instrText>
    </w:r>
    <w:r w:rsidRPr="002C4DA6">
      <w:rPr>
        <w:rStyle w:val="FooterChar"/>
        <w:b/>
      </w:rPr>
      <w:fldChar w:fldCharType="separate"/>
    </w:r>
    <w:r w:rsidR="00537DBB">
      <w:rPr>
        <w:rStyle w:val="FooterChar"/>
        <w:b/>
        <w:noProof/>
      </w:rPr>
      <w:t>7</w:t>
    </w:r>
    <w:r w:rsidRPr="002C4DA6">
      <w:rPr>
        <w:rStyle w:val="FooterChar"/>
        <w:b/>
      </w:rPr>
      <w:fldChar w:fldCharType="end"/>
    </w:r>
  </w:p>
  <w:p w:rsidR="00CF50A1" w:rsidRPr="005821C7" w:rsidRDefault="00CF50A1" w:rsidP="00482F63">
    <w:pPr>
      <w:pStyle w:val="Footer"/>
      <w:ind w:left="3714" w:hanging="3714"/>
      <w:jc w:val="center"/>
      <w:rPr>
        <w:rFonts w:ascii="Calibri" w:hAnsi="Calibri" w:cs="Arial"/>
        <w:strike/>
        <w:color w:val="FF0000"/>
        <w:sz w:val="40"/>
        <w:szCs w:val="40"/>
      </w:rPr>
    </w:pPr>
    <w:r w:rsidRPr="005821C7">
      <w:rPr>
        <w:rStyle w:val="FooterChar"/>
        <w:rFonts w:ascii="Calibri" w:hAnsi="Calibri" w:cs="Arial"/>
        <w:b/>
        <w:strike/>
        <w:color w:val="FF0000"/>
        <w:sz w:val="40"/>
        <w:szCs w:val="40"/>
      </w:rPr>
      <w:t>Sensitive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0A1" w:rsidRPr="000557A7" w:rsidRDefault="00CF50A1" w:rsidP="008D5A11">
      <w:pPr>
        <w:pBdr>
          <w:top w:val="single" w:sz="4" w:space="1" w:color="auto"/>
        </w:pBdr>
        <w:spacing w:before="240" w:line="60" w:lineRule="exact"/>
        <w:rPr>
          <w:sz w:val="16"/>
          <w:szCs w:val="16"/>
        </w:rPr>
      </w:pPr>
    </w:p>
    <w:p w:rsidR="00CF50A1" w:rsidRDefault="00CF50A1"/>
  </w:footnote>
  <w:footnote w:type="continuationSeparator" w:id="0">
    <w:p w:rsidR="00CF50A1" w:rsidRDefault="00CF50A1" w:rsidP="00A20802">
      <w:pPr>
        <w:spacing w:line="240" w:lineRule="auto"/>
      </w:pPr>
      <w:r>
        <w:continuationSeparator/>
      </w:r>
    </w:p>
    <w:p w:rsidR="00CF50A1" w:rsidRDefault="00CF50A1"/>
    <w:p w:rsidR="00CF50A1" w:rsidRDefault="00CF50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DBB" w:rsidRDefault="00537D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1C7" w:rsidRPr="00537DBB" w:rsidRDefault="005821C7" w:rsidP="005821C7">
    <w:pPr>
      <w:pStyle w:val="Header"/>
      <w:jc w:val="center"/>
      <w:rPr>
        <w:rFonts w:ascii="Calibri" w:hAnsi="Calibri"/>
        <w:b/>
        <w:strike/>
        <w:color w:val="FF0000"/>
        <w:sz w:val="40"/>
        <w:szCs w:val="40"/>
      </w:rPr>
    </w:pPr>
    <w:r w:rsidRPr="00537DBB">
      <w:rPr>
        <w:rFonts w:ascii="Calibri" w:hAnsi="Calibri"/>
        <w:b/>
        <w:strike/>
        <w:color w:val="FF0000"/>
        <w:sz w:val="40"/>
        <w:szCs w:val="40"/>
      </w:rPr>
      <w:t>Sensitive</w:t>
    </w:r>
  </w:p>
  <w:p w:rsidR="005821C7" w:rsidRPr="005821C7" w:rsidRDefault="005821C7" w:rsidP="005821C7">
    <w:pPr>
      <w:pStyle w:val="Header"/>
    </w:pPr>
    <w:r>
      <w:rPr>
        <w:noProof/>
        <w:lang w:eastAsia="en-AU"/>
      </w:rPr>
      <w:drawing>
        <wp:inline distT="0" distB="0" distL="0" distR="0" wp14:anchorId="352C0E03" wp14:editId="76224CBF">
          <wp:extent cx="2696845" cy="572135"/>
          <wp:effectExtent l="0" t="0" r="8255" b="0"/>
          <wp:docPr id="6" name="Picture 6"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0A1" w:rsidRPr="007A47D0" w:rsidRDefault="00CF50A1" w:rsidP="002C4DA6">
    <w:pPr>
      <w:pStyle w:val="Header"/>
      <w:jc w:val="center"/>
      <w:rPr>
        <w:rFonts w:ascii="Calibri" w:hAnsi="Calibri"/>
        <w:b/>
        <w:color w:val="FF0000"/>
        <w:sz w:val="40"/>
        <w:szCs w:val="40"/>
      </w:rPr>
    </w:pPr>
    <w:r w:rsidRPr="007A47D0">
      <w:rPr>
        <w:rFonts w:ascii="Calibri" w:hAnsi="Calibri"/>
        <w:b/>
        <w:color w:val="FF0000"/>
        <w:sz w:val="40"/>
        <w:szCs w:val="40"/>
      </w:rPr>
      <w:t>Sensitive</w:t>
    </w:r>
  </w:p>
  <w:p w:rsidR="00CF50A1" w:rsidRPr="0046444F" w:rsidRDefault="00CF50A1" w:rsidP="0046444F">
    <w:pPr>
      <w:pStyle w:val="Header"/>
    </w:pPr>
    <w:r>
      <w:rPr>
        <w:noProof/>
        <w:lang w:eastAsia="en-AU"/>
      </w:rPr>
      <w:drawing>
        <wp:inline distT="0" distB="0" distL="0" distR="0" wp14:anchorId="7968A112" wp14:editId="3DF830DE">
          <wp:extent cx="2696845" cy="572135"/>
          <wp:effectExtent l="0" t="0" r="8255" b="0"/>
          <wp:docPr id="9" name="Picture 9"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1C7" w:rsidRPr="00537DBB" w:rsidRDefault="005821C7" w:rsidP="005821C7">
    <w:pPr>
      <w:pStyle w:val="Header"/>
      <w:jc w:val="center"/>
      <w:rPr>
        <w:rFonts w:ascii="Calibri" w:hAnsi="Calibri"/>
        <w:b/>
        <w:strike/>
        <w:color w:val="FF0000"/>
        <w:sz w:val="40"/>
        <w:szCs w:val="40"/>
      </w:rPr>
    </w:pPr>
    <w:r w:rsidRPr="00537DBB">
      <w:rPr>
        <w:rFonts w:ascii="Calibri" w:hAnsi="Calibri"/>
        <w:b/>
        <w:strike/>
        <w:color w:val="FF0000"/>
        <w:sz w:val="40"/>
        <w:szCs w:val="40"/>
      </w:rPr>
      <w:t>Sensitive</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9F868A2C"/>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nsid w:val="0FB2573F"/>
    <w:multiLevelType w:val="multilevel"/>
    <w:tmpl w:val="CCB018EE"/>
    <w:name w:val="TableFootnotes"/>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9">
    <w:nsid w:val="6C1771C9"/>
    <w:multiLevelType w:val="hybridMultilevel"/>
    <w:tmpl w:val="1CC87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2">
    <w:nsid w:val="73CB16D3"/>
    <w:multiLevelType w:val="hybridMultilevel"/>
    <w:tmpl w:val="405C53E6"/>
    <w:lvl w:ilvl="0" w:tplc="2794B2C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8"/>
  </w:num>
  <w:num w:numId="2">
    <w:abstractNumId w:val="0"/>
  </w:num>
  <w:num w:numId="3">
    <w:abstractNumId w:val="13"/>
  </w:num>
  <w:num w:numId="4">
    <w:abstractNumId w:val="6"/>
  </w:num>
  <w:num w:numId="5">
    <w:abstractNumId w:val="5"/>
  </w:num>
  <w:num w:numId="6">
    <w:abstractNumId w:val="11"/>
  </w:num>
  <w:num w:numId="7">
    <w:abstractNumId w:val="2"/>
  </w:num>
  <w:num w:numId="8">
    <w:abstractNumId w:val="3"/>
  </w:num>
  <w:num w:numId="9">
    <w:abstractNumId w:val="10"/>
  </w:num>
  <w:num w:numId="10">
    <w:abstractNumId w:val="1"/>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FE7C19"/>
    <w:rsid w:val="0000071C"/>
    <w:rsid w:val="0000322C"/>
    <w:rsid w:val="00003CDD"/>
    <w:rsid w:val="0001406F"/>
    <w:rsid w:val="000168A7"/>
    <w:rsid w:val="00016D53"/>
    <w:rsid w:val="000278D0"/>
    <w:rsid w:val="00027E62"/>
    <w:rsid w:val="000307C8"/>
    <w:rsid w:val="00030F73"/>
    <w:rsid w:val="00035ADE"/>
    <w:rsid w:val="0004224B"/>
    <w:rsid w:val="00045AEF"/>
    <w:rsid w:val="00046226"/>
    <w:rsid w:val="0005330D"/>
    <w:rsid w:val="000557A7"/>
    <w:rsid w:val="00055805"/>
    <w:rsid w:val="00056CB3"/>
    <w:rsid w:val="00066D54"/>
    <w:rsid w:val="00067A28"/>
    <w:rsid w:val="0007260F"/>
    <w:rsid w:val="0007488E"/>
    <w:rsid w:val="000805D5"/>
    <w:rsid w:val="0008103B"/>
    <w:rsid w:val="00085F97"/>
    <w:rsid w:val="000879B1"/>
    <w:rsid w:val="00092A33"/>
    <w:rsid w:val="000973F9"/>
    <w:rsid w:val="000A2FEC"/>
    <w:rsid w:val="000A348F"/>
    <w:rsid w:val="000B6942"/>
    <w:rsid w:val="000B6D00"/>
    <w:rsid w:val="000B6F50"/>
    <w:rsid w:val="000C09FA"/>
    <w:rsid w:val="000C1AB0"/>
    <w:rsid w:val="000C37A9"/>
    <w:rsid w:val="000C6728"/>
    <w:rsid w:val="000C702E"/>
    <w:rsid w:val="000D15E9"/>
    <w:rsid w:val="000D3182"/>
    <w:rsid w:val="000D45C4"/>
    <w:rsid w:val="000D46B3"/>
    <w:rsid w:val="000E18F3"/>
    <w:rsid w:val="000E266E"/>
    <w:rsid w:val="000E4A96"/>
    <w:rsid w:val="000E4C7B"/>
    <w:rsid w:val="000F1515"/>
    <w:rsid w:val="000F16B5"/>
    <w:rsid w:val="000F616E"/>
    <w:rsid w:val="000F7D50"/>
    <w:rsid w:val="00101F12"/>
    <w:rsid w:val="001046E8"/>
    <w:rsid w:val="00110026"/>
    <w:rsid w:val="00110D43"/>
    <w:rsid w:val="001159EA"/>
    <w:rsid w:val="00120A75"/>
    <w:rsid w:val="00125410"/>
    <w:rsid w:val="00130858"/>
    <w:rsid w:val="00136C26"/>
    <w:rsid w:val="0014059F"/>
    <w:rsid w:val="00141551"/>
    <w:rsid w:val="001417CE"/>
    <w:rsid w:val="0014479F"/>
    <w:rsid w:val="00146B30"/>
    <w:rsid w:val="00146EAD"/>
    <w:rsid w:val="00147F17"/>
    <w:rsid w:val="001541BF"/>
    <w:rsid w:val="00154DC5"/>
    <w:rsid w:val="00160C8D"/>
    <w:rsid w:val="001629C0"/>
    <w:rsid w:val="00165122"/>
    <w:rsid w:val="00165854"/>
    <w:rsid w:val="001738DB"/>
    <w:rsid w:val="00173DFD"/>
    <w:rsid w:val="00180FF9"/>
    <w:rsid w:val="00193FC1"/>
    <w:rsid w:val="00195228"/>
    <w:rsid w:val="00195696"/>
    <w:rsid w:val="00196532"/>
    <w:rsid w:val="001A1EFC"/>
    <w:rsid w:val="001A48EF"/>
    <w:rsid w:val="001A49CC"/>
    <w:rsid w:val="001A5553"/>
    <w:rsid w:val="001A716E"/>
    <w:rsid w:val="001B2C65"/>
    <w:rsid w:val="001B373B"/>
    <w:rsid w:val="001B4255"/>
    <w:rsid w:val="001B7058"/>
    <w:rsid w:val="001C3A4F"/>
    <w:rsid w:val="001C4121"/>
    <w:rsid w:val="001C48DE"/>
    <w:rsid w:val="001C5FCE"/>
    <w:rsid w:val="001D30C1"/>
    <w:rsid w:val="001D3683"/>
    <w:rsid w:val="001D52E3"/>
    <w:rsid w:val="001D576F"/>
    <w:rsid w:val="001D7C29"/>
    <w:rsid w:val="001E0475"/>
    <w:rsid w:val="001E33C2"/>
    <w:rsid w:val="001F07BC"/>
    <w:rsid w:val="001F2AAD"/>
    <w:rsid w:val="001F42DD"/>
    <w:rsid w:val="001F5C90"/>
    <w:rsid w:val="001F767C"/>
    <w:rsid w:val="00210FCF"/>
    <w:rsid w:val="002179B6"/>
    <w:rsid w:val="00222EFF"/>
    <w:rsid w:val="002240D5"/>
    <w:rsid w:val="002261A7"/>
    <w:rsid w:val="00226AEC"/>
    <w:rsid w:val="00231F88"/>
    <w:rsid w:val="0024773D"/>
    <w:rsid w:val="002545F3"/>
    <w:rsid w:val="0026344F"/>
    <w:rsid w:val="00266A17"/>
    <w:rsid w:val="002671A2"/>
    <w:rsid w:val="00270372"/>
    <w:rsid w:val="00275534"/>
    <w:rsid w:val="00277075"/>
    <w:rsid w:val="002775D2"/>
    <w:rsid w:val="00281ADD"/>
    <w:rsid w:val="0028563E"/>
    <w:rsid w:val="002878C8"/>
    <w:rsid w:val="00293E0D"/>
    <w:rsid w:val="00293E80"/>
    <w:rsid w:val="002973B0"/>
    <w:rsid w:val="00297C14"/>
    <w:rsid w:val="002A0973"/>
    <w:rsid w:val="002A220F"/>
    <w:rsid w:val="002A24F1"/>
    <w:rsid w:val="002A43A0"/>
    <w:rsid w:val="002A5778"/>
    <w:rsid w:val="002A6E3B"/>
    <w:rsid w:val="002B1E84"/>
    <w:rsid w:val="002B2085"/>
    <w:rsid w:val="002B3EC4"/>
    <w:rsid w:val="002C37D5"/>
    <w:rsid w:val="002C389B"/>
    <w:rsid w:val="002C3BBE"/>
    <w:rsid w:val="002C4DA6"/>
    <w:rsid w:val="002D0BAB"/>
    <w:rsid w:val="002D18E1"/>
    <w:rsid w:val="002D239A"/>
    <w:rsid w:val="002D34DB"/>
    <w:rsid w:val="002D3DAF"/>
    <w:rsid w:val="002D4B11"/>
    <w:rsid w:val="002E47EF"/>
    <w:rsid w:val="002E5633"/>
    <w:rsid w:val="002F1963"/>
    <w:rsid w:val="002F5B6E"/>
    <w:rsid w:val="002F61B5"/>
    <w:rsid w:val="00300066"/>
    <w:rsid w:val="0030209B"/>
    <w:rsid w:val="003127E4"/>
    <w:rsid w:val="00313215"/>
    <w:rsid w:val="00313DA1"/>
    <w:rsid w:val="00313F70"/>
    <w:rsid w:val="003174C3"/>
    <w:rsid w:val="003230D5"/>
    <w:rsid w:val="0032557A"/>
    <w:rsid w:val="00331241"/>
    <w:rsid w:val="003318BA"/>
    <w:rsid w:val="00340778"/>
    <w:rsid w:val="00343205"/>
    <w:rsid w:val="00344D2C"/>
    <w:rsid w:val="003458CE"/>
    <w:rsid w:val="00345A57"/>
    <w:rsid w:val="00346D90"/>
    <w:rsid w:val="00351F62"/>
    <w:rsid w:val="0035792C"/>
    <w:rsid w:val="003601F4"/>
    <w:rsid w:val="003671E2"/>
    <w:rsid w:val="00372AE6"/>
    <w:rsid w:val="00376C3A"/>
    <w:rsid w:val="003837E1"/>
    <w:rsid w:val="0038584D"/>
    <w:rsid w:val="0039257F"/>
    <w:rsid w:val="003931DE"/>
    <w:rsid w:val="00397D1A"/>
    <w:rsid w:val="003A163C"/>
    <w:rsid w:val="003A2B4E"/>
    <w:rsid w:val="003A2FBB"/>
    <w:rsid w:val="003A3799"/>
    <w:rsid w:val="003A4913"/>
    <w:rsid w:val="003A54A9"/>
    <w:rsid w:val="003A7083"/>
    <w:rsid w:val="003B055F"/>
    <w:rsid w:val="003B3103"/>
    <w:rsid w:val="003B38B3"/>
    <w:rsid w:val="003B3A97"/>
    <w:rsid w:val="003B3D44"/>
    <w:rsid w:val="003B47BC"/>
    <w:rsid w:val="003C6BB5"/>
    <w:rsid w:val="003C7CC2"/>
    <w:rsid w:val="003D50B6"/>
    <w:rsid w:val="003D6B06"/>
    <w:rsid w:val="003E05DF"/>
    <w:rsid w:val="003E1562"/>
    <w:rsid w:val="003E6085"/>
    <w:rsid w:val="003E6CA3"/>
    <w:rsid w:val="003F4C96"/>
    <w:rsid w:val="004017B5"/>
    <w:rsid w:val="00401C49"/>
    <w:rsid w:val="00404CFE"/>
    <w:rsid w:val="00406002"/>
    <w:rsid w:val="00406AD3"/>
    <w:rsid w:val="00410731"/>
    <w:rsid w:val="00411272"/>
    <w:rsid w:val="00412E42"/>
    <w:rsid w:val="00413EC1"/>
    <w:rsid w:val="0042112A"/>
    <w:rsid w:val="00425C05"/>
    <w:rsid w:val="00426356"/>
    <w:rsid w:val="00426929"/>
    <w:rsid w:val="00433D11"/>
    <w:rsid w:val="00441A6D"/>
    <w:rsid w:val="00442C16"/>
    <w:rsid w:val="00445410"/>
    <w:rsid w:val="00446256"/>
    <w:rsid w:val="00446439"/>
    <w:rsid w:val="00450BDA"/>
    <w:rsid w:val="00453A3E"/>
    <w:rsid w:val="0045452F"/>
    <w:rsid w:val="0045766B"/>
    <w:rsid w:val="00457EA9"/>
    <w:rsid w:val="0046444F"/>
    <w:rsid w:val="00474BB7"/>
    <w:rsid w:val="00476133"/>
    <w:rsid w:val="004816D7"/>
    <w:rsid w:val="00482F63"/>
    <w:rsid w:val="0048342E"/>
    <w:rsid w:val="00487478"/>
    <w:rsid w:val="0048782D"/>
    <w:rsid w:val="00492128"/>
    <w:rsid w:val="00494DC1"/>
    <w:rsid w:val="004A383E"/>
    <w:rsid w:val="004A3F56"/>
    <w:rsid w:val="004A4F1C"/>
    <w:rsid w:val="004A5E21"/>
    <w:rsid w:val="004A666A"/>
    <w:rsid w:val="004B143F"/>
    <w:rsid w:val="004B3022"/>
    <w:rsid w:val="004B49A0"/>
    <w:rsid w:val="004C2FFE"/>
    <w:rsid w:val="004C34A9"/>
    <w:rsid w:val="004C6306"/>
    <w:rsid w:val="004C6F5E"/>
    <w:rsid w:val="004C7E94"/>
    <w:rsid w:val="004D1638"/>
    <w:rsid w:val="004D4551"/>
    <w:rsid w:val="004D7CF8"/>
    <w:rsid w:val="004D7EDA"/>
    <w:rsid w:val="004E0E49"/>
    <w:rsid w:val="004E197A"/>
    <w:rsid w:val="004E3F74"/>
    <w:rsid w:val="004E5D52"/>
    <w:rsid w:val="004F07D7"/>
    <w:rsid w:val="004F1297"/>
    <w:rsid w:val="004F16DB"/>
    <w:rsid w:val="004F4D7E"/>
    <w:rsid w:val="004F5B16"/>
    <w:rsid w:val="004F5D9D"/>
    <w:rsid w:val="004F68E5"/>
    <w:rsid w:val="004F7037"/>
    <w:rsid w:val="004F741B"/>
    <w:rsid w:val="00503253"/>
    <w:rsid w:val="00503BB0"/>
    <w:rsid w:val="00503E03"/>
    <w:rsid w:val="00511F0B"/>
    <w:rsid w:val="00512226"/>
    <w:rsid w:val="005147C6"/>
    <w:rsid w:val="0051510F"/>
    <w:rsid w:val="005153D0"/>
    <w:rsid w:val="005159B1"/>
    <w:rsid w:val="00522502"/>
    <w:rsid w:val="00522530"/>
    <w:rsid w:val="005255A1"/>
    <w:rsid w:val="00525825"/>
    <w:rsid w:val="0052641C"/>
    <w:rsid w:val="0053795D"/>
    <w:rsid w:val="00537DBB"/>
    <w:rsid w:val="00544522"/>
    <w:rsid w:val="005468AB"/>
    <w:rsid w:val="005501A0"/>
    <w:rsid w:val="00550831"/>
    <w:rsid w:val="00554273"/>
    <w:rsid w:val="0056001A"/>
    <w:rsid w:val="005642B6"/>
    <w:rsid w:val="00566A97"/>
    <w:rsid w:val="00571D5E"/>
    <w:rsid w:val="005807FF"/>
    <w:rsid w:val="005814CA"/>
    <w:rsid w:val="00581543"/>
    <w:rsid w:val="005821C7"/>
    <w:rsid w:val="005823D0"/>
    <w:rsid w:val="00583AAF"/>
    <w:rsid w:val="00587AF9"/>
    <w:rsid w:val="005962D5"/>
    <w:rsid w:val="005A2748"/>
    <w:rsid w:val="005A443F"/>
    <w:rsid w:val="005A7C26"/>
    <w:rsid w:val="005B0970"/>
    <w:rsid w:val="005B23A4"/>
    <w:rsid w:val="005B58D4"/>
    <w:rsid w:val="005C07B3"/>
    <w:rsid w:val="005C284E"/>
    <w:rsid w:val="005C47D4"/>
    <w:rsid w:val="005D4506"/>
    <w:rsid w:val="005D51D0"/>
    <w:rsid w:val="005D6F83"/>
    <w:rsid w:val="005D7877"/>
    <w:rsid w:val="005D7CCF"/>
    <w:rsid w:val="005E04CF"/>
    <w:rsid w:val="005E58C4"/>
    <w:rsid w:val="005E5D8F"/>
    <w:rsid w:val="005F0ACC"/>
    <w:rsid w:val="005F5A5C"/>
    <w:rsid w:val="005F5CD9"/>
    <w:rsid w:val="005F6133"/>
    <w:rsid w:val="00602664"/>
    <w:rsid w:val="0061135C"/>
    <w:rsid w:val="006136DD"/>
    <w:rsid w:val="006149F0"/>
    <w:rsid w:val="006220A5"/>
    <w:rsid w:val="00622440"/>
    <w:rsid w:val="00622D86"/>
    <w:rsid w:val="00624AC8"/>
    <w:rsid w:val="00633812"/>
    <w:rsid w:val="00633C60"/>
    <w:rsid w:val="0064126D"/>
    <w:rsid w:val="006451B8"/>
    <w:rsid w:val="00645722"/>
    <w:rsid w:val="006509C3"/>
    <w:rsid w:val="00652432"/>
    <w:rsid w:val="00657840"/>
    <w:rsid w:val="0066003C"/>
    <w:rsid w:val="0066041E"/>
    <w:rsid w:val="00673CCC"/>
    <w:rsid w:val="00675C98"/>
    <w:rsid w:val="006878BC"/>
    <w:rsid w:val="0069026B"/>
    <w:rsid w:val="006956EA"/>
    <w:rsid w:val="006A490C"/>
    <w:rsid w:val="006B4F7D"/>
    <w:rsid w:val="006C114C"/>
    <w:rsid w:val="006C3668"/>
    <w:rsid w:val="006C3864"/>
    <w:rsid w:val="006C5383"/>
    <w:rsid w:val="006C5E72"/>
    <w:rsid w:val="006D2AEC"/>
    <w:rsid w:val="006D438F"/>
    <w:rsid w:val="006D4C8E"/>
    <w:rsid w:val="006E19D1"/>
    <w:rsid w:val="006E1CBB"/>
    <w:rsid w:val="006E393D"/>
    <w:rsid w:val="006E5E7E"/>
    <w:rsid w:val="006F100B"/>
    <w:rsid w:val="006F239A"/>
    <w:rsid w:val="006F2C9D"/>
    <w:rsid w:val="006F4201"/>
    <w:rsid w:val="006F6B51"/>
    <w:rsid w:val="006F7A15"/>
    <w:rsid w:val="007026A7"/>
    <w:rsid w:val="007048DB"/>
    <w:rsid w:val="0070637D"/>
    <w:rsid w:val="007071DD"/>
    <w:rsid w:val="0070771F"/>
    <w:rsid w:val="00712A14"/>
    <w:rsid w:val="00713208"/>
    <w:rsid w:val="00716C04"/>
    <w:rsid w:val="007170D0"/>
    <w:rsid w:val="00717180"/>
    <w:rsid w:val="007179D2"/>
    <w:rsid w:val="00720750"/>
    <w:rsid w:val="0072549C"/>
    <w:rsid w:val="00725A80"/>
    <w:rsid w:val="007334D4"/>
    <w:rsid w:val="00733970"/>
    <w:rsid w:val="0073435F"/>
    <w:rsid w:val="007375FE"/>
    <w:rsid w:val="00741D0B"/>
    <w:rsid w:val="00754C58"/>
    <w:rsid w:val="00762674"/>
    <w:rsid w:val="00776E78"/>
    <w:rsid w:val="0078138A"/>
    <w:rsid w:val="00783014"/>
    <w:rsid w:val="007834DC"/>
    <w:rsid w:val="007959D8"/>
    <w:rsid w:val="0079630F"/>
    <w:rsid w:val="007A04C2"/>
    <w:rsid w:val="007A47D0"/>
    <w:rsid w:val="007B146A"/>
    <w:rsid w:val="007B57C9"/>
    <w:rsid w:val="007C0E7C"/>
    <w:rsid w:val="007C0EAA"/>
    <w:rsid w:val="007C19C3"/>
    <w:rsid w:val="007C44B2"/>
    <w:rsid w:val="007C54EE"/>
    <w:rsid w:val="007C6496"/>
    <w:rsid w:val="007C745E"/>
    <w:rsid w:val="007D0ABE"/>
    <w:rsid w:val="007E0E53"/>
    <w:rsid w:val="007E356F"/>
    <w:rsid w:val="007E3F8C"/>
    <w:rsid w:val="007F2058"/>
    <w:rsid w:val="007F7685"/>
    <w:rsid w:val="0080011D"/>
    <w:rsid w:val="00800EA5"/>
    <w:rsid w:val="00801C01"/>
    <w:rsid w:val="008112CC"/>
    <w:rsid w:val="008114CD"/>
    <w:rsid w:val="008130BB"/>
    <w:rsid w:val="00813D7D"/>
    <w:rsid w:val="008147C6"/>
    <w:rsid w:val="00817406"/>
    <w:rsid w:val="008208A7"/>
    <w:rsid w:val="008237FA"/>
    <w:rsid w:val="00825D37"/>
    <w:rsid w:val="008369B0"/>
    <w:rsid w:val="008372D1"/>
    <w:rsid w:val="0085008A"/>
    <w:rsid w:val="0085732C"/>
    <w:rsid w:val="00860B45"/>
    <w:rsid w:val="00863860"/>
    <w:rsid w:val="008638B5"/>
    <w:rsid w:val="008734DB"/>
    <w:rsid w:val="0087390B"/>
    <w:rsid w:val="008745A1"/>
    <w:rsid w:val="0087603A"/>
    <w:rsid w:val="008768E9"/>
    <w:rsid w:val="0087751B"/>
    <w:rsid w:val="00890995"/>
    <w:rsid w:val="008914FB"/>
    <w:rsid w:val="00892516"/>
    <w:rsid w:val="0089737A"/>
    <w:rsid w:val="00897E99"/>
    <w:rsid w:val="00897F60"/>
    <w:rsid w:val="008A0143"/>
    <w:rsid w:val="008A4829"/>
    <w:rsid w:val="008A6287"/>
    <w:rsid w:val="008B2384"/>
    <w:rsid w:val="008B38D6"/>
    <w:rsid w:val="008B4802"/>
    <w:rsid w:val="008B69E3"/>
    <w:rsid w:val="008C1FD1"/>
    <w:rsid w:val="008C24A8"/>
    <w:rsid w:val="008C35EF"/>
    <w:rsid w:val="008C5155"/>
    <w:rsid w:val="008C5996"/>
    <w:rsid w:val="008D0516"/>
    <w:rsid w:val="008D4C0C"/>
    <w:rsid w:val="008D5A11"/>
    <w:rsid w:val="008D5E23"/>
    <w:rsid w:val="008D77AF"/>
    <w:rsid w:val="008E2C32"/>
    <w:rsid w:val="008E6D59"/>
    <w:rsid w:val="008F120B"/>
    <w:rsid w:val="008F30C7"/>
    <w:rsid w:val="008F5D66"/>
    <w:rsid w:val="009028AA"/>
    <w:rsid w:val="00903E3F"/>
    <w:rsid w:val="00904015"/>
    <w:rsid w:val="009049C3"/>
    <w:rsid w:val="009057D9"/>
    <w:rsid w:val="0090774A"/>
    <w:rsid w:val="00910D07"/>
    <w:rsid w:val="00914B2F"/>
    <w:rsid w:val="009150E6"/>
    <w:rsid w:val="00917F89"/>
    <w:rsid w:val="0092499B"/>
    <w:rsid w:val="009255EE"/>
    <w:rsid w:val="00925603"/>
    <w:rsid w:val="00925F76"/>
    <w:rsid w:val="00932E89"/>
    <w:rsid w:val="0093359D"/>
    <w:rsid w:val="00933F2B"/>
    <w:rsid w:val="00942EEB"/>
    <w:rsid w:val="0094468E"/>
    <w:rsid w:val="00944B6E"/>
    <w:rsid w:val="00945261"/>
    <w:rsid w:val="00947377"/>
    <w:rsid w:val="009506A5"/>
    <w:rsid w:val="009541CC"/>
    <w:rsid w:val="00956564"/>
    <w:rsid w:val="009567A6"/>
    <w:rsid w:val="00956D5A"/>
    <w:rsid w:val="00961B2C"/>
    <w:rsid w:val="00961DBB"/>
    <w:rsid w:val="0096618E"/>
    <w:rsid w:val="009758AE"/>
    <w:rsid w:val="0097677E"/>
    <w:rsid w:val="00981433"/>
    <w:rsid w:val="00981A02"/>
    <w:rsid w:val="0098222F"/>
    <w:rsid w:val="00985C07"/>
    <w:rsid w:val="00995B4F"/>
    <w:rsid w:val="00995FA3"/>
    <w:rsid w:val="00997582"/>
    <w:rsid w:val="009A2C21"/>
    <w:rsid w:val="009A3E58"/>
    <w:rsid w:val="009A5F02"/>
    <w:rsid w:val="009A7AB1"/>
    <w:rsid w:val="009B24C3"/>
    <w:rsid w:val="009C1E9F"/>
    <w:rsid w:val="009C6DAA"/>
    <w:rsid w:val="009D0E74"/>
    <w:rsid w:val="009D1A96"/>
    <w:rsid w:val="009D370B"/>
    <w:rsid w:val="009E2087"/>
    <w:rsid w:val="009E252B"/>
    <w:rsid w:val="009E3265"/>
    <w:rsid w:val="009E3353"/>
    <w:rsid w:val="009E446D"/>
    <w:rsid w:val="009E7226"/>
    <w:rsid w:val="009E7C09"/>
    <w:rsid w:val="009F146D"/>
    <w:rsid w:val="009F4F1E"/>
    <w:rsid w:val="009F5D6A"/>
    <w:rsid w:val="00A00AED"/>
    <w:rsid w:val="00A015E4"/>
    <w:rsid w:val="00A075BC"/>
    <w:rsid w:val="00A11222"/>
    <w:rsid w:val="00A12C39"/>
    <w:rsid w:val="00A134FB"/>
    <w:rsid w:val="00A20802"/>
    <w:rsid w:val="00A25B4F"/>
    <w:rsid w:val="00A261B3"/>
    <w:rsid w:val="00A27E8B"/>
    <w:rsid w:val="00A442BF"/>
    <w:rsid w:val="00A517D0"/>
    <w:rsid w:val="00A53716"/>
    <w:rsid w:val="00A5629E"/>
    <w:rsid w:val="00A64832"/>
    <w:rsid w:val="00A732DB"/>
    <w:rsid w:val="00A75338"/>
    <w:rsid w:val="00A838D2"/>
    <w:rsid w:val="00A86F04"/>
    <w:rsid w:val="00A946C4"/>
    <w:rsid w:val="00AB47A8"/>
    <w:rsid w:val="00AC01F8"/>
    <w:rsid w:val="00AC059A"/>
    <w:rsid w:val="00AC41CF"/>
    <w:rsid w:val="00AD0308"/>
    <w:rsid w:val="00AD377A"/>
    <w:rsid w:val="00AD67BB"/>
    <w:rsid w:val="00AE1CC1"/>
    <w:rsid w:val="00AE3EA4"/>
    <w:rsid w:val="00AF1B02"/>
    <w:rsid w:val="00AF3475"/>
    <w:rsid w:val="00AF41E4"/>
    <w:rsid w:val="00AF568A"/>
    <w:rsid w:val="00B004CA"/>
    <w:rsid w:val="00B0163B"/>
    <w:rsid w:val="00B06A75"/>
    <w:rsid w:val="00B06BC3"/>
    <w:rsid w:val="00B15A0F"/>
    <w:rsid w:val="00B20236"/>
    <w:rsid w:val="00B20937"/>
    <w:rsid w:val="00B220A0"/>
    <w:rsid w:val="00B22B64"/>
    <w:rsid w:val="00B22FEA"/>
    <w:rsid w:val="00B24321"/>
    <w:rsid w:val="00B30FEB"/>
    <w:rsid w:val="00B311BA"/>
    <w:rsid w:val="00B35B47"/>
    <w:rsid w:val="00B40AA3"/>
    <w:rsid w:val="00B44478"/>
    <w:rsid w:val="00B4609C"/>
    <w:rsid w:val="00B508DA"/>
    <w:rsid w:val="00B6002C"/>
    <w:rsid w:val="00B620EE"/>
    <w:rsid w:val="00B72512"/>
    <w:rsid w:val="00B85366"/>
    <w:rsid w:val="00B87F60"/>
    <w:rsid w:val="00B93D3D"/>
    <w:rsid w:val="00B96341"/>
    <w:rsid w:val="00BA471F"/>
    <w:rsid w:val="00BA5F93"/>
    <w:rsid w:val="00BB2C3C"/>
    <w:rsid w:val="00BB3B54"/>
    <w:rsid w:val="00BB5013"/>
    <w:rsid w:val="00BB528E"/>
    <w:rsid w:val="00BB615A"/>
    <w:rsid w:val="00BC2600"/>
    <w:rsid w:val="00BC36F0"/>
    <w:rsid w:val="00BC3E99"/>
    <w:rsid w:val="00BC4FA7"/>
    <w:rsid w:val="00BC5E30"/>
    <w:rsid w:val="00BD00ED"/>
    <w:rsid w:val="00BD02C5"/>
    <w:rsid w:val="00BD068D"/>
    <w:rsid w:val="00BE0D9A"/>
    <w:rsid w:val="00BE1A50"/>
    <w:rsid w:val="00BE2F0D"/>
    <w:rsid w:val="00BE5E2E"/>
    <w:rsid w:val="00BF0BD5"/>
    <w:rsid w:val="00BF145B"/>
    <w:rsid w:val="00BF299A"/>
    <w:rsid w:val="00BF555F"/>
    <w:rsid w:val="00BF55F8"/>
    <w:rsid w:val="00C051FD"/>
    <w:rsid w:val="00C168CF"/>
    <w:rsid w:val="00C20C7D"/>
    <w:rsid w:val="00C20DEF"/>
    <w:rsid w:val="00C23FC9"/>
    <w:rsid w:val="00C2456A"/>
    <w:rsid w:val="00C24B25"/>
    <w:rsid w:val="00C24E89"/>
    <w:rsid w:val="00C32C2F"/>
    <w:rsid w:val="00C34245"/>
    <w:rsid w:val="00C3738A"/>
    <w:rsid w:val="00C40859"/>
    <w:rsid w:val="00C4315A"/>
    <w:rsid w:val="00C43F5E"/>
    <w:rsid w:val="00C44074"/>
    <w:rsid w:val="00C44A53"/>
    <w:rsid w:val="00C4651F"/>
    <w:rsid w:val="00C51D0B"/>
    <w:rsid w:val="00C52207"/>
    <w:rsid w:val="00C52A50"/>
    <w:rsid w:val="00C642D4"/>
    <w:rsid w:val="00C730F4"/>
    <w:rsid w:val="00C75A13"/>
    <w:rsid w:val="00C80200"/>
    <w:rsid w:val="00C80E0A"/>
    <w:rsid w:val="00C8270B"/>
    <w:rsid w:val="00C83B88"/>
    <w:rsid w:val="00C841A9"/>
    <w:rsid w:val="00C8728F"/>
    <w:rsid w:val="00C97FBC"/>
    <w:rsid w:val="00CA06C8"/>
    <w:rsid w:val="00CA0B7E"/>
    <w:rsid w:val="00CA4C28"/>
    <w:rsid w:val="00CA5598"/>
    <w:rsid w:val="00CA5EF8"/>
    <w:rsid w:val="00CB28A3"/>
    <w:rsid w:val="00CC00A0"/>
    <w:rsid w:val="00CC0FED"/>
    <w:rsid w:val="00CC3C34"/>
    <w:rsid w:val="00CC5455"/>
    <w:rsid w:val="00CC6C06"/>
    <w:rsid w:val="00CD1526"/>
    <w:rsid w:val="00CD2807"/>
    <w:rsid w:val="00CD4BE2"/>
    <w:rsid w:val="00CD5509"/>
    <w:rsid w:val="00CD5719"/>
    <w:rsid w:val="00CE1EB0"/>
    <w:rsid w:val="00CE3D22"/>
    <w:rsid w:val="00CE3DF2"/>
    <w:rsid w:val="00CF0C0F"/>
    <w:rsid w:val="00CF1690"/>
    <w:rsid w:val="00CF1F2A"/>
    <w:rsid w:val="00CF50A1"/>
    <w:rsid w:val="00CF5CE3"/>
    <w:rsid w:val="00CF7412"/>
    <w:rsid w:val="00D020A2"/>
    <w:rsid w:val="00D030F8"/>
    <w:rsid w:val="00D077B7"/>
    <w:rsid w:val="00D20297"/>
    <w:rsid w:val="00D21E6B"/>
    <w:rsid w:val="00D2336A"/>
    <w:rsid w:val="00D23634"/>
    <w:rsid w:val="00D34551"/>
    <w:rsid w:val="00D35836"/>
    <w:rsid w:val="00D36299"/>
    <w:rsid w:val="00D457D6"/>
    <w:rsid w:val="00D578CA"/>
    <w:rsid w:val="00D64CE2"/>
    <w:rsid w:val="00D7376A"/>
    <w:rsid w:val="00D7751B"/>
    <w:rsid w:val="00D815DC"/>
    <w:rsid w:val="00D822B5"/>
    <w:rsid w:val="00D83D3C"/>
    <w:rsid w:val="00D867AE"/>
    <w:rsid w:val="00D87BBB"/>
    <w:rsid w:val="00D87C87"/>
    <w:rsid w:val="00D921C4"/>
    <w:rsid w:val="00D9296A"/>
    <w:rsid w:val="00D93C23"/>
    <w:rsid w:val="00D94D07"/>
    <w:rsid w:val="00D95638"/>
    <w:rsid w:val="00D9584C"/>
    <w:rsid w:val="00DA14D9"/>
    <w:rsid w:val="00DB13AD"/>
    <w:rsid w:val="00DB23F9"/>
    <w:rsid w:val="00DB58BE"/>
    <w:rsid w:val="00DB6176"/>
    <w:rsid w:val="00DB6AA0"/>
    <w:rsid w:val="00DB7C3A"/>
    <w:rsid w:val="00DD14EE"/>
    <w:rsid w:val="00DD32AB"/>
    <w:rsid w:val="00DD5BF6"/>
    <w:rsid w:val="00DD64DC"/>
    <w:rsid w:val="00DE1865"/>
    <w:rsid w:val="00DE6CEF"/>
    <w:rsid w:val="00DF11C2"/>
    <w:rsid w:val="00DF2134"/>
    <w:rsid w:val="00DF4593"/>
    <w:rsid w:val="00DF4963"/>
    <w:rsid w:val="00E10D05"/>
    <w:rsid w:val="00E2223E"/>
    <w:rsid w:val="00E22D98"/>
    <w:rsid w:val="00E24623"/>
    <w:rsid w:val="00E252E3"/>
    <w:rsid w:val="00E25B1B"/>
    <w:rsid w:val="00E40505"/>
    <w:rsid w:val="00E42A41"/>
    <w:rsid w:val="00E45766"/>
    <w:rsid w:val="00E45AC5"/>
    <w:rsid w:val="00E51804"/>
    <w:rsid w:val="00E567E5"/>
    <w:rsid w:val="00E6426F"/>
    <w:rsid w:val="00E64480"/>
    <w:rsid w:val="00E66103"/>
    <w:rsid w:val="00E6708B"/>
    <w:rsid w:val="00E7269C"/>
    <w:rsid w:val="00E73A8C"/>
    <w:rsid w:val="00E75050"/>
    <w:rsid w:val="00E76F42"/>
    <w:rsid w:val="00E77D6D"/>
    <w:rsid w:val="00E915E6"/>
    <w:rsid w:val="00EA3E11"/>
    <w:rsid w:val="00EA40EF"/>
    <w:rsid w:val="00EA6EB3"/>
    <w:rsid w:val="00EB4A8E"/>
    <w:rsid w:val="00EB5EF3"/>
    <w:rsid w:val="00EB695D"/>
    <w:rsid w:val="00EB7C6D"/>
    <w:rsid w:val="00EC38F3"/>
    <w:rsid w:val="00ED1407"/>
    <w:rsid w:val="00ED39CE"/>
    <w:rsid w:val="00ED4134"/>
    <w:rsid w:val="00EE05F1"/>
    <w:rsid w:val="00EE471A"/>
    <w:rsid w:val="00EE5492"/>
    <w:rsid w:val="00EE583A"/>
    <w:rsid w:val="00EF0A00"/>
    <w:rsid w:val="00EF6346"/>
    <w:rsid w:val="00EF7395"/>
    <w:rsid w:val="00F0183C"/>
    <w:rsid w:val="00F0379D"/>
    <w:rsid w:val="00F07BD5"/>
    <w:rsid w:val="00F122D6"/>
    <w:rsid w:val="00F15BF4"/>
    <w:rsid w:val="00F171E0"/>
    <w:rsid w:val="00F17940"/>
    <w:rsid w:val="00F17DC0"/>
    <w:rsid w:val="00F2046C"/>
    <w:rsid w:val="00F20647"/>
    <w:rsid w:val="00F207FC"/>
    <w:rsid w:val="00F31392"/>
    <w:rsid w:val="00F33940"/>
    <w:rsid w:val="00F348B5"/>
    <w:rsid w:val="00F3652B"/>
    <w:rsid w:val="00F377B9"/>
    <w:rsid w:val="00F45442"/>
    <w:rsid w:val="00F5145E"/>
    <w:rsid w:val="00F558EA"/>
    <w:rsid w:val="00F5681C"/>
    <w:rsid w:val="00F613CB"/>
    <w:rsid w:val="00F61F79"/>
    <w:rsid w:val="00F651DD"/>
    <w:rsid w:val="00F656A4"/>
    <w:rsid w:val="00F6665E"/>
    <w:rsid w:val="00F7075F"/>
    <w:rsid w:val="00F71D76"/>
    <w:rsid w:val="00F8349F"/>
    <w:rsid w:val="00F83FB7"/>
    <w:rsid w:val="00F85935"/>
    <w:rsid w:val="00F85D29"/>
    <w:rsid w:val="00F906E2"/>
    <w:rsid w:val="00F969D3"/>
    <w:rsid w:val="00F9789E"/>
    <w:rsid w:val="00FA190E"/>
    <w:rsid w:val="00FA54D8"/>
    <w:rsid w:val="00FB460E"/>
    <w:rsid w:val="00FC4FB7"/>
    <w:rsid w:val="00FD1EE0"/>
    <w:rsid w:val="00FD357B"/>
    <w:rsid w:val="00FD38FC"/>
    <w:rsid w:val="00FD6119"/>
    <w:rsid w:val="00FD688E"/>
    <w:rsid w:val="00FD7C0C"/>
    <w:rsid w:val="00FE045C"/>
    <w:rsid w:val="00FE0C52"/>
    <w:rsid w:val="00FE1692"/>
    <w:rsid w:val="00FE3069"/>
    <w:rsid w:val="00FE3B13"/>
    <w:rsid w:val="00FE7C19"/>
    <w:rsid w:val="00FF0566"/>
    <w:rsid w:val="00FF44C3"/>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AC41C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AC41C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qFormat/>
    <w:rsid w:val="00476133"/>
    <w:pPr>
      <w:keepLines/>
      <w:numPr>
        <w:numId w:val="2"/>
      </w:numPr>
      <w:spacing w:after="120"/>
    </w:pPr>
    <w:rPr>
      <w:spacing w:val="-1"/>
    </w:rPr>
  </w:style>
  <w:style w:type="paragraph" w:styleId="ListBullet2">
    <w:name w:val="List Bullet 2"/>
    <w:basedOn w:val="ListBullet"/>
    <w:qFormat/>
    <w:rsid w:val="00476133"/>
    <w:pPr>
      <w:numPr>
        <w:ilvl w:val="1"/>
      </w:numPr>
      <w:ind w:left="908" w:hanging="454"/>
    </w:pPr>
  </w:style>
  <w:style w:type="paragraph" w:styleId="ListBullet3">
    <w:name w:val="List Bullet 3"/>
    <w:basedOn w:val="ListBullet2"/>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Theme="majorHAnsi" w:hAnsiTheme="majorHAnsi"/>
      <w:bCs/>
      <w:color w:val="2B3B5F" w:themeColor="text2"/>
      <w:spacing w:val="-6"/>
      <w:kern w:val="32"/>
      <w:sz w:val="32"/>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AC41C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AC41C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qFormat/>
    <w:rsid w:val="00476133"/>
    <w:pPr>
      <w:keepLines/>
      <w:numPr>
        <w:numId w:val="2"/>
      </w:numPr>
      <w:spacing w:after="120"/>
    </w:pPr>
    <w:rPr>
      <w:spacing w:val="-1"/>
    </w:rPr>
  </w:style>
  <w:style w:type="paragraph" w:styleId="ListBullet2">
    <w:name w:val="List Bullet 2"/>
    <w:basedOn w:val="ListBullet"/>
    <w:qFormat/>
    <w:rsid w:val="00476133"/>
    <w:pPr>
      <w:numPr>
        <w:ilvl w:val="1"/>
      </w:numPr>
      <w:ind w:left="908" w:hanging="454"/>
    </w:pPr>
  </w:style>
  <w:style w:type="paragraph" w:styleId="ListBullet3">
    <w:name w:val="List Bullet 3"/>
    <w:basedOn w:val="ListBullet2"/>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Theme="majorHAnsi" w:hAnsiTheme="majorHAnsi"/>
      <w:bCs/>
      <w:color w:val="2B3B5F" w:themeColor="text2"/>
      <w:spacing w:val="-6"/>
      <w:kern w:val="32"/>
      <w:sz w:val="32"/>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LC%20and%20CM%20-%20non-caretaker.DOTM" TargetMode="External"/></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Props1.xml><?xml version="1.0" encoding="utf-8"?>
<ds:datastoreItem xmlns:ds="http://schemas.openxmlformats.org/officeDocument/2006/customXml" ds:itemID="{6253925F-4F40-49D5-8BCD-E432ED657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CLC and CM - non-caretaker.DOTM</Template>
  <TotalTime>18</TotalTime>
  <Pages>7</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threshold for regional student HELP repayments</dc:title>
  <dc:creator>Parliamentary Budget Office</dc:creator>
  <cp:lastModifiedBy>Pratley, Lauren (PBO)</cp:lastModifiedBy>
  <cp:revision>3</cp:revision>
  <cp:lastPrinted>2017-09-04T07:07:00Z</cp:lastPrinted>
  <dcterms:created xsi:type="dcterms:W3CDTF">2017-09-12T05:05:00Z</dcterms:created>
  <dcterms:modified xsi:type="dcterms:W3CDTF">2017-09-12T05:23:00Z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