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8E" w:rsidRDefault="00AA478E" w:rsidP="00AA478E">
      <w:pPr>
        <w:pStyle w:val="Heading1spacebefore"/>
        <w:tabs>
          <w:tab w:val="left" w:pos="2694"/>
        </w:tabs>
        <w:spacing w:before="480" w:after="240"/>
        <w:rPr>
          <w:sz w:val="32"/>
        </w:rPr>
      </w:pPr>
      <w:r w:rsidRPr="008D4FA9">
        <w:rPr>
          <w:sz w:val="32"/>
        </w:rPr>
        <w:t xml:space="preserve">Policy costing </w:t>
      </w:r>
    </w:p>
    <w:tbl>
      <w:tblPr>
        <w:tblStyle w:val="LightGrid-Accent6"/>
        <w:tblW w:w="4992" w:type="pct"/>
        <w:tblLook w:val="0600" w:firstRow="0" w:lastRow="0" w:firstColumn="0" w:lastColumn="0" w:noHBand="1" w:noVBand="1"/>
      </w:tblPr>
      <w:tblGrid>
        <w:gridCol w:w="3629"/>
        <w:gridCol w:w="2835"/>
        <w:gridCol w:w="2807"/>
      </w:tblGrid>
      <w:tr w:rsidR="00AA478E" w:rsidRPr="008D77AF" w:rsidTr="002A45A3">
        <w:tc>
          <w:tcPr>
            <w:tcW w:w="5000" w:type="pct"/>
            <w:gridSpan w:val="3"/>
            <w:shd w:val="clear" w:color="auto" w:fill="A7B2D4" w:themeFill="background2" w:themeFillTint="66"/>
          </w:tcPr>
          <w:p w:rsidR="00F06E0E" w:rsidRPr="008D77AF" w:rsidRDefault="00F06E0E" w:rsidP="00623B04">
            <w:pPr>
              <w:pStyle w:val="Nameofproposal"/>
            </w:pPr>
            <w:r>
              <w:t xml:space="preserve">Higher education </w:t>
            </w:r>
            <w:r w:rsidR="004A17B0">
              <w:t>(consolidation)</w:t>
            </w:r>
          </w:p>
        </w:tc>
      </w:tr>
      <w:tr w:rsidR="001C56E5" w:rsidRPr="008D77AF" w:rsidTr="00013620">
        <w:tc>
          <w:tcPr>
            <w:tcW w:w="1957" w:type="pct"/>
          </w:tcPr>
          <w:p w:rsidR="001C56E5" w:rsidRPr="008D77AF" w:rsidRDefault="001C56E5" w:rsidP="00696DCC">
            <w:pPr>
              <w:pStyle w:val="BodyText"/>
            </w:pPr>
            <w:r w:rsidRPr="008D77AF">
              <w:t>Person/party requesting the costing:</w:t>
            </w:r>
          </w:p>
        </w:tc>
        <w:tc>
          <w:tcPr>
            <w:tcW w:w="3043" w:type="pct"/>
            <w:gridSpan w:val="2"/>
            <w:tcBorders>
              <w:bottom w:val="single" w:sz="8" w:space="0" w:color="788183" w:themeColor="accent6"/>
            </w:tcBorders>
          </w:tcPr>
          <w:p w:rsidR="001C56E5" w:rsidRPr="001C56E5" w:rsidRDefault="001C56E5" w:rsidP="00696DCC">
            <w:pPr>
              <w:pStyle w:val="BodyText"/>
              <w:rPr>
                <w:highlight w:val="yellow"/>
              </w:rPr>
            </w:pPr>
            <w:r>
              <w:t>Senator Richard Di Natale, Australian Greens</w:t>
            </w:r>
          </w:p>
        </w:tc>
      </w:tr>
      <w:tr w:rsidR="00AA478E" w:rsidRPr="008D77AF" w:rsidTr="00013620">
        <w:tc>
          <w:tcPr>
            <w:tcW w:w="1957" w:type="pct"/>
          </w:tcPr>
          <w:p w:rsidR="00AA478E" w:rsidRPr="008D77AF" w:rsidRDefault="00AA478E" w:rsidP="00696DCC">
            <w:pPr>
              <w:pStyle w:val="BodyText"/>
            </w:pPr>
            <w:r w:rsidRPr="008D77AF">
              <w:t>Date costing completed:</w:t>
            </w:r>
          </w:p>
        </w:tc>
        <w:tc>
          <w:tcPr>
            <w:tcW w:w="3043" w:type="pct"/>
            <w:gridSpan w:val="2"/>
          </w:tcPr>
          <w:p w:rsidR="00AA478E" w:rsidRPr="00BF5EA4" w:rsidRDefault="009260FC" w:rsidP="001D255F">
            <w:pPr>
              <w:pStyle w:val="BodyText"/>
            </w:pPr>
            <w:r>
              <w:t>5</w:t>
            </w:r>
            <w:r w:rsidR="001D255F" w:rsidRPr="00BF5EA4">
              <w:t xml:space="preserve"> </w:t>
            </w:r>
            <w:r w:rsidR="001D255F">
              <w:t>December</w:t>
            </w:r>
            <w:r w:rsidR="001D255F" w:rsidRPr="00BF5EA4">
              <w:t xml:space="preserve"> </w:t>
            </w:r>
            <w:r w:rsidR="004C1E44" w:rsidRPr="00BF5EA4">
              <w:t>2018</w:t>
            </w:r>
          </w:p>
        </w:tc>
      </w:tr>
      <w:tr w:rsidR="00AA478E" w:rsidRPr="008D77AF" w:rsidTr="00013620">
        <w:tc>
          <w:tcPr>
            <w:tcW w:w="1957" w:type="pct"/>
          </w:tcPr>
          <w:p w:rsidR="00AA478E" w:rsidRPr="008D77AF" w:rsidRDefault="00AA478E" w:rsidP="00696DCC">
            <w:pPr>
              <w:pStyle w:val="BodyText"/>
            </w:pPr>
            <w:r w:rsidRPr="008D77AF">
              <w:t>Expiry date of the costing:</w:t>
            </w:r>
          </w:p>
        </w:tc>
        <w:tc>
          <w:tcPr>
            <w:tcW w:w="3043" w:type="pct"/>
            <w:gridSpan w:val="2"/>
          </w:tcPr>
          <w:p w:rsidR="00AA478E" w:rsidRPr="008D77AF" w:rsidRDefault="00AA478E" w:rsidP="00696DCC">
            <w:pPr>
              <w:pStyle w:val="BodyText"/>
            </w:pPr>
            <w:r w:rsidRPr="008D77AF">
              <w:t>Release of the next economic and fiscal outlook report.</w:t>
            </w:r>
          </w:p>
        </w:tc>
      </w:tr>
      <w:tr w:rsidR="00AA478E" w:rsidTr="00013620">
        <w:tc>
          <w:tcPr>
            <w:tcW w:w="1957" w:type="pct"/>
            <w:vMerge w:val="restart"/>
          </w:tcPr>
          <w:p w:rsidR="00AA478E" w:rsidRDefault="00AA478E" w:rsidP="00696DCC">
            <w:pPr>
              <w:pStyle w:val="BodyText"/>
            </w:pPr>
            <w:r>
              <w:t>Status at time of request</w:t>
            </w:r>
            <w:r w:rsidRPr="008D77AF">
              <w:t>:</w:t>
            </w:r>
          </w:p>
        </w:tc>
        <w:tc>
          <w:tcPr>
            <w:tcW w:w="3043" w:type="pct"/>
            <w:gridSpan w:val="2"/>
            <w:tcBorders>
              <w:bottom w:val="nil"/>
              <w:right w:val="single" w:sz="8" w:space="0" w:color="788183" w:themeColor="accent6"/>
            </w:tcBorders>
          </w:tcPr>
          <w:p w:rsidR="00AA478E" w:rsidRDefault="00AA478E" w:rsidP="00696DCC">
            <w:pPr>
              <w:pStyle w:val="BodyText"/>
            </w:pPr>
            <w:r>
              <w:t>Submitted outside the caretaker period</w:t>
            </w:r>
          </w:p>
        </w:tc>
      </w:tr>
      <w:tr w:rsidR="00AA478E" w:rsidRPr="008D77AF" w:rsidTr="00013620">
        <w:tc>
          <w:tcPr>
            <w:tcW w:w="1957" w:type="pct"/>
            <w:vMerge/>
          </w:tcPr>
          <w:p w:rsidR="00AA478E" w:rsidRPr="008D77AF" w:rsidRDefault="00AA478E" w:rsidP="00013620">
            <w:pPr>
              <w:pStyle w:val="PullOutBoxBodyText"/>
              <w:ind w:left="0" w:right="0"/>
            </w:pPr>
          </w:p>
        </w:tc>
        <w:tc>
          <w:tcPr>
            <w:tcW w:w="1529" w:type="pct"/>
            <w:tcBorders>
              <w:top w:val="nil"/>
              <w:right w:val="nil"/>
            </w:tcBorders>
          </w:tcPr>
          <w:p w:rsidR="00AA478E" w:rsidRPr="008D77AF" w:rsidRDefault="00BF5EB0" w:rsidP="00696DCC">
            <w:pPr>
              <w:pStyle w:val="BodyText"/>
            </w:pPr>
            <w:sdt>
              <w:sdtPr>
                <w:id w:val="-901915855"/>
                <w14:checkbox>
                  <w14:checked w14:val="1"/>
                  <w14:checkedState w14:val="2612" w14:font="MS Gothic"/>
                  <w14:uncheckedState w14:val="2610" w14:font="MS Gothic"/>
                </w14:checkbox>
              </w:sdtPr>
              <w:sdtEndPr/>
              <w:sdtContent>
                <w:r w:rsidR="004C1E44">
                  <w:rPr>
                    <w:rFonts w:ascii="MS Gothic" w:eastAsia="MS Gothic" w:hAnsi="MS Gothic" w:hint="eastAsia"/>
                  </w:rPr>
                  <w:t>☒</w:t>
                </w:r>
              </w:sdtContent>
            </w:sdt>
            <w:r w:rsidR="00AA478E" w:rsidRPr="008D77AF">
              <w:t xml:space="preserve"> </w:t>
            </w:r>
            <w:r w:rsidR="00AA478E">
              <w:t>Confidential</w:t>
            </w:r>
          </w:p>
        </w:tc>
        <w:tc>
          <w:tcPr>
            <w:tcW w:w="1514" w:type="pct"/>
            <w:tcBorders>
              <w:top w:val="nil"/>
              <w:left w:val="nil"/>
              <w:right w:val="single" w:sz="8" w:space="0" w:color="788183" w:themeColor="accent6"/>
            </w:tcBorders>
          </w:tcPr>
          <w:p w:rsidR="00AA478E" w:rsidRPr="008D77AF" w:rsidRDefault="00BF5EB0" w:rsidP="00696DCC">
            <w:pPr>
              <w:pStyle w:val="BodyText"/>
            </w:pPr>
            <w:sdt>
              <w:sdtPr>
                <w:id w:val="1635065970"/>
                <w14:checkbox>
                  <w14:checked w14:val="0"/>
                  <w14:checkedState w14:val="2612" w14:font="MS Gothic"/>
                  <w14:uncheckedState w14:val="2610" w14:font="MS Gothic"/>
                </w14:checkbox>
              </w:sdtPr>
              <w:sdtEndPr/>
              <w:sdtContent>
                <w:r w:rsidR="00AA478E" w:rsidRPr="008D77AF">
                  <w:rPr>
                    <w:rFonts w:ascii="MS Gothic" w:eastAsia="MS Gothic" w:hAnsi="MS Gothic" w:hint="eastAsia"/>
                  </w:rPr>
                  <w:t>☐</w:t>
                </w:r>
              </w:sdtContent>
            </w:sdt>
            <w:r w:rsidR="00AA478E" w:rsidRPr="008D77AF">
              <w:t xml:space="preserve"> No</w:t>
            </w:r>
            <w:r w:rsidR="00AA478E">
              <w:t>t confidential</w:t>
            </w:r>
          </w:p>
        </w:tc>
      </w:tr>
      <w:tr w:rsidR="00AA478E" w:rsidRPr="008D77AF" w:rsidTr="00013620">
        <w:tc>
          <w:tcPr>
            <w:tcW w:w="5000" w:type="pct"/>
            <w:gridSpan w:val="3"/>
          </w:tcPr>
          <w:p w:rsidR="00AA478E" w:rsidRDefault="00AA478E" w:rsidP="00696DCC">
            <w:pPr>
              <w:pStyle w:val="BodyText"/>
            </w:pPr>
            <w:r w:rsidRPr="00E75D5E">
              <w:t>Summary of proposal:</w:t>
            </w:r>
          </w:p>
          <w:p w:rsidR="0065760F" w:rsidRPr="00E75D5E" w:rsidRDefault="0065760F" w:rsidP="00696DCC">
            <w:pPr>
              <w:pStyle w:val="BodyText"/>
            </w:pPr>
            <w:r>
              <w:t xml:space="preserve">This proposal consists of </w:t>
            </w:r>
            <w:r w:rsidR="004A17B0">
              <w:t>four</w:t>
            </w:r>
            <w:r>
              <w:t xml:space="preserve"> components.  It would be announced on 1 January 2019 and would have effect from 1 July 2019.</w:t>
            </w:r>
          </w:p>
          <w:p w:rsidR="004C1E44" w:rsidRPr="001D255F" w:rsidRDefault="004C1E44" w:rsidP="00F04769">
            <w:pPr>
              <w:pStyle w:val="BodyText"/>
              <w:rPr>
                <w:b/>
              </w:rPr>
            </w:pPr>
            <w:r w:rsidRPr="001D255F">
              <w:rPr>
                <w:b/>
              </w:rPr>
              <w:t>Component 1: University tuition fees</w:t>
            </w:r>
          </w:p>
          <w:p w:rsidR="00445057" w:rsidRDefault="0025077B" w:rsidP="00445057">
            <w:pPr>
              <w:pStyle w:val="BodyText"/>
            </w:pPr>
            <w:r>
              <w:t xml:space="preserve">Tuition for </w:t>
            </w:r>
            <w:r w:rsidR="00DB1DDD">
              <w:t>commencing</w:t>
            </w:r>
            <w:r w:rsidR="00DB1DDD" w:rsidRPr="004C1E44">
              <w:t xml:space="preserve"> </w:t>
            </w:r>
            <w:r>
              <w:t xml:space="preserve">undergraduates at public universities who are </w:t>
            </w:r>
            <w:r w:rsidR="00F04769">
              <w:t>Australian citizen</w:t>
            </w:r>
            <w:r>
              <w:t>s</w:t>
            </w:r>
            <w:r w:rsidR="00F04769">
              <w:t xml:space="preserve"> would </w:t>
            </w:r>
            <w:r>
              <w:t xml:space="preserve">be funded </w:t>
            </w:r>
            <w:r w:rsidR="0065760F">
              <w:t>by the Commonwealth</w:t>
            </w:r>
            <w:r>
              <w:t xml:space="preserve"> without requiring payments by students</w:t>
            </w:r>
            <w:r w:rsidR="00FC4B76">
              <w:t>.</w:t>
            </w:r>
            <w:r w:rsidR="0065760F">
              <w:t xml:space="preserve">  </w:t>
            </w:r>
            <w:r w:rsidR="002A14B7">
              <w:t>Students who have held a Commonwealth-supported place within the two years prior to 1 July 2019 would still be required to pay for their tuition.</w:t>
            </w:r>
          </w:p>
          <w:p w:rsidR="00C971E6" w:rsidRPr="009F3DC4" w:rsidRDefault="00C971E6" w:rsidP="00C4569A">
            <w:pPr>
              <w:pStyle w:val="ListBullet"/>
              <w:tabs>
                <w:tab w:val="clear" w:pos="454"/>
                <w:tab w:val="num" w:pos="284"/>
              </w:tabs>
            </w:pPr>
            <w:r w:rsidRPr="009F3DC4">
              <w:t>Th</w:t>
            </w:r>
            <w:r w:rsidR="0025077B" w:rsidRPr="009F3DC4">
              <w:t xml:space="preserve">is part of the proposal </w:t>
            </w:r>
            <w:r w:rsidRPr="009F3DC4">
              <w:t>would not apply to SA-HELP loans (provided to eligible students to pay for all or part of their student services and amenities fee) and OS-HELP loans (provided to eligible students enrolled in a Commonwealth</w:t>
            </w:r>
            <w:r w:rsidR="005C5CEF">
              <w:t>-</w:t>
            </w:r>
            <w:r w:rsidRPr="009F3DC4">
              <w:t>supported place who undertake some of their study overseas).</w:t>
            </w:r>
          </w:p>
          <w:p w:rsidR="00325682" w:rsidRDefault="00F04769" w:rsidP="00F04769">
            <w:pPr>
              <w:pStyle w:val="BodyText"/>
            </w:pPr>
            <w:r>
              <w:t>The Commonwealth Grant Scheme (CGS) funding calculation for undergraduate places would be amended to remove the aggregate CGS funding cap</w:t>
            </w:r>
            <w:r w:rsidR="00A26450">
              <w:t xml:space="preserve"> so that each additional student </w:t>
            </w:r>
            <w:r w:rsidR="003D04D8">
              <w:t>results in additional</w:t>
            </w:r>
            <w:r w:rsidR="00A26450">
              <w:t xml:space="preserve"> CGS funding</w:t>
            </w:r>
            <w:r w:rsidR="003D04D8">
              <w:t xml:space="preserve"> for the university</w:t>
            </w:r>
            <w:r w:rsidR="00A26450">
              <w:t xml:space="preserve">.  Medical undergraduate places would remain allocated.  </w:t>
            </w:r>
          </w:p>
          <w:p w:rsidR="00DB1DDD" w:rsidRDefault="005F027D" w:rsidP="00F04769">
            <w:pPr>
              <w:pStyle w:val="BodyText"/>
            </w:pPr>
            <w:r>
              <w:t>F</w:t>
            </w:r>
            <w:r w:rsidR="005B1DBA">
              <w:t xml:space="preserve">unding per student provided to universities would </w:t>
            </w:r>
            <w:r w:rsidR="00DC0D22">
              <w:t xml:space="preserve">also </w:t>
            </w:r>
            <w:r w:rsidR="00BF5EA4">
              <w:t>increase by 10</w:t>
            </w:r>
            <w:r w:rsidR="005B1DBA">
              <w:t> per cen</w:t>
            </w:r>
            <w:r w:rsidR="0025077B">
              <w:t>t</w:t>
            </w:r>
            <w:r w:rsidR="00DC0D22">
              <w:t xml:space="preserve"> under the proposal</w:t>
            </w:r>
            <w:r w:rsidR="0025077B">
              <w:t>.  T</w:t>
            </w:r>
            <w:r w:rsidR="005B1DBA">
              <w:t xml:space="preserve">his comprises </w:t>
            </w:r>
            <w:r w:rsidR="00FC4B76">
              <w:t xml:space="preserve">both </w:t>
            </w:r>
            <w:r w:rsidR="005B1DBA">
              <w:t xml:space="preserve">the CGS contribution and the </w:t>
            </w:r>
            <w:r w:rsidR="0025077B">
              <w:t xml:space="preserve">portion of funding provided under the baseline through the </w:t>
            </w:r>
            <w:r w:rsidR="005B1DBA">
              <w:t>student contribution.</w:t>
            </w:r>
          </w:p>
          <w:p w:rsidR="004C1E44" w:rsidRPr="001D255F" w:rsidRDefault="004C1E44" w:rsidP="005B1DBA">
            <w:pPr>
              <w:pStyle w:val="BodyText"/>
              <w:rPr>
                <w:b/>
              </w:rPr>
            </w:pPr>
            <w:r w:rsidRPr="001D255F">
              <w:rPr>
                <w:b/>
              </w:rPr>
              <w:t>Component 2: H</w:t>
            </w:r>
            <w:r w:rsidR="00786A9B" w:rsidRPr="001D255F">
              <w:rPr>
                <w:b/>
              </w:rPr>
              <w:t xml:space="preserve">igher </w:t>
            </w:r>
            <w:r w:rsidRPr="001D255F">
              <w:rPr>
                <w:b/>
              </w:rPr>
              <w:t>E</w:t>
            </w:r>
            <w:r w:rsidR="00786A9B" w:rsidRPr="001D255F">
              <w:rPr>
                <w:b/>
              </w:rPr>
              <w:t xml:space="preserve">ducation </w:t>
            </w:r>
            <w:r w:rsidRPr="001D255F">
              <w:rPr>
                <w:b/>
              </w:rPr>
              <w:t>L</w:t>
            </w:r>
            <w:r w:rsidR="00786A9B" w:rsidRPr="001D255F">
              <w:rPr>
                <w:b/>
              </w:rPr>
              <w:t xml:space="preserve">oan </w:t>
            </w:r>
            <w:r w:rsidRPr="001D255F">
              <w:rPr>
                <w:b/>
              </w:rPr>
              <w:t>P</w:t>
            </w:r>
            <w:r w:rsidR="00786A9B" w:rsidRPr="001D255F">
              <w:rPr>
                <w:b/>
              </w:rPr>
              <w:t>rogram (HELP)</w:t>
            </w:r>
            <w:r w:rsidRPr="001D255F">
              <w:rPr>
                <w:b/>
              </w:rPr>
              <w:t xml:space="preserve"> and V</w:t>
            </w:r>
            <w:r w:rsidR="00786A9B" w:rsidRPr="001D255F">
              <w:rPr>
                <w:b/>
              </w:rPr>
              <w:t>ocational Education and Training (VET)</w:t>
            </w:r>
            <w:r w:rsidRPr="001D255F">
              <w:rPr>
                <w:b/>
              </w:rPr>
              <w:t xml:space="preserve"> loan repayment</w:t>
            </w:r>
          </w:p>
          <w:p w:rsidR="007A7188" w:rsidRPr="00786A9B" w:rsidRDefault="005B1DBA">
            <w:pPr>
              <w:pStyle w:val="BodyText"/>
            </w:pPr>
            <w:r>
              <w:t>T</w:t>
            </w:r>
            <w:r w:rsidR="004C1E44" w:rsidRPr="004C1E44">
              <w:t xml:space="preserve">he HELP and VET student loan repayment thresholds </w:t>
            </w:r>
            <w:r>
              <w:t xml:space="preserve">would be </w:t>
            </w:r>
            <w:r w:rsidR="003D04D8">
              <w:t>increased</w:t>
            </w:r>
            <w:r>
              <w:t xml:space="preserve"> </w:t>
            </w:r>
            <w:r w:rsidR="003D04D8">
              <w:t>as specified at</w:t>
            </w:r>
            <w:r w:rsidR="004C1E44" w:rsidRPr="004C1E44">
              <w:t xml:space="preserve"> </w:t>
            </w:r>
            <w:r w:rsidR="003D04D8">
              <w:rPr>
                <w:u w:val="single"/>
              </w:rPr>
              <w:t>Attachment </w:t>
            </w:r>
            <w:r w:rsidR="0022510F" w:rsidRPr="005416B6">
              <w:rPr>
                <w:u w:val="single"/>
              </w:rPr>
              <w:t>A</w:t>
            </w:r>
            <w:r w:rsidR="004C1E44" w:rsidRPr="004C1E44">
              <w:t xml:space="preserve">.  </w:t>
            </w:r>
            <w:r w:rsidR="00C971E6">
              <w:t>T</w:t>
            </w:r>
            <w:r w:rsidR="004C1E44" w:rsidRPr="004C1E44">
              <w:t>he</w:t>
            </w:r>
            <w:r w:rsidR="00A26450">
              <w:t>se</w:t>
            </w:r>
            <w:r w:rsidR="004C1E44" w:rsidRPr="004C1E44">
              <w:t xml:space="preserve"> thresholds w</w:t>
            </w:r>
            <w:r w:rsidR="00A26450">
              <w:t>ould</w:t>
            </w:r>
            <w:r w:rsidR="004C1E44" w:rsidRPr="004C1E44">
              <w:t xml:space="preserve"> be indexed annually by </w:t>
            </w:r>
            <w:r w:rsidR="00C971E6">
              <w:t>the median wage</w:t>
            </w:r>
            <w:r w:rsidR="004C1E44" w:rsidRPr="004C1E44">
              <w:t>.</w:t>
            </w:r>
          </w:p>
        </w:tc>
      </w:tr>
      <w:tr w:rsidR="00AF6DB0" w:rsidRPr="008D77AF" w:rsidTr="00013620">
        <w:tc>
          <w:tcPr>
            <w:tcW w:w="5000" w:type="pct"/>
            <w:gridSpan w:val="3"/>
          </w:tcPr>
          <w:p w:rsidR="004A0C2B" w:rsidRPr="0006467B" w:rsidRDefault="004A0C2B" w:rsidP="001D255F">
            <w:pPr>
              <w:pStyle w:val="BodyText"/>
              <w:pageBreakBefore/>
              <w:rPr>
                <w:b/>
              </w:rPr>
            </w:pPr>
            <w:r w:rsidRPr="0006467B">
              <w:rPr>
                <w:b/>
              </w:rPr>
              <w:lastRenderedPageBreak/>
              <w:t>Component 3: Technical and Further Education (TAFE) grants</w:t>
            </w:r>
          </w:p>
          <w:p w:rsidR="004A0C2B" w:rsidRPr="00E6692B" w:rsidRDefault="004A0C2B" w:rsidP="004A0C2B">
            <w:pPr>
              <w:pStyle w:val="BodyText"/>
              <w:keepNext/>
              <w:keepLines/>
            </w:pPr>
            <w:r w:rsidRPr="00E6692B">
              <w:t xml:space="preserve">Grants would be provided to states and territories to cover the costs of tuition at TAFE institutions for courses at the Certificate Level 1 or above, up to a per-hour tuition cost cap.  The cap would be set based on the average </w:t>
            </w:r>
            <w:r w:rsidR="001D255F" w:rsidRPr="00E6692B">
              <w:t xml:space="preserve">operating cost per delivery hour </w:t>
            </w:r>
            <w:r w:rsidRPr="00E6692B">
              <w:t>for government VET</w:t>
            </w:r>
            <w:r w:rsidR="00032712" w:rsidRPr="00E6692B">
              <w:t> </w:t>
            </w:r>
            <w:r w:rsidRPr="00E6692B">
              <w:t xml:space="preserve">providers in </w:t>
            </w:r>
            <w:r w:rsidR="001D255F" w:rsidRPr="00E6692B">
              <w:t>2017</w:t>
            </w:r>
            <w:r w:rsidRPr="00E6692B">
              <w:t>, indexed by the Consumer Price Index (CPI) to the policy start date, and indexed annually at the CPI thereafter.</w:t>
            </w:r>
          </w:p>
          <w:p w:rsidR="00AF6DB0" w:rsidRDefault="00AF6DB0" w:rsidP="00AF6DB0">
            <w:pPr>
              <w:pStyle w:val="BodyText"/>
              <w:keepNext/>
              <w:keepLines/>
            </w:pPr>
            <w:r w:rsidRPr="00E6692B">
              <w:t>The Commonwealth would reduce its financial</w:t>
            </w:r>
            <w:r w:rsidRPr="007A7188">
              <w:t xml:space="preserve"> contributions under the National Agreement for Skills and Workforce Development by </w:t>
            </w:r>
            <w:r>
              <w:t>an</w:t>
            </w:r>
            <w:r w:rsidRPr="007A7188">
              <w:t xml:space="preserve"> amount equal to these annual tuition grants (or to zero if tuition grants exceed National Agreement payments).</w:t>
            </w:r>
          </w:p>
          <w:p w:rsidR="00AF6DB0" w:rsidRPr="007A7188" w:rsidRDefault="00AF6DB0" w:rsidP="00AF6DB0">
            <w:pPr>
              <w:pStyle w:val="BodyText"/>
              <w:keepNext/>
              <w:keepLines/>
            </w:pPr>
            <w:r w:rsidRPr="007A7188">
              <w:t>Grants would be available to all Australian citizens and permanent residents who have not been enrolled in a VET course</w:t>
            </w:r>
            <w:r>
              <w:t xml:space="preserve"> through a</w:t>
            </w:r>
            <w:r w:rsidRPr="007A7188">
              <w:t xml:space="preserve"> TAFE or any other provider within the two years prior to the proposal’s start date</w:t>
            </w:r>
            <w:r>
              <w:t>.</w:t>
            </w:r>
            <w:r w:rsidR="0074343B">
              <w:t xml:space="preserve"> </w:t>
            </w:r>
          </w:p>
          <w:p w:rsidR="00AF6DB0" w:rsidRPr="007A7188" w:rsidRDefault="00AF6DB0" w:rsidP="00AF6DB0">
            <w:pPr>
              <w:pStyle w:val="BodyText"/>
            </w:pPr>
            <w:r w:rsidRPr="007A7188">
              <w:t>VET Student Loans for students enrolled at eligible courses and institutions outside of the TAFE system would remain unchanged.</w:t>
            </w:r>
          </w:p>
          <w:p w:rsidR="00AF6DB0" w:rsidRPr="001D255F" w:rsidRDefault="00AF6DB0" w:rsidP="00AF6DB0">
            <w:pPr>
              <w:pStyle w:val="BodyText"/>
              <w:rPr>
                <w:b/>
              </w:rPr>
            </w:pPr>
            <w:r w:rsidRPr="001D255F">
              <w:rPr>
                <w:b/>
              </w:rPr>
              <w:t>Component 4: Student support payments</w:t>
            </w:r>
          </w:p>
          <w:p w:rsidR="00AF6DB0" w:rsidRDefault="00AF6DB0" w:rsidP="00AF6DB0">
            <w:pPr>
              <w:pStyle w:val="BodyText"/>
            </w:pPr>
            <w:r>
              <w:t>For the following Australian Government student payments, the maximum single payment rate would increase by $75 a week and the indexation arrangements changed to those used to index the Age</w:t>
            </w:r>
            <w:r w:rsidR="00032712">
              <w:t> </w:t>
            </w:r>
            <w:r>
              <w:t>Pension:</w:t>
            </w:r>
          </w:p>
          <w:p w:rsidR="00AF6DB0" w:rsidRDefault="00AF6DB0" w:rsidP="001D255F">
            <w:pPr>
              <w:pStyle w:val="ListBullet"/>
              <w:tabs>
                <w:tab w:val="clear" w:pos="454"/>
                <w:tab w:val="num" w:pos="284"/>
              </w:tabs>
            </w:pPr>
            <w:r w:rsidRPr="00EC10F8">
              <w:t xml:space="preserve">Youth Allowance (Student and Apprentice) </w:t>
            </w:r>
          </w:p>
          <w:p w:rsidR="00AF6DB0" w:rsidRDefault="00AF6DB0" w:rsidP="001D255F">
            <w:pPr>
              <w:pStyle w:val="ListBullet"/>
              <w:tabs>
                <w:tab w:val="clear" w:pos="454"/>
                <w:tab w:val="num" w:pos="284"/>
              </w:tabs>
            </w:pPr>
            <w:r w:rsidRPr="00EC10F8">
              <w:t xml:space="preserve">Austudy </w:t>
            </w:r>
          </w:p>
          <w:p w:rsidR="00AF6DB0" w:rsidRDefault="00AF6DB0" w:rsidP="001D255F">
            <w:pPr>
              <w:pStyle w:val="ListBullet"/>
              <w:tabs>
                <w:tab w:val="clear" w:pos="454"/>
                <w:tab w:val="num" w:pos="284"/>
              </w:tabs>
            </w:pPr>
            <w:r w:rsidRPr="00EC10F8">
              <w:t xml:space="preserve">ABSTUDY </w:t>
            </w:r>
            <w:r>
              <w:t>(</w:t>
            </w:r>
            <w:r w:rsidRPr="00EC10F8">
              <w:t>Tertiary</w:t>
            </w:r>
            <w:r>
              <w:t>).</w:t>
            </w:r>
          </w:p>
          <w:p w:rsidR="00AF6DB0" w:rsidRDefault="00AF6DB0" w:rsidP="00AF6DB0">
            <w:pPr>
              <w:pStyle w:val="BodyText"/>
            </w:pPr>
            <w:r>
              <w:t>The personal</w:t>
            </w:r>
            <w:r w:rsidRPr="00884E6C">
              <w:t xml:space="preserve"> income</w:t>
            </w:r>
            <w:r>
              <w:t xml:space="preserve"> test</w:t>
            </w:r>
            <w:r w:rsidRPr="00884E6C">
              <w:t xml:space="preserve"> threshold</w:t>
            </w:r>
            <w:r>
              <w:t>s for single rate recipients of the above payments</w:t>
            </w:r>
            <w:r w:rsidRPr="00884E6C">
              <w:t xml:space="preserve"> </w:t>
            </w:r>
            <w:r>
              <w:t xml:space="preserve">would also increase </w:t>
            </w:r>
            <w:r w:rsidRPr="00884E6C">
              <w:t>by $100</w:t>
            </w:r>
            <w:r>
              <w:t> a</w:t>
            </w:r>
            <w:r w:rsidRPr="00884E6C">
              <w:t xml:space="preserve"> week</w:t>
            </w:r>
            <w:r>
              <w:t>.</w:t>
            </w:r>
          </w:p>
          <w:p w:rsidR="00AF6DB0" w:rsidRPr="00E75D5E" w:rsidRDefault="00AF6DB0" w:rsidP="00BF5EB0">
            <w:pPr>
              <w:pStyle w:val="BodyText"/>
            </w:pPr>
            <w:r>
              <w:t>This proposal is intended to operate in conjunction with a proposal to increase payment rates for single recipients of other Australi</w:t>
            </w:r>
            <w:r w:rsidR="00BF5EB0">
              <w:t>an Government transfer payments</w:t>
            </w:r>
            <w:bookmarkStart w:id="0" w:name="_GoBack"/>
            <w:bookmarkEnd w:id="0"/>
            <w:r>
              <w:t>.  Consequently</w:t>
            </w:r>
            <w:r w:rsidR="00032712">
              <w:t>,</w:t>
            </w:r>
            <w:r>
              <w:t xml:space="preserve"> the proposal is not expected to induce any switching between benefits.</w:t>
            </w:r>
          </w:p>
        </w:tc>
      </w:tr>
    </w:tbl>
    <w:p w:rsidR="00AA478E" w:rsidRPr="00D014E1" w:rsidRDefault="00AA478E" w:rsidP="00AA478E">
      <w:pPr>
        <w:pStyle w:val="Heading1"/>
      </w:pPr>
      <w:r w:rsidRPr="00D014E1">
        <w:t>Costing overview</w:t>
      </w:r>
    </w:p>
    <w:p w:rsidR="00C91D48" w:rsidRDefault="00221F1D" w:rsidP="00C91D48">
      <w:pPr>
        <w:pStyle w:val="BodyText"/>
      </w:pPr>
      <w:r>
        <w:t>T</w:t>
      </w:r>
      <w:r w:rsidR="00F001E9">
        <w:t>he pr</w:t>
      </w:r>
      <w:r w:rsidR="00F001E9" w:rsidRPr="00A9528C">
        <w:t>oposal would be expected to decrease the fiscal balance by $</w:t>
      </w:r>
      <w:r w:rsidR="00817224" w:rsidRPr="00A9528C">
        <w:t>1</w:t>
      </w:r>
      <w:r w:rsidR="001D255F">
        <w:t>8,010</w:t>
      </w:r>
      <w:r w:rsidR="0014021D">
        <w:t> </w:t>
      </w:r>
      <w:r w:rsidR="004D01F1">
        <w:t>m</w:t>
      </w:r>
      <w:r w:rsidR="00F001E9" w:rsidRPr="00A9528C">
        <w:t xml:space="preserve">illion, </w:t>
      </w:r>
      <w:r w:rsidR="003D04D8" w:rsidRPr="00A9528C">
        <w:t xml:space="preserve">decrease </w:t>
      </w:r>
      <w:r w:rsidR="00F001E9" w:rsidRPr="00A9528C">
        <w:t>the underlying cash balance by $</w:t>
      </w:r>
      <w:r w:rsidR="00473E7C" w:rsidRPr="00A9528C">
        <w:t>1</w:t>
      </w:r>
      <w:r w:rsidR="001D255F">
        <w:t>8</w:t>
      </w:r>
      <w:r w:rsidR="004D01F1">
        <w:t>,</w:t>
      </w:r>
      <w:r w:rsidR="001D255F">
        <w:t>69</w:t>
      </w:r>
      <w:r w:rsidR="004D01F1">
        <w:t>0</w:t>
      </w:r>
      <w:r w:rsidR="00102A46" w:rsidRPr="00A9528C">
        <w:t> </w:t>
      </w:r>
      <w:r w:rsidR="004D01F1">
        <w:t>m</w:t>
      </w:r>
      <w:r w:rsidR="00F001E9" w:rsidRPr="00A9528C">
        <w:t xml:space="preserve">illion, and </w:t>
      </w:r>
      <w:r w:rsidR="003D04D8" w:rsidRPr="00A9528C">
        <w:t xml:space="preserve">decrease </w:t>
      </w:r>
      <w:r w:rsidR="00F001E9" w:rsidRPr="00A9528C">
        <w:t>the headline cash balance by $</w:t>
      </w:r>
      <w:r w:rsidR="00452DA7" w:rsidRPr="00A9528C">
        <w:t>1</w:t>
      </w:r>
      <w:r w:rsidR="001D255F">
        <w:t>4</w:t>
      </w:r>
      <w:r w:rsidR="004D01F1">
        <w:t>,</w:t>
      </w:r>
      <w:r w:rsidR="001D255F">
        <w:t>300</w:t>
      </w:r>
      <w:r w:rsidR="004D01F1" w:rsidRPr="00A9528C">
        <w:t> </w:t>
      </w:r>
      <w:r w:rsidR="004D01F1">
        <w:t>m</w:t>
      </w:r>
      <w:r w:rsidR="00102A46" w:rsidRPr="00A9528C">
        <w:t>illion</w:t>
      </w:r>
      <w:r w:rsidRPr="00A9528C">
        <w:t xml:space="preserve"> over the 2018-19 Budget forward estimates period</w:t>
      </w:r>
      <w:r w:rsidR="00102A46" w:rsidRPr="00A9528C">
        <w:t>.</w:t>
      </w:r>
    </w:p>
    <w:p w:rsidR="00102A46" w:rsidRDefault="00102A46" w:rsidP="00102A46">
      <w:pPr>
        <w:pStyle w:val="BodyText"/>
      </w:pPr>
      <w:r>
        <w:t>The proposal would be expected to have a</w:t>
      </w:r>
      <w:r w:rsidR="0051564E">
        <w:t xml:space="preserve"> significant</w:t>
      </w:r>
      <w:r>
        <w:t xml:space="preserve"> ongoing impact beyond the 2018</w:t>
      </w:r>
      <w:r w:rsidR="001C5FD0">
        <w:t>-</w:t>
      </w:r>
      <w:r>
        <w:t>19 Budget forward estimates period.  The disaggregated impacts of the proposal over the period to 2028</w:t>
      </w:r>
      <w:r w:rsidR="001C5FD0">
        <w:t>-</w:t>
      </w:r>
      <w:r>
        <w:t xml:space="preserve">29 are provided at </w:t>
      </w:r>
      <w:r>
        <w:rPr>
          <w:u w:val="single"/>
        </w:rPr>
        <w:t xml:space="preserve">Attachment </w:t>
      </w:r>
      <w:r w:rsidR="005416B6">
        <w:rPr>
          <w:u w:val="single"/>
        </w:rPr>
        <w:t>B</w:t>
      </w:r>
      <w:r>
        <w:t>.</w:t>
      </w:r>
    </w:p>
    <w:p w:rsidR="00AF6F6A" w:rsidRPr="00F04769" w:rsidRDefault="00AF6F6A" w:rsidP="00AF6F6A">
      <w:pPr>
        <w:pStyle w:val="BodyText"/>
      </w:pPr>
      <w:r>
        <w:t xml:space="preserve">The </w:t>
      </w:r>
      <w:r w:rsidR="00181782">
        <w:t>f</w:t>
      </w:r>
      <w:r w:rsidR="00C46D1A">
        <w:t>our</w:t>
      </w:r>
      <w:r>
        <w:t xml:space="preserve"> components of the proposal </w:t>
      </w:r>
      <w:r w:rsidR="005F027D">
        <w:t>interact</w:t>
      </w:r>
      <w:r w:rsidR="003D04D8">
        <w:t>.  Under Component 1,</w:t>
      </w:r>
      <w:r>
        <w:t xml:space="preserve"> undergraduate courses in public universities would be </w:t>
      </w:r>
      <w:r w:rsidR="005F027D">
        <w:t>free for</w:t>
      </w:r>
      <w:r>
        <w:t xml:space="preserve"> Australian citizens</w:t>
      </w:r>
      <w:r w:rsidR="003E0817">
        <w:t xml:space="preserve"> commencing from 1 July</w:t>
      </w:r>
      <w:r w:rsidR="00181782">
        <w:t> </w:t>
      </w:r>
      <w:r w:rsidR="003E0817">
        <w:t>2019</w:t>
      </w:r>
      <w:r>
        <w:t xml:space="preserve">, </w:t>
      </w:r>
      <w:r w:rsidR="003D04D8">
        <w:t>so</w:t>
      </w:r>
      <w:r>
        <w:t xml:space="preserve"> </w:t>
      </w:r>
      <w:r w:rsidR="003E0817">
        <w:t xml:space="preserve">those </w:t>
      </w:r>
      <w:r>
        <w:t xml:space="preserve">students </w:t>
      </w:r>
      <w:r w:rsidR="001C5FD0">
        <w:t xml:space="preserve">would </w:t>
      </w:r>
      <w:r>
        <w:t>no longer accumulate a HELP debt and hence would not be required to make loan repayments.</w:t>
      </w:r>
      <w:r w:rsidR="003D04D8">
        <w:t xml:space="preserve">  This significantly reduces the cost of increasing the repayment thresholds under Component 2.</w:t>
      </w:r>
      <w:r w:rsidR="00181782">
        <w:t xml:space="preserve">  Similarly, under Component 3, VET courses in TAFEs would be free</w:t>
      </w:r>
      <w:r w:rsidR="00136E90">
        <w:t xml:space="preserve"> or near free</w:t>
      </w:r>
      <w:r w:rsidR="00181782">
        <w:t xml:space="preserve"> for Australian citizens and permanent residents commencing from 1 July 2019, so those students would no longer accumulate a VET student loan and hence would not be required to make loan repayments.</w:t>
      </w:r>
      <w:r w:rsidR="00C46D1A">
        <w:t xml:space="preserve">  </w:t>
      </w:r>
      <w:r w:rsidR="0014021D">
        <w:t>In addition, t</w:t>
      </w:r>
      <w:r w:rsidR="00C46D1A">
        <w:t>he change in the student population for the first semester of 2019 (Components 1 and</w:t>
      </w:r>
      <w:r w:rsidR="00975B36">
        <w:t xml:space="preserve"> 3) has a flow</w:t>
      </w:r>
      <w:r w:rsidR="00975B36">
        <w:noBreakHyphen/>
        <w:t>on impact to student transfer payments in 2018</w:t>
      </w:r>
      <w:r w:rsidR="00975B36">
        <w:noBreakHyphen/>
        <w:t>19</w:t>
      </w:r>
      <w:r w:rsidR="004D01F1">
        <w:t xml:space="preserve"> (Component 4)</w:t>
      </w:r>
      <w:r w:rsidR="00975B36">
        <w:t>.</w:t>
      </w:r>
    </w:p>
    <w:p w:rsidR="00102A46" w:rsidRDefault="00102A46" w:rsidP="00102A46">
      <w:pPr>
        <w:pStyle w:val="BodyText"/>
      </w:pPr>
      <w:r>
        <w:lastRenderedPageBreak/>
        <w:t>Consistent with Parliamentary Budget Office (PBO) Guidance 02/2015, as the proposal involves changes in the value of financial assets, the Public Debt Interest (PDI) impact of the proposal has been included in the estimates.</w:t>
      </w:r>
    </w:p>
    <w:p w:rsidR="00102A46" w:rsidRDefault="00102A46" w:rsidP="00181782">
      <w:pPr>
        <w:pStyle w:val="BodyText"/>
        <w:keepNext/>
        <w:keepLines/>
      </w:pPr>
      <w:r>
        <w:t xml:space="preserve">The fiscal, underlying cash and headline cash balance impacts differ due to how they treat the concessional interest rate and the flow of loan principal and interest repayment amounts.  Only the fiscal balance includes an estimate of the </w:t>
      </w:r>
      <w:r w:rsidR="0051564E">
        <w:t>value of the concession being provided.</w:t>
      </w:r>
      <w:r>
        <w:t xml:space="preserve">  Only the headline cash balance includes changes in </w:t>
      </w:r>
      <w:r w:rsidR="0051564E">
        <w:t xml:space="preserve">the value of </w:t>
      </w:r>
      <w:r>
        <w:t xml:space="preserve">loans issued and principal repayments.  A note </w:t>
      </w:r>
      <w:r w:rsidR="0051564E">
        <w:t xml:space="preserve">explaining </w:t>
      </w:r>
      <w:r>
        <w:t>the accounting treatment of income contingent loans, such as those provided under HELP</w:t>
      </w:r>
      <w:r w:rsidR="005F027D">
        <w:t>,</w:t>
      </w:r>
      <w:r>
        <w:t xml:space="preserve"> is included at </w:t>
      </w:r>
      <w:r>
        <w:rPr>
          <w:u w:val="single"/>
        </w:rPr>
        <w:t xml:space="preserve">Attachment </w:t>
      </w:r>
      <w:r w:rsidR="001E23E6">
        <w:rPr>
          <w:u w:val="single"/>
        </w:rPr>
        <w:t>C</w:t>
      </w:r>
      <w:r>
        <w:t>.</w:t>
      </w:r>
    </w:p>
    <w:p w:rsidR="00661202" w:rsidRPr="00661202" w:rsidRDefault="00102A46" w:rsidP="00181782">
      <w:pPr>
        <w:pStyle w:val="BodyText"/>
      </w:pPr>
      <w:r w:rsidRPr="00743101">
        <w:t xml:space="preserve">Departmental </w:t>
      </w:r>
      <w:r w:rsidR="00BD5C3E" w:rsidRPr="00743101">
        <w:t xml:space="preserve">expenditure estimates </w:t>
      </w:r>
      <w:r w:rsidR="00D66770" w:rsidRPr="00743101">
        <w:t xml:space="preserve">for the Department of Education and Training </w:t>
      </w:r>
      <w:r w:rsidR="00661202" w:rsidRPr="00743101">
        <w:t xml:space="preserve">and the Department of Human Services to administer the proposal have been included in the costing. </w:t>
      </w:r>
      <w:r w:rsidR="00743101">
        <w:t xml:space="preserve"> </w:t>
      </w:r>
      <w:r w:rsidR="00661202" w:rsidRPr="00743101">
        <w:t>These estimates have been based on similar-sized programs.</w:t>
      </w:r>
    </w:p>
    <w:p w:rsidR="00102A46" w:rsidRDefault="003D04D8" w:rsidP="00325682">
      <w:pPr>
        <w:pStyle w:val="BodyText"/>
        <w:keepNext/>
        <w:keepLines/>
      </w:pPr>
      <w:r w:rsidRPr="00F52EE9">
        <w:t>The estimated</w:t>
      </w:r>
      <w:r w:rsidR="00102A46" w:rsidRPr="00F52EE9">
        <w:t xml:space="preserve"> financial implications of </w:t>
      </w:r>
      <w:r w:rsidR="00961F03">
        <w:t>Components 1, 2 and 3</w:t>
      </w:r>
      <w:r w:rsidR="00102A46" w:rsidRPr="00F52EE9">
        <w:t xml:space="preserve"> are subject to </w:t>
      </w:r>
      <w:r w:rsidR="00E5669B" w:rsidRPr="00F52EE9">
        <w:t xml:space="preserve">a </w:t>
      </w:r>
      <w:r w:rsidR="004756E3" w:rsidRPr="00F52EE9">
        <w:t>high</w:t>
      </w:r>
      <w:r w:rsidR="00E5669B" w:rsidRPr="00F52EE9">
        <w:t xml:space="preserve"> degree of </w:t>
      </w:r>
      <w:r w:rsidR="00102A46" w:rsidRPr="00F52EE9">
        <w:t xml:space="preserve">uncertainty related to a number of factors, particularly </w:t>
      </w:r>
      <w:r w:rsidR="00E57BCC">
        <w:t xml:space="preserve">the responses of </w:t>
      </w:r>
      <w:r w:rsidR="00F52EE9" w:rsidRPr="00F52EE9">
        <w:t>students</w:t>
      </w:r>
      <w:r w:rsidR="00E57BCC">
        <w:t>, educational institutions</w:t>
      </w:r>
      <w:r w:rsidR="00032712">
        <w:t>,</w:t>
      </w:r>
      <w:r w:rsidR="00E57BCC">
        <w:t xml:space="preserve"> and state and territory governments</w:t>
      </w:r>
      <w:r w:rsidR="00F52EE9" w:rsidRPr="00F52EE9">
        <w:t xml:space="preserve"> to the change from </w:t>
      </w:r>
      <w:r w:rsidR="004D01F1">
        <w:t xml:space="preserve">either upfront or </w:t>
      </w:r>
      <w:r w:rsidR="00F52EE9" w:rsidRPr="00F52EE9">
        <w:t>deferred income</w:t>
      </w:r>
      <w:r w:rsidR="00F52EE9" w:rsidRPr="00F52EE9">
        <w:noBreakHyphen/>
        <w:t>contingent tuition fees to free tuition</w:t>
      </w:r>
      <w:r w:rsidR="00F52EE9">
        <w:t>.</w:t>
      </w:r>
      <w:r w:rsidR="00806C07">
        <w:t xml:space="preserve">  </w:t>
      </w:r>
      <w:r w:rsidR="00E57BCC">
        <w:t>Inherent</w:t>
      </w:r>
      <w:r w:rsidRPr="00F52EE9">
        <w:t xml:space="preserve"> uncertainties in the baseline estimates for the HELP programs</w:t>
      </w:r>
      <w:r w:rsidR="00E57BCC">
        <w:t xml:space="preserve"> and </w:t>
      </w:r>
      <w:r w:rsidR="00102A46" w:rsidRPr="00F52EE9">
        <w:t>limited information regardi</w:t>
      </w:r>
      <w:r w:rsidRPr="00F52EE9">
        <w:t>ng loan repayment profiles</w:t>
      </w:r>
      <w:r w:rsidR="00E57BCC">
        <w:t xml:space="preserve"> </w:t>
      </w:r>
      <w:r w:rsidR="00F52EE9">
        <w:t>add to the uncertainty of the estimated financial implications of this proposal.</w:t>
      </w:r>
    </w:p>
    <w:p w:rsidR="00181782" w:rsidRPr="008841F9" w:rsidRDefault="00181782" w:rsidP="00181782">
      <w:pPr>
        <w:pStyle w:val="BodyText"/>
      </w:pPr>
      <w:r w:rsidRPr="00961F03">
        <w:t>The estimate</w:t>
      </w:r>
      <w:r w:rsidR="005C54F6">
        <w:t xml:space="preserve">d financial implications of </w:t>
      </w:r>
      <w:r w:rsidR="00961F03" w:rsidRPr="00961F03">
        <w:t xml:space="preserve">Component </w:t>
      </w:r>
      <w:r w:rsidR="00136E90">
        <w:t>4</w:t>
      </w:r>
      <w:r w:rsidR="00961F03" w:rsidRPr="00961F03">
        <w:t xml:space="preserve"> </w:t>
      </w:r>
      <w:r w:rsidRPr="00961F03">
        <w:t xml:space="preserve">are based on reliable de-identified </w:t>
      </w:r>
      <w:proofErr w:type="gramStart"/>
      <w:r w:rsidRPr="00961F03">
        <w:t>Department</w:t>
      </w:r>
      <w:r w:rsidR="00AB17EB">
        <w:t> </w:t>
      </w:r>
      <w:r w:rsidRPr="00961F03">
        <w:t>of</w:t>
      </w:r>
      <w:r w:rsidR="00AB17EB">
        <w:t> </w:t>
      </w:r>
      <w:r w:rsidRPr="00961F03">
        <w:t>Human</w:t>
      </w:r>
      <w:r w:rsidR="00AB17EB">
        <w:t> </w:t>
      </w:r>
      <w:r w:rsidRPr="00961F03">
        <w:t>Services</w:t>
      </w:r>
      <w:proofErr w:type="gramEnd"/>
      <w:r w:rsidRPr="00961F03">
        <w:t xml:space="preserve"> administrative transfer payment data.  The estimates are sensitive to uncertainty associated with the indexation and population growth factors used to project the payment data across the medium term.  The estimates are also particularly sensitive to the assumption that transfer payment recipients would not alter their behaviour in response to the proposal.</w:t>
      </w:r>
    </w:p>
    <w:p w:rsidR="0050132A" w:rsidRPr="00D014E1" w:rsidRDefault="0050132A" w:rsidP="00426C5F">
      <w:pPr>
        <w:pStyle w:val="Caption"/>
        <w:keepNext w:val="0"/>
        <w:keepLines w:val="0"/>
      </w:pPr>
      <w:r w:rsidRPr="00D014E1">
        <w:t xml:space="preserve">Table </w:t>
      </w:r>
      <w:r w:rsidR="0099142D">
        <w:t>1</w:t>
      </w:r>
      <w:r w:rsidRPr="00D014E1">
        <w:t>: Financial implications ($m</w:t>
      </w:r>
      <w:proofErr w:type="gramStart"/>
      <w:r w:rsidRPr="00D014E1">
        <w:t>)</w:t>
      </w:r>
      <w:r w:rsidRPr="00D014E1">
        <w:rPr>
          <w:vertAlign w:val="superscript"/>
        </w:rPr>
        <w:t>(</w:t>
      </w:r>
      <w:proofErr w:type="gramEnd"/>
      <w:r w:rsidRPr="00D014E1">
        <w:rPr>
          <w:vertAlign w:val="superscript"/>
        </w:rPr>
        <w:t>a)(b)</w:t>
      </w:r>
    </w:p>
    <w:tbl>
      <w:tblPr>
        <w:tblStyle w:val="LightGrid-Accent6"/>
        <w:tblW w:w="5000" w:type="pct"/>
        <w:tblLook w:val="0680" w:firstRow="0" w:lastRow="0" w:firstColumn="1" w:lastColumn="0" w:noHBand="1" w:noVBand="1"/>
      </w:tblPr>
      <w:tblGrid>
        <w:gridCol w:w="2742"/>
        <w:gridCol w:w="1310"/>
        <w:gridCol w:w="1309"/>
        <w:gridCol w:w="1309"/>
        <w:gridCol w:w="1309"/>
        <w:gridCol w:w="1307"/>
      </w:tblGrid>
      <w:tr w:rsidR="00FC65E5" w:rsidRPr="009B70E6" w:rsidTr="001C3544">
        <w:tc>
          <w:tcPr>
            <w:cnfStyle w:val="001000000000" w:firstRow="0" w:lastRow="0" w:firstColumn="1" w:lastColumn="0" w:oddVBand="0" w:evenVBand="0" w:oddHBand="0" w:evenHBand="0" w:firstRowFirstColumn="0" w:firstRowLastColumn="0" w:lastRowFirstColumn="0" w:lastRowLastColumn="0"/>
            <w:tcW w:w="1476" w:type="pct"/>
            <w:tcBorders>
              <w:bottom w:val="single" w:sz="8" w:space="0" w:color="788183" w:themeColor="accent6"/>
            </w:tcBorders>
            <w:shd w:val="clear" w:color="auto" w:fill="A7B2D4" w:themeFill="background2" w:themeFillTint="66"/>
            <w:vAlign w:val="center"/>
          </w:tcPr>
          <w:p w:rsidR="00FC65E5" w:rsidRPr="009B70E6" w:rsidRDefault="00FC65E5" w:rsidP="00426C5F">
            <w:pPr>
              <w:pStyle w:val="TableHeading"/>
              <w:keepNext w:val="0"/>
              <w:keepLines w:val="0"/>
              <w:rPr>
                <w:b w:val="0"/>
                <w:sz w:val="22"/>
              </w:rPr>
            </w:pPr>
          </w:p>
        </w:tc>
        <w:tc>
          <w:tcPr>
            <w:tcW w:w="705" w:type="pct"/>
            <w:tcBorders>
              <w:bottom w:val="single" w:sz="8" w:space="0" w:color="788183" w:themeColor="accent6"/>
            </w:tcBorders>
            <w:shd w:val="clear" w:color="auto" w:fill="A7B2D4" w:themeFill="background2" w:themeFillTint="66"/>
            <w:vAlign w:val="center"/>
          </w:tcPr>
          <w:p w:rsidR="00FC65E5" w:rsidRPr="009B70E6" w:rsidRDefault="00FC65E5" w:rsidP="00426C5F">
            <w:pPr>
              <w:pStyle w:val="TableHeadingRight"/>
              <w:keepNext w:val="0"/>
              <w:keepLines w:val="0"/>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2018–19</w:t>
            </w:r>
          </w:p>
        </w:tc>
        <w:tc>
          <w:tcPr>
            <w:tcW w:w="705" w:type="pct"/>
            <w:tcBorders>
              <w:bottom w:val="single" w:sz="8" w:space="0" w:color="788183" w:themeColor="accent6"/>
            </w:tcBorders>
            <w:shd w:val="clear" w:color="auto" w:fill="A7B2D4" w:themeFill="background2" w:themeFillTint="66"/>
            <w:vAlign w:val="center"/>
          </w:tcPr>
          <w:p w:rsidR="00FC65E5" w:rsidRPr="009B70E6" w:rsidRDefault="00FC65E5" w:rsidP="00426C5F">
            <w:pPr>
              <w:pStyle w:val="TableHeadingRight"/>
              <w:keepNext w:val="0"/>
              <w:keepLines w:val="0"/>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2019–20</w:t>
            </w:r>
          </w:p>
        </w:tc>
        <w:tc>
          <w:tcPr>
            <w:tcW w:w="705" w:type="pct"/>
            <w:tcBorders>
              <w:bottom w:val="single" w:sz="8" w:space="0" w:color="788183" w:themeColor="accent6"/>
            </w:tcBorders>
            <w:shd w:val="clear" w:color="auto" w:fill="A7B2D4" w:themeFill="background2" w:themeFillTint="66"/>
            <w:vAlign w:val="center"/>
          </w:tcPr>
          <w:p w:rsidR="00FC65E5" w:rsidRPr="009B70E6" w:rsidRDefault="00FC65E5" w:rsidP="00426C5F">
            <w:pPr>
              <w:pStyle w:val="TableHeadingRight"/>
              <w:keepNext w:val="0"/>
              <w:keepLines w:val="0"/>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2020–21</w:t>
            </w:r>
          </w:p>
        </w:tc>
        <w:tc>
          <w:tcPr>
            <w:tcW w:w="705" w:type="pct"/>
            <w:tcBorders>
              <w:bottom w:val="single" w:sz="8" w:space="0" w:color="788183" w:themeColor="accent6"/>
            </w:tcBorders>
            <w:shd w:val="clear" w:color="auto" w:fill="A7B2D4" w:themeFill="background2" w:themeFillTint="66"/>
            <w:vAlign w:val="center"/>
          </w:tcPr>
          <w:p w:rsidR="00FC65E5" w:rsidRPr="009B70E6" w:rsidRDefault="00FC65E5" w:rsidP="00426C5F">
            <w:pPr>
              <w:pStyle w:val="TableHeadingRight"/>
              <w:keepNext w:val="0"/>
              <w:keepLines w:val="0"/>
              <w:cnfStyle w:val="000000000000" w:firstRow="0" w:lastRow="0" w:firstColumn="0" w:lastColumn="0" w:oddVBand="0" w:evenVBand="0" w:oddHBand="0" w:evenHBand="0" w:firstRowFirstColumn="0" w:firstRowLastColumn="0" w:lastRowFirstColumn="0" w:lastRowLastColumn="0"/>
              <w:rPr>
                <w:b w:val="0"/>
                <w:sz w:val="22"/>
              </w:rPr>
            </w:pPr>
            <w:r>
              <w:rPr>
                <w:b w:val="0"/>
                <w:sz w:val="22"/>
              </w:rPr>
              <w:t>2021–22</w:t>
            </w:r>
          </w:p>
        </w:tc>
        <w:tc>
          <w:tcPr>
            <w:tcW w:w="704" w:type="pct"/>
            <w:tcBorders>
              <w:bottom w:val="single" w:sz="8" w:space="0" w:color="788183" w:themeColor="accent6"/>
            </w:tcBorders>
            <w:shd w:val="clear" w:color="auto" w:fill="A7B2D4" w:themeFill="background2" w:themeFillTint="66"/>
            <w:vAlign w:val="center"/>
          </w:tcPr>
          <w:p w:rsidR="00FC65E5" w:rsidRPr="009B70E6" w:rsidRDefault="00FC65E5" w:rsidP="00426C5F">
            <w:pPr>
              <w:pStyle w:val="TableHeadingRight"/>
              <w:keepNext w:val="0"/>
              <w:keepLines w:val="0"/>
              <w:cnfStyle w:val="000000000000" w:firstRow="0" w:lastRow="0" w:firstColumn="0" w:lastColumn="0" w:oddVBand="0" w:evenVBand="0" w:oddHBand="0" w:evenHBand="0" w:firstRowFirstColumn="0" w:firstRowLastColumn="0" w:lastRowFirstColumn="0" w:lastRowLastColumn="0"/>
              <w:rPr>
                <w:sz w:val="22"/>
              </w:rPr>
            </w:pPr>
            <w:r w:rsidRPr="009B70E6">
              <w:rPr>
                <w:sz w:val="22"/>
              </w:rPr>
              <w:t>Total to 202</w:t>
            </w:r>
            <w:r>
              <w:rPr>
                <w:sz w:val="22"/>
              </w:rPr>
              <w:t>1</w:t>
            </w:r>
            <w:r w:rsidRPr="009B70E6">
              <w:rPr>
                <w:sz w:val="22"/>
              </w:rPr>
              <w:t>–2</w:t>
            </w:r>
            <w:r>
              <w:rPr>
                <w:sz w:val="22"/>
              </w:rPr>
              <w:t>2</w:t>
            </w:r>
          </w:p>
        </w:tc>
      </w:tr>
      <w:tr w:rsidR="001C3544" w:rsidRPr="009B70E6" w:rsidTr="001C3544">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3D8E9" w:themeFill="background2" w:themeFillTint="33"/>
            <w:vAlign w:val="center"/>
          </w:tcPr>
          <w:p w:rsidR="001C3544" w:rsidRPr="001C3544" w:rsidRDefault="001C3544" w:rsidP="00426C5F">
            <w:pPr>
              <w:pStyle w:val="TableTextRightBold"/>
              <w:jc w:val="left"/>
              <w:rPr>
                <w:sz w:val="22"/>
              </w:rPr>
            </w:pPr>
            <w:r>
              <w:rPr>
                <w:sz w:val="22"/>
              </w:rPr>
              <w:t>Combined</w:t>
            </w:r>
          </w:p>
        </w:tc>
      </w:tr>
      <w:tr w:rsidR="001D255F" w:rsidRPr="009B70E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1D255F" w:rsidRPr="009B70E6" w:rsidRDefault="001D255F" w:rsidP="00426C5F">
            <w:pPr>
              <w:pStyle w:val="TableHeading"/>
              <w:keepNext w:val="0"/>
              <w:keepLines w:val="0"/>
              <w:rPr>
                <w:rFonts w:asciiTheme="majorHAnsi" w:hAnsiTheme="majorHAnsi"/>
                <w:b w:val="0"/>
                <w:sz w:val="22"/>
              </w:rPr>
            </w:pPr>
            <w:r w:rsidRPr="009B70E6">
              <w:rPr>
                <w:b w:val="0"/>
                <w:sz w:val="22"/>
              </w:rPr>
              <w:t>Fiscal balance</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1,240</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-4,000</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-6,280</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-9,000</w:t>
            </w:r>
          </w:p>
        </w:tc>
        <w:tc>
          <w:tcPr>
            <w:tcW w:w="704"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bookmarkStart w:id="1" w:name="RANGE!G2"/>
            <w:r>
              <w:rPr>
                <w:rFonts w:ascii="Calibri" w:hAnsi="Calibri"/>
                <w:b/>
                <w:bCs/>
                <w:color w:val="000000"/>
              </w:rPr>
              <w:t>-18,010</w:t>
            </w:r>
            <w:bookmarkEnd w:id="1"/>
          </w:p>
        </w:tc>
      </w:tr>
      <w:tr w:rsidR="001D255F" w:rsidRPr="009B70E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1D255F" w:rsidRPr="009B70E6" w:rsidRDefault="001D255F" w:rsidP="00426C5F">
            <w:pPr>
              <w:pStyle w:val="TableHeading"/>
              <w:keepNext w:val="0"/>
              <w:keepLines w:val="0"/>
              <w:rPr>
                <w:b w:val="0"/>
                <w:sz w:val="22"/>
              </w:rPr>
            </w:pPr>
            <w:r w:rsidRPr="009B70E6">
              <w:rPr>
                <w:b w:val="0"/>
                <w:sz w:val="22"/>
              </w:rPr>
              <w:t>Underlying cash balance</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1,230</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-4,250</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-6,510</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-9,200</w:t>
            </w:r>
          </w:p>
        </w:tc>
        <w:tc>
          <w:tcPr>
            <w:tcW w:w="704"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r>
              <w:rPr>
                <w:rFonts w:ascii="Calibri" w:hAnsi="Calibri"/>
                <w:b/>
                <w:bCs/>
                <w:color w:val="000000"/>
              </w:rPr>
              <w:t>-18,690</w:t>
            </w:r>
          </w:p>
        </w:tc>
      </w:tr>
      <w:tr w:rsidR="001D255F" w:rsidRPr="009B70E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1D255F" w:rsidRPr="009B70E6" w:rsidRDefault="001D255F" w:rsidP="00426C5F">
            <w:pPr>
              <w:pStyle w:val="TableHeading"/>
              <w:keepNext w:val="0"/>
              <w:keepLines w:val="0"/>
              <w:rPr>
                <w:b w:val="0"/>
                <w:sz w:val="22"/>
              </w:rPr>
            </w:pPr>
            <w:r>
              <w:rPr>
                <w:b w:val="0"/>
                <w:sz w:val="22"/>
              </w:rPr>
              <w:t>Headline</w:t>
            </w:r>
            <w:r w:rsidRPr="009B70E6">
              <w:rPr>
                <w:b w:val="0"/>
                <w:sz w:val="22"/>
              </w:rPr>
              <w:t xml:space="preserve"> cash balance</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1,710</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-3,980</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-5,280</w:t>
            </w:r>
          </w:p>
        </w:tc>
        <w:tc>
          <w:tcPr>
            <w:tcW w:w="705"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-6,800</w:t>
            </w:r>
          </w:p>
        </w:tc>
        <w:tc>
          <w:tcPr>
            <w:tcW w:w="704" w:type="pct"/>
            <w:vAlign w:val="center"/>
          </w:tcPr>
          <w:p w:rsidR="001D255F" w:rsidRDefault="001D255F" w:rsidP="00426C5F">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r>
              <w:rPr>
                <w:rFonts w:ascii="Calibri" w:hAnsi="Calibri"/>
                <w:b/>
                <w:bCs/>
                <w:color w:val="000000"/>
              </w:rPr>
              <w:t>-14,300</w:t>
            </w:r>
          </w:p>
        </w:tc>
      </w:tr>
    </w:tbl>
    <w:p w:rsidR="0050132A" w:rsidRPr="00A162FE" w:rsidRDefault="0050132A" w:rsidP="00426C5F">
      <w:pPr>
        <w:spacing w:line="260" w:lineRule="atLeast"/>
        <w:ind w:left="284" w:hanging="284"/>
        <w:rPr>
          <w:sz w:val="20"/>
          <w:szCs w:val="20"/>
        </w:rPr>
      </w:pPr>
      <w:r w:rsidRPr="00A162FE">
        <w:rPr>
          <w:sz w:val="20"/>
          <w:szCs w:val="20"/>
        </w:rPr>
        <w:t>(a)</w:t>
      </w:r>
      <w:r w:rsidRPr="00A162FE">
        <w:rPr>
          <w:sz w:val="20"/>
          <w:szCs w:val="20"/>
        </w:rPr>
        <w:tab/>
        <w:t>A positive number represents an increase in the relevant budget balance; a negative number represents a decrease.</w:t>
      </w:r>
    </w:p>
    <w:p w:rsidR="0050132A" w:rsidRDefault="0050132A" w:rsidP="00426C5F">
      <w:pPr>
        <w:spacing w:line="260" w:lineRule="atLeast"/>
        <w:ind w:left="284" w:hanging="284"/>
        <w:rPr>
          <w:sz w:val="20"/>
          <w:szCs w:val="20"/>
        </w:rPr>
      </w:pPr>
      <w:r w:rsidRPr="00A162FE">
        <w:rPr>
          <w:sz w:val="20"/>
          <w:szCs w:val="20"/>
        </w:rPr>
        <w:t>(b)</w:t>
      </w:r>
      <w:r w:rsidRPr="00A162FE">
        <w:rPr>
          <w:sz w:val="20"/>
          <w:szCs w:val="20"/>
        </w:rPr>
        <w:tab/>
        <w:t>Figures may not sum to totals due to rounding.</w:t>
      </w:r>
    </w:p>
    <w:p w:rsidR="00FE3B13" w:rsidRPr="00D014E1" w:rsidRDefault="00FE3B13" w:rsidP="00426C5F">
      <w:pPr>
        <w:pStyle w:val="Heading1"/>
      </w:pPr>
      <w:r w:rsidRPr="00D014E1">
        <w:t>Key assumptions</w:t>
      </w:r>
    </w:p>
    <w:p w:rsidR="0051564E" w:rsidRDefault="0051564E" w:rsidP="006762CE">
      <w:pPr>
        <w:pStyle w:val="Lettertext"/>
        <w:keepLines/>
      </w:pPr>
      <w:r>
        <w:t>The Parliamentary Budget Office (PBO) has made the following assumptions in costing the proposal.</w:t>
      </w:r>
    </w:p>
    <w:p w:rsidR="00CF6DFC" w:rsidRDefault="00CF6DFC" w:rsidP="00426C5F">
      <w:pPr>
        <w:pStyle w:val="Heading2"/>
      </w:pPr>
      <w:r>
        <w:t>General</w:t>
      </w:r>
    </w:p>
    <w:p w:rsidR="00CF6DFC" w:rsidRDefault="00CF6DFC" w:rsidP="006762CE">
      <w:pPr>
        <w:pStyle w:val="ListBullet"/>
      </w:pPr>
      <w:r>
        <w:t>Any enabling legislation would be passed before the commencement of the proposal.</w:t>
      </w:r>
    </w:p>
    <w:p w:rsidR="007C2EB3" w:rsidRDefault="007C2EB3" w:rsidP="00426C5F">
      <w:pPr>
        <w:pStyle w:val="ListBullet"/>
        <w:keepNext/>
      </w:pPr>
      <w:r>
        <w:lastRenderedPageBreak/>
        <w:t>Given that the proposal makes tuition fre</w:t>
      </w:r>
      <w:r w:rsidR="00331EE1">
        <w:t>e for undergraduates</w:t>
      </w:r>
      <w:r>
        <w:t xml:space="preserve"> and free or close to free for TAFE students, students </w:t>
      </w:r>
      <w:r w:rsidR="0051564E">
        <w:t xml:space="preserve">are not expected to </w:t>
      </w:r>
      <w:r>
        <w:t>substitut</w:t>
      </w:r>
      <w:r w:rsidR="0051564E">
        <w:t>e</w:t>
      </w:r>
      <w:r>
        <w:t xml:space="preserve"> from one type of higher education to another based on tuition fees.</w:t>
      </w:r>
    </w:p>
    <w:p w:rsidR="00CF6DFC" w:rsidRDefault="00CF6DFC" w:rsidP="00CF6DFC">
      <w:pPr>
        <w:pStyle w:val="Heading2"/>
      </w:pPr>
      <w:r>
        <w:t>Component 1</w:t>
      </w:r>
      <w:r w:rsidR="0051564E">
        <w:t xml:space="preserve">: </w:t>
      </w:r>
      <w:r w:rsidR="0051564E" w:rsidRPr="001D255F">
        <w:t>University tuition fees</w:t>
      </w:r>
    </w:p>
    <w:p w:rsidR="00CF6DFC" w:rsidRDefault="00CF6DFC" w:rsidP="00CF6DFC">
      <w:pPr>
        <w:pStyle w:val="ListBullet"/>
      </w:pPr>
      <w:r>
        <w:t>The funding provided to universities on behalf of students would be classified as a grant.</w:t>
      </w:r>
    </w:p>
    <w:p w:rsidR="00CF6DFC" w:rsidRPr="007B5EB1" w:rsidRDefault="00CF6DFC" w:rsidP="00136E90">
      <w:pPr>
        <w:pStyle w:val="ListBullet2"/>
        <w:tabs>
          <w:tab w:val="clear" w:pos="907"/>
          <w:tab w:val="num" w:pos="567"/>
        </w:tabs>
        <w:ind w:left="567" w:hanging="283"/>
      </w:pPr>
      <w:r w:rsidRPr="007B5EB1">
        <w:t>The value of HECS-HELP loans converted to grants is equivalent to the average HECS</w:t>
      </w:r>
      <w:r w:rsidRPr="007B5EB1">
        <w:noBreakHyphen/>
        <w:t>HELP loan multiplied by the projected number of HECS-HELP recipients eligible for the proposal (on an equivalent full-time student load basis).</w:t>
      </w:r>
    </w:p>
    <w:p w:rsidR="000300A8" w:rsidRDefault="000300A8" w:rsidP="000300A8">
      <w:pPr>
        <w:pStyle w:val="ListBullet"/>
      </w:pPr>
      <w:r>
        <w:t>The proposal would result in a small (one per cent) increase in projected student numbers (measured in equivalent full-time student load) in response to the fee-free undergraduate tuition.</w:t>
      </w:r>
      <w:r w:rsidR="004D061D">
        <w:t xml:space="preserve">  This equates to roughly an additional 6,000 students per year </w:t>
      </w:r>
      <w:r w:rsidR="001B62F2">
        <w:t xml:space="preserve">over the medium term </w:t>
      </w:r>
      <w:r w:rsidR="004D061D">
        <w:t>(on an equivalent full-time student basis, rounded to the nearest 1,000 students).</w:t>
      </w:r>
    </w:p>
    <w:p w:rsidR="000300A8" w:rsidRDefault="0051564E" w:rsidP="000300A8">
      <w:pPr>
        <w:pStyle w:val="ListBullet2"/>
        <w:tabs>
          <w:tab w:val="clear" w:pos="907"/>
          <w:tab w:val="num" w:pos="567"/>
        </w:tabs>
        <w:ind w:left="567" w:hanging="283"/>
      </w:pPr>
      <w:r>
        <w:t>At</w:t>
      </w:r>
      <w:r w:rsidRPr="00836EAA">
        <w:t xml:space="preserve"> </w:t>
      </w:r>
      <w:r w:rsidR="000300A8" w:rsidRPr="00836EAA">
        <w:t>an aggregate level, the introduction of the Higher Education Contribution Scheme (HECS, now HELP) does not appear to have deterred participation in higher</w:t>
      </w:r>
      <w:r w:rsidR="000300A8">
        <w:t xml:space="preserve"> education</w:t>
      </w:r>
      <w:r w:rsidR="004D01F1">
        <w:t>, so one may expect that removing HELP would have only a marginal impact on participation</w:t>
      </w:r>
      <w:r w:rsidR="000300A8">
        <w:t>.  However, Australian and international</w:t>
      </w:r>
      <w:r w:rsidR="000300A8" w:rsidRPr="00836EAA">
        <w:t xml:space="preserve"> research indicates that certain cohorts such as mature-aged students, part</w:t>
      </w:r>
      <w:r w:rsidR="000300A8">
        <w:noBreakHyphen/>
      </w:r>
      <w:r w:rsidR="000300A8" w:rsidRPr="00836EAA">
        <w:t>time</w:t>
      </w:r>
      <w:r w:rsidR="000300A8">
        <w:t> </w:t>
      </w:r>
      <w:r w:rsidR="000300A8" w:rsidRPr="00836EAA">
        <w:t>students</w:t>
      </w:r>
      <w:r w:rsidR="000300A8">
        <w:t>, high school leavers with low Australian Tertiary Admission Rankings</w:t>
      </w:r>
      <w:r w:rsidR="000300A8" w:rsidRPr="00836EAA">
        <w:t xml:space="preserve"> and low socio-economic status students may be more sensitive to changes in tuition fees.</w:t>
      </w:r>
    </w:p>
    <w:p w:rsidR="000300A8" w:rsidRPr="00331EE1" w:rsidRDefault="000300A8" w:rsidP="000300A8">
      <w:pPr>
        <w:pStyle w:val="ListBullet2"/>
        <w:tabs>
          <w:tab w:val="clear" w:pos="907"/>
          <w:tab w:val="num" w:pos="567"/>
        </w:tabs>
        <w:ind w:left="567" w:hanging="283"/>
      </w:pPr>
      <w:r>
        <w:t xml:space="preserve">In addition, at the time HECS was introduced, the supply of undergraduate places was insufficient to meet the available demand.  Thus while the introduction of income contingent loans may well have deterred some participants, the price demand impact could not be </w:t>
      </w:r>
      <w:r w:rsidR="00AA5986">
        <w:t xml:space="preserve">reasonably </w:t>
      </w:r>
      <w:r>
        <w:t>analysed using enrolment data.</w:t>
      </w:r>
    </w:p>
    <w:p w:rsidR="00CF6DFC" w:rsidRDefault="00CF6DFC" w:rsidP="00CF6DFC">
      <w:pPr>
        <w:pStyle w:val="ListBullet"/>
      </w:pPr>
      <w:r w:rsidRPr="00AF6F6A">
        <w:t>In response to the propo</w:t>
      </w:r>
      <w:r w:rsidRPr="00671018">
        <w:t xml:space="preserve">sal, a </w:t>
      </w:r>
      <w:r>
        <w:t>majority of commencing students</w:t>
      </w:r>
      <w:r w:rsidR="00D96066">
        <w:t xml:space="preserve"> (62.5 per cent)</w:t>
      </w:r>
      <w:r>
        <w:t xml:space="preserve"> would choose to delay studies from the first semester to the second semester of 2019 to take advantage of the fee</w:t>
      </w:r>
      <w:r>
        <w:noBreakHyphen/>
        <w:t>free tuition.</w:t>
      </w:r>
    </w:p>
    <w:p w:rsidR="00975B36" w:rsidRDefault="00975B36" w:rsidP="00DF59C5">
      <w:pPr>
        <w:pStyle w:val="ListBullet2"/>
        <w:tabs>
          <w:tab w:val="clear" w:pos="907"/>
          <w:tab w:val="num" w:pos="567"/>
        </w:tabs>
        <w:ind w:left="567" w:hanging="283"/>
      </w:pPr>
      <w:r>
        <w:t>This results in a flow-on reduction in student payments in 2018-19.</w:t>
      </w:r>
    </w:p>
    <w:p w:rsidR="00CF6DFC" w:rsidRPr="00671018" w:rsidRDefault="00CF6DFC" w:rsidP="00CF6DFC">
      <w:pPr>
        <w:pStyle w:val="Heading2"/>
      </w:pPr>
      <w:r w:rsidRPr="00671018">
        <w:t>Component 2</w:t>
      </w:r>
      <w:r w:rsidR="0051564E">
        <w:t>: HELP</w:t>
      </w:r>
      <w:r w:rsidR="0051564E" w:rsidRPr="001D255F">
        <w:t xml:space="preserve"> and </w:t>
      </w:r>
      <w:r w:rsidR="0051564E">
        <w:t>VET</w:t>
      </w:r>
      <w:r w:rsidR="0051564E" w:rsidRPr="001D255F">
        <w:t xml:space="preserve"> loan repayment</w:t>
      </w:r>
    </w:p>
    <w:p w:rsidR="00CF6DFC" w:rsidRPr="00671018" w:rsidRDefault="00CF6DFC" w:rsidP="00CF6DFC">
      <w:pPr>
        <w:pStyle w:val="ListBullet"/>
      </w:pPr>
      <w:r w:rsidRPr="00671018">
        <w:t xml:space="preserve">The rate of HELP debt not expected to be repaid under the proposal would increase </w:t>
      </w:r>
      <w:r>
        <w:t>by a small amount</w:t>
      </w:r>
      <w:r w:rsidRPr="00671018">
        <w:t xml:space="preserve"> relative to the baseline, reflecting</w:t>
      </w:r>
      <w:r>
        <w:t xml:space="preserve"> the</w:t>
      </w:r>
      <w:r w:rsidRPr="00671018">
        <w:t xml:space="preserve"> </w:t>
      </w:r>
      <w:r>
        <w:t>fact that fewer people would reach the lowest repayment threshold</w:t>
      </w:r>
      <w:r w:rsidRPr="00671018">
        <w:t>.</w:t>
      </w:r>
    </w:p>
    <w:p w:rsidR="00CF6DFC" w:rsidRPr="00671018" w:rsidRDefault="00CF6DFC" w:rsidP="00CF6DFC">
      <w:pPr>
        <w:pStyle w:val="ListBullet"/>
      </w:pPr>
      <w:r w:rsidRPr="00671018">
        <w:t xml:space="preserve">The difference between annual growth in the </w:t>
      </w:r>
      <w:r w:rsidR="0051564E">
        <w:t>CPI</w:t>
      </w:r>
      <w:r w:rsidRPr="00671018">
        <w:t xml:space="preserve"> and annual growth in median wages would remain constant at its historical level of 0.6 per cent over </w:t>
      </w:r>
      <w:r>
        <w:t xml:space="preserve">the period </w:t>
      </w:r>
      <w:r w:rsidRPr="00671018">
        <w:t>2008 to 2017.</w:t>
      </w:r>
    </w:p>
    <w:p w:rsidR="00CF6DFC" w:rsidRDefault="00CF6DFC" w:rsidP="00CF6DFC">
      <w:pPr>
        <w:pStyle w:val="ListBullet"/>
      </w:pPr>
      <w:r>
        <w:t>The amount of voluntary repayments would not be affected by this proposal.</w:t>
      </w:r>
    </w:p>
    <w:p w:rsidR="007C2EB3" w:rsidRPr="00671018" w:rsidRDefault="007C2EB3" w:rsidP="0051564E">
      <w:pPr>
        <w:pStyle w:val="Heading2"/>
      </w:pPr>
      <w:r w:rsidRPr="00671018">
        <w:t xml:space="preserve">Component </w:t>
      </w:r>
      <w:r>
        <w:t>3</w:t>
      </w:r>
      <w:r w:rsidR="0051564E">
        <w:t xml:space="preserve">: </w:t>
      </w:r>
      <w:r w:rsidR="00BF68C6">
        <w:t>TAFE</w:t>
      </w:r>
      <w:r w:rsidR="0051564E" w:rsidRPr="0051564E">
        <w:t xml:space="preserve"> grants</w:t>
      </w:r>
    </w:p>
    <w:p w:rsidR="004805DC" w:rsidRDefault="00B90C21" w:rsidP="006F13E5">
      <w:pPr>
        <w:pStyle w:val="ListBullet"/>
      </w:pPr>
      <w:r>
        <w:t>Total p</w:t>
      </w:r>
      <w:r w:rsidR="004805DC">
        <w:t xml:space="preserve">rojected delivery hours in relevant TAFE courses in the absence of any policy change would be held constant at the average of 2016 and 2017 levels (the latest </w:t>
      </w:r>
      <w:r w:rsidR="00F4210D">
        <w:t xml:space="preserve">years </w:t>
      </w:r>
      <w:r w:rsidR="004805DC">
        <w:t xml:space="preserve">for which National Centre for Vocational </w:t>
      </w:r>
      <w:r w:rsidR="00BF68C6">
        <w:t xml:space="preserve">Education </w:t>
      </w:r>
      <w:r w:rsidR="004805DC">
        <w:t>Research</w:t>
      </w:r>
      <w:r w:rsidR="00181354">
        <w:t xml:space="preserve"> </w:t>
      </w:r>
      <w:r w:rsidR="004805DC">
        <w:t>data is available).</w:t>
      </w:r>
    </w:p>
    <w:p w:rsidR="00F4210D" w:rsidRDefault="004D01F1" w:rsidP="006F13E5">
      <w:pPr>
        <w:pStyle w:val="ListBullet2"/>
        <w:tabs>
          <w:tab w:val="clear" w:pos="907"/>
          <w:tab w:val="num" w:pos="567"/>
        </w:tabs>
        <w:ind w:left="567" w:hanging="283"/>
      </w:pPr>
      <w:r>
        <w:t xml:space="preserve">Delivery hours have been fairly flat between 2015 and 2017.  </w:t>
      </w:r>
      <w:r w:rsidR="00996132">
        <w:t>While t</w:t>
      </w:r>
      <w:r w:rsidR="00F4210D">
        <w:t>here have been considerable fluctuations in delivery hours</w:t>
      </w:r>
      <w:r w:rsidR="00996132">
        <w:t xml:space="preserve"> </w:t>
      </w:r>
      <w:r w:rsidR="00F4210D">
        <w:t xml:space="preserve">over the past decade, </w:t>
      </w:r>
      <w:r w:rsidR="00996132">
        <w:t xml:space="preserve">there has been </w:t>
      </w:r>
      <w:r w:rsidR="00F4210D">
        <w:t xml:space="preserve">no clear discernible </w:t>
      </w:r>
      <w:r w:rsidR="00B00A6E">
        <w:t>trend.</w:t>
      </w:r>
    </w:p>
    <w:p w:rsidR="00F4210D" w:rsidRDefault="00F4210D" w:rsidP="001D255F">
      <w:pPr>
        <w:pStyle w:val="ListBullet"/>
        <w:keepNext/>
      </w:pPr>
      <w:r>
        <w:lastRenderedPageBreak/>
        <w:t>The proposal would result in a small</w:t>
      </w:r>
      <w:r w:rsidR="000300A8">
        <w:t xml:space="preserve"> (</w:t>
      </w:r>
      <w:r w:rsidR="00752B36">
        <w:t xml:space="preserve">5 </w:t>
      </w:r>
      <w:r w:rsidR="000300A8">
        <w:t xml:space="preserve">per cent) </w:t>
      </w:r>
      <w:r>
        <w:t>increase in projected student numbers (measured in equivalent full-time student load).</w:t>
      </w:r>
    </w:p>
    <w:p w:rsidR="00F4210D" w:rsidRDefault="00F4210D" w:rsidP="001D255F">
      <w:pPr>
        <w:pStyle w:val="ListBullet2"/>
        <w:keepNext/>
        <w:tabs>
          <w:tab w:val="clear" w:pos="907"/>
          <w:tab w:val="num" w:pos="567"/>
        </w:tabs>
        <w:ind w:left="567" w:hanging="283"/>
      </w:pPr>
      <w:r>
        <w:t xml:space="preserve">Given the diversity of course options at TAFEs (and, in particular, the option to undertake shorter duration or </w:t>
      </w:r>
      <w:r w:rsidR="0051564E">
        <w:t>less-</w:t>
      </w:r>
      <w:r>
        <w:t>intensive courses) the estimated behavioural response is larger for Component 3</w:t>
      </w:r>
      <w:r w:rsidR="00FB5B88">
        <w:t xml:space="preserve"> than Component 1</w:t>
      </w:r>
      <w:r>
        <w:t>.</w:t>
      </w:r>
    </w:p>
    <w:p w:rsidR="004D01F1" w:rsidRDefault="004D01F1" w:rsidP="006F13E5">
      <w:pPr>
        <w:pStyle w:val="ListBullet2"/>
        <w:tabs>
          <w:tab w:val="clear" w:pos="907"/>
          <w:tab w:val="num" w:pos="567"/>
        </w:tabs>
        <w:ind w:left="567" w:hanging="283"/>
      </w:pPr>
      <w:r>
        <w:t>In addition, under the proposal, a number of courses which are currently not eligible for VET</w:t>
      </w:r>
      <w:r w:rsidR="007E0BFB">
        <w:t> </w:t>
      </w:r>
      <w:r>
        <w:t>Student</w:t>
      </w:r>
      <w:r w:rsidR="007E0BFB">
        <w:t> </w:t>
      </w:r>
      <w:r>
        <w:t xml:space="preserve">Loans </w:t>
      </w:r>
      <w:r w:rsidR="007E0BFB">
        <w:t xml:space="preserve">would be </w:t>
      </w:r>
      <w:r>
        <w:t xml:space="preserve">covered by Commonwealth TAFE grants, so </w:t>
      </w:r>
      <w:r w:rsidR="00996132">
        <w:t>some students deterred by up</w:t>
      </w:r>
      <w:r w:rsidR="00996132">
        <w:noBreakHyphen/>
        <w:t>front costs under the baseline may undertake study</w:t>
      </w:r>
      <w:r w:rsidR="007E0BFB">
        <w:t>.</w:t>
      </w:r>
    </w:p>
    <w:p w:rsidR="00F4210D" w:rsidRDefault="00F4210D">
      <w:pPr>
        <w:pStyle w:val="ListBullet"/>
      </w:pPr>
      <w:r>
        <w:t xml:space="preserve">There would be </w:t>
      </w:r>
      <w:r w:rsidR="006C61DA">
        <w:t>some</w:t>
      </w:r>
      <w:r>
        <w:t xml:space="preserve"> substitution </w:t>
      </w:r>
      <w:r w:rsidR="000300A8">
        <w:t xml:space="preserve">(15 per cent) </w:t>
      </w:r>
      <w:r>
        <w:t>away from VET courses delivered in non</w:t>
      </w:r>
      <w:r>
        <w:noBreakHyphen/>
        <w:t>TAFE setting</w:t>
      </w:r>
      <w:r w:rsidR="00032712">
        <w:t>s</w:t>
      </w:r>
      <w:r>
        <w:t xml:space="preserve"> to TAFEs to take advantage of the free or low</w:t>
      </w:r>
      <w:r w:rsidR="00BF68C6">
        <w:t>-</w:t>
      </w:r>
      <w:r>
        <w:t>cost tuition.</w:t>
      </w:r>
    </w:p>
    <w:p w:rsidR="00743101" w:rsidRDefault="00743101" w:rsidP="001D255F">
      <w:pPr>
        <w:pStyle w:val="ListBullet2"/>
        <w:tabs>
          <w:tab w:val="clear" w:pos="907"/>
          <w:tab w:val="num" w:pos="567"/>
        </w:tabs>
        <w:ind w:left="567" w:hanging="283"/>
      </w:pPr>
      <w:r>
        <w:t>Aside from this substitution effect, there would be no change in projected student numbers or value of VET student loans from non-TAFE VET providers.</w:t>
      </w:r>
    </w:p>
    <w:p w:rsidR="00181354" w:rsidRPr="00E6692B" w:rsidRDefault="00F4210D" w:rsidP="00743101">
      <w:pPr>
        <w:pStyle w:val="ListBullet"/>
      </w:pPr>
      <w:r w:rsidRPr="00AF6F6A">
        <w:t xml:space="preserve">In </w:t>
      </w:r>
      <w:r w:rsidRPr="00E6692B">
        <w:t>response to the proposal, a majority of commencing students</w:t>
      </w:r>
      <w:r w:rsidR="00D96066" w:rsidRPr="00E6692B">
        <w:t xml:space="preserve"> (62.5 per cent)</w:t>
      </w:r>
      <w:r w:rsidRPr="00E6692B">
        <w:t xml:space="preserve"> would choose to delay studies from the first semester to the second semester of 2019 to take advantage of the free or low cost</w:t>
      </w:r>
      <w:r w:rsidR="00B00A6E" w:rsidRPr="00E6692B">
        <w:t xml:space="preserve"> tuition.</w:t>
      </w:r>
    </w:p>
    <w:p w:rsidR="00975B36" w:rsidRPr="00E6692B" w:rsidRDefault="00975B36" w:rsidP="00975B36">
      <w:pPr>
        <w:pStyle w:val="ListBullet2"/>
        <w:tabs>
          <w:tab w:val="clear" w:pos="907"/>
          <w:tab w:val="num" w:pos="567"/>
        </w:tabs>
        <w:ind w:left="567" w:hanging="283"/>
      </w:pPr>
      <w:r w:rsidRPr="00E6692B">
        <w:t>This results in a flow-on reduction in student payments in 2018-19.</w:t>
      </w:r>
    </w:p>
    <w:p w:rsidR="003B606A" w:rsidRPr="00E6692B" w:rsidRDefault="00BD1EC3" w:rsidP="003B606A">
      <w:pPr>
        <w:pStyle w:val="ListBullet"/>
      </w:pPr>
      <w:r w:rsidRPr="00E6692B">
        <w:t>Any responses by s</w:t>
      </w:r>
      <w:r w:rsidR="003B606A" w:rsidRPr="00E6692B">
        <w:t xml:space="preserve">tate and territory governments </w:t>
      </w:r>
      <w:r w:rsidRPr="00E6692B">
        <w:t>to the proposal are unlikely to affect the financial implications of this proposal to the Commonwealth</w:t>
      </w:r>
      <w:r w:rsidR="003B606A" w:rsidRPr="00E6692B">
        <w:t>.</w:t>
      </w:r>
    </w:p>
    <w:p w:rsidR="007C2EB3" w:rsidRPr="00671018" w:rsidRDefault="007C2EB3" w:rsidP="0051564E">
      <w:pPr>
        <w:pStyle w:val="Heading2"/>
      </w:pPr>
      <w:r w:rsidRPr="00E6692B">
        <w:t>Component</w:t>
      </w:r>
      <w:r w:rsidRPr="00671018">
        <w:t xml:space="preserve"> </w:t>
      </w:r>
      <w:r>
        <w:t>4</w:t>
      </w:r>
      <w:r w:rsidR="0051564E">
        <w:t xml:space="preserve">: </w:t>
      </w:r>
      <w:r w:rsidR="0051564E" w:rsidRPr="0051564E">
        <w:t>Student support payments</w:t>
      </w:r>
    </w:p>
    <w:p w:rsidR="007C2EB3" w:rsidRDefault="007C2EB3" w:rsidP="001D255F">
      <w:pPr>
        <w:pStyle w:val="ListBullet"/>
      </w:pPr>
      <w:r>
        <w:t>Student payment recipients would not alter their earned income or marital status in response to the proposal.</w:t>
      </w:r>
    </w:p>
    <w:p w:rsidR="007C2EB3" w:rsidRDefault="007C2EB3" w:rsidP="001D255F">
      <w:pPr>
        <w:pStyle w:val="ListBullet"/>
      </w:pPr>
      <w:r>
        <w:t>No additional transfer payment claims would be made, beyond those that would become eligible for payment as a result of the payment rate increase.</w:t>
      </w:r>
    </w:p>
    <w:p w:rsidR="007C2EB3" w:rsidRDefault="007C2EB3" w:rsidP="001D255F">
      <w:pPr>
        <w:pStyle w:val="ListBullet"/>
      </w:pPr>
      <w:r>
        <w:t>As specified in the request, the proposal is not expected to induce any switching between benefits.</w:t>
      </w:r>
    </w:p>
    <w:p w:rsidR="004805DC" w:rsidRDefault="004805DC" w:rsidP="001D255F">
      <w:pPr>
        <w:pStyle w:val="ListBullet"/>
      </w:pPr>
      <w:r>
        <w:t>A</w:t>
      </w:r>
      <w:r w:rsidR="0014021D">
        <w:t xml:space="preserve">side from a reduction in the number of students eligible for </w:t>
      </w:r>
      <w:r w:rsidR="00E4669C">
        <w:t>student payments</w:t>
      </w:r>
      <w:r w:rsidR="0014021D">
        <w:t xml:space="preserve"> in the first semester of 2019, a</w:t>
      </w:r>
      <w:r>
        <w:t>ny interactions between the changes to student payments and the proposal’s other three components would be marginal and have not been accounted for in the costing.</w:t>
      </w:r>
    </w:p>
    <w:p w:rsidR="00FE3B13" w:rsidRDefault="00FE3B13" w:rsidP="0056001A">
      <w:pPr>
        <w:pStyle w:val="Heading1"/>
      </w:pPr>
      <w:r w:rsidRPr="00D014E1">
        <w:t>Methodology</w:t>
      </w:r>
    </w:p>
    <w:p w:rsidR="00181782" w:rsidRDefault="00181782" w:rsidP="00181782">
      <w:pPr>
        <w:pStyle w:val="BodyText"/>
      </w:pPr>
      <w:r>
        <w:t>All estimates have been rounded to the nearest $10 million.</w:t>
      </w:r>
    </w:p>
    <w:p w:rsidR="00216DC5" w:rsidRPr="00526094" w:rsidRDefault="00216DC5" w:rsidP="004B3A7E">
      <w:pPr>
        <w:pStyle w:val="Heading2"/>
      </w:pPr>
      <w:r w:rsidRPr="00526094">
        <w:t>Component 1</w:t>
      </w:r>
      <w:r w:rsidR="0051564E">
        <w:t xml:space="preserve">: </w:t>
      </w:r>
      <w:r w:rsidR="0051564E" w:rsidRPr="0006467B">
        <w:t>University tuition fees</w:t>
      </w:r>
    </w:p>
    <w:p w:rsidR="000629AE" w:rsidRDefault="000629AE" w:rsidP="005416B6">
      <w:pPr>
        <w:pStyle w:val="BodyText"/>
      </w:pPr>
      <w:r>
        <w:t xml:space="preserve">The financial implications of ceasing student contributions </w:t>
      </w:r>
      <w:r w:rsidR="00295DBC">
        <w:t>were calculated by removing HELP loans</w:t>
      </w:r>
      <w:r>
        <w:t xml:space="preserve"> for students affected by the proposal</w:t>
      </w:r>
      <w:r w:rsidR="00295DBC">
        <w:t xml:space="preserve"> and increasing grant funding by an amount equal to </w:t>
      </w:r>
      <w:r>
        <w:t xml:space="preserve">those </w:t>
      </w:r>
      <w:r w:rsidR="00295DBC">
        <w:t xml:space="preserve">HELP loans, plus </w:t>
      </w:r>
      <w:r>
        <w:t xml:space="preserve">the </w:t>
      </w:r>
      <w:r w:rsidR="00295DBC">
        <w:t>student contributions</w:t>
      </w:r>
      <w:r>
        <w:t xml:space="preserve"> paid upfront under the baseline.  This funding is then increased by </w:t>
      </w:r>
      <w:r w:rsidR="00295DBC">
        <w:t>10 per cent as per the proposal specification.</w:t>
      </w:r>
    </w:p>
    <w:p w:rsidR="00705473" w:rsidRDefault="00A8532C" w:rsidP="00445057">
      <w:pPr>
        <w:pStyle w:val="BodyText"/>
      </w:pPr>
      <w:r>
        <w:t xml:space="preserve">The number of affected students (on an equivalent full-time basis) </w:t>
      </w:r>
      <w:r w:rsidR="004805DC">
        <w:t xml:space="preserve">in each year </w:t>
      </w:r>
      <w:r>
        <w:t xml:space="preserve">was estimated using historical information </w:t>
      </w:r>
      <w:r w:rsidR="00BF68C6">
        <w:t xml:space="preserve">provided by </w:t>
      </w:r>
      <w:r w:rsidR="00705473">
        <w:t>the Department of Education and Training</w:t>
      </w:r>
      <w:r w:rsidR="00BF68C6">
        <w:t xml:space="preserve"> on the proportion of </w:t>
      </w:r>
      <w:r w:rsidR="00BF68C6" w:rsidRPr="00A8532C">
        <w:t>commencing versus continuing undergraduates</w:t>
      </w:r>
      <w:r w:rsidR="00705473">
        <w:t>.</w:t>
      </w:r>
    </w:p>
    <w:p w:rsidR="00295DBC" w:rsidRDefault="00295DBC" w:rsidP="005416B6">
      <w:pPr>
        <w:pStyle w:val="ListBullet"/>
        <w:numPr>
          <w:ilvl w:val="0"/>
          <w:numId w:val="0"/>
        </w:numPr>
      </w:pPr>
      <w:r>
        <w:lastRenderedPageBreak/>
        <w:t xml:space="preserve">The </w:t>
      </w:r>
      <w:r w:rsidRPr="00671018">
        <w:t>financial implications of increasing CGS funding by 10 per cent was calcul</w:t>
      </w:r>
      <w:r w:rsidRPr="00E155EE">
        <w:t>ated by multiplying the funding rates</w:t>
      </w:r>
      <w:r w:rsidRPr="00671018">
        <w:t xml:space="preserve"> by the projected full-time student load and subtracting the baseline level of funding as at the 2018</w:t>
      </w:r>
      <w:r w:rsidRPr="00671018">
        <w:noBreakHyphen/>
      </w:r>
      <w:r w:rsidR="00D96066" w:rsidRPr="00671018">
        <w:t>19</w:t>
      </w:r>
      <w:r w:rsidR="00D96066">
        <w:t> </w:t>
      </w:r>
      <w:r w:rsidRPr="00671018">
        <w:t>Budget.</w:t>
      </w:r>
    </w:p>
    <w:p w:rsidR="00216DC5" w:rsidRPr="004B3A7E" w:rsidRDefault="00216DC5" w:rsidP="004B3A7E">
      <w:pPr>
        <w:pStyle w:val="Heading2"/>
      </w:pPr>
      <w:r w:rsidRPr="004B3A7E">
        <w:t>Component 2</w:t>
      </w:r>
      <w:r w:rsidR="0051564E">
        <w:t>: HELP</w:t>
      </w:r>
      <w:r w:rsidR="0051564E" w:rsidRPr="0006467B">
        <w:t xml:space="preserve"> and </w:t>
      </w:r>
      <w:r w:rsidR="0051564E">
        <w:t>VET</w:t>
      </w:r>
      <w:r w:rsidR="0051564E" w:rsidRPr="0006467B">
        <w:t xml:space="preserve"> loan repayment</w:t>
      </w:r>
    </w:p>
    <w:p w:rsidR="006D27FE" w:rsidRDefault="0099142D" w:rsidP="0099142D">
      <w:pPr>
        <w:pStyle w:val="BodyText"/>
      </w:pPr>
      <w:r>
        <w:t>The financial im</w:t>
      </w:r>
      <w:r w:rsidR="00295DBC">
        <w:t>plications</w:t>
      </w:r>
      <w:r>
        <w:t xml:space="preserve"> were estimated based on the difference between </w:t>
      </w:r>
      <w:r w:rsidR="00A42EF9">
        <w:t xml:space="preserve">the </w:t>
      </w:r>
      <w:r>
        <w:t>existing policy and a simulation of loan repayments by borrowers, taking into account the proposed repayment thresholds, borrower’s incomes and existing HELP debts.</w:t>
      </w:r>
      <w:r w:rsidR="002E1772">
        <w:t xml:space="preserve">  </w:t>
      </w:r>
      <w:r w:rsidR="00A42EF9">
        <w:t>Repayment thresholds under the policy were indexed by projected median wages, calculated as outlined above.</w:t>
      </w:r>
      <w:r w:rsidR="006D27FE">
        <w:t xml:space="preserve">  </w:t>
      </w:r>
    </w:p>
    <w:p w:rsidR="00181782" w:rsidRPr="004B3A7E" w:rsidRDefault="00181782" w:rsidP="00181782">
      <w:pPr>
        <w:pStyle w:val="Heading2"/>
      </w:pPr>
      <w:r w:rsidRPr="004B3A7E">
        <w:t xml:space="preserve">Component </w:t>
      </w:r>
      <w:r>
        <w:t>3</w:t>
      </w:r>
      <w:r w:rsidR="0051564E">
        <w:t xml:space="preserve">: </w:t>
      </w:r>
      <w:r w:rsidR="00BF68C6">
        <w:t>TAFE</w:t>
      </w:r>
      <w:r w:rsidR="00BF68C6" w:rsidRPr="0051564E">
        <w:t xml:space="preserve"> grants</w:t>
      </w:r>
    </w:p>
    <w:p w:rsidR="005F01A1" w:rsidRDefault="005F01A1" w:rsidP="005F01A1">
      <w:pPr>
        <w:pStyle w:val="BodyText"/>
      </w:pPr>
      <w:r>
        <w:t xml:space="preserve">The financial implications were calculated by removing HELP loans for students affected by the proposal, calculating the value of grants provided to the </w:t>
      </w:r>
      <w:r w:rsidR="00BF68C6">
        <w:t>s</w:t>
      </w:r>
      <w:r>
        <w:t xml:space="preserve">tates and </w:t>
      </w:r>
      <w:r w:rsidR="00BF68C6">
        <w:t>t</w:t>
      </w:r>
      <w:r>
        <w:t>erritories for TAFE tuition</w:t>
      </w:r>
      <w:r w:rsidR="00BF68C6">
        <w:t>,</w:t>
      </w:r>
      <w:r>
        <w:t xml:space="preserve"> and identifying the savings to the Commonwealth by ceasing payments under the </w:t>
      </w:r>
      <w:r w:rsidRPr="005F01A1">
        <w:t>National Agreement for Skills and Workforce Development</w:t>
      </w:r>
      <w:r w:rsidR="00BA65D3">
        <w:t xml:space="preserve"> </w:t>
      </w:r>
      <w:r w:rsidR="00AA5986">
        <w:t>(</w:t>
      </w:r>
      <w:r w:rsidR="00BA65D3">
        <w:t xml:space="preserve">as the cost of the </w:t>
      </w:r>
      <w:r w:rsidR="004128D3">
        <w:t xml:space="preserve">TAFE </w:t>
      </w:r>
      <w:r w:rsidR="00BA65D3">
        <w:t>grant</w:t>
      </w:r>
      <w:r w:rsidR="00AA5986">
        <w:t>s</w:t>
      </w:r>
      <w:r w:rsidR="00BA65D3">
        <w:t xml:space="preserve"> exceed</w:t>
      </w:r>
      <w:r w:rsidR="00E4669C">
        <w:t>s</w:t>
      </w:r>
      <w:r w:rsidR="00BA65D3">
        <w:t xml:space="preserve"> the expenditure under this agreement for each year of the </w:t>
      </w:r>
      <w:r w:rsidR="004128D3">
        <w:t>proposal</w:t>
      </w:r>
      <w:r w:rsidR="00AA5986">
        <w:t>)</w:t>
      </w:r>
      <w:r>
        <w:t>.</w:t>
      </w:r>
    </w:p>
    <w:p w:rsidR="007E0BFB" w:rsidRPr="00D22367" w:rsidRDefault="007E0BFB" w:rsidP="005F01A1">
      <w:pPr>
        <w:pStyle w:val="BodyText"/>
      </w:pPr>
      <w:r>
        <w:t xml:space="preserve">The value of payments under the </w:t>
      </w:r>
      <w:r w:rsidRPr="005F01A1">
        <w:t>National Agreement for Skills and Workforce Development</w:t>
      </w:r>
      <w:r>
        <w:t xml:space="preserve"> was projected beyond the 2018-19 Budget forward estimates using the method outlined in Budget Paper No.</w:t>
      </w:r>
      <w:r w:rsidR="00BF68C6">
        <w:t> </w:t>
      </w:r>
      <w:r>
        <w:t xml:space="preserve">3 (the total amount of payment under the Agreement is indexed </w:t>
      </w:r>
      <w:r w:rsidR="00D22367">
        <w:t>annually</w:t>
      </w:r>
      <w:r>
        <w:t xml:space="preserve"> by a composite of Wage Cost Index 1 (85 per cent) and Wage Cost Index 6 (15 per cent)).</w:t>
      </w:r>
    </w:p>
    <w:p w:rsidR="00181354" w:rsidRPr="00E6692B" w:rsidRDefault="005F01A1" w:rsidP="00136E90">
      <w:pPr>
        <w:pStyle w:val="BodyText"/>
        <w:keepNext/>
        <w:keepLines/>
      </w:pPr>
      <w:r>
        <w:t xml:space="preserve">The value of TAFE grants was estimated using </w:t>
      </w:r>
      <w:r w:rsidR="00BF68C6">
        <w:t>National Centre for Vocational Education Research</w:t>
      </w:r>
      <w:r w:rsidR="00BF68C6" w:rsidDel="00BF68C6">
        <w:t xml:space="preserve"> </w:t>
      </w:r>
      <w:r w:rsidR="00181354">
        <w:t xml:space="preserve">data on TAFE total delivery hours, adjusted to apply only to courses at the Certificate I level </w:t>
      </w:r>
      <w:r w:rsidR="007E0BFB">
        <w:t xml:space="preserve">and </w:t>
      </w:r>
      <w:r w:rsidR="00AA5986" w:rsidRPr="00E6692B">
        <w:t xml:space="preserve">above and </w:t>
      </w:r>
      <w:r w:rsidR="00181354" w:rsidRPr="00E6692B">
        <w:t xml:space="preserve">for the assumptions outlined above.  A grandfathering </w:t>
      </w:r>
      <w:r w:rsidR="00BF68C6" w:rsidRPr="00E6692B">
        <w:t xml:space="preserve">adjustment </w:t>
      </w:r>
      <w:r w:rsidR="00181354" w:rsidRPr="00E6692B">
        <w:t>was then applied</w:t>
      </w:r>
      <w:r w:rsidR="00032712" w:rsidRPr="00E6692B">
        <w:t>,</w:t>
      </w:r>
      <w:r w:rsidR="00181354" w:rsidRPr="00E6692B">
        <w:t xml:space="preserve"> given that students who have been enrolled in a VET course through a TAFE or any other provider within the </w:t>
      </w:r>
      <w:r w:rsidR="00032712" w:rsidRPr="00E6692B">
        <w:t>two </w:t>
      </w:r>
      <w:r w:rsidR="00181354" w:rsidRPr="00E6692B">
        <w:t>years prior to the proposal’s start date are not eligible for this proposal.</w:t>
      </w:r>
    </w:p>
    <w:p w:rsidR="005F01A1" w:rsidRDefault="00181354" w:rsidP="0032145F">
      <w:pPr>
        <w:pStyle w:val="BodyText"/>
      </w:pPr>
      <w:r w:rsidRPr="00E6692B">
        <w:t xml:space="preserve">Total applicable delivery hours were then multiplied by </w:t>
      </w:r>
      <w:r w:rsidR="00743101" w:rsidRPr="00E6692B">
        <w:t xml:space="preserve">the capped hourly price.  </w:t>
      </w:r>
      <w:r w:rsidRPr="00E6692B">
        <w:t xml:space="preserve">The </w:t>
      </w:r>
      <w:r w:rsidR="00426C5F" w:rsidRPr="00E6692B">
        <w:t xml:space="preserve">2017 </w:t>
      </w:r>
      <w:r w:rsidR="0032145F" w:rsidRPr="00E6692B">
        <w:t>hourly capped price</w:t>
      </w:r>
      <w:r w:rsidRPr="00E6692B">
        <w:t xml:space="preserve"> of the grant was </w:t>
      </w:r>
      <w:r w:rsidR="0032145F" w:rsidRPr="00E6692B">
        <w:t xml:space="preserve">calculated by dividing </w:t>
      </w:r>
      <w:r w:rsidR="00426C5F" w:rsidRPr="00E6692B">
        <w:t xml:space="preserve">total </w:t>
      </w:r>
      <w:r w:rsidR="0032145F" w:rsidRPr="00E6692B">
        <w:t xml:space="preserve">operating expenditures </w:t>
      </w:r>
      <w:r w:rsidR="00426C5F" w:rsidRPr="00E6692B">
        <w:t xml:space="preserve">by total </w:t>
      </w:r>
      <w:r w:rsidR="0032145F" w:rsidRPr="00E6692B">
        <w:t xml:space="preserve">VET delivery hours </w:t>
      </w:r>
      <w:r w:rsidR="00426C5F" w:rsidRPr="00E6692B">
        <w:t>for government</w:t>
      </w:r>
      <w:r w:rsidR="005B3B34">
        <w:t>-</w:t>
      </w:r>
      <w:r w:rsidR="00426C5F" w:rsidRPr="00E6692B">
        <w:t xml:space="preserve">funded VET providers </w:t>
      </w:r>
      <w:r w:rsidR="0032145F" w:rsidRPr="00E6692B">
        <w:t xml:space="preserve">(both sourced from </w:t>
      </w:r>
      <w:r w:rsidR="005B3B34">
        <w:t>National Centre for Vocational Education Research</w:t>
      </w:r>
      <w:r w:rsidR="005B3B34" w:rsidDel="00BF68C6">
        <w:t xml:space="preserve"> </w:t>
      </w:r>
      <w:r w:rsidR="0032145F" w:rsidRPr="00E6692B">
        <w:t xml:space="preserve">data).  ‘Commercial trading’ and ‘other’ services were removed from the operating expenditures in deriving the cost of VET delivery.  The </w:t>
      </w:r>
      <w:r w:rsidR="00FB738F" w:rsidRPr="00E6692B">
        <w:t>2017</w:t>
      </w:r>
      <w:r w:rsidR="00FB27CA" w:rsidRPr="00E6692B">
        <w:t xml:space="preserve"> hourly</w:t>
      </w:r>
      <w:r w:rsidR="00FB738F" w:rsidRPr="00E6692B">
        <w:t xml:space="preserve"> </w:t>
      </w:r>
      <w:r w:rsidR="0032145F" w:rsidRPr="00E6692B">
        <w:t xml:space="preserve">capped </w:t>
      </w:r>
      <w:r w:rsidR="00FB27CA" w:rsidRPr="00E6692B">
        <w:t>price</w:t>
      </w:r>
      <w:r w:rsidR="0032145F" w:rsidRPr="00E6692B">
        <w:t xml:space="preserve"> was then indexed annually by the CPI</w:t>
      </w:r>
      <w:r w:rsidR="00426C5F" w:rsidRPr="00E6692B">
        <w:t xml:space="preserve"> </w:t>
      </w:r>
      <w:r w:rsidR="00FB27CA" w:rsidRPr="00E6692B">
        <w:t>thereafter</w:t>
      </w:r>
      <w:r w:rsidR="0032145F" w:rsidRPr="00E6692B">
        <w:t>.</w:t>
      </w:r>
      <w:r w:rsidR="001D255F" w:rsidRPr="00E6692B">
        <w:t xml:space="preserve"> </w:t>
      </w:r>
      <w:r w:rsidR="005B3B34">
        <w:t xml:space="preserve"> </w:t>
      </w:r>
      <w:r w:rsidR="001D255F" w:rsidRPr="00E6692B">
        <w:t>The capped price in 2019-20 (the first year of the proposal) was $20.5</w:t>
      </w:r>
      <w:r w:rsidR="0032145F" w:rsidRPr="00E6692B">
        <w:t>0</w:t>
      </w:r>
      <w:r w:rsidR="001D255F" w:rsidRPr="00E6692B">
        <w:t xml:space="preserve"> per delivery hour.</w:t>
      </w:r>
    </w:p>
    <w:p w:rsidR="00181782" w:rsidRPr="004B3A7E" w:rsidRDefault="00181782" w:rsidP="0032145F">
      <w:pPr>
        <w:pStyle w:val="Heading2"/>
      </w:pPr>
      <w:r w:rsidRPr="004B3A7E">
        <w:t xml:space="preserve">Component </w:t>
      </w:r>
      <w:r>
        <w:t>4</w:t>
      </w:r>
      <w:r w:rsidR="0051564E">
        <w:t xml:space="preserve">: </w:t>
      </w:r>
      <w:r w:rsidR="0051564E" w:rsidRPr="0051564E">
        <w:t>Student support payments</w:t>
      </w:r>
    </w:p>
    <w:p w:rsidR="00181782" w:rsidRDefault="00181782" w:rsidP="00FB27CA">
      <w:pPr>
        <w:pStyle w:val="BodyText"/>
        <w:keepNext/>
        <w:keepLines/>
      </w:pPr>
      <w:r>
        <w:t>Administered expenditure estimates for Youth Allowance (Student and Apprentice) and Austudy recipients affected by this proposal were calculated using the Policy and Evaluation Model (PoEM).  PoEM is a microsimulation model of administered transfer payments projected over the 2018</w:t>
      </w:r>
      <w:r>
        <w:noBreakHyphen/>
        <w:t>19 Budget forward estimates period.</w:t>
      </w:r>
      <w:r w:rsidRPr="00646F8E">
        <w:t xml:space="preserve"> </w:t>
      </w:r>
      <w:r>
        <w:t xml:space="preserve"> </w:t>
      </w:r>
      <w:r w:rsidRPr="00646F8E">
        <w:t>The PBO has extended PoEM over the medium term to 2028</w:t>
      </w:r>
      <w:r>
        <w:noBreakHyphen/>
      </w:r>
      <w:r w:rsidRPr="00646F8E">
        <w:t>29.</w:t>
      </w:r>
      <w:r>
        <w:t xml:space="preserve"> </w:t>
      </w:r>
    </w:p>
    <w:p w:rsidR="00181782" w:rsidRDefault="00181782" w:rsidP="00181782">
      <w:pPr>
        <w:pStyle w:val="BodyText"/>
      </w:pPr>
      <w:r>
        <w:t>Administered expenditure estimates for ABSTUDY recipients were calculated by multiplying the projected number of eligible recipients of these payments by the proposed payment increase</w:t>
      </w:r>
      <w:r w:rsidR="00BF68C6">
        <w:t>,</w:t>
      </w:r>
      <w:r>
        <w:t xml:space="preserve"> and applying the appropriate indexation factors.</w:t>
      </w:r>
    </w:p>
    <w:p w:rsidR="00181782" w:rsidRPr="003F3102" w:rsidRDefault="00181782" w:rsidP="00181782">
      <w:pPr>
        <w:pStyle w:val="BodyText"/>
        <w:rPr>
          <w:rFonts w:cstheme="minorBidi"/>
        </w:rPr>
      </w:pPr>
      <w:r>
        <w:rPr>
          <w:rFonts w:cstheme="minorBidi"/>
        </w:rPr>
        <w:t>Revenue estimates were</w:t>
      </w:r>
      <w:r w:rsidRPr="007521E1">
        <w:rPr>
          <w:rFonts w:cstheme="minorBidi"/>
        </w:rPr>
        <w:t xml:space="preserve"> calculated</w:t>
      </w:r>
      <w:r>
        <w:rPr>
          <w:rFonts w:cstheme="minorBidi"/>
        </w:rPr>
        <w:t xml:space="preserve"> by multiplying the marginal income tax rate of affected recipients </w:t>
      </w:r>
      <w:r w:rsidRPr="007521E1">
        <w:rPr>
          <w:rFonts w:cstheme="minorBidi"/>
        </w:rPr>
        <w:t xml:space="preserve">by the increase in payments under </w:t>
      </w:r>
      <w:r>
        <w:rPr>
          <w:rFonts w:cstheme="minorBidi"/>
        </w:rPr>
        <w:t>the</w:t>
      </w:r>
      <w:r w:rsidRPr="007521E1">
        <w:rPr>
          <w:rFonts w:cstheme="minorBidi"/>
        </w:rPr>
        <w:t xml:space="preserve"> proposal.</w:t>
      </w:r>
    </w:p>
    <w:p w:rsidR="00181782" w:rsidRDefault="00181782" w:rsidP="00181782">
      <w:pPr>
        <w:pStyle w:val="BodyText"/>
      </w:pPr>
      <w:r>
        <w:lastRenderedPageBreak/>
        <w:t xml:space="preserve">The ongoing departmental impact was calculated by multiplying the number of additional recipients for each transfer payment by the cost of administering payments to each new recipient. </w:t>
      </w:r>
      <w:r w:rsidR="00D22367">
        <w:t xml:space="preserve"> </w:t>
      </w:r>
      <w:r>
        <w:t xml:space="preserve">Departmental implementation costs were estimated based on a similar previous </w:t>
      </w:r>
      <w:r w:rsidR="00BF68C6">
        <w:t xml:space="preserve">budget </w:t>
      </w:r>
      <w:r>
        <w:t xml:space="preserve">measure to alter payments administered by the </w:t>
      </w:r>
      <w:r w:rsidRPr="00064764">
        <w:t>Department of Human</w:t>
      </w:r>
      <w:r>
        <w:t> </w:t>
      </w:r>
      <w:r w:rsidRPr="00064764">
        <w:t>Service</w:t>
      </w:r>
      <w:r>
        <w:t>s.</w:t>
      </w:r>
    </w:p>
    <w:p w:rsidR="00FE3B13" w:rsidRPr="00D014E1" w:rsidRDefault="00FE3B13">
      <w:pPr>
        <w:pStyle w:val="Heading1"/>
      </w:pPr>
      <w:r w:rsidRPr="00D014E1">
        <w:t>Data sources</w:t>
      </w:r>
    </w:p>
    <w:p w:rsidR="00C56230" w:rsidRDefault="00C56230" w:rsidP="001D255F">
      <w:pPr>
        <w:pStyle w:val="BodyText"/>
        <w:keepNext/>
        <w:keepLines/>
      </w:pPr>
      <w:r>
        <w:t>The Australian Taxation Office provided the 201</w:t>
      </w:r>
      <w:r w:rsidR="009D0C4B">
        <w:t>4</w:t>
      </w:r>
      <w:r>
        <w:t>-1</w:t>
      </w:r>
      <w:r w:rsidR="009D0C4B">
        <w:t>5</w:t>
      </w:r>
      <w:r>
        <w:t xml:space="preserve"> unit record tax data.</w:t>
      </w:r>
    </w:p>
    <w:p w:rsidR="00C56230" w:rsidRDefault="00C56230">
      <w:pPr>
        <w:pStyle w:val="BodyText"/>
      </w:pPr>
      <w:r>
        <w:t>The Department of Education and Training provided:</w:t>
      </w:r>
    </w:p>
    <w:p w:rsidR="00066D54" w:rsidRDefault="00C56230">
      <w:pPr>
        <w:pStyle w:val="ListBullet"/>
      </w:pPr>
      <w:r>
        <w:t xml:space="preserve">the 2018-19 Budget CGS </w:t>
      </w:r>
      <w:r w:rsidR="00A11D59">
        <w:t xml:space="preserve">forward </w:t>
      </w:r>
      <w:r>
        <w:t>estimates model</w:t>
      </w:r>
    </w:p>
    <w:p w:rsidR="00C56230" w:rsidRPr="001D255F" w:rsidRDefault="00C56230">
      <w:pPr>
        <w:pStyle w:val="ListBullet"/>
        <w:rPr>
          <w:i/>
        </w:rPr>
      </w:pPr>
      <w:r>
        <w:t>the 2017-18 M</w:t>
      </w:r>
      <w:r w:rsidR="00BF68C6">
        <w:t xml:space="preserve">id- Year </w:t>
      </w:r>
      <w:r>
        <w:t>E</w:t>
      </w:r>
      <w:r w:rsidR="00BF68C6">
        <w:t xml:space="preserve">conomic and </w:t>
      </w:r>
      <w:r>
        <w:t>F</w:t>
      </w:r>
      <w:r w:rsidR="00BF68C6">
        <w:t xml:space="preserve">iscal </w:t>
      </w:r>
      <w:r>
        <w:t>O</w:t>
      </w:r>
      <w:r w:rsidR="00BF68C6">
        <w:t>utlook</w:t>
      </w:r>
      <w:r>
        <w:t xml:space="preserve"> measure</w:t>
      </w:r>
      <w:r w:rsidRPr="001D255F">
        <w:rPr>
          <w:i/>
        </w:rPr>
        <w:t xml:space="preserve"> </w:t>
      </w:r>
      <w:r w:rsidR="005F027D" w:rsidRPr="00BF68C6">
        <w:rPr>
          <w:i/>
        </w:rPr>
        <w:t>H</w:t>
      </w:r>
      <w:r w:rsidRPr="00BF68C6">
        <w:rPr>
          <w:i/>
        </w:rPr>
        <w:t>igher Education Reforms – revised implementation</w:t>
      </w:r>
    </w:p>
    <w:p w:rsidR="00C56230" w:rsidRDefault="00C56230">
      <w:pPr>
        <w:pStyle w:val="ListBullet"/>
      </w:pPr>
      <w:proofErr w:type="gramStart"/>
      <w:r>
        <w:t>the</w:t>
      </w:r>
      <w:proofErr w:type="gramEnd"/>
      <w:r>
        <w:t xml:space="preserve"> 2018-19 Budget HELP forward estimates model.</w:t>
      </w:r>
    </w:p>
    <w:p w:rsidR="005C732F" w:rsidRDefault="005C732F" w:rsidP="001D255F">
      <w:pPr>
        <w:pStyle w:val="Letterbullet"/>
        <w:numPr>
          <w:ilvl w:val="0"/>
          <w:numId w:val="0"/>
        </w:numPr>
        <w:spacing w:before="120" w:after="120"/>
      </w:pPr>
      <w:r>
        <w:t>The Department of Finance provided indexation and efficiency dividend parameters.</w:t>
      </w:r>
    </w:p>
    <w:p w:rsidR="00216E3F" w:rsidRDefault="00216E3F">
      <w:pPr>
        <w:pStyle w:val="BodyText"/>
      </w:pPr>
      <w:r>
        <w:t xml:space="preserve">The </w:t>
      </w:r>
      <w:r w:rsidRPr="00646F8E">
        <w:t xml:space="preserve">Department of Human Services provided annual unit payment administration costs as </w:t>
      </w:r>
      <w:r>
        <w:t>at</w:t>
      </w:r>
      <w:r w:rsidRPr="00646F8E">
        <w:t xml:space="preserve"> the</w:t>
      </w:r>
      <w:r>
        <w:t xml:space="preserve"> </w:t>
      </w:r>
      <w:r w:rsidRPr="00D43D05">
        <w:t>2018</w:t>
      </w:r>
      <w:r w:rsidRPr="00D43D05">
        <w:noBreakHyphen/>
        <w:t>19 Budget</w:t>
      </w:r>
      <w:r>
        <w:t>.</w:t>
      </w:r>
    </w:p>
    <w:p w:rsidR="004128D3" w:rsidRDefault="00216E3F">
      <w:pPr>
        <w:pStyle w:val="BodyText"/>
        <w:keepNext/>
        <w:keepLines/>
      </w:pPr>
      <w:r w:rsidRPr="005B3ABE">
        <w:t>The Department of Social Services provided</w:t>
      </w:r>
      <w:r w:rsidR="004128D3">
        <w:t>:</w:t>
      </w:r>
    </w:p>
    <w:p w:rsidR="004128D3" w:rsidRDefault="00216E3F" w:rsidP="001D255F">
      <w:pPr>
        <w:pStyle w:val="ListBullet"/>
      </w:pPr>
      <w:r>
        <w:t xml:space="preserve">expenditure and population </w:t>
      </w:r>
      <w:r w:rsidRPr="005B3ABE">
        <w:t>forecasts</w:t>
      </w:r>
      <w:r>
        <w:t xml:space="preserve"> for income support recipients as at </w:t>
      </w:r>
      <w:r w:rsidRPr="005B3ABE">
        <w:t>the 201</w:t>
      </w:r>
      <w:r>
        <w:t>8</w:t>
      </w:r>
      <w:r>
        <w:noBreakHyphen/>
        <w:t>19</w:t>
      </w:r>
      <w:r w:rsidRPr="005B3ABE">
        <w:t xml:space="preserve"> Budget</w:t>
      </w:r>
    </w:p>
    <w:p w:rsidR="00BA65D3" w:rsidRDefault="004128D3" w:rsidP="001D255F">
      <w:pPr>
        <w:pStyle w:val="ListBullet"/>
      </w:pPr>
      <w:proofErr w:type="gramStart"/>
      <w:r>
        <w:t>the</w:t>
      </w:r>
      <w:proofErr w:type="gramEnd"/>
      <w:r>
        <w:t xml:space="preserve"> 2018</w:t>
      </w:r>
      <w:r>
        <w:noBreakHyphen/>
        <w:t>19 Budget Policy and Evaluation Model.</w:t>
      </w:r>
    </w:p>
    <w:p w:rsidR="00804F9F" w:rsidRPr="00804F9F" w:rsidRDefault="00804F9F" w:rsidP="001D255F">
      <w:pPr>
        <w:pStyle w:val="Letterbullet"/>
        <w:keepNext/>
        <w:keepLines/>
        <w:numPr>
          <w:ilvl w:val="0"/>
          <w:numId w:val="0"/>
        </w:numPr>
        <w:spacing w:before="120" w:after="120"/>
      </w:pPr>
      <w:proofErr w:type="gramStart"/>
      <w:r>
        <w:t>Australian Bureau of Statistics</w:t>
      </w:r>
      <w:r w:rsidR="00746E09">
        <w:t xml:space="preserve"> (ABS)</w:t>
      </w:r>
      <w:r>
        <w:t>, 2018.</w:t>
      </w:r>
      <w:proofErr w:type="gramEnd"/>
      <w:r>
        <w:t xml:space="preserve"> </w:t>
      </w:r>
      <w:r w:rsidRPr="00804F9F">
        <w:rPr>
          <w:i/>
        </w:rPr>
        <w:t>6333.0</w:t>
      </w:r>
      <w:r>
        <w:t xml:space="preserve"> </w:t>
      </w:r>
      <w:r>
        <w:rPr>
          <w:i/>
        </w:rPr>
        <w:t>Characteristics of Employment, Australia, August</w:t>
      </w:r>
      <w:r w:rsidR="006B4161">
        <w:rPr>
          <w:i/>
        </w:rPr>
        <w:t> </w:t>
      </w:r>
      <w:r>
        <w:rPr>
          <w:i/>
        </w:rPr>
        <w:t>2017</w:t>
      </w:r>
      <w:r>
        <w:t xml:space="preserve"> [Online] Available at: </w:t>
      </w:r>
      <w:hyperlink r:id="rId9" w:history="1">
        <w:r w:rsidRPr="001D255F">
          <w:rPr>
            <w:rStyle w:val="Hyperlink"/>
            <w:u w:val="none"/>
          </w:rPr>
          <w:t>http://www.abs.gov.au/AUSSTATS/abs@.nsf/DetailsPage/6333.0August%202017?OpenDocument</w:t>
        </w:r>
      </w:hyperlink>
      <w:r w:rsidRPr="00BF68C6">
        <w:t xml:space="preserve"> </w:t>
      </w:r>
      <w:r>
        <w:t>[Accessed 1.11.2018].</w:t>
      </w:r>
    </w:p>
    <w:p w:rsidR="002C3477" w:rsidRDefault="002C3477">
      <w:pPr>
        <w:pStyle w:val="BodyText"/>
      </w:pPr>
      <w:r>
        <w:t xml:space="preserve">Chapman, B., 2001. </w:t>
      </w:r>
      <w:proofErr w:type="gramStart"/>
      <w:r>
        <w:t>‘</w:t>
      </w:r>
      <w:hyperlink r:id="rId10" w:history="1">
        <w:r w:rsidRPr="002C3477">
          <w:t>Australian higher education financing: Issues for reform</w:t>
        </w:r>
      </w:hyperlink>
      <w:r>
        <w:t xml:space="preserve">’ </w:t>
      </w:r>
      <w:r w:rsidRPr="002C3477">
        <w:t>Australian Economic Review</w:t>
      </w:r>
      <w:r>
        <w:t>, 2001, 34(2), pp. 195–204.</w:t>
      </w:r>
      <w:proofErr w:type="gramEnd"/>
    </w:p>
    <w:p w:rsidR="00216E3F" w:rsidRDefault="00216E3F">
      <w:pPr>
        <w:pStyle w:val="BodyText"/>
      </w:pPr>
      <w:proofErr w:type="gramStart"/>
      <w:r>
        <w:t>Commonwealth of Australia, 2017.</w:t>
      </w:r>
      <w:proofErr w:type="gramEnd"/>
      <w:r>
        <w:t xml:space="preserve"> </w:t>
      </w:r>
      <w:r w:rsidRPr="006D2851">
        <w:rPr>
          <w:i/>
        </w:rPr>
        <w:t>2017-18 Budget</w:t>
      </w:r>
      <w:r>
        <w:t>, Canberra: Commonwealth of Australia.</w:t>
      </w:r>
    </w:p>
    <w:p w:rsidR="00216E3F" w:rsidRDefault="00216E3F">
      <w:pPr>
        <w:pStyle w:val="BodyText"/>
      </w:pPr>
      <w:proofErr w:type="gramStart"/>
      <w:r>
        <w:t>Commonwealth of Australia, 2018.</w:t>
      </w:r>
      <w:proofErr w:type="gramEnd"/>
      <w:r>
        <w:t xml:space="preserve"> </w:t>
      </w:r>
      <w:r>
        <w:rPr>
          <w:i/>
        </w:rPr>
        <w:t>2018-19</w:t>
      </w:r>
      <w:r w:rsidRPr="006D2851">
        <w:rPr>
          <w:i/>
        </w:rPr>
        <w:t xml:space="preserve"> Budget</w:t>
      </w:r>
      <w:r>
        <w:t>, Canberra: Commonwealth of Australia.</w:t>
      </w:r>
    </w:p>
    <w:p w:rsidR="005333EA" w:rsidRDefault="00914D5E" w:rsidP="001D255F">
      <w:pPr>
        <w:pStyle w:val="Letterbullet"/>
        <w:numPr>
          <w:ilvl w:val="0"/>
          <w:numId w:val="0"/>
        </w:numPr>
        <w:spacing w:before="120" w:after="120"/>
      </w:pPr>
      <w:proofErr w:type="gramStart"/>
      <w:r w:rsidRPr="00D65980">
        <w:t>Department of Education and Training,</w:t>
      </w:r>
      <w:r w:rsidR="00804F9F">
        <w:t xml:space="preserve"> </w:t>
      </w:r>
      <w:r w:rsidRPr="00D65980">
        <w:t>2018.</w:t>
      </w:r>
      <w:proofErr w:type="gramEnd"/>
      <w:r>
        <w:rPr>
          <w:i/>
        </w:rPr>
        <w:t xml:space="preserve"> </w:t>
      </w:r>
      <w:r w:rsidR="005333EA" w:rsidRPr="00995008">
        <w:rPr>
          <w:i/>
        </w:rPr>
        <w:t>Selected Higher Education Statistics – 2017 Student data</w:t>
      </w:r>
      <w:r w:rsidR="005333EA" w:rsidRPr="00995008">
        <w:t xml:space="preserve"> [Online]</w:t>
      </w:r>
      <w:r w:rsidR="00995008" w:rsidRPr="00995008">
        <w:t xml:space="preserve"> Available at: </w:t>
      </w:r>
      <w:r w:rsidR="005333EA" w:rsidRPr="00995008">
        <w:t>https://www.education.gov.au/selected-higher-education-statistics-2017-student-data</w:t>
      </w:r>
      <w:r w:rsidR="00995008">
        <w:t xml:space="preserve"> [Accessed 23.10.2018].</w:t>
      </w:r>
    </w:p>
    <w:p w:rsidR="00216E3F" w:rsidRPr="0046444F" w:rsidRDefault="00216E3F">
      <w:pPr>
        <w:pStyle w:val="BodyText"/>
      </w:pPr>
      <w:proofErr w:type="gramStart"/>
      <w:r>
        <w:rPr>
          <w:rFonts w:ascii="Calibri" w:hAnsi="Calibri" w:cs="Calibri"/>
        </w:rPr>
        <w:t>Department of Social Services</w:t>
      </w:r>
      <w:r>
        <w:t>, 2018.</w:t>
      </w:r>
      <w:proofErr w:type="gramEnd"/>
      <w:r>
        <w:t xml:space="preserve">  </w:t>
      </w:r>
      <w:r w:rsidRPr="00A4279E">
        <w:rPr>
          <w:i/>
        </w:rPr>
        <w:t xml:space="preserve">DSS Demographics </w:t>
      </w:r>
      <w:r>
        <w:rPr>
          <w:i/>
        </w:rPr>
        <w:t>March 2018</w:t>
      </w:r>
      <w:r>
        <w:t xml:space="preserve">. </w:t>
      </w:r>
      <w:r w:rsidR="00C770B5" w:rsidRPr="00995008">
        <w:t>[Online]</w:t>
      </w:r>
      <w:r w:rsidR="00C770B5">
        <w:t xml:space="preserve"> </w:t>
      </w:r>
      <w:r>
        <w:t xml:space="preserve">Available at: </w:t>
      </w:r>
      <w:hyperlink r:id="rId11" w:history="1">
        <w:r w:rsidRPr="002471F2">
          <w:rPr>
            <w:rStyle w:val="Hyperlink"/>
            <w:u w:val="none"/>
          </w:rPr>
          <w:t>https://data</w:t>
        </w:r>
        <w:r w:rsidRPr="001D255F">
          <w:rPr>
            <w:rStyle w:val="Hyperlink"/>
            <w:u w:val="none"/>
          </w:rPr>
          <w:t>.gov.au/dataset/cff2ae8a-55e4-47db-a66d-e177fe0ac6a0/resource/c9bcd6ed-b6bd-423b-abc5-86b54bd7a591/download/dss-demographics-march-2018.xlsx</w:t>
        </w:r>
      </w:hyperlink>
      <w:r>
        <w:t xml:space="preserve"> [Accessed 14.9.2018].</w:t>
      </w:r>
    </w:p>
    <w:p w:rsidR="00150B5E" w:rsidRPr="00150B5E" w:rsidRDefault="00150B5E" w:rsidP="001D255F">
      <w:pPr>
        <w:pStyle w:val="Letterbullet"/>
        <w:numPr>
          <w:ilvl w:val="0"/>
          <w:numId w:val="0"/>
        </w:numPr>
        <w:spacing w:before="120" w:after="120"/>
      </w:pPr>
      <w:proofErr w:type="gramStart"/>
      <w:r>
        <w:t xml:space="preserve">Harvey, A., </w:t>
      </w:r>
      <w:proofErr w:type="spellStart"/>
      <w:r>
        <w:t>Burnheim</w:t>
      </w:r>
      <w:proofErr w:type="spellEnd"/>
      <w:r>
        <w:t>, C., Brett, M., 2016.</w:t>
      </w:r>
      <w:proofErr w:type="gramEnd"/>
      <w:r>
        <w:t xml:space="preserve">  </w:t>
      </w:r>
      <w:r>
        <w:rPr>
          <w:i/>
        </w:rPr>
        <w:t>Student Equity in Australian Higher Education: Twenty-five years of A Fair Chance for All</w:t>
      </w:r>
      <w:r>
        <w:t xml:space="preserve">.  </w:t>
      </w:r>
      <w:proofErr w:type="gramStart"/>
      <w:r>
        <w:t>Springer</w:t>
      </w:r>
      <w:r w:rsidR="002C3477">
        <w:t xml:space="preserve"> Singapore.</w:t>
      </w:r>
      <w:proofErr w:type="gramEnd"/>
    </w:p>
    <w:p w:rsidR="005E0B7F" w:rsidRPr="00E6692B" w:rsidRDefault="005E0B7F" w:rsidP="001D255F">
      <w:pPr>
        <w:pStyle w:val="Letterbullet"/>
        <w:numPr>
          <w:ilvl w:val="0"/>
          <w:numId w:val="0"/>
        </w:numPr>
        <w:spacing w:before="120" w:after="120"/>
      </w:pPr>
      <w:r w:rsidRPr="00E6692B">
        <w:rPr>
          <w:i/>
        </w:rPr>
        <w:t>Higher Education Support Legislation Amendment (Student Loan Sustainability) Bill 2018</w:t>
      </w:r>
      <w:r w:rsidR="006A0E3C" w:rsidRPr="00E6692B">
        <w:rPr>
          <w:i/>
        </w:rPr>
        <w:t xml:space="preserve"> </w:t>
      </w:r>
      <w:r w:rsidR="006A0E3C" w:rsidRPr="00E6692B">
        <w:t>[Online</w:t>
      </w:r>
      <w:proofErr w:type="gramStart"/>
      <w:r w:rsidR="006A0E3C" w:rsidRPr="00E6692B">
        <w:t xml:space="preserve">] </w:t>
      </w:r>
      <w:r w:rsidR="0001732C" w:rsidRPr="00E6692B">
        <w:t xml:space="preserve"> Available</w:t>
      </w:r>
      <w:proofErr w:type="gramEnd"/>
      <w:r w:rsidR="0001732C" w:rsidRPr="00E6692B">
        <w:t xml:space="preserve"> at: </w:t>
      </w:r>
      <w:hyperlink r:id="rId12" w:history="1">
        <w:r w:rsidR="00C770B5" w:rsidRPr="00E6692B">
          <w:rPr>
            <w:rStyle w:val="Hyperlink"/>
          </w:rPr>
          <w:t>https://www.aph.gov.au/Parliamentary_Business/Bills_Legislation/Bills_Search_Results/Result?bId=r6051</w:t>
        </w:r>
      </w:hyperlink>
    </w:p>
    <w:p w:rsidR="001D255F" w:rsidRPr="00E6692B" w:rsidRDefault="001D255F" w:rsidP="001D255F">
      <w:pPr>
        <w:pStyle w:val="Letterbullet"/>
        <w:keepNext/>
        <w:keepLines/>
        <w:numPr>
          <w:ilvl w:val="0"/>
          <w:numId w:val="0"/>
        </w:numPr>
        <w:spacing w:before="120" w:after="120"/>
      </w:pPr>
      <w:proofErr w:type="gramStart"/>
      <w:r w:rsidRPr="00E6692B">
        <w:lastRenderedPageBreak/>
        <w:t>National Centre for Vocational Education Research, 2018.</w:t>
      </w:r>
      <w:proofErr w:type="gramEnd"/>
      <w:r w:rsidRPr="00E6692B">
        <w:t xml:space="preserve">  </w:t>
      </w:r>
      <w:proofErr w:type="gramStart"/>
      <w:r w:rsidRPr="00E6692B">
        <w:rPr>
          <w:i/>
        </w:rPr>
        <w:t>Financial information 2017</w:t>
      </w:r>
      <w:r w:rsidRPr="00E6692B">
        <w:t>.</w:t>
      </w:r>
      <w:proofErr w:type="gramEnd"/>
      <w:r w:rsidRPr="00E6692B">
        <w:t xml:space="preserve"> [Online] Available at: https://www.ncver.edu.au/__data/assets/pdf_file/0033/3957180/Financial-information-2017.pdf.</w:t>
      </w:r>
    </w:p>
    <w:p w:rsidR="00370974" w:rsidRPr="00E6692B" w:rsidRDefault="00370974" w:rsidP="001D255F">
      <w:pPr>
        <w:pStyle w:val="Letterbullet"/>
        <w:keepNext/>
        <w:keepLines/>
        <w:numPr>
          <w:ilvl w:val="0"/>
          <w:numId w:val="0"/>
        </w:numPr>
        <w:spacing w:before="120" w:after="120"/>
      </w:pPr>
      <w:proofErr w:type="gramStart"/>
      <w:r w:rsidRPr="00E6692B">
        <w:t>National Centre for Vocational Education Research, 2018.</w:t>
      </w:r>
      <w:proofErr w:type="gramEnd"/>
      <w:r w:rsidRPr="00E6692B">
        <w:t xml:space="preserve">  </w:t>
      </w:r>
      <w:proofErr w:type="gramStart"/>
      <w:r w:rsidRPr="00E6692B">
        <w:rPr>
          <w:i/>
        </w:rPr>
        <w:t>Historical time series of government-funded vocational education and training from 1981 to 2017</w:t>
      </w:r>
      <w:r w:rsidRPr="00E6692B">
        <w:t>.</w:t>
      </w:r>
      <w:proofErr w:type="gramEnd"/>
      <w:r w:rsidRPr="00E6692B">
        <w:t xml:space="preserve"> </w:t>
      </w:r>
      <w:r w:rsidR="00C770B5" w:rsidRPr="00E6692B">
        <w:t>[Online]</w:t>
      </w:r>
      <w:r w:rsidRPr="00E6692B">
        <w:t xml:space="preserve"> Available at: </w:t>
      </w:r>
      <w:hyperlink r:id="rId13" w:history="1">
        <w:r w:rsidRPr="00E6692B">
          <w:rPr>
            <w:rStyle w:val="Hyperlink"/>
            <w:u w:val="none"/>
          </w:rPr>
          <w:t>https://www.ncver.edu.au/research-and-statistics/data/all-data/historical-time-series-of-government-funded-vocational-education-and-training-from-1981-to-2017</w:t>
        </w:r>
      </w:hyperlink>
      <w:r w:rsidRPr="00E6692B">
        <w:t xml:space="preserve"> [Accessed 16.11.2018].</w:t>
      </w:r>
    </w:p>
    <w:p w:rsidR="00370974" w:rsidRDefault="00370974" w:rsidP="001D255F">
      <w:pPr>
        <w:pStyle w:val="Letterbullet"/>
        <w:numPr>
          <w:ilvl w:val="0"/>
          <w:numId w:val="0"/>
        </w:numPr>
        <w:spacing w:before="120" w:after="120"/>
      </w:pPr>
      <w:proofErr w:type="gramStart"/>
      <w:r w:rsidRPr="00E6692B">
        <w:t>National Centre for</w:t>
      </w:r>
      <w:r>
        <w:t xml:space="preserve"> Vocational Education Research, 2018.</w:t>
      </w:r>
      <w:proofErr w:type="gramEnd"/>
      <w:r w:rsidR="00D14EFE">
        <w:t xml:space="preserve"> </w:t>
      </w:r>
      <w:r w:rsidR="00E07CD3">
        <w:t xml:space="preserve"> </w:t>
      </w:r>
      <w:r w:rsidR="00E07CD3">
        <w:rPr>
          <w:i/>
        </w:rPr>
        <w:t>Total VET students and courses 2017: data</w:t>
      </w:r>
      <w:r w:rsidR="00C770B5">
        <w:rPr>
          <w:i/>
        </w:rPr>
        <w:t> </w:t>
      </w:r>
      <w:r w:rsidR="00E07CD3">
        <w:rPr>
          <w:i/>
        </w:rPr>
        <w:t>slicer</w:t>
      </w:r>
      <w:r w:rsidR="00E07CD3">
        <w:t xml:space="preserve">. </w:t>
      </w:r>
      <w:r w:rsidR="00BF68C6" w:rsidRPr="00995008">
        <w:t xml:space="preserve">[Online] </w:t>
      </w:r>
      <w:r w:rsidR="00E07CD3">
        <w:t xml:space="preserve">Available at: </w:t>
      </w:r>
      <w:hyperlink r:id="rId14" w:history="1">
        <w:r w:rsidR="00E07CD3" w:rsidRPr="001D255F">
          <w:rPr>
            <w:rStyle w:val="Hyperlink"/>
            <w:u w:val="none"/>
          </w:rPr>
          <w:t>https://www.ncver.edu.au/research-and-statistics/data/all-data/total-vet-students-and-courses-2017-data-slicer</w:t>
        </w:r>
      </w:hyperlink>
      <w:r w:rsidR="00E07CD3" w:rsidRPr="00BF68C6">
        <w:t xml:space="preserve"> </w:t>
      </w:r>
      <w:r w:rsidR="00E07CD3">
        <w:t>[Accessed 16.11.2018].</w:t>
      </w:r>
    </w:p>
    <w:p w:rsidR="00150B5E" w:rsidRPr="00150B5E" w:rsidRDefault="00150B5E" w:rsidP="001D255F">
      <w:pPr>
        <w:pStyle w:val="Letterbullet"/>
        <w:numPr>
          <w:ilvl w:val="0"/>
          <w:numId w:val="0"/>
        </w:numPr>
        <w:spacing w:before="120" w:after="120"/>
      </w:pPr>
      <w:r>
        <w:t xml:space="preserve">Norton, A. and </w:t>
      </w:r>
      <w:proofErr w:type="spellStart"/>
      <w:r>
        <w:t>Cherastidtham</w:t>
      </w:r>
      <w:proofErr w:type="spellEnd"/>
      <w:r>
        <w:t xml:space="preserve">, I., 2018.  </w:t>
      </w:r>
      <w:proofErr w:type="gramStart"/>
      <w:r>
        <w:rPr>
          <w:i/>
        </w:rPr>
        <w:t>Dropping out: The benefits and costs of trying university</w:t>
      </w:r>
      <w:r>
        <w:t>.</w:t>
      </w:r>
      <w:proofErr w:type="gramEnd"/>
      <w:r>
        <w:t xml:space="preserve">  </w:t>
      </w:r>
      <w:r w:rsidRPr="00150B5E">
        <w:t>Grattan</w:t>
      </w:r>
      <w:r>
        <w:t xml:space="preserve"> Institute. </w:t>
      </w:r>
      <w:r w:rsidRPr="00995008">
        <w:t>[Online]</w:t>
      </w:r>
      <w:r>
        <w:t xml:space="preserve"> Available at: </w:t>
      </w:r>
      <w:hyperlink r:id="rId15" w:history="1">
        <w:r w:rsidRPr="001D255F">
          <w:rPr>
            <w:rStyle w:val="Hyperlink"/>
            <w:u w:val="none"/>
          </w:rPr>
          <w:t>https://grattan.edu.au/wp-content/uploads/2018/04/904-dropping-out-the-benefits-and-costs-of-trying-university.pdf</w:t>
        </w:r>
      </w:hyperlink>
      <w:r>
        <w:t>.</w:t>
      </w:r>
    </w:p>
    <w:p w:rsidR="00DE4311" w:rsidRPr="00370974" w:rsidRDefault="00DE4311" w:rsidP="001D255F">
      <w:pPr>
        <w:pStyle w:val="Letterbullet"/>
        <w:numPr>
          <w:ilvl w:val="0"/>
          <w:numId w:val="0"/>
        </w:numPr>
        <w:spacing w:before="120" w:after="120"/>
      </w:pPr>
      <w:proofErr w:type="gramStart"/>
      <w:r>
        <w:t>Productivity Commission, 2018.</w:t>
      </w:r>
      <w:proofErr w:type="gramEnd"/>
      <w:r>
        <w:t xml:space="preserve"> </w:t>
      </w:r>
      <w:r>
        <w:rPr>
          <w:i/>
        </w:rPr>
        <w:t>Report on</w:t>
      </w:r>
      <w:r w:rsidR="00370974">
        <w:rPr>
          <w:i/>
        </w:rPr>
        <w:t xml:space="preserve"> Government Services</w:t>
      </w:r>
      <w:r w:rsidR="00370974">
        <w:t xml:space="preserve">. </w:t>
      </w:r>
      <w:r w:rsidR="00236358" w:rsidRPr="00995008">
        <w:t>[Online]</w:t>
      </w:r>
      <w:r w:rsidR="00236358">
        <w:t xml:space="preserve"> </w:t>
      </w:r>
      <w:r w:rsidR="00370974">
        <w:t xml:space="preserve">Available at: </w:t>
      </w:r>
      <w:hyperlink r:id="rId16" w:history="1">
        <w:r w:rsidR="00370974" w:rsidRPr="001D255F">
          <w:rPr>
            <w:rStyle w:val="Hyperlink"/>
            <w:u w:val="none"/>
          </w:rPr>
          <w:t>https://www.pc.gov.au/research/ongoing/report-on-government-services</w:t>
        </w:r>
      </w:hyperlink>
      <w:r w:rsidR="00370974">
        <w:t>.</w:t>
      </w:r>
    </w:p>
    <w:p w:rsidR="005E0B7F" w:rsidRPr="00995008" w:rsidRDefault="005E0B7F" w:rsidP="005C732F">
      <w:pPr>
        <w:pStyle w:val="Letterbullet"/>
        <w:numPr>
          <w:ilvl w:val="0"/>
          <w:numId w:val="0"/>
        </w:numPr>
      </w:pPr>
    </w:p>
    <w:p w:rsidR="0046444F" w:rsidRDefault="0046444F" w:rsidP="00B311BA">
      <w:pPr>
        <w:pStyle w:val="BodyText"/>
        <w:sectPr w:rsidR="0046444F" w:rsidSect="007A4238">
          <w:headerReference w:type="default" r:id="rId17"/>
          <w:footerReference w:type="default" r:id="rId18"/>
          <w:headerReference w:type="first" r:id="rId19"/>
          <w:footerReference w:type="first" r:id="rId20"/>
          <w:pgSz w:w="11906" w:h="16838" w:code="9"/>
          <w:pgMar w:top="1134" w:right="1418" w:bottom="1134" w:left="1418" w:header="284" w:footer="454" w:gutter="0"/>
          <w:pgNumType w:start="1"/>
          <w:cols w:space="708"/>
          <w:formProt w:val="0"/>
          <w:titlePg/>
          <w:docGrid w:linePitch="360"/>
        </w:sectPr>
      </w:pPr>
    </w:p>
    <w:p w:rsidR="0022510F" w:rsidRDefault="0022510F" w:rsidP="0022510F">
      <w:pPr>
        <w:pStyle w:val="Heading8"/>
        <w:numPr>
          <w:ilvl w:val="0"/>
          <w:numId w:val="0"/>
        </w:numPr>
        <w:spacing w:before="240" w:after="120"/>
      </w:pPr>
      <w:r>
        <w:lastRenderedPageBreak/>
        <w:t>Attachment A</w:t>
      </w:r>
      <w:r w:rsidR="006B4161">
        <w:t xml:space="preserve"> </w:t>
      </w:r>
      <w:r w:rsidRPr="00D014E1">
        <w:t xml:space="preserve">– </w:t>
      </w:r>
      <w:r w:rsidR="006B4161">
        <w:t xml:space="preserve">Higher education </w:t>
      </w:r>
      <w:r w:rsidR="00236358">
        <w:t>(consolidation)</w:t>
      </w:r>
    </w:p>
    <w:p w:rsidR="0022510F" w:rsidRDefault="0022510F" w:rsidP="0022510F">
      <w:pPr>
        <w:pStyle w:val="Caption"/>
        <w:widowControl w:val="0"/>
        <w:tabs>
          <w:tab w:val="left" w:pos="9356"/>
        </w:tabs>
        <w:rPr>
          <w:vertAlign w:val="superscript"/>
        </w:rPr>
      </w:pPr>
      <w:r w:rsidRPr="002D239A">
        <w:t xml:space="preserve">Table </w:t>
      </w:r>
      <w:r w:rsidR="00DC0D22">
        <w:t>A</w:t>
      </w:r>
      <w:r>
        <w:t>1</w:t>
      </w:r>
      <w:r w:rsidR="00DC0D22">
        <w:t xml:space="preserve">: </w:t>
      </w:r>
      <w:r w:rsidR="00BF5EB0">
        <w:fldChar w:fldCharType="begin"/>
      </w:r>
      <w:r w:rsidR="00BF5EB0">
        <w:instrText xml:space="preserve"> STYLEREF  "Name of proposal"  \* MERGEFORMAT </w:instrText>
      </w:r>
      <w:r w:rsidR="00BF5EB0">
        <w:fldChar w:fldCharType="separate"/>
      </w:r>
      <w:r w:rsidR="00060E0C">
        <w:rPr>
          <w:noProof/>
        </w:rPr>
        <w:t>Higher education (consolidation)</w:t>
      </w:r>
      <w:r w:rsidR="00BF5EB0">
        <w:rPr>
          <w:noProof/>
        </w:rPr>
        <w:fldChar w:fldCharType="end"/>
      </w:r>
      <w:r w:rsidR="00881803">
        <w:rPr>
          <w:noProof/>
        </w:rPr>
        <w:t xml:space="preserve"> – repayment rates and thresholds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2258"/>
        <w:gridCol w:w="1701"/>
        <w:gridCol w:w="2259"/>
        <w:gridCol w:w="1701"/>
      </w:tblGrid>
      <w:tr w:rsidR="002471F2" w:rsidTr="00C770B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58" w:type="dxa"/>
            <w:shd w:val="clear" w:color="auto" w:fill="3D4D7D" w:themeFill="background2"/>
          </w:tcPr>
          <w:p w:rsidR="0022510F" w:rsidRPr="00636380" w:rsidRDefault="0022510F" w:rsidP="00DB1DDD">
            <w:pPr>
              <w:pStyle w:val="BodyText"/>
              <w:keepNext/>
              <w:keepLines/>
              <w:spacing w:before="70" w:after="70" w:line="240" w:lineRule="auto"/>
              <w:ind w:left="-57" w:right="-57"/>
              <w:rPr>
                <w:sz w:val="16"/>
                <w:szCs w:val="16"/>
                <w:vertAlign w:val="superscript"/>
              </w:rPr>
            </w:pPr>
            <w:r w:rsidRPr="00636380">
              <w:rPr>
                <w:sz w:val="16"/>
                <w:szCs w:val="16"/>
              </w:rPr>
              <w:t>Existing 2019-20 repayment threshold</w:t>
            </w:r>
            <w:r w:rsidR="005E0B7F" w:rsidRPr="00636380">
              <w:rPr>
                <w:sz w:val="16"/>
                <w:szCs w:val="16"/>
                <w:vertAlign w:val="superscript"/>
              </w:rPr>
              <w:t>(a)</w:t>
            </w:r>
          </w:p>
        </w:tc>
        <w:tc>
          <w:tcPr>
            <w:tcW w:w="1701" w:type="dxa"/>
            <w:shd w:val="clear" w:color="auto" w:fill="3D4D7D" w:themeFill="background2"/>
          </w:tcPr>
          <w:p w:rsidR="0022510F" w:rsidRPr="00636380" w:rsidRDefault="0022510F" w:rsidP="00DB1DDD">
            <w:pPr>
              <w:pStyle w:val="BodyText"/>
              <w:keepNext/>
              <w:keepLines/>
              <w:spacing w:before="70" w:after="70" w:line="240" w:lineRule="auto"/>
              <w:ind w:left="-57" w:right="-57"/>
              <w:jc w:val="left"/>
              <w:cnfStyle w:val="100000000000" w:firstRow="1" w:lastRow="0" w:firstColumn="0" w:lastColumn="0" w:oddVBand="0" w:evenVBand="0" w:oddHBand="0" w:evenHBand="0" w:firstRowFirstColumn="0" w:firstRowLastColumn="0" w:lastRowFirstColumn="0" w:lastRowLastColumn="0"/>
              <w:rPr>
                <w:sz w:val="16"/>
                <w:szCs w:val="16"/>
              </w:rPr>
            </w:pPr>
            <w:r w:rsidRPr="00636380">
              <w:rPr>
                <w:sz w:val="16"/>
                <w:szCs w:val="16"/>
              </w:rPr>
              <w:t xml:space="preserve">Existing 2019-20 repayment </w:t>
            </w:r>
            <w:r w:rsidR="00A71DD7">
              <w:rPr>
                <w:sz w:val="16"/>
                <w:szCs w:val="16"/>
              </w:rPr>
              <w:t>rate</w:t>
            </w:r>
            <w:r w:rsidR="005E0B7F" w:rsidRPr="00636380">
              <w:rPr>
                <w:sz w:val="16"/>
                <w:szCs w:val="16"/>
                <w:vertAlign w:val="superscript"/>
              </w:rPr>
              <w:t>(a)</w:t>
            </w:r>
          </w:p>
        </w:tc>
        <w:tc>
          <w:tcPr>
            <w:tcW w:w="2259" w:type="dxa"/>
            <w:shd w:val="clear" w:color="auto" w:fill="3D4D7D" w:themeFill="background2"/>
          </w:tcPr>
          <w:p w:rsidR="0022510F" w:rsidRPr="00636380" w:rsidRDefault="0022510F" w:rsidP="00DB1DDD">
            <w:pPr>
              <w:pStyle w:val="BodyText"/>
              <w:keepNext/>
              <w:keepLines/>
              <w:spacing w:before="70" w:after="70" w:line="240" w:lineRule="auto"/>
              <w:ind w:left="-57" w:right="-57"/>
              <w:jc w:val="left"/>
              <w:cnfStyle w:val="100000000000" w:firstRow="1" w:lastRow="0" w:firstColumn="0" w:lastColumn="0" w:oddVBand="0" w:evenVBand="0" w:oddHBand="0" w:evenHBand="0" w:firstRowFirstColumn="0" w:firstRowLastColumn="0" w:lastRowFirstColumn="0" w:lastRowLastColumn="0"/>
              <w:rPr>
                <w:sz w:val="16"/>
                <w:szCs w:val="16"/>
              </w:rPr>
            </w:pPr>
            <w:r w:rsidRPr="00636380">
              <w:rPr>
                <w:sz w:val="16"/>
                <w:szCs w:val="16"/>
              </w:rPr>
              <w:t>Proposed repayment threshold</w:t>
            </w:r>
          </w:p>
        </w:tc>
        <w:tc>
          <w:tcPr>
            <w:tcW w:w="1701" w:type="dxa"/>
            <w:shd w:val="clear" w:color="auto" w:fill="3D4D7D" w:themeFill="background2"/>
          </w:tcPr>
          <w:p w:rsidR="0022510F" w:rsidRPr="00636380" w:rsidRDefault="0022510F" w:rsidP="00DB1DDD">
            <w:pPr>
              <w:pStyle w:val="BodyText"/>
              <w:keepNext/>
              <w:keepLines/>
              <w:spacing w:before="70" w:after="70" w:line="240" w:lineRule="auto"/>
              <w:ind w:left="-57" w:right="-57"/>
              <w:jc w:val="left"/>
              <w:cnfStyle w:val="100000000000" w:firstRow="1" w:lastRow="0" w:firstColumn="0" w:lastColumn="0" w:oddVBand="0" w:evenVBand="0" w:oddHBand="0" w:evenHBand="0" w:firstRowFirstColumn="0" w:firstRowLastColumn="0" w:lastRowFirstColumn="0" w:lastRowLastColumn="0"/>
              <w:rPr>
                <w:sz w:val="16"/>
                <w:szCs w:val="16"/>
              </w:rPr>
            </w:pPr>
            <w:r w:rsidRPr="00636380">
              <w:rPr>
                <w:sz w:val="16"/>
                <w:szCs w:val="16"/>
              </w:rPr>
              <w:t>Proposed repayment rate</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22510F" w:rsidP="00DB1DDD">
            <w:pPr>
              <w:pStyle w:val="BodyText"/>
              <w:keepNext/>
              <w:keepLines/>
              <w:spacing w:before="70" w:after="70" w:line="240" w:lineRule="auto"/>
              <w:ind w:left="-57" w:right="-57"/>
              <w:rPr>
                <w:sz w:val="16"/>
                <w:szCs w:val="16"/>
              </w:rPr>
            </w:pPr>
            <w:r w:rsidRPr="00636380">
              <w:rPr>
                <w:sz w:val="16"/>
                <w:szCs w:val="16"/>
              </w:rPr>
              <w:t>$45,880</w:t>
            </w:r>
            <w:r w:rsidR="00636380" w:rsidRPr="00636380">
              <w:rPr>
                <w:sz w:val="16"/>
                <w:szCs w:val="16"/>
              </w:rPr>
              <w:t xml:space="preserve"> and below</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Nil</w:t>
            </w:r>
          </w:p>
        </w:tc>
        <w:tc>
          <w:tcPr>
            <w:tcW w:w="2259" w:type="dxa"/>
            <w:shd w:val="clear" w:color="auto" w:fill="D3D8E9" w:themeFill="background2" w:themeFillTint="33"/>
          </w:tcPr>
          <w:p w:rsidR="0022510F" w:rsidRPr="00636380" w:rsidRDefault="0022510F"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$52,988</w:t>
            </w:r>
            <w:r w:rsidR="00636380" w:rsidRPr="00636380">
              <w:rPr>
                <w:sz w:val="16"/>
                <w:szCs w:val="16"/>
              </w:rPr>
              <w:t xml:space="preserve"> and below</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Nil</w:t>
            </w:r>
          </w:p>
        </w:tc>
      </w:tr>
      <w:tr w:rsidR="0022510F" w:rsidTr="001D255F">
        <w:tc>
          <w:tcPr>
            <w:cnfStyle w:val="001000000000" w:firstRow="0" w:lastRow="0" w:firstColumn="1" w:lastColumn="0" w:oddVBand="0" w:evenVBand="0" w:oddHBand="0" w:evenHBand="0" w:firstRowFirstColumn="0" w:firstRowLastColumn="0" w:lastRowFirstColumn="0" w:lastRowLastColumn="0"/>
            <w:tcW w:w="2258" w:type="dxa"/>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$45,880 to less than</w:t>
            </w:r>
            <w:r w:rsidR="0022510F" w:rsidRPr="00636380">
              <w:rPr>
                <w:sz w:val="16"/>
                <w:szCs w:val="16"/>
              </w:rPr>
              <w:t xml:space="preserve"> $52,97</w:t>
            </w:r>
            <w:r w:rsidRPr="00636380">
              <w:rPr>
                <w:sz w:val="16"/>
                <w:szCs w:val="16"/>
              </w:rPr>
              <w:t>4</w:t>
            </w:r>
          </w:p>
        </w:tc>
        <w:tc>
          <w:tcPr>
            <w:tcW w:w="1701" w:type="dxa"/>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1.0%</w:t>
            </w:r>
          </w:p>
        </w:tc>
        <w:tc>
          <w:tcPr>
            <w:tcW w:w="2259" w:type="dxa"/>
            <w:vAlign w:val="bottom"/>
          </w:tcPr>
          <w:p w:rsidR="0022510F" w:rsidRPr="00636380" w:rsidRDefault="00636380" w:rsidP="00DB1DDD">
            <w:pPr>
              <w:pStyle w:val="BodyText"/>
              <w:keepNext/>
              <w:keepLine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$52,988 to less than $60,162</w:t>
            </w:r>
          </w:p>
        </w:tc>
        <w:tc>
          <w:tcPr>
            <w:tcW w:w="1701" w:type="dxa"/>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1.0%</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$52,974 to less than $56,152</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2.0%</w:t>
            </w:r>
          </w:p>
        </w:tc>
        <w:tc>
          <w:tcPr>
            <w:tcW w:w="2259" w:type="dxa"/>
            <w:shd w:val="clear" w:color="auto" w:fill="D3D8E9" w:themeFill="background2" w:themeFillTint="33"/>
            <w:vAlign w:val="bottom"/>
          </w:tcPr>
          <w:p w:rsidR="0022510F" w:rsidRPr="00636380" w:rsidRDefault="00636380"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$60,162 to less than $63,340</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2.0%</w:t>
            </w:r>
          </w:p>
        </w:tc>
      </w:tr>
      <w:tr w:rsidR="0022510F" w:rsidTr="001D255F">
        <w:tc>
          <w:tcPr>
            <w:cnfStyle w:val="001000000000" w:firstRow="0" w:lastRow="0" w:firstColumn="1" w:lastColumn="0" w:oddVBand="0" w:evenVBand="0" w:oddHBand="0" w:evenHBand="0" w:firstRowFirstColumn="0" w:firstRowLastColumn="0" w:lastRowFirstColumn="0" w:lastRowLastColumn="0"/>
            <w:tcW w:w="2258" w:type="dxa"/>
            <w:shd w:val="clear" w:color="auto" w:fill="auto"/>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$56,152 to less than $59,522</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2.5%</w:t>
            </w:r>
          </w:p>
        </w:tc>
        <w:tc>
          <w:tcPr>
            <w:tcW w:w="2259" w:type="dxa"/>
            <w:shd w:val="clear" w:color="auto" w:fill="auto"/>
            <w:vAlign w:val="bottom"/>
          </w:tcPr>
          <w:p w:rsidR="0022510F" w:rsidRPr="00636380" w:rsidRDefault="00636380" w:rsidP="00DB1DDD">
            <w:pPr>
              <w:pStyle w:val="BodyText"/>
              <w:keepNext/>
              <w:keepLine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$63,340 to less than $66,710</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2.5%</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$59,522 to less than $63,0923</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3.0%</w:t>
            </w:r>
          </w:p>
        </w:tc>
        <w:tc>
          <w:tcPr>
            <w:tcW w:w="2259" w:type="dxa"/>
            <w:shd w:val="clear" w:color="auto" w:fill="D3D8E9" w:themeFill="background2" w:themeFillTint="33"/>
            <w:vAlign w:val="bottom"/>
          </w:tcPr>
          <w:p w:rsidR="0022510F" w:rsidRPr="00636380" w:rsidRDefault="0022510F"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 xml:space="preserve">$66,710 </w:t>
            </w:r>
            <w:r w:rsidR="00636380" w:rsidRPr="00636380">
              <w:rPr>
                <w:sz w:val="16"/>
                <w:szCs w:val="16"/>
              </w:rPr>
              <w:t>to less than $70,281</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3.0%</w:t>
            </w:r>
          </w:p>
        </w:tc>
      </w:tr>
      <w:tr w:rsidR="0022510F" w:rsidTr="001D255F">
        <w:tc>
          <w:tcPr>
            <w:cnfStyle w:val="001000000000" w:firstRow="0" w:lastRow="0" w:firstColumn="1" w:lastColumn="0" w:oddVBand="0" w:evenVBand="0" w:oddHBand="0" w:evenHBand="0" w:firstRowFirstColumn="0" w:firstRowLastColumn="0" w:lastRowFirstColumn="0" w:lastRowLastColumn="0"/>
            <w:tcW w:w="2258" w:type="dxa"/>
            <w:shd w:val="clear" w:color="auto" w:fill="auto"/>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$63,093 to less than $66,878</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3.5%</w:t>
            </w:r>
          </w:p>
        </w:tc>
        <w:tc>
          <w:tcPr>
            <w:tcW w:w="2259" w:type="dxa"/>
            <w:shd w:val="clear" w:color="auto" w:fill="auto"/>
            <w:vAlign w:val="bottom"/>
          </w:tcPr>
          <w:p w:rsidR="0022510F" w:rsidRPr="00636380" w:rsidRDefault="00636380" w:rsidP="00DB1DDD">
            <w:pPr>
              <w:pStyle w:val="BodyText"/>
              <w:keepNext/>
              <w:keepLine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$70,281 to less than $74,066</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3.5%</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$66,878 to less than $70,891</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4.0%</w:t>
            </w:r>
          </w:p>
        </w:tc>
        <w:tc>
          <w:tcPr>
            <w:tcW w:w="2259" w:type="dxa"/>
            <w:shd w:val="clear" w:color="auto" w:fill="D3D8E9" w:themeFill="background2" w:themeFillTint="33"/>
            <w:vAlign w:val="bottom"/>
          </w:tcPr>
          <w:p w:rsidR="0022510F" w:rsidRPr="00636380" w:rsidRDefault="00636380"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$74,066 to less than $78,079</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4.0%</w:t>
            </w:r>
          </w:p>
        </w:tc>
      </w:tr>
      <w:tr w:rsidR="0022510F" w:rsidTr="001D255F">
        <w:tc>
          <w:tcPr>
            <w:cnfStyle w:val="001000000000" w:firstRow="0" w:lastRow="0" w:firstColumn="1" w:lastColumn="0" w:oddVBand="0" w:evenVBand="0" w:oddHBand="0" w:evenHBand="0" w:firstRowFirstColumn="0" w:firstRowLastColumn="0" w:lastRowFirstColumn="0" w:lastRowLastColumn="0"/>
            <w:tcW w:w="2258" w:type="dxa"/>
            <w:shd w:val="clear" w:color="auto" w:fill="auto"/>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$70,891 to less than $75,145</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4.5%</w:t>
            </w:r>
          </w:p>
        </w:tc>
        <w:tc>
          <w:tcPr>
            <w:tcW w:w="2259" w:type="dxa"/>
            <w:shd w:val="clear" w:color="auto" w:fill="auto"/>
            <w:vAlign w:val="bottom"/>
          </w:tcPr>
          <w:p w:rsidR="0022510F" w:rsidRPr="00636380" w:rsidRDefault="00636380" w:rsidP="00DB1DDD">
            <w:pPr>
              <w:pStyle w:val="BodyText"/>
              <w:keepNext/>
              <w:keepLine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$78,079 to less than $82,333</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4.5%</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$75,145 to less than $79,653</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5.0%</w:t>
            </w:r>
          </w:p>
        </w:tc>
        <w:tc>
          <w:tcPr>
            <w:tcW w:w="2259" w:type="dxa"/>
            <w:shd w:val="clear" w:color="auto" w:fill="D3D8E9" w:themeFill="background2" w:themeFillTint="33"/>
            <w:vAlign w:val="bottom"/>
          </w:tcPr>
          <w:p w:rsidR="0022510F" w:rsidRPr="00636380" w:rsidRDefault="00636380"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$82,333 to less than $86,841</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5.0%</w:t>
            </w:r>
          </w:p>
        </w:tc>
      </w:tr>
      <w:tr w:rsidR="0022510F" w:rsidTr="001D255F">
        <w:tc>
          <w:tcPr>
            <w:cnfStyle w:val="001000000000" w:firstRow="0" w:lastRow="0" w:firstColumn="1" w:lastColumn="0" w:oddVBand="0" w:evenVBand="0" w:oddHBand="0" w:evenHBand="0" w:firstRowFirstColumn="0" w:firstRowLastColumn="0" w:lastRowFirstColumn="0" w:lastRowLastColumn="0"/>
            <w:tcW w:w="2258" w:type="dxa"/>
            <w:shd w:val="clear" w:color="auto" w:fill="auto"/>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$79,653 to less than $84,433</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5.5%</w:t>
            </w:r>
          </w:p>
        </w:tc>
        <w:tc>
          <w:tcPr>
            <w:tcW w:w="2259" w:type="dxa"/>
            <w:shd w:val="clear" w:color="auto" w:fill="auto"/>
            <w:vAlign w:val="bottom"/>
          </w:tcPr>
          <w:p w:rsidR="0022510F" w:rsidRPr="00636380" w:rsidRDefault="00636380" w:rsidP="00DB1DDD">
            <w:pPr>
              <w:pStyle w:val="BodyText"/>
              <w:keepNext/>
              <w:keepLine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$86,841 to less than $91,621</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5.5%</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$84,433 to less than $89,499</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6.0%</w:t>
            </w:r>
          </w:p>
        </w:tc>
        <w:tc>
          <w:tcPr>
            <w:tcW w:w="2259" w:type="dxa"/>
            <w:shd w:val="clear" w:color="auto" w:fill="D3D8E9" w:themeFill="background2" w:themeFillTint="33"/>
            <w:vAlign w:val="bottom"/>
          </w:tcPr>
          <w:p w:rsidR="0022510F" w:rsidRPr="00636380" w:rsidRDefault="00636380"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$91,621 to less than $96,687</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6.0%</w:t>
            </w:r>
          </w:p>
        </w:tc>
      </w:tr>
      <w:tr w:rsidR="0022510F" w:rsidTr="001D255F">
        <w:tc>
          <w:tcPr>
            <w:cnfStyle w:val="001000000000" w:firstRow="0" w:lastRow="0" w:firstColumn="1" w:lastColumn="0" w:oddVBand="0" w:evenVBand="0" w:oddHBand="0" w:evenHBand="0" w:firstRowFirstColumn="0" w:firstRowLastColumn="0" w:lastRowFirstColumn="0" w:lastRowLastColumn="0"/>
            <w:tcW w:w="2258" w:type="dxa"/>
            <w:shd w:val="clear" w:color="auto" w:fill="auto"/>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$89,499 to less than $94,869</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6.5%</w:t>
            </w:r>
          </w:p>
        </w:tc>
        <w:tc>
          <w:tcPr>
            <w:tcW w:w="2259" w:type="dxa"/>
            <w:shd w:val="clear" w:color="auto" w:fill="auto"/>
            <w:vAlign w:val="bottom"/>
          </w:tcPr>
          <w:p w:rsidR="0022510F" w:rsidRPr="00636380" w:rsidRDefault="00636380" w:rsidP="00DB1DDD">
            <w:pPr>
              <w:pStyle w:val="BodyText"/>
              <w:keepNext/>
              <w:keepLine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$96,687 to less than $102,057</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6.5%</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$94,869 to less than $100,561</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7.0%</w:t>
            </w:r>
          </w:p>
        </w:tc>
        <w:tc>
          <w:tcPr>
            <w:tcW w:w="2259" w:type="dxa"/>
            <w:shd w:val="clear" w:color="auto" w:fill="D3D8E9" w:themeFill="background2" w:themeFillTint="33"/>
            <w:vAlign w:val="bottom"/>
          </w:tcPr>
          <w:p w:rsidR="0022510F" w:rsidRPr="00636380" w:rsidRDefault="00636380"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$102,057 to less than $107,749</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7.0%</w:t>
            </w:r>
          </w:p>
        </w:tc>
      </w:tr>
      <w:tr w:rsidR="0022510F" w:rsidTr="001D255F">
        <w:tc>
          <w:tcPr>
            <w:cnfStyle w:val="001000000000" w:firstRow="0" w:lastRow="0" w:firstColumn="1" w:lastColumn="0" w:oddVBand="0" w:evenVBand="0" w:oddHBand="0" w:evenHBand="0" w:firstRowFirstColumn="0" w:firstRowLastColumn="0" w:lastRowFirstColumn="0" w:lastRowLastColumn="0"/>
            <w:tcW w:w="2258" w:type="dxa"/>
            <w:shd w:val="clear" w:color="auto" w:fill="auto"/>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$100,561 to less than $106,594</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7.5%</w:t>
            </w:r>
          </w:p>
        </w:tc>
        <w:tc>
          <w:tcPr>
            <w:tcW w:w="2259" w:type="dxa"/>
            <w:shd w:val="clear" w:color="auto" w:fill="auto"/>
            <w:vAlign w:val="bottom"/>
          </w:tcPr>
          <w:p w:rsidR="0022510F" w:rsidRPr="00636380" w:rsidRDefault="00636380" w:rsidP="00DB1DDD">
            <w:pPr>
              <w:pStyle w:val="BodyText"/>
              <w:keepNext/>
              <w:keepLine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$107,749 to less than $113,782</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7.5%</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$106,594 to less than $112,990</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8.0%</w:t>
            </w:r>
          </w:p>
        </w:tc>
        <w:tc>
          <w:tcPr>
            <w:tcW w:w="2259" w:type="dxa"/>
            <w:shd w:val="clear" w:color="auto" w:fill="D3D8E9" w:themeFill="background2" w:themeFillTint="33"/>
            <w:vAlign w:val="bottom"/>
          </w:tcPr>
          <w:p w:rsidR="0022510F" w:rsidRPr="00636380" w:rsidRDefault="00636380"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$113,782 to less than $120,178</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8.0%</w:t>
            </w:r>
          </w:p>
        </w:tc>
      </w:tr>
      <w:tr w:rsidR="0022510F" w:rsidTr="001D255F">
        <w:tc>
          <w:tcPr>
            <w:cnfStyle w:val="001000000000" w:firstRow="0" w:lastRow="0" w:firstColumn="1" w:lastColumn="0" w:oddVBand="0" w:evenVBand="0" w:oddHBand="0" w:evenHBand="0" w:firstRowFirstColumn="0" w:firstRowLastColumn="0" w:lastRowFirstColumn="0" w:lastRowLastColumn="0"/>
            <w:tcW w:w="2258" w:type="dxa"/>
            <w:shd w:val="clear" w:color="auto" w:fill="auto"/>
          </w:tcPr>
          <w:p w:rsidR="0022510F" w:rsidRPr="00636380" w:rsidRDefault="0022510F" w:rsidP="00DB1DDD">
            <w:pPr>
              <w:pStyle w:val="BodyText"/>
              <w:keepNext/>
              <w:keepLines/>
              <w:spacing w:before="70" w:after="70" w:line="240" w:lineRule="auto"/>
              <w:ind w:left="-57" w:right="-57"/>
              <w:rPr>
                <w:sz w:val="16"/>
                <w:szCs w:val="16"/>
              </w:rPr>
            </w:pPr>
            <w:r w:rsidRPr="00636380">
              <w:rPr>
                <w:sz w:val="16"/>
                <w:szCs w:val="16"/>
              </w:rPr>
              <w:t xml:space="preserve">$112,990 </w:t>
            </w:r>
            <w:r w:rsidR="00636380" w:rsidRPr="00636380">
              <w:rPr>
                <w:sz w:val="16"/>
                <w:szCs w:val="16"/>
              </w:rPr>
              <w:t>to less than $119,770</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8.5%</w:t>
            </w:r>
          </w:p>
        </w:tc>
        <w:tc>
          <w:tcPr>
            <w:tcW w:w="2259" w:type="dxa"/>
            <w:shd w:val="clear" w:color="auto" w:fill="auto"/>
            <w:vAlign w:val="bottom"/>
          </w:tcPr>
          <w:p w:rsidR="0022510F" w:rsidRPr="00636380" w:rsidRDefault="00636380" w:rsidP="00DB1DDD">
            <w:pPr>
              <w:pStyle w:val="BodyText"/>
              <w:keepNext/>
              <w:keepLine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$120,178 to less than $126,958</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8.5%</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$119,770 to less than $126,956</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9.0%</w:t>
            </w:r>
          </w:p>
        </w:tc>
        <w:tc>
          <w:tcPr>
            <w:tcW w:w="2259" w:type="dxa"/>
            <w:shd w:val="clear" w:color="auto" w:fill="D3D8E9" w:themeFill="background2" w:themeFillTint="33"/>
            <w:vAlign w:val="bottom"/>
          </w:tcPr>
          <w:p w:rsidR="0022510F" w:rsidRPr="00636380" w:rsidRDefault="00636380"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$126,958 to less than $134,144</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9.0%</w:t>
            </w:r>
          </w:p>
        </w:tc>
      </w:tr>
      <w:tr w:rsidR="0022510F" w:rsidTr="001D255F">
        <w:tc>
          <w:tcPr>
            <w:cnfStyle w:val="001000000000" w:firstRow="0" w:lastRow="0" w:firstColumn="1" w:lastColumn="0" w:oddVBand="0" w:evenVBand="0" w:oddHBand="0" w:evenHBand="0" w:firstRowFirstColumn="0" w:firstRowLastColumn="0" w:lastRowFirstColumn="0" w:lastRowLastColumn="0"/>
            <w:tcW w:w="2258" w:type="dxa"/>
            <w:shd w:val="clear" w:color="auto" w:fill="auto"/>
          </w:tcPr>
          <w:p w:rsidR="0022510F" w:rsidRPr="00636380" w:rsidRDefault="00636380" w:rsidP="00DB1DDD">
            <w:pPr>
              <w:pStyle w:val="BodyText"/>
              <w:keepNext/>
              <w:keepLines/>
              <w:spacing w:before="70" w:after="70" w:line="240" w:lineRule="auto"/>
              <w:ind w:left="-57" w:right="-57"/>
              <w:rPr>
                <w:sz w:val="16"/>
                <w:szCs w:val="16"/>
              </w:rPr>
            </w:pPr>
            <w:r w:rsidRPr="00636380">
              <w:rPr>
                <w:sz w:val="16"/>
                <w:szCs w:val="16"/>
              </w:rPr>
              <w:t>$126,956 to less than $134,573</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9.5%</w:t>
            </w:r>
          </w:p>
        </w:tc>
        <w:tc>
          <w:tcPr>
            <w:tcW w:w="2259" w:type="dxa"/>
            <w:shd w:val="clear" w:color="auto" w:fill="auto"/>
            <w:vAlign w:val="bottom"/>
          </w:tcPr>
          <w:p w:rsidR="0022510F" w:rsidRPr="00636380" w:rsidRDefault="00636380" w:rsidP="00DB1DDD">
            <w:pPr>
              <w:pStyle w:val="BodyText"/>
              <w:keepNext/>
              <w:keepLine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$134,144 to less than $141,761</w:t>
            </w:r>
          </w:p>
        </w:tc>
        <w:tc>
          <w:tcPr>
            <w:tcW w:w="1701" w:type="dxa"/>
            <w:shd w:val="clear" w:color="auto" w:fill="auto"/>
          </w:tcPr>
          <w:p w:rsidR="0022510F" w:rsidRPr="00636380" w:rsidRDefault="0022510F" w:rsidP="001D255F">
            <w:pPr>
              <w:pStyle w:val="BodyText"/>
              <w:keepNext/>
              <w:keepLines/>
              <w:spacing w:before="70" w:after="70" w:line="240" w:lineRule="auto"/>
              <w:ind w:left="-57"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636380">
              <w:rPr>
                <w:sz w:val="16"/>
                <w:szCs w:val="16"/>
              </w:rPr>
              <w:t>9.5%</w:t>
            </w:r>
          </w:p>
        </w:tc>
      </w:tr>
      <w:tr w:rsidR="002471F2" w:rsidTr="00C77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D3D8E9" w:themeFill="background2" w:themeFillTint="33"/>
          </w:tcPr>
          <w:p w:rsidR="0022510F" w:rsidRPr="00636380" w:rsidRDefault="0022510F" w:rsidP="00DB1DDD">
            <w:pPr>
              <w:pStyle w:val="BodyText"/>
              <w:keepNext/>
              <w:keepLines/>
              <w:spacing w:before="70" w:after="70" w:line="240" w:lineRule="auto"/>
              <w:ind w:left="-57" w:right="-57"/>
              <w:rPr>
                <w:sz w:val="16"/>
                <w:szCs w:val="16"/>
              </w:rPr>
            </w:pPr>
            <w:r w:rsidRPr="00636380">
              <w:rPr>
                <w:sz w:val="16"/>
                <w:szCs w:val="16"/>
              </w:rPr>
              <w:t>$134,573 and above</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10.0%</w:t>
            </w:r>
          </w:p>
        </w:tc>
        <w:tc>
          <w:tcPr>
            <w:tcW w:w="2259" w:type="dxa"/>
            <w:shd w:val="clear" w:color="auto" w:fill="D3D8E9" w:themeFill="background2" w:themeFillTint="33"/>
          </w:tcPr>
          <w:p w:rsidR="0022510F" w:rsidRPr="00636380" w:rsidRDefault="0022510F" w:rsidP="00DB1DDD">
            <w:pPr>
              <w:pStyle w:val="BodyText"/>
              <w:keepNext/>
              <w:keepLines/>
              <w:spacing w:before="70" w:after="70" w:line="240" w:lineRule="auto"/>
              <w:ind w:left="-57" w:right="-57"/>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$141,761 and above</w:t>
            </w:r>
          </w:p>
        </w:tc>
        <w:tc>
          <w:tcPr>
            <w:tcW w:w="1701" w:type="dxa"/>
            <w:shd w:val="clear" w:color="auto" w:fill="D3D8E9" w:themeFill="background2" w:themeFillTint="33"/>
          </w:tcPr>
          <w:p w:rsidR="0022510F" w:rsidRPr="00636380" w:rsidRDefault="0022510F" w:rsidP="001D255F">
            <w:pPr>
              <w:pStyle w:val="BodyText"/>
              <w:keepNext/>
              <w:keepLines/>
              <w:spacing w:before="70" w:after="70" w:line="240" w:lineRule="auto"/>
              <w:ind w:left="-57"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636380">
              <w:rPr>
                <w:sz w:val="16"/>
                <w:szCs w:val="16"/>
              </w:rPr>
              <w:t>10.0%</w:t>
            </w:r>
          </w:p>
        </w:tc>
      </w:tr>
    </w:tbl>
    <w:p w:rsidR="005E0B7F" w:rsidRPr="001D255F" w:rsidRDefault="005E0B7F" w:rsidP="006762CE">
      <w:pPr>
        <w:pStyle w:val="ListParagraph"/>
        <w:keepNext/>
        <w:widowControl w:val="0"/>
        <w:numPr>
          <w:ilvl w:val="0"/>
          <w:numId w:val="31"/>
        </w:numPr>
        <w:tabs>
          <w:tab w:val="left" w:pos="9356"/>
        </w:tabs>
        <w:spacing w:line="240" w:lineRule="atLeast"/>
        <w:ind w:left="284" w:hanging="284"/>
        <w:contextualSpacing w:val="0"/>
        <w:rPr>
          <w:sz w:val="16"/>
          <w:szCs w:val="16"/>
        </w:rPr>
      </w:pPr>
      <w:r w:rsidRPr="001D255F">
        <w:rPr>
          <w:sz w:val="16"/>
          <w:szCs w:val="16"/>
        </w:rPr>
        <w:t xml:space="preserve">As outlined in the </w:t>
      </w:r>
      <w:r w:rsidRPr="001D255F">
        <w:rPr>
          <w:i/>
          <w:sz w:val="16"/>
          <w:szCs w:val="16"/>
        </w:rPr>
        <w:t xml:space="preserve">Higher Education Support Legislation Amendment (Student Loan Sustainability) Bill 2018, </w:t>
      </w:r>
      <w:proofErr w:type="gramStart"/>
      <w:r w:rsidRPr="001D255F">
        <w:rPr>
          <w:sz w:val="16"/>
          <w:szCs w:val="16"/>
        </w:rPr>
        <w:t xml:space="preserve">which passed </w:t>
      </w:r>
      <w:r w:rsidR="00236358" w:rsidRPr="001D255F">
        <w:rPr>
          <w:sz w:val="16"/>
          <w:szCs w:val="16"/>
        </w:rPr>
        <w:t>the Senate and the House of Representatives</w:t>
      </w:r>
      <w:r w:rsidRPr="001D255F">
        <w:rPr>
          <w:sz w:val="16"/>
          <w:szCs w:val="16"/>
        </w:rPr>
        <w:t xml:space="preserve"> on 14 August 2018.</w:t>
      </w:r>
      <w:proofErr w:type="gramEnd"/>
    </w:p>
    <w:p w:rsidR="0022510F" w:rsidRPr="0022510F" w:rsidRDefault="0022510F" w:rsidP="005416B6">
      <w:pPr>
        <w:pStyle w:val="BodyText"/>
      </w:pPr>
    </w:p>
    <w:p w:rsidR="0022510F" w:rsidRPr="005416B6" w:rsidRDefault="0022510F" w:rsidP="005416B6">
      <w:pPr>
        <w:rPr>
          <w:rFonts w:ascii="Calibri" w:eastAsiaTheme="majorEastAsia" w:hAnsi="Calibri" w:cstheme="majorBidi"/>
          <w:color w:val="3D4D7D" w:themeColor="background2"/>
          <w:sz w:val="30"/>
        </w:rPr>
      </w:pPr>
      <w:r>
        <w:br w:type="page"/>
      </w:r>
    </w:p>
    <w:p w:rsidR="00016D53" w:rsidRPr="00D014E1" w:rsidRDefault="0022510F" w:rsidP="0022510F">
      <w:pPr>
        <w:pStyle w:val="Heading8"/>
        <w:numPr>
          <w:ilvl w:val="0"/>
          <w:numId w:val="0"/>
        </w:numPr>
        <w:spacing w:before="240" w:after="120"/>
      </w:pPr>
      <w:r>
        <w:lastRenderedPageBreak/>
        <w:t>Attachment B</w:t>
      </w:r>
      <w:r w:rsidR="00236358">
        <w:t xml:space="preserve"> </w:t>
      </w:r>
      <w:r w:rsidR="00016D53" w:rsidRPr="00D014E1">
        <w:t xml:space="preserve">– </w:t>
      </w:r>
      <w:r w:rsidR="0089203C">
        <w:t>Higher education</w:t>
      </w:r>
      <w:r w:rsidR="00216724">
        <w:t xml:space="preserve"> </w:t>
      </w:r>
      <w:r w:rsidR="00326E3E" w:rsidRPr="00D014E1">
        <w:t xml:space="preserve">– </w:t>
      </w:r>
      <w:r w:rsidR="00016D53" w:rsidRPr="00D014E1">
        <w:t>financial implications</w:t>
      </w:r>
    </w:p>
    <w:p w:rsidR="00C56230" w:rsidRDefault="00C56230" w:rsidP="00C56230">
      <w:pPr>
        <w:pStyle w:val="Caption"/>
        <w:widowControl w:val="0"/>
        <w:tabs>
          <w:tab w:val="left" w:pos="9356"/>
        </w:tabs>
        <w:rPr>
          <w:vertAlign w:val="superscript"/>
        </w:rPr>
      </w:pPr>
      <w:r w:rsidRPr="002D239A">
        <w:t xml:space="preserve">Table </w:t>
      </w:r>
      <w:r w:rsidR="00DC0D22">
        <w:t>B1</w:t>
      </w:r>
      <w:r w:rsidRPr="002D239A">
        <w:t xml:space="preserve">: </w:t>
      </w:r>
      <w:r w:rsidR="00BF5EB0">
        <w:fldChar w:fldCharType="begin"/>
      </w:r>
      <w:r w:rsidR="00BF5EB0">
        <w:instrText xml:space="preserve"> STYLEREF  "Name of proposal"  \* MERGEFORMAT </w:instrText>
      </w:r>
      <w:r w:rsidR="00BF5EB0">
        <w:fldChar w:fldCharType="separate"/>
      </w:r>
      <w:r w:rsidR="00060E0C">
        <w:rPr>
          <w:noProof/>
        </w:rPr>
        <w:t>Higher education (consolidation)</w:t>
      </w:r>
      <w:r w:rsidR="00BF5EB0">
        <w:rPr>
          <w:noProof/>
        </w:rPr>
        <w:fldChar w:fldCharType="end"/>
      </w:r>
      <w:r w:rsidR="00FB26C8">
        <w:rPr>
          <w:noProof/>
        </w:rPr>
        <w:t xml:space="preserve"> </w:t>
      </w:r>
      <w:r w:rsidRPr="008B1BCB">
        <w:t>–</w:t>
      </w:r>
      <w:r>
        <w:t xml:space="preserve"> Fiscal balance ($m</w:t>
      </w:r>
      <w:proofErr w:type="gramStart"/>
      <w:r>
        <w:t>)</w:t>
      </w:r>
      <w:r w:rsidRPr="002D239A">
        <w:rPr>
          <w:vertAlign w:val="superscript"/>
        </w:rPr>
        <w:t>(</w:t>
      </w:r>
      <w:proofErr w:type="gramEnd"/>
      <w:r w:rsidRPr="002D239A">
        <w:rPr>
          <w:vertAlign w:val="superscript"/>
        </w:rPr>
        <w:t>a)(b)</w:t>
      </w:r>
    </w:p>
    <w:tbl>
      <w:tblPr>
        <w:tblStyle w:val="LightGrid-Accent6"/>
        <w:tblW w:w="5000" w:type="pct"/>
        <w:tblLayout w:type="fixed"/>
        <w:tblCellMar>
          <w:left w:w="57" w:type="dxa"/>
          <w:right w:w="57" w:type="dxa"/>
        </w:tblCellMar>
        <w:tblLook w:val="0680" w:firstRow="0" w:lastRow="0" w:firstColumn="1" w:lastColumn="0" w:noHBand="1" w:noVBand="1"/>
      </w:tblPr>
      <w:tblGrid>
        <w:gridCol w:w="1794"/>
        <w:gridCol w:w="619"/>
        <w:gridCol w:w="619"/>
        <w:gridCol w:w="619"/>
        <w:gridCol w:w="619"/>
        <w:gridCol w:w="617"/>
        <w:gridCol w:w="616"/>
        <w:gridCol w:w="616"/>
        <w:gridCol w:w="616"/>
        <w:gridCol w:w="616"/>
        <w:gridCol w:w="616"/>
        <w:gridCol w:w="616"/>
        <w:gridCol w:w="729"/>
        <w:gridCol w:w="725"/>
      </w:tblGrid>
      <w:tr w:rsidR="00C770B5" w:rsidRPr="00E6692B" w:rsidTr="00256ECE">
        <w:tc>
          <w:tcPr>
            <w:cnfStyle w:val="001000000000" w:firstRow="0" w:lastRow="0" w:firstColumn="1" w:lastColumn="0" w:oddVBand="0" w:evenVBand="0" w:oddHBand="0" w:evenHBand="0" w:firstRowFirstColumn="0" w:firstRowLastColumn="0" w:lastRowFirstColumn="0" w:lastRowLastColumn="0"/>
            <w:tcW w:w="893" w:type="pct"/>
            <w:shd w:val="clear" w:color="auto" w:fill="A7B2D4" w:themeFill="background2" w:themeFillTint="66"/>
            <w:vAlign w:val="center"/>
          </w:tcPr>
          <w:p w:rsidR="00C56230" w:rsidRPr="009F2A5C" w:rsidRDefault="00C56230" w:rsidP="00C56230">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308"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2018–</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19</w:t>
            </w:r>
          </w:p>
        </w:tc>
        <w:tc>
          <w:tcPr>
            <w:tcW w:w="308"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2019–</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w:t>
            </w:r>
          </w:p>
        </w:tc>
        <w:tc>
          <w:tcPr>
            <w:tcW w:w="308"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2020–</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21</w:t>
            </w:r>
          </w:p>
        </w:tc>
        <w:tc>
          <w:tcPr>
            <w:tcW w:w="308"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2021–</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22</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2022–</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23</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2023–</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24</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2024–</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25</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2025–</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26</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2026–</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27</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2027–</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28</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2028–</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29</w:t>
            </w:r>
          </w:p>
        </w:tc>
        <w:tc>
          <w:tcPr>
            <w:tcW w:w="363"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sz w:val="16"/>
                <w:szCs w:val="16"/>
              </w:rPr>
              <w:t>Total to 2021–22</w:t>
            </w:r>
          </w:p>
        </w:tc>
        <w:tc>
          <w:tcPr>
            <w:tcW w:w="361"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92B">
              <w:rPr>
                <w:rFonts w:asciiTheme="minorHAnsi" w:hAnsiTheme="minorHAnsi"/>
                <w:sz w:val="16"/>
                <w:szCs w:val="16"/>
              </w:rPr>
              <w:t>Total to 2028–29</w:t>
            </w:r>
          </w:p>
        </w:tc>
      </w:tr>
      <w:tr w:rsidR="00C770B5" w:rsidRPr="00E6692B" w:rsidTr="00256ECE">
        <w:tc>
          <w:tcPr>
            <w:cnfStyle w:val="001000000000" w:firstRow="0" w:lastRow="0" w:firstColumn="1" w:lastColumn="0" w:oddVBand="0" w:evenVBand="0" w:oddHBand="0" w:evenHBand="0" w:firstRowFirstColumn="0" w:firstRowLastColumn="0" w:lastRowFirstColumn="0" w:lastRowLastColumn="0"/>
            <w:tcW w:w="893" w:type="pct"/>
            <w:tcBorders>
              <w:right w:val="nil"/>
            </w:tcBorders>
            <w:shd w:val="clear" w:color="auto" w:fill="D3D8E9" w:themeFill="background2" w:themeFillTint="33"/>
            <w:vAlign w:val="center"/>
          </w:tcPr>
          <w:p w:rsidR="00C56230" w:rsidRPr="00E6692B" w:rsidRDefault="00C56230">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Revenue</w:t>
            </w:r>
          </w:p>
        </w:tc>
        <w:tc>
          <w:tcPr>
            <w:tcW w:w="308"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8"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8"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8"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63" w:type="pct"/>
            <w:tcBorders>
              <w:left w:val="nil"/>
              <w:righ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61" w:type="pct"/>
            <w:tcBorders>
              <w:left w:val="nil"/>
            </w:tcBorders>
            <w:shd w:val="clear" w:color="auto" w:fill="D3D8E9" w:themeFill="background2" w:themeFillTint="33"/>
            <w:vAlign w:val="center"/>
          </w:tcPr>
          <w:p w:rsidR="00C56230" w:rsidRPr="00E6692B" w:rsidRDefault="00C56230">
            <w:pPr>
              <w:pStyle w:val="TableTextRightItalic"/>
              <w:keepNext/>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Income from unwinding concessional loan discount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-140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Interest accrued on loans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-810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-90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-3,090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Loan fee revenue</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-70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sz w:val="16"/>
                <w:szCs w:val="16"/>
                <w:vertAlign w:val="superscript"/>
              </w:rPr>
            </w:pPr>
            <w:r w:rsidRPr="00E6692B">
              <w:rPr>
                <w:rFonts w:asciiTheme="minorHAnsi" w:hAnsiTheme="minorHAnsi"/>
                <w:i/>
                <w:sz w:val="16"/>
                <w:szCs w:val="16"/>
              </w:rPr>
              <w:t>State contributions to deferral costs for VET Student Loans</w:t>
            </w:r>
            <w:r w:rsidRPr="00E6692B">
              <w:rPr>
                <w:rFonts w:asciiTheme="minorHAnsi" w:hAnsiTheme="minorHAnsi"/>
                <w:i/>
                <w:sz w:val="16"/>
                <w:szCs w:val="16"/>
                <w:vertAlign w:val="superscript"/>
              </w:rPr>
              <w:t>(c)</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Student transfer payments (personal income tax)</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 revenue</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-770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-930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-3,490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Borders>
              <w:bottom w:val="single" w:sz="8" w:space="0" w:color="788183" w:themeColor="accent6"/>
              <w:right w:val="nil"/>
            </w:tcBorders>
            <w:shd w:val="clear" w:color="auto" w:fill="D3D8E9" w:themeFill="background2" w:themeFillTint="33"/>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Expenses</w:t>
            </w:r>
          </w:p>
        </w:tc>
        <w:tc>
          <w:tcPr>
            <w:tcW w:w="308"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3"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1" w:type="pct"/>
            <w:tcBorders>
              <w:left w:val="nil"/>
              <w:bottom w:val="single" w:sz="8" w:space="0" w:color="788183" w:themeColor="accent6"/>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Borders>
              <w:top w:val="single" w:sz="8" w:space="0" w:color="788183" w:themeColor="accent6"/>
              <w:right w:val="nil"/>
            </w:tcBorders>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Administered</w:t>
            </w:r>
          </w:p>
        </w:tc>
        <w:tc>
          <w:tcPr>
            <w:tcW w:w="308"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3"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1" w:type="pct"/>
            <w:tcBorders>
              <w:top w:val="single" w:sz="8" w:space="0" w:color="788183" w:themeColor="accent6"/>
              <w:lef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sz w:val="16"/>
                <w:szCs w:val="16"/>
              </w:rPr>
              <w:t>Replace undergraduate student contribution with grant and increase by 10 per cent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tcBorders>
              <w:top w:val="single" w:sz="4"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-2,680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-3,960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-4,990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-5,740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-6,310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-6,870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-7,140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-7,410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-7,690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-8,240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-54,400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Grants to state and territory governments for TAFEs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-2,090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-2,990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-3,800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-4,430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-5,470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-5,180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-5,310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-5,440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-5,580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-8,880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-45,340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National Agreement for Skills and Workforce Development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1,540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1,770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4,690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16,500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Remove cap on total Commonwealth Grant Scheme (CGS) funding and increase funding by 10 per cent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-890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-2,270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-2,550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-2,840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-2,760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-16,940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keepLines/>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CGS impact of students delaying commencement of studies from 1 January 2019 to 1 July 2019</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1,130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590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Concessional loan discount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240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280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1,740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Borders>
              <w:bottom w:val="single" w:sz="8" w:space="0" w:color="788183" w:themeColor="accent6"/>
            </w:tcBorders>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Loan write downs</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63"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xml:space="preserve"> .. </w:t>
            </w:r>
          </w:p>
        </w:tc>
        <w:tc>
          <w:tcPr>
            <w:tcW w:w="361"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Borders>
              <w:bottom w:val="single" w:sz="8" w:space="0" w:color="788183" w:themeColor="accent6"/>
            </w:tcBorders>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Student transfer payments</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-1,010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-1,080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-1,160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-1,260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-1,370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-1,490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-1,630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-1,770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-1,930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-2,100</w:t>
            </w:r>
          </w:p>
        </w:tc>
        <w:tc>
          <w:tcPr>
            <w:tcW w:w="363"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-3,160</w:t>
            </w:r>
          </w:p>
        </w:tc>
        <w:tc>
          <w:tcPr>
            <w:tcW w:w="361"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-14,710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Borders>
              <w:bottom w:val="single" w:sz="8" w:space="0" w:color="788183" w:themeColor="accent6"/>
            </w:tcBorders>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b/>
                <w:i/>
                <w:noProof/>
                <w:sz w:val="16"/>
                <w:szCs w:val="16"/>
              </w:rPr>
            </w:pPr>
            <w:r w:rsidRPr="00E6692B">
              <w:rPr>
                <w:rFonts w:asciiTheme="minorHAnsi" w:hAnsiTheme="minorHAnsi"/>
                <w:b/>
                <w:i/>
                <w:noProof/>
                <w:sz w:val="16"/>
                <w:szCs w:val="16"/>
              </w:rPr>
              <w:t>Total – administered</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1,230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-3,980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-6,120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-8,630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-10,590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-12,430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-12,820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-13,850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-14,550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-15,360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-16,200</w:t>
            </w:r>
          </w:p>
        </w:tc>
        <w:tc>
          <w:tcPr>
            <w:tcW w:w="363"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-17,480</w:t>
            </w:r>
          </w:p>
        </w:tc>
        <w:tc>
          <w:tcPr>
            <w:tcW w:w="361"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-113,270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tcBorders>
              <w:right w:val="nil"/>
            </w:tcBorders>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Departmental</w:t>
            </w:r>
          </w:p>
        </w:tc>
        <w:tc>
          <w:tcPr>
            <w:tcW w:w="308"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8"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8"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8"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63"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61" w:type="pct"/>
            <w:tcBorders>
              <w:lef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Department of Education and Training</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Department of Social Services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i/>
                <w:noProof/>
                <w:sz w:val="16"/>
                <w:szCs w:val="16"/>
              </w:rPr>
              <w:t>Total – departmental</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-150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 expenses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-4,000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-6,130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-8,650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-10,610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-12,450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-12,840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-13,870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-14,570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-15,380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-16,220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-17,530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-113,420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shd w:val="clear" w:color="auto" w:fill="A7B2D4" w:themeFill="background2" w:themeFillTint="66"/>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(excluding PDI)</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1,220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-3,990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-6,140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-8,700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-10,740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-12,670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-13,170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-14,340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-15,180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-16,150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-17,150</w:t>
            </w:r>
          </w:p>
        </w:tc>
        <w:tc>
          <w:tcPr>
            <w:tcW w:w="363"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-17,590</w:t>
            </w:r>
          </w:p>
        </w:tc>
        <w:tc>
          <w:tcPr>
            <w:tcW w:w="361"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-116,910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3" w:type="pct"/>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PDI impacts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-520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-1,610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-2,110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-2,680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-3,280</w:t>
            </w:r>
          </w:p>
        </w:tc>
        <w:tc>
          <w:tcPr>
            <w:tcW w:w="363"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-420</w:t>
            </w:r>
          </w:p>
        </w:tc>
        <w:tc>
          <w:tcPr>
            <w:tcW w:w="361"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-12,620</w:t>
            </w:r>
          </w:p>
        </w:tc>
      </w:tr>
      <w:tr w:rsidR="00256ECE" w:rsidRPr="009F2A5C" w:rsidTr="00256ECE">
        <w:tc>
          <w:tcPr>
            <w:cnfStyle w:val="001000000000" w:firstRow="0" w:lastRow="0" w:firstColumn="1" w:lastColumn="0" w:oddVBand="0" w:evenVBand="0" w:oddHBand="0" w:evenHBand="0" w:firstRowFirstColumn="0" w:firstRowLastColumn="0" w:lastRowFirstColumn="0" w:lastRowLastColumn="0"/>
            <w:tcW w:w="893" w:type="pct"/>
            <w:shd w:val="clear" w:color="auto" w:fill="A7B2D4" w:themeFill="background2" w:themeFillTint="66"/>
            <w:vAlign w:val="center"/>
          </w:tcPr>
          <w:p w:rsidR="00256ECE" w:rsidRPr="00E6692B" w:rsidRDefault="00256ECE">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(including PDI)</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1,240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-4,000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-6,280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-9,000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-11,260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-13,490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-14,360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-15,950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-17,290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-18,830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-20,430</w:t>
            </w:r>
          </w:p>
        </w:tc>
        <w:tc>
          <w:tcPr>
            <w:tcW w:w="363"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-18,010</w:t>
            </w:r>
          </w:p>
        </w:tc>
        <w:tc>
          <w:tcPr>
            <w:tcW w:w="361"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-129,530</w:t>
            </w:r>
          </w:p>
        </w:tc>
      </w:tr>
    </w:tbl>
    <w:p w:rsidR="00C56230" w:rsidRPr="00D8306A" w:rsidRDefault="00C56230" w:rsidP="00473E7C">
      <w:pPr>
        <w:keepNext/>
        <w:widowControl w:val="0"/>
        <w:tabs>
          <w:tab w:val="left" w:pos="9356"/>
        </w:tabs>
        <w:spacing w:line="240" w:lineRule="exac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C56230" w:rsidRPr="00DF59C5" w:rsidRDefault="00C56230" w:rsidP="00473E7C">
      <w:pPr>
        <w:keepNext/>
        <w:widowControl w:val="0"/>
        <w:tabs>
          <w:tab w:val="left" w:pos="9356"/>
        </w:tabs>
        <w:spacing w:line="240" w:lineRule="exact"/>
        <w:ind w:left="284" w:hanging="284"/>
        <w:rPr>
          <w:sz w:val="16"/>
          <w:szCs w:val="16"/>
        </w:rPr>
      </w:pPr>
      <w:r w:rsidRPr="00DF59C5">
        <w:rPr>
          <w:sz w:val="16"/>
          <w:szCs w:val="16"/>
        </w:rPr>
        <w:t>(b)</w:t>
      </w:r>
      <w:r w:rsidRPr="00DF59C5">
        <w:rPr>
          <w:sz w:val="16"/>
          <w:szCs w:val="16"/>
        </w:rPr>
        <w:tab/>
        <w:t>Figures may not sum to totals due to rounding.</w:t>
      </w:r>
    </w:p>
    <w:p w:rsidR="00DF59C5" w:rsidRDefault="00DF59C5" w:rsidP="00DF59C5">
      <w:pPr>
        <w:keepNext/>
        <w:widowControl w:val="0"/>
        <w:tabs>
          <w:tab w:val="left" w:pos="9356"/>
        </w:tabs>
        <w:spacing w:line="240" w:lineRule="exact"/>
        <w:ind w:left="284" w:hanging="284"/>
        <w:rPr>
          <w:sz w:val="16"/>
          <w:szCs w:val="16"/>
        </w:rPr>
      </w:pPr>
      <w:r w:rsidRPr="00DF59C5">
        <w:rPr>
          <w:sz w:val="16"/>
          <w:szCs w:val="16"/>
        </w:rPr>
        <w:t>(c)</w:t>
      </w:r>
      <w:r w:rsidRPr="00DF59C5">
        <w:rPr>
          <w:sz w:val="16"/>
          <w:szCs w:val="16"/>
        </w:rPr>
        <w:tab/>
        <w:t>State and territory governments contribute to deferral costs for this program.</w:t>
      </w:r>
    </w:p>
    <w:p w:rsidR="00C56230" w:rsidRPr="00D8306A" w:rsidRDefault="00C56230" w:rsidP="00473E7C">
      <w:pPr>
        <w:pStyle w:val="TableFootnotes"/>
        <w:keepNext/>
        <w:keepLines w:val="0"/>
        <w:widowControl w:val="0"/>
        <w:numPr>
          <w:ilvl w:val="0"/>
          <w:numId w:val="0"/>
        </w:numPr>
        <w:tabs>
          <w:tab w:val="left" w:pos="9356"/>
        </w:tabs>
        <w:spacing w:line="240" w:lineRule="exact"/>
        <w:ind w:left="284" w:hanging="284"/>
        <w:rPr>
          <w:sz w:val="16"/>
          <w:szCs w:val="16"/>
        </w:rPr>
      </w:pPr>
      <w:r w:rsidRPr="00D8306A">
        <w:rPr>
          <w:sz w:val="16"/>
          <w:szCs w:val="16"/>
        </w:rPr>
        <w:t>..</w:t>
      </w:r>
      <w:r w:rsidRPr="00D8306A">
        <w:rPr>
          <w:sz w:val="16"/>
          <w:szCs w:val="16"/>
        </w:rPr>
        <w:tab/>
        <w:t>Not zero but rounded to zero.</w:t>
      </w:r>
    </w:p>
    <w:p w:rsidR="00C56230" w:rsidRPr="00D8306A" w:rsidRDefault="00C56230" w:rsidP="00473E7C">
      <w:pPr>
        <w:pStyle w:val="TableFootnotes"/>
        <w:keepLines w:val="0"/>
        <w:numPr>
          <w:ilvl w:val="0"/>
          <w:numId w:val="11"/>
        </w:numPr>
        <w:tabs>
          <w:tab w:val="left" w:pos="9356"/>
        </w:tabs>
        <w:spacing w:line="240" w:lineRule="exact"/>
        <w:ind w:left="284" w:hanging="284"/>
        <w:rPr>
          <w:sz w:val="16"/>
          <w:szCs w:val="16"/>
        </w:rPr>
      </w:pPr>
      <w:r w:rsidRPr="00D8306A">
        <w:rPr>
          <w:sz w:val="16"/>
          <w:szCs w:val="16"/>
        </w:rPr>
        <w:t>Indicates nil.</w:t>
      </w:r>
    </w:p>
    <w:p w:rsidR="00C56230" w:rsidRDefault="00C56230" w:rsidP="00C56230">
      <w:pPr>
        <w:pStyle w:val="Caption"/>
        <w:widowControl w:val="0"/>
        <w:tabs>
          <w:tab w:val="left" w:pos="9356"/>
        </w:tabs>
        <w:rPr>
          <w:vertAlign w:val="superscript"/>
        </w:rPr>
      </w:pPr>
      <w:r w:rsidRPr="002D239A">
        <w:lastRenderedPageBreak/>
        <w:t xml:space="preserve">Table </w:t>
      </w:r>
      <w:r w:rsidR="00DC0D22">
        <w:t>B2</w:t>
      </w:r>
      <w:r w:rsidRPr="002D239A">
        <w:t xml:space="preserve">: </w:t>
      </w:r>
      <w:r w:rsidR="00BF5EB0">
        <w:fldChar w:fldCharType="begin"/>
      </w:r>
      <w:r w:rsidR="00BF5EB0">
        <w:instrText xml:space="preserve"> STYLEREF  "Name of proposa</w:instrText>
      </w:r>
      <w:r w:rsidR="00BF5EB0">
        <w:instrText xml:space="preserve">l"  \* MERGEFORMAT </w:instrText>
      </w:r>
      <w:r w:rsidR="00BF5EB0">
        <w:fldChar w:fldCharType="separate"/>
      </w:r>
      <w:r w:rsidR="00060E0C">
        <w:rPr>
          <w:noProof/>
        </w:rPr>
        <w:t>Higher education (consolidation)</w:t>
      </w:r>
      <w:r w:rsidR="00BF5EB0">
        <w:rPr>
          <w:noProof/>
        </w:rPr>
        <w:fldChar w:fldCharType="end"/>
      </w:r>
      <w:r w:rsidR="00FB26C8">
        <w:rPr>
          <w:noProof/>
        </w:rPr>
        <w:t xml:space="preserve"> </w:t>
      </w:r>
      <w:r w:rsidRPr="008B1BCB">
        <w:t>–</w:t>
      </w:r>
      <w:r>
        <w:t xml:space="preserve"> Underlying cash balance ($m</w:t>
      </w:r>
      <w:proofErr w:type="gramStart"/>
      <w:r>
        <w:t>)</w:t>
      </w:r>
      <w:r w:rsidRPr="002D239A">
        <w:rPr>
          <w:vertAlign w:val="superscript"/>
        </w:rPr>
        <w:t>(</w:t>
      </w:r>
      <w:proofErr w:type="gramEnd"/>
      <w:r w:rsidRPr="002D239A">
        <w:rPr>
          <w:vertAlign w:val="superscript"/>
        </w:rPr>
        <w:t>a)(b)</w:t>
      </w:r>
    </w:p>
    <w:tbl>
      <w:tblPr>
        <w:tblStyle w:val="LightGrid-Accent6"/>
        <w:tblW w:w="5000" w:type="pct"/>
        <w:tblLayout w:type="fixed"/>
        <w:tblCellMar>
          <w:left w:w="57" w:type="dxa"/>
          <w:right w:w="57" w:type="dxa"/>
        </w:tblCellMar>
        <w:tblLook w:val="0680" w:firstRow="0" w:lastRow="0" w:firstColumn="1" w:lastColumn="0" w:noHBand="1" w:noVBand="1"/>
      </w:tblPr>
      <w:tblGrid>
        <w:gridCol w:w="1798"/>
        <w:gridCol w:w="619"/>
        <w:gridCol w:w="619"/>
        <w:gridCol w:w="617"/>
        <w:gridCol w:w="617"/>
        <w:gridCol w:w="617"/>
        <w:gridCol w:w="616"/>
        <w:gridCol w:w="616"/>
        <w:gridCol w:w="616"/>
        <w:gridCol w:w="616"/>
        <w:gridCol w:w="616"/>
        <w:gridCol w:w="616"/>
        <w:gridCol w:w="727"/>
        <w:gridCol w:w="727"/>
      </w:tblGrid>
      <w:tr w:rsidR="002471F2" w:rsidRPr="00E6692B" w:rsidTr="00256ECE">
        <w:tc>
          <w:tcPr>
            <w:cnfStyle w:val="001000000000" w:firstRow="0" w:lastRow="0" w:firstColumn="1" w:lastColumn="0" w:oddVBand="0" w:evenVBand="0" w:oddHBand="0" w:evenHBand="0" w:firstRowFirstColumn="0" w:firstRowLastColumn="0" w:lastRowFirstColumn="0" w:lastRowLastColumn="0"/>
            <w:tcW w:w="895" w:type="pct"/>
            <w:shd w:val="clear" w:color="auto" w:fill="A7B2D4" w:themeFill="background2" w:themeFillTint="66"/>
            <w:vAlign w:val="center"/>
          </w:tcPr>
          <w:p w:rsidR="00C56230" w:rsidRPr="009F2A5C" w:rsidRDefault="00C56230" w:rsidP="00C56230">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308"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2018–</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19</w:t>
            </w:r>
          </w:p>
        </w:tc>
        <w:tc>
          <w:tcPr>
            <w:tcW w:w="308"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2019–</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2020–</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21</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2021–</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22</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2022–</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23</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2023–</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24</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2024–</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25</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2025–</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26</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2026–</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27</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2027–</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28</w:t>
            </w:r>
          </w:p>
        </w:tc>
        <w:tc>
          <w:tcPr>
            <w:tcW w:w="307"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2028–</w:t>
            </w:r>
          </w:p>
          <w:p w:rsidR="00C56230" w:rsidRPr="00E6692B" w:rsidRDefault="00C56230" w:rsidP="00C562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29</w:t>
            </w:r>
          </w:p>
        </w:tc>
        <w:tc>
          <w:tcPr>
            <w:tcW w:w="362"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sz w:val="16"/>
                <w:szCs w:val="16"/>
              </w:rPr>
              <w:t>Total to 2021–22</w:t>
            </w:r>
          </w:p>
        </w:tc>
        <w:tc>
          <w:tcPr>
            <w:tcW w:w="362" w:type="pct"/>
            <w:shd w:val="clear" w:color="auto" w:fill="A7B2D4" w:themeFill="background2" w:themeFillTint="66"/>
            <w:vAlign w:val="center"/>
          </w:tcPr>
          <w:p w:rsidR="00C56230" w:rsidRPr="00E6692B" w:rsidRDefault="00C56230" w:rsidP="00C562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92B">
              <w:rPr>
                <w:rFonts w:asciiTheme="minorHAnsi" w:hAnsiTheme="minorHAnsi"/>
                <w:sz w:val="16"/>
                <w:szCs w:val="16"/>
              </w:rPr>
              <w:t>Total to 2028–29</w:t>
            </w:r>
          </w:p>
        </w:tc>
      </w:tr>
      <w:tr w:rsidR="002471F2"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right w:val="nil"/>
            </w:tcBorders>
            <w:shd w:val="clear" w:color="auto" w:fill="D3D8E9" w:themeFill="background2" w:themeFillTint="33"/>
            <w:vAlign w:val="center"/>
          </w:tcPr>
          <w:p w:rsidR="00C56230" w:rsidRPr="00E6692B" w:rsidRDefault="00C56230" w:rsidP="001D255F">
            <w:pPr>
              <w:pStyle w:val="TableText"/>
              <w:keepNext/>
              <w:widowControl w:val="0"/>
              <w:tabs>
                <w:tab w:val="left" w:pos="9356"/>
              </w:tabs>
              <w:spacing w:before="60" w:after="60" w:line="240" w:lineRule="auto"/>
              <w:ind w:left="-57" w:right="-57"/>
              <w:rPr>
                <w:rFonts w:asciiTheme="minorHAnsi" w:hAnsiTheme="minorHAnsi"/>
                <w:b/>
                <w:sz w:val="16"/>
                <w:szCs w:val="16"/>
              </w:rPr>
            </w:pPr>
            <w:r w:rsidRPr="00E6692B">
              <w:rPr>
                <w:rFonts w:asciiTheme="minorHAnsi" w:hAnsiTheme="minorHAnsi"/>
                <w:b/>
                <w:sz w:val="16"/>
                <w:szCs w:val="16"/>
              </w:rPr>
              <w:t>Receipts</w:t>
            </w:r>
          </w:p>
        </w:tc>
        <w:tc>
          <w:tcPr>
            <w:tcW w:w="308"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8"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62"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62" w:type="pct"/>
            <w:tcBorders>
              <w:left w:val="nil"/>
            </w:tcBorders>
            <w:shd w:val="clear" w:color="auto" w:fill="D3D8E9" w:themeFill="background2" w:themeFillTint="33"/>
            <w:vAlign w:val="center"/>
          </w:tcPr>
          <w:p w:rsidR="00C56230" w:rsidRPr="00E6692B" w:rsidRDefault="00C56230" w:rsidP="001D255F">
            <w:pPr>
              <w:pStyle w:val="TableTextRightItalic"/>
              <w:keepNext/>
              <w:widowControl w:val="0"/>
              <w:tabs>
                <w:tab w:val="left" w:pos="9356"/>
              </w:tabs>
              <w:spacing w:before="60" w:after="6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vertAlign w:val="superscript"/>
              </w:rPr>
            </w:pPr>
            <w:r w:rsidRPr="00E6692B">
              <w:rPr>
                <w:rFonts w:asciiTheme="minorHAnsi" w:hAnsiTheme="minorHAnsi"/>
                <w:i/>
                <w:noProof/>
                <w:sz w:val="16"/>
                <w:szCs w:val="16"/>
              </w:rPr>
              <w:t>Interest received on loan</w:t>
            </w:r>
            <w:r w:rsidRPr="00E6692B">
              <w:rPr>
                <w:rFonts w:asciiTheme="minorHAnsi" w:hAnsiTheme="minorHAnsi"/>
                <w:i/>
                <w:sz w:val="16"/>
                <w:szCs w:val="16"/>
              </w:rPr>
              <w:t>s</w:t>
            </w:r>
            <w:r w:rsidRPr="00E6692B">
              <w:rPr>
                <w:rFonts w:asciiTheme="minorHAnsi" w:hAnsiTheme="minorHAnsi"/>
                <w:i/>
                <w:sz w:val="16"/>
                <w:szCs w:val="16"/>
                <w:vertAlign w:val="superscript"/>
              </w:rPr>
              <w:t>(c)</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-250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-590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-1,870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vertAlign w:val="superscript"/>
              </w:rPr>
            </w:pPr>
            <w:r w:rsidRPr="00E6692B">
              <w:rPr>
                <w:rFonts w:asciiTheme="minorHAnsi" w:hAnsiTheme="minorHAnsi"/>
                <w:i/>
                <w:sz w:val="16"/>
                <w:szCs w:val="16"/>
              </w:rPr>
              <w:t>State contributions to deferral costs for VET student loans</w:t>
            </w:r>
            <w:r w:rsidRPr="00E6692B">
              <w:rPr>
                <w:rFonts w:asciiTheme="minorHAnsi" w:hAnsiTheme="minorHAnsi"/>
                <w:i/>
                <w:sz w:val="16"/>
                <w:szCs w:val="16"/>
                <w:vertAlign w:val="superscript"/>
              </w:rPr>
              <w:t>(d)</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Student transfer payments (personal income tax)</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 receipts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-180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-480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-1,360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bottom w:val="single" w:sz="8" w:space="0" w:color="788183" w:themeColor="accent6"/>
              <w:right w:val="nil"/>
            </w:tcBorders>
            <w:shd w:val="clear" w:color="auto" w:fill="D3D8E9" w:themeFill="background2" w:themeFillTint="33"/>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Payments</w:t>
            </w:r>
          </w:p>
        </w:tc>
        <w:tc>
          <w:tcPr>
            <w:tcW w:w="308"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2"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2" w:type="pct"/>
            <w:tcBorders>
              <w:left w:val="nil"/>
              <w:bottom w:val="single" w:sz="8" w:space="0" w:color="788183" w:themeColor="accent6"/>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top w:val="single" w:sz="8" w:space="0" w:color="788183" w:themeColor="accent6"/>
              <w:right w:val="nil"/>
            </w:tcBorders>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Administered</w:t>
            </w:r>
          </w:p>
        </w:tc>
        <w:tc>
          <w:tcPr>
            <w:tcW w:w="308"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2"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2" w:type="pct"/>
            <w:tcBorders>
              <w:top w:val="single" w:sz="8" w:space="0" w:color="788183" w:themeColor="accent6"/>
              <w:lef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sz w:val="16"/>
                <w:szCs w:val="16"/>
              </w:rPr>
              <w:t>Replace university student contribution with grant and increase by 10 per cent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tcBorders>
              <w:top w:val="single" w:sz="4"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-2,680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-3,960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-4,990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-5,740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-6,310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-6,870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-7,140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-7,410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-7,690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-8,240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-54,400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Grants to state and territory governments for TAFEs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-2,990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-3,800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-4,430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-5,470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-5,180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-5,310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-5,440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-5,580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-8,880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-45,340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National Agreement for Skills and Workforce Development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1,770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4,690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16,500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Remove cap on total CGS funding and increase funding by 10 per cent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-2,270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-2,550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-2,840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-2,760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-16,940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CGS impact of students delaying commencement of studies from 1 January 2019 to 1 July 2019</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1,130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590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bottom w:val="single" w:sz="8" w:space="0" w:color="788183" w:themeColor="accent6"/>
            </w:tcBorders>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i/>
                <w:noProof/>
                <w:sz w:val="16"/>
                <w:szCs w:val="16"/>
              </w:rPr>
            </w:pPr>
            <w:r w:rsidRPr="00E6692B">
              <w:rPr>
                <w:rFonts w:asciiTheme="minorHAnsi" w:hAnsiTheme="minorHAnsi"/>
                <w:i/>
                <w:sz w:val="16"/>
                <w:szCs w:val="16"/>
              </w:rPr>
              <w:t>Student transfer payments</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-1,010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-1,080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-1,160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-1,260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-1,370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-1,490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-1,630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-1,770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-1,930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-2,100</w:t>
            </w:r>
          </w:p>
        </w:tc>
        <w:tc>
          <w:tcPr>
            <w:tcW w:w="362"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-3,160</w:t>
            </w:r>
          </w:p>
        </w:tc>
        <w:tc>
          <w:tcPr>
            <w:tcW w:w="362"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-14,710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bottom w:val="single" w:sz="8" w:space="0" w:color="788183" w:themeColor="accent6"/>
            </w:tcBorders>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i/>
                <w:noProof/>
                <w:sz w:val="16"/>
                <w:szCs w:val="16"/>
              </w:rPr>
            </w:pPr>
            <w:r w:rsidRPr="00E6692B">
              <w:rPr>
                <w:rFonts w:asciiTheme="minorHAnsi" w:hAnsiTheme="minorHAnsi"/>
                <w:b/>
                <w:i/>
                <w:noProof/>
                <w:sz w:val="16"/>
                <w:szCs w:val="16"/>
              </w:rPr>
              <w:t>Total – administered</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1,210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-4,030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-6,200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-8,760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-10,750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-12,610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-13,020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-14,070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-14,780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-15,590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-16,440</w:t>
            </w:r>
          </w:p>
        </w:tc>
        <w:tc>
          <w:tcPr>
            <w:tcW w:w="362"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-17,760</w:t>
            </w:r>
          </w:p>
        </w:tc>
        <w:tc>
          <w:tcPr>
            <w:tcW w:w="362"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-115,030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right w:val="nil"/>
            </w:tcBorders>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Departmental</w:t>
            </w:r>
          </w:p>
        </w:tc>
        <w:tc>
          <w:tcPr>
            <w:tcW w:w="308"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8"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62"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62" w:type="pct"/>
            <w:tcBorders>
              <w:lef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Department of Education and Training</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Department of Social Services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i/>
                <w:noProof/>
                <w:sz w:val="16"/>
                <w:szCs w:val="16"/>
              </w:rPr>
              <w:t>Total – departmental</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-150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 payments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-4,050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-6,210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-8,780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-10,770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-12,630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-13,040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-14,090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-14,800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-15,610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-16,460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-17,810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-115,180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shd w:val="clear" w:color="auto" w:fill="A7B2D4" w:themeFill="background2" w:themeFillTint="66"/>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(excluding PDI)</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1,210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-4,240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-6,380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-8,910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-10,890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-12,740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-13,150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-14,210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-14,920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-15,760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-16,640</w:t>
            </w:r>
          </w:p>
        </w:tc>
        <w:tc>
          <w:tcPr>
            <w:tcW w:w="362"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-18,290</w:t>
            </w:r>
          </w:p>
        </w:tc>
        <w:tc>
          <w:tcPr>
            <w:tcW w:w="362"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-116,540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PDI impacts</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-500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-2,070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-2,640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-3,240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-400</w:t>
            </w:r>
          </w:p>
        </w:tc>
        <w:tc>
          <w:tcPr>
            <w:tcW w:w="362"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-12,390</w:t>
            </w:r>
          </w:p>
        </w:tc>
      </w:tr>
      <w:tr w:rsidR="00256ECE" w:rsidRPr="009F2A5C" w:rsidTr="00256ECE">
        <w:tc>
          <w:tcPr>
            <w:cnfStyle w:val="001000000000" w:firstRow="0" w:lastRow="0" w:firstColumn="1" w:lastColumn="0" w:oddVBand="0" w:evenVBand="0" w:oddHBand="0" w:evenHBand="0" w:firstRowFirstColumn="0" w:firstRowLastColumn="0" w:lastRowFirstColumn="0" w:lastRowLastColumn="0"/>
            <w:tcW w:w="895" w:type="pct"/>
            <w:shd w:val="clear" w:color="auto" w:fill="A7B2D4" w:themeFill="background2" w:themeFillTint="66"/>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(including PDI)</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1,230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-4,250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-6,510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-9,200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-11,390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-13,540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-14,310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-15,790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-16,990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-18,400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-19,880</w:t>
            </w:r>
          </w:p>
        </w:tc>
        <w:tc>
          <w:tcPr>
            <w:tcW w:w="362"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-18,690</w:t>
            </w:r>
          </w:p>
        </w:tc>
        <w:tc>
          <w:tcPr>
            <w:tcW w:w="362"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-128,930</w:t>
            </w:r>
          </w:p>
        </w:tc>
      </w:tr>
    </w:tbl>
    <w:p w:rsidR="00C56230" w:rsidRPr="009F2A5C" w:rsidRDefault="00C56230" w:rsidP="00473E7C">
      <w:pPr>
        <w:keepNext/>
        <w:widowControl w:val="0"/>
        <w:tabs>
          <w:tab w:val="left" w:pos="9356"/>
        </w:tabs>
        <w:spacing w:line="240" w:lineRule="exac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C56230" w:rsidRDefault="00C56230" w:rsidP="00473E7C">
      <w:pPr>
        <w:keepNext/>
        <w:widowControl w:val="0"/>
        <w:tabs>
          <w:tab w:val="left" w:pos="9356"/>
        </w:tabs>
        <w:spacing w:line="240" w:lineRule="exact"/>
        <w:ind w:left="284" w:hanging="284"/>
        <w:rPr>
          <w:sz w:val="16"/>
          <w:szCs w:val="16"/>
        </w:rPr>
      </w:pPr>
      <w:r w:rsidRPr="009F2A5C">
        <w:rPr>
          <w:sz w:val="16"/>
          <w:szCs w:val="16"/>
        </w:rPr>
        <w:t>(b)</w:t>
      </w:r>
      <w:r w:rsidRPr="009F2A5C">
        <w:rPr>
          <w:sz w:val="16"/>
          <w:szCs w:val="16"/>
        </w:rPr>
        <w:tab/>
        <w:t>Figures may not sum to totals due to rounding.</w:t>
      </w:r>
    </w:p>
    <w:p w:rsidR="00DF59C5" w:rsidRDefault="00DF59C5" w:rsidP="00473E7C">
      <w:pPr>
        <w:keepNext/>
        <w:widowControl w:val="0"/>
        <w:tabs>
          <w:tab w:val="left" w:pos="9356"/>
        </w:tabs>
        <w:spacing w:line="240" w:lineRule="exact"/>
        <w:ind w:left="284" w:hanging="284"/>
        <w:rPr>
          <w:sz w:val="16"/>
          <w:szCs w:val="16"/>
        </w:rPr>
      </w:pPr>
      <w:r>
        <w:rPr>
          <w:sz w:val="16"/>
          <w:szCs w:val="16"/>
        </w:rPr>
        <w:t>(</w:t>
      </w:r>
      <w:proofErr w:type="gramStart"/>
      <w:r>
        <w:rPr>
          <w:sz w:val="16"/>
          <w:szCs w:val="16"/>
        </w:rPr>
        <w:t>c</w:t>
      </w:r>
      <w:proofErr w:type="gramEnd"/>
      <w:r>
        <w:rPr>
          <w:sz w:val="16"/>
          <w:szCs w:val="16"/>
        </w:rPr>
        <w:t>)</w:t>
      </w:r>
      <w:r>
        <w:rPr>
          <w:sz w:val="16"/>
          <w:szCs w:val="16"/>
        </w:rPr>
        <w:tab/>
      </w:r>
      <w:r w:rsidR="00191972">
        <w:rPr>
          <w:sz w:val="16"/>
          <w:szCs w:val="16"/>
        </w:rPr>
        <w:t>Includes both the interest and loan fee component</w:t>
      </w:r>
      <w:r w:rsidR="009D73AC">
        <w:rPr>
          <w:sz w:val="16"/>
          <w:szCs w:val="16"/>
        </w:rPr>
        <w:t>s</w:t>
      </w:r>
      <w:r w:rsidR="00191972">
        <w:rPr>
          <w:sz w:val="16"/>
          <w:szCs w:val="16"/>
        </w:rPr>
        <w:t xml:space="preserve"> of repayments.</w:t>
      </w:r>
    </w:p>
    <w:p w:rsidR="00DF59C5" w:rsidRPr="00D8306A" w:rsidRDefault="00DF59C5" w:rsidP="00DF59C5">
      <w:pPr>
        <w:keepNext/>
        <w:widowControl w:val="0"/>
        <w:tabs>
          <w:tab w:val="left" w:pos="9356"/>
        </w:tabs>
        <w:spacing w:line="240" w:lineRule="exact"/>
        <w:ind w:left="284" w:hanging="284"/>
        <w:rPr>
          <w:sz w:val="16"/>
          <w:szCs w:val="16"/>
        </w:rPr>
      </w:pPr>
      <w:r>
        <w:rPr>
          <w:sz w:val="16"/>
          <w:szCs w:val="16"/>
        </w:rPr>
        <w:t>(d)</w:t>
      </w:r>
      <w:r>
        <w:rPr>
          <w:sz w:val="16"/>
          <w:szCs w:val="16"/>
        </w:rPr>
        <w:tab/>
        <w:t>State and territory governments contribute to deferral costs for this program.</w:t>
      </w:r>
    </w:p>
    <w:p w:rsidR="00C56230" w:rsidRPr="009F2A5C" w:rsidRDefault="00C56230" w:rsidP="00473E7C">
      <w:pPr>
        <w:pStyle w:val="TableFootnotes"/>
        <w:keepNext/>
        <w:keepLines w:val="0"/>
        <w:widowControl w:val="0"/>
        <w:numPr>
          <w:ilvl w:val="0"/>
          <w:numId w:val="0"/>
        </w:numPr>
        <w:tabs>
          <w:tab w:val="left" w:pos="9356"/>
        </w:tabs>
        <w:spacing w:line="240" w:lineRule="exact"/>
        <w:ind w:left="284" w:hanging="284"/>
        <w:rPr>
          <w:sz w:val="16"/>
          <w:szCs w:val="16"/>
        </w:rPr>
      </w:pPr>
      <w:r w:rsidRPr="009F2A5C">
        <w:rPr>
          <w:sz w:val="16"/>
          <w:szCs w:val="16"/>
        </w:rPr>
        <w:t>..</w:t>
      </w:r>
      <w:r w:rsidRPr="009F2A5C">
        <w:rPr>
          <w:sz w:val="16"/>
          <w:szCs w:val="16"/>
        </w:rPr>
        <w:tab/>
        <w:t>Not zero but rounded to zero.</w:t>
      </w:r>
    </w:p>
    <w:p w:rsidR="00C56230" w:rsidRPr="009F2A5C" w:rsidRDefault="00C56230" w:rsidP="00473E7C">
      <w:pPr>
        <w:pStyle w:val="TableFootnotes"/>
        <w:keepLines w:val="0"/>
        <w:numPr>
          <w:ilvl w:val="0"/>
          <w:numId w:val="11"/>
        </w:numPr>
        <w:tabs>
          <w:tab w:val="left" w:pos="9356"/>
        </w:tabs>
        <w:spacing w:line="240" w:lineRule="exact"/>
        <w:ind w:left="284" w:hanging="284"/>
        <w:rPr>
          <w:sz w:val="16"/>
          <w:szCs w:val="16"/>
        </w:rPr>
      </w:pPr>
      <w:r w:rsidRPr="009F2A5C">
        <w:rPr>
          <w:sz w:val="16"/>
          <w:szCs w:val="16"/>
        </w:rPr>
        <w:t>Indicates nil.</w:t>
      </w:r>
    </w:p>
    <w:p w:rsidR="00C56230" w:rsidRDefault="00C56230" w:rsidP="00AF6F6A">
      <w:pPr>
        <w:pStyle w:val="Caption"/>
        <w:widowControl w:val="0"/>
        <w:tabs>
          <w:tab w:val="left" w:pos="9356"/>
        </w:tabs>
        <w:rPr>
          <w:vertAlign w:val="superscript"/>
        </w:rPr>
      </w:pPr>
      <w:r w:rsidRPr="002D239A">
        <w:lastRenderedPageBreak/>
        <w:t xml:space="preserve">Table </w:t>
      </w:r>
      <w:r w:rsidR="00DC0D22">
        <w:t>B3</w:t>
      </w:r>
      <w:r w:rsidRPr="002D239A">
        <w:t xml:space="preserve">: </w:t>
      </w:r>
      <w:r w:rsidR="0089203C">
        <w:t>Higher education</w:t>
      </w:r>
      <w:r>
        <w:t xml:space="preserve"> –</w:t>
      </w:r>
      <w:r w:rsidR="008B1BCB">
        <w:t xml:space="preserve"> </w:t>
      </w:r>
      <w:r>
        <w:t>Headline cash balance ($m</w:t>
      </w:r>
      <w:proofErr w:type="gramStart"/>
      <w:r>
        <w:t>)</w:t>
      </w:r>
      <w:r w:rsidRPr="002D239A">
        <w:rPr>
          <w:vertAlign w:val="superscript"/>
        </w:rPr>
        <w:t>(</w:t>
      </w:r>
      <w:proofErr w:type="gramEnd"/>
      <w:r w:rsidRPr="002D239A">
        <w:rPr>
          <w:vertAlign w:val="superscript"/>
        </w:rPr>
        <w:t>a)(b)</w:t>
      </w:r>
    </w:p>
    <w:tbl>
      <w:tblPr>
        <w:tblStyle w:val="LightGrid-Accent6"/>
        <w:tblW w:w="5000" w:type="pct"/>
        <w:tblLayout w:type="fixed"/>
        <w:tblCellMar>
          <w:left w:w="57" w:type="dxa"/>
          <w:right w:w="57" w:type="dxa"/>
        </w:tblCellMar>
        <w:tblLook w:val="0680" w:firstRow="0" w:lastRow="0" w:firstColumn="1" w:lastColumn="0" w:noHBand="1" w:noVBand="1"/>
      </w:tblPr>
      <w:tblGrid>
        <w:gridCol w:w="1798"/>
        <w:gridCol w:w="617"/>
        <w:gridCol w:w="617"/>
        <w:gridCol w:w="617"/>
        <w:gridCol w:w="619"/>
        <w:gridCol w:w="619"/>
        <w:gridCol w:w="618"/>
        <w:gridCol w:w="616"/>
        <w:gridCol w:w="616"/>
        <w:gridCol w:w="616"/>
        <w:gridCol w:w="616"/>
        <w:gridCol w:w="616"/>
        <w:gridCol w:w="731"/>
        <w:gridCol w:w="721"/>
      </w:tblGrid>
      <w:tr w:rsidR="002471F2" w:rsidRPr="00E6692B" w:rsidTr="00256ECE">
        <w:tc>
          <w:tcPr>
            <w:cnfStyle w:val="001000000000" w:firstRow="0" w:lastRow="0" w:firstColumn="1" w:lastColumn="0" w:oddVBand="0" w:evenVBand="0" w:oddHBand="0" w:evenHBand="0" w:firstRowFirstColumn="0" w:firstRowLastColumn="0" w:lastRowFirstColumn="0" w:lastRowLastColumn="0"/>
            <w:tcW w:w="895" w:type="pct"/>
            <w:shd w:val="clear" w:color="auto" w:fill="A7B2D4" w:themeFill="background2" w:themeFillTint="66"/>
            <w:vAlign w:val="center"/>
          </w:tcPr>
          <w:p w:rsidR="00C56230" w:rsidRPr="009F2A5C" w:rsidRDefault="00C56230" w:rsidP="00AF6F6A">
            <w:pPr>
              <w:pStyle w:val="TableHeading"/>
              <w:widowControl w:val="0"/>
              <w:tabs>
                <w:tab w:val="left" w:pos="9356"/>
              </w:tabs>
              <w:spacing w:line="240" w:lineRule="auto"/>
              <w:ind w:left="-57" w:right="-57"/>
              <w:rPr>
                <w:rFonts w:asciiTheme="minorHAnsi" w:hAnsiTheme="minorHAnsi"/>
                <w:b w:val="0"/>
                <w:sz w:val="16"/>
                <w:szCs w:val="16"/>
              </w:rPr>
            </w:pPr>
          </w:p>
        </w:tc>
        <w:tc>
          <w:tcPr>
            <w:tcW w:w="307"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2018–</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19</w:t>
            </w:r>
          </w:p>
        </w:tc>
        <w:tc>
          <w:tcPr>
            <w:tcW w:w="307"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2019–</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w:t>
            </w:r>
          </w:p>
        </w:tc>
        <w:tc>
          <w:tcPr>
            <w:tcW w:w="307"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2020–</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21</w:t>
            </w:r>
          </w:p>
        </w:tc>
        <w:tc>
          <w:tcPr>
            <w:tcW w:w="308"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2021–</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22</w:t>
            </w:r>
          </w:p>
        </w:tc>
        <w:tc>
          <w:tcPr>
            <w:tcW w:w="308"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2022–</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23</w:t>
            </w:r>
          </w:p>
        </w:tc>
        <w:tc>
          <w:tcPr>
            <w:tcW w:w="308"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2023–</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24</w:t>
            </w:r>
          </w:p>
        </w:tc>
        <w:tc>
          <w:tcPr>
            <w:tcW w:w="307"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2024–</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25</w:t>
            </w:r>
          </w:p>
        </w:tc>
        <w:tc>
          <w:tcPr>
            <w:tcW w:w="307"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2025–</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26</w:t>
            </w:r>
          </w:p>
        </w:tc>
        <w:tc>
          <w:tcPr>
            <w:tcW w:w="307"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2026–</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27</w:t>
            </w:r>
          </w:p>
        </w:tc>
        <w:tc>
          <w:tcPr>
            <w:tcW w:w="307"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2027–</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28</w:t>
            </w:r>
          </w:p>
        </w:tc>
        <w:tc>
          <w:tcPr>
            <w:tcW w:w="307"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2028–</w:t>
            </w:r>
          </w:p>
          <w:p w:rsidR="00C56230" w:rsidRPr="00E6692B" w:rsidRDefault="00C56230" w:rsidP="00AF6F6A">
            <w:pPr>
              <w:pStyle w:val="TableHeadingRight"/>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b w:val="0"/>
                <w:sz w:val="16"/>
                <w:szCs w:val="16"/>
              </w:rPr>
              <w:t>29</w:t>
            </w:r>
          </w:p>
        </w:tc>
        <w:tc>
          <w:tcPr>
            <w:tcW w:w="364"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6692B">
              <w:rPr>
                <w:rFonts w:asciiTheme="minorHAnsi" w:hAnsiTheme="minorHAnsi"/>
                <w:sz w:val="16"/>
                <w:szCs w:val="16"/>
              </w:rPr>
              <w:t>Total to 2021–22</w:t>
            </w:r>
          </w:p>
        </w:tc>
        <w:tc>
          <w:tcPr>
            <w:tcW w:w="359" w:type="pct"/>
            <w:shd w:val="clear" w:color="auto" w:fill="A7B2D4" w:themeFill="background2" w:themeFillTint="66"/>
            <w:vAlign w:val="center"/>
          </w:tcPr>
          <w:p w:rsidR="00C56230" w:rsidRPr="00E6692B" w:rsidRDefault="00C56230" w:rsidP="00AF6F6A">
            <w:pPr>
              <w:pStyle w:val="TableHeadingRigh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92B">
              <w:rPr>
                <w:rFonts w:asciiTheme="minorHAnsi" w:hAnsiTheme="minorHAnsi"/>
                <w:sz w:val="16"/>
                <w:szCs w:val="16"/>
              </w:rPr>
              <w:t>Total to 2028–29</w:t>
            </w:r>
          </w:p>
        </w:tc>
      </w:tr>
      <w:tr w:rsidR="002471F2"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right w:val="nil"/>
            </w:tcBorders>
            <w:shd w:val="clear" w:color="auto" w:fill="D3D8E9" w:themeFill="background2" w:themeFillTint="33"/>
            <w:vAlign w:val="center"/>
          </w:tcPr>
          <w:p w:rsidR="00C56230" w:rsidRPr="00E6692B" w:rsidRDefault="00C56230" w:rsidP="001D255F">
            <w:pPr>
              <w:pStyle w:val="TableText"/>
              <w:keepNext/>
              <w:keepLines/>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Receipts</w:t>
            </w: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8"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8"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8"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07"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64" w:type="pct"/>
            <w:tcBorders>
              <w:left w:val="nil"/>
              <w:righ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59" w:type="pct"/>
            <w:tcBorders>
              <w:left w:val="nil"/>
            </w:tcBorders>
            <w:shd w:val="clear" w:color="auto" w:fill="D3D8E9" w:themeFill="background2" w:themeFillTint="33"/>
            <w:vAlign w:val="center"/>
          </w:tcPr>
          <w:p w:rsidR="00C56230" w:rsidRPr="00E6692B" w:rsidRDefault="00C56230" w:rsidP="001D255F">
            <w:pPr>
              <w:pStyle w:val="TableTextRightItalic"/>
              <w:keepNext/>
              <w:keepLines/>
              <w:widowControl w:val="0"/>
              <w:tabs>
                <w:tab w:val="left" w:pos="9356"/>
              </w:tabs>
              <w:spacing w:before="20" w:after="2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i/>
                <w:sz w:val="16"/>
                <w:szCs w:val="16"/>
                <w:vertAlign w:val="superscript"/>
              </w:rPr>
            </w:pPr>
            <w:r w:rsidRPr="00E6692B">
              <w:rPr>
                <w:rFonts w:asciiTheme="minorHAnsi" w:hAnsiTheme="minorHAnsi"/>
                <w:i/>
                <w:sz w:val="16"/>
                <w:szCs w:val="16"/>
              </w:rPr>
              <w:t>Interest payments</w:t>
            </w:r>
            <w:r w:rsidRPr="00E6692B">
              <w:rPr>
                <w:rFonts w:asciiTheme="minorHAnsi" w:hAnsiTheme="minorHAnsi"/>
                <w:i/>
                <w:sz w:val="16"/>
                <w:szCs w:val="16"/>
                <w:vertAlign w:val="superscript"/>
              </w:rPr>
              <w:t>(c)</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-250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-590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-1,870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Principal repayments</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-1,310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-1,160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-960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-920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-930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-970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-1,170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-1,320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-3,490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-10,800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vertAlign w:val="superscript"/>
              </w:rPr>
            </w:pPr>
            <w:r w:rsidRPr="00E6692B">
              <w:rPr>
                <w:rFonts w:asciiTheme="minorHAnsi" w:hAnsiTheme="minorHAnsi"/>
                <w:i/>
                <w:sz w:val="16"/>
                <w:szCs w:val="16"/>
              </w:rPr>
              <w:t>State contributions to deferral costs for VET student loans</w:t>
            </w:r>
            <w:r w:rsidRPr="00E6692B">
              <w:rPr>
                <w:rFonts w:asciiTheme="minorHAnsi" w:hAnsiTheme="minorHAnsi"/>
                <w:i/>
                <w:sz w:val="16"/>
                <w:szCs w:val="16"/>
                <w:vertAlign w:val="superscript"/>
              </w:rPr>
              <w:t>(d)</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Student transfer payments (personal income tax)</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 receipts</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-1,150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-1,080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-1,500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-3,970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-12,160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bottom w:val="single" w:sz="8" w:space="0" w:color="788183" w:themeColor="accent6"/>
              <w:right w:val="nil"/>
            </w:tcBorders>
            <w:shd w:val="clear" w:color="auto" w:fill="D3D8E9" w:themeFill="background2" w:themeFillTint="33"/>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Payments</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4" w:type="pct"/>
            <w:tcBorders>
              <w:left w:val="nil"/>
              <w:bottom w:val="single" w:sz="8" w:space="0" w:color="788183" w:themeColor="accent6"/>
              <w:right w:val="nil"/>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59" w:type="pct"/>
            <w:tcBorders>
              <w:left w:val="nil"/>
              <w:bottom w:val="single" w:sz="8" w:space="0" w:color="788183" w:themeColor="accent6"/>
            </w:tcBorders>
            <w:shd w:val="clear" w:color="auto" w:fill="D3D8E9" w:themeFill="background2" w:themeFillTint="33"/>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top w:val="single" w:sz="8" w:space="0" w:color="788183" w:themeColor="accent6"/>
              <w:right w:val="nil"/>
            </w:tcBorders>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Administered</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8"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07"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64" w:type="pct"/>
            <w:tcBorders>
              <w:top w:val="single" w:sz="8" w:space="0" w:color="788183" w:themeColor="accent6"/>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c>
          <w:tcPr>
            <w:tcW w:w="359" w:type="pct"/>
            <w:tcBorders>
              <w:top w:val="single" w:sz="8" w:space="0" w:color="788183" w:themeColor="accent6"/>
              <w:lef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 </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color w:val="000000"/>
                <w:sz w:val="16"/>
                <w:szCs w:val="16"/>
              </w:rPr>
            </w:pPr>
            <w:r w:rsidRPr="00E6692B">
              <w:rPr>
                <w:rFonts w:asciiTheme="minorHAnsi" w:hAnsiTheme="minorHAnsi"/>
                <w:i/>
                <w:sz w:val="16"/>
                <w:szCs w:val="16"/>
              </w:rPr>
              <w:t>Replace undergraduate student contribution with grant and increase by 10 per cent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tcBorders>
              <w:top w:val="single" w:sz="4"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-2,680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-3,960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-4,990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-5,740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-6,310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-6,870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-7,140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-7,410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-7,690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-8,240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-54,400</w:t>
            </w:r>
          </w:p>
        </w:tc>
      </w:tr>
      <w:tr w:rsidR="00256ECE" w:rsidRPr="00E6692B" w:rsidTr="00256ECE">
        <w:trPr>
          <w:trHeight w:val="629"/>
        </w:trPr>
        <w:tc>
          <w:tcPr>
            <w:cnfStyle w:val="001000000000" w:firstRow="0" w:lastRow="0" w:firstColumn="1" w:lastColumn="0" w:oddVBand="0" w:evenVBand="0" w:oddHBand="0" w:evenHBand="0" w:firstRowFirstColumn="0" w:firstRowLastColumn="0" w:lastRowFirstColumn="0" w:lastRowLastColumn="0"/>
            <w:tcW w:w="895" w:type="pct"/>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Grants to state and territory governments for TAFEs</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-2,990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-3,800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-4,430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-5,470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-5,050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-5,180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-5,310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-5,440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-5,580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-8,880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-45,340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National Agreement for Skills and Workforce Development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1,590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1,770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4,690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16,500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noProof/>
                <w:sz w:val="16"/>
                <w:szCs w:val="16"/>
              </w:rPr>
              <w:t>Remove cap on total CGS funding and increase CGS funding by 10 per cent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-890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-1,070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-1,270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-2,000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-2,270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-2,550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-2,840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-2,760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-16,940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i/>
                <w:noProof/>
                <w:sz w:val="16"/>
                <w:szCs w:val="16"/>
              </w:rPr>
            </w:pPr>
            <w:r w:rsidRPr="00E6692B">
              <w:rPr>
                <w:rFonts w:asciiTheme="minorHAnsi" w:hAnsiTheme="minorHAnsi"/>
                <w:i/>
                <w:noProof/>
                <w:sz w:val="16"/>
                <w:szCs w:val="16"/>
              </w:rPr>
              <w:t>CGS impact of students delaying commencement of studies from 1 January 2019 to 1 July 2019</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1,130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590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-140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Loans issued</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1,580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2,390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3,420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4,250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4,870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5,310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5,760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5,970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6,200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6,440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7,880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46,680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Student transfer payments</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-1,080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-1,160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-1,260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-1,370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-1,490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-1,630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-1,770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-1,930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-2,100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-3,160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-14,710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bottom w:val="single" w:sz="8" w:space="0" w:color="788183" w:themeColor="accent6"/>
            </w:tcBorders>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i/>
                <w:noProof/>
                <w:sz w:val="16"/>
                <w:szCs w:val="16"/>
              </w:rPr>
            </w:pPr>
            <w:r w:rsidRPr="00E6692B">
              <w:rPr>
                <w:rFonts w:asciiTheme="minorHAnsi" w:hAnsiTheme="minorHAnsi"/>
                <w:b/>
                <w:i/>
                <w:noProof/>
                <w:sz w:val="16"/>
                <w:szCs w:val="16"/>
              </w:rPr>
              <w:t>Total - administered</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1,690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-2,450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-3,810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-5,340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-6,500</w:t>
            </w:r>
          </w:p>
        </w:tc>
        <w:tc>
          <w:tcPr>
            <w:tcW w:w="308"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-7,740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-7,710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-8,310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-8,810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-9,390</w:t>
            </w:r>
          </w:p>
        </w:tc>
        <w:tc>
          <w:tcPr>
            <w:tcW w:w="307"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-10,000</w:t>
            </w:r>
          </w:p>
        </w:tc>
        <w:tc>
          <w:tcPr>
            <w:tcW w:w="364"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-9,880</w:t>
            </w:r>
          </w:p>
        </w:tc>
        <w:tc>
          <w:tcPr>
            <w:tcW w:w="359" w:type="pct"/>
            <w:tcBorders>
              <w:bottom w:val="single" w:sz="8" w:space="0" w:color="788183" w:themeColor="accent6"/>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-68,350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tcBorders>
              <w:right w:val="nil"/>
            </w:tcBorders>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Departmental</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8"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8"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8"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07"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64" w:type="pct"/>
            <w:tcBorders>
              <w:left w:val="nil"/>
              <w:righ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c>
          <w:tcPr>
            <w:tcW w:w="359" w:type="pct"/>
            <w:tcBorders>
              <w:left w:val="nil"/>
            </w:tcBorders>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 </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Department of Education and Training</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-30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-80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i/>
                <w:sz w:val="16"/>
                <w:szCs w:val="16"/>
              </w:rPr>
            </w:pPr>
            <w:r w:rsidRPr="00E6692B">
              <w:rPr>
                <w:rFonts w:asciiTheme="minorHAnsi" w:hAnsiTheme="minorHAnsi"/>
                <w:i/>
                <w:sz w:val="16"/>
                <w:szCs w:val="16"/>
              </w:rPr>
              <w:t>Department of Social Services</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 xml:space="preserve"> .. </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E6692B">
              <w:rPr>
                <w:rFonts w:ascii="Calibri" w:hAnsi="Calibri"/>
                <w:i/>
                <w:iCs/>
                <w:color w:val="000000"/>
                <w:sz w:val="16"/>
                <w:szCs w:val="16"/>
              </w:rPr>
              <w:t>-10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-70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i/>
                <w:noProof/>
                <w:sz w:val="16"/>
                <w:szCs w:val="16"/>
              </w:rPr>
              <w:t>Total - departmental</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-20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-50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16"/>
                <w:szCs w:val="16"/>
              </w:rPr>
            </w:pPr>
            <w:r w:rsidRPr="00E6692B">
              <w:rPr>
                <w:rFonts w:ascii="Calibri" w:hAnsi="Calibri"/>
                <w:b/>
                <w:bCs/>
                <w:i/>
                <w:iCs/>
                <w:color w:val="000000"/>
                <w:sz w:val="16"/>
                <w:szCs w:val="16"/>
              </w:rPr>
              <w:t>-150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 payments</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1,690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-2,470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-3,820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-5,360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-6,520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-7,760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-7,730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-8,330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-8,830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-9,410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-10,020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-9,930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-68,500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shd w:val="clear" w:color="auto" w:fill="A7B2D4" w:themeFill="background2" w:themeFillTint="66"/>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(excluding PDI)</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1,690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-3,970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-5,150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-6,510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-7,600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-8,790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-8,770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-9,420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-9,990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-10,730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-11,520</w:t>
            </w:r>
          </w:p>
        </w:tc>
        <w:tc>
          <w:tcPr>
            <w:tcW w:w="364"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-13,900</w:t>
            </w:r>
          </w:p>
        </w:tc>
        <w:tc>
          <w:tcPr>
            <w:tcW w:w="359"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-80,660</w:t>
            </w:r>
          </w:p>
        </w:tc>
      </w:tr>
      <w:tr w:rsidR="00256ECE" w:rsidRPr="00E6692B" w:rsidTr="00256ECE">
        <w:tc>
          <w:tcPr>
            <w:cnfStyle w:val="001000000000" w:firstRow="0" w:lastRow="0" w:firstColumn="1" w:lastColumn="0" w:oddVBand="0" w:evenVBand="0" w:oddHBand="0" w:evenHBand="0" w:firstRowFirstColumn="0" w:firstRowLastColumn="0" w:lastRowFirstColumn="0" w:lastRowLastColumn="0"/>
            <w:tcW w:w="895" w:type="pct"/>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PDI impacts</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-290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-500</w:t>
            </w:r>
          </w:p>
        </w:tc>
        <w:tc>
          <w:tcPr>
            <w:tcW w:w="308"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-800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-1,160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-1,580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-2,070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-2,640</w:t>
            </w:r>
          </w:p>
        </w:tc>
        <w:tc>
          <w:tcPr>
            <w:tcW w:w="307"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-3,240</w:t>
            </w:r>
          </w:p>
        </w:tc>
        <w:tc>
          <w:tcPr>
            <w:tcW w:w="364"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-400</w:t>
            </w:r>
          </w:p>
        </w:tc>
        <w:tc>
          <w:tcPr>
            <w:tcW w:w="359" w:type="pct"/>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-12,390</w:t>
            </w:r>
          </w:p>
        </w:tc>
      </w:tr>
      <w:tr w:rsidR="00256ECE" w:rsidRPr="009F2A5C" w:rsidTr="00256ECE">
        <w:tc>
          <w:tcPr>
            <w:cnfStyle w:val="001000000000" w:firstRow="0" w:lastRow="0" w:firstColumn="1" w:lastColumn="0" w:oddVBand="0" w:evenVBand="0" w:oddHBand="0" w:evenHBand="0" w:firstRowFirstColumn="0" w:firstRowLastColumn="0" w:lastRowFirstColumn="0" w:lastRowLastColumn="0"/>
            <w:tcW w:w="895" w:type="pct"/>
            <w:shd w:val="clear" w:color="auto" w:fill="A7B2D4" w:themeFill="background2" w:themeFillTint="66"/>
            <w:vAlign w:val="center"/>
          </w:tcPr>
          <w:p w:rsidR="00256ECE" w:rsidRPr="00E6692B" w:rsidRDefault="00256ECE" w:rsidP="001D255F">
            <w:pPr>
              <w:pStyle w:val="TableText"/>
              <w:keepNext/>
              <w:keepLines/>
              <w:widowControl w:val="0"/>
              <w:tabs>
                <w:tab w:val="left" w:pos="9356"/>
              </w:tabs>
              <w:spacing w:before="20" w:after="20" w:line="240" w:lineRule="auto"/>
              <w:ind w:left="-57" w:right="-57"/>
              <w:rPr>
                <w:rFonts w:asciiTheme="minorHAnsi" w:hAnsiTheme="minorHAnsi"/>
                <w:b/>
                <w:sz w:val="16"/>
                <w:szCs w:val="16"/>
              </w:rPr>
            </w:pPr>
            <w:r w:rsidRPr="00E6692B">
              <w:rPr>
                <w:rFonts w:asciiTheme="minorHAnsi" w:hAnsiTheme="minorHAnsi"/>
                <w:b/>
                <w:sz w:val="16"/>
                <w:szCs w:val="16"/>
              </w:rPr>
              <w:t>Total (including PDI)</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1,710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-3,980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-5,280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-6,800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-8,100</w:t>
            </w:r>
          </w:p>
        </w:tc>
        <w:tc>
          <w:tcPr>
            <w:tcW w:w="308"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-9,590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-9,930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-11,000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-12,060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-13,370</w:t>
            </w:r>
          </w:p>
        </w:tc>
        <w:tc>
          <w:tcPr>
            <w:tcW w:w="307"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-14,760</w:t>
            </w:r>
          </w:p>
        </w:tc>
        <w:tc>
          <w:tcPr>
            <w:tcW w:w="364"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-14,300</w:t>
            </w:r>
          </w:p>
        </w:tc>
        <w:tc>
          <w:tcPr>
            <w:tcW w:w="359" w:type="pct"/>
            <w:shd w:val="clear" w:color="auto" w:fill="A7B2D4" w:themeFill="background2" w:themeFillTint="66"/>
            <w:vAlign w:val="center"/>
          </w:tcPr>
          <w:p w:rsidR="00256ECE" w:rsidRPr="00E6692B" w:rsidRDefault="00256ECE">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rPr>
            </w:pPr>
            <w:r w:rsidRPr="00E6692B">
              <w:rPr>
                <w:rFonts w:ascii="Calibri" w:hAnsi="Calibri"/>
                <w:b/>
                <w:bCs/>
                <w:color w:val="000000"/>
                <w:sz w:val="16"/>
                <w:szCs w:val="16"/>
              </w:rPr>
              <w:t>-93,050</w:t>
            </w:r>
          </w:p>
        </w:tc>
      </w:tr>
    </w:tbl>
    <w:p w:rsidR="00C56230" w:rsidRPr="009F2A5C" w:rsidRDefault="00C56230" w:rsidP="00473E7C">
      <w:pPr>
        <w:keepNext/>
        <w:keepLines/>
        <w:widowControl w:val="0"/>
        <w:tabs>
          <w:tab w:val="left" w:pos="9356"/>
        </w:tabs>
        <w:spacing w:line="240" w:lineRule="exact"/>
        <w:ind w:left="284" w:hanging="284"/>
        <w:rPr>
          <w:sz w:val="16"/>
          <w:szCs w:val="16"/>
        </w:rPr>
      </w:pPr>
      <w:r w:rsidRPr="009F2A5C">
        <w:rPr>
          <w:sz w:val="16"/>
          <w:szCs w:val="16"/>
        </w:rPr>
        <w:t>(a)</w:t>
      </w:r>
      <w:r w:rsidRPr="009F2A5C">
        <w:rPr>
          <w:sz w:val="16"/>
          <w:szCs w:val="16"/>
        </w:rPr>
        <w:tab/>
        <w:t>A positive number for the headline cash balance indicates an increase in receipts or a decrease in payments or net capital investment in headline cash terms.  A negative number for the headline cash balance indicates a decrease in receipts or an increase in payments or net capital investment in headline cash terms.</w:t>
      </w:r>
    </w:p>
    <w:p w:rsidR="00C56230" w:rsidRDefault="00C56230" w:rsidP="00473E7C">
      <w:pPr>
        <w:keepNext/>
        <w:keepLines/>
        <w:widowControl w:val="0"/>
        <w:tabs>
          <w:tab w:val="left" w:pos="9356"/>
        </w:tabs>
        <w:spacing w:line="240" w:lineRule="exact"/>
        <w:ind w:left="284" w:hanging="284"/>
        <w:rPr>
          <w:sz w:val="16"/>
          <w:szCs w:val="16"/>
        </w:rPr>
      </w:pPr>
      <w:r w:rsidRPr="009F2A5C">
        <w:rPr>
          <w:sz w:val="16"/>
          <w:szCs w:val="16"/>
        </w:rPr>
        <w:t>(b)</w:t>
      </w:r>
      <w:r w:rsidRPr="009F2A5C">
        <w:rPr>
          <w:sz w:val="16"/>
          <w:szCs w:val="16"/>
        </w:rPr>
        <w:tab/>
        <w:t>Figures may not sum to totals due to rounding.</w:t>
      </w:r>
    </w:p>
    <w:p w:rsidR="00DF59C5" w:rsidRDefault="00DF59C5" w:rsidP="00473E7C">
      <w:pPr>
        <w:keepNext/>
        <w:keepLines/>
        <w:widowControl w:val="0"/>
        <w:tabs>
          <w:tab w:val="left" w:pos="9356"/>
        </w:tabs>
        <w:spacing w:line="240" w:lineRule="exact"/>
        <w:ind w:left="284" w:hanging="284"/>
        <w:rPr>
          <w:sz w:val="16"/>
          <w:szCs w:val="16"/>
        </w:rPr>
      </w:pPr>
      <w:r>
        <w:rPr>
          <w:sz w:val="16"/>
          <w:szCs w:val="16"/>
        </w:rPr>
        <w:t>(</w:t>
      </w:r>
      <w:proofErr w:type="gramStart"/>
      <w:r>
        <w:rPr>
          <w:sz w:val="16"/>
          <w:szCs w:val="16"/>
        </w:rPr>
        <w:t>c</w:t>
      </w:r>
      <w:proofErr w:type="gramEnd"/>
      <w:r>
        <w:rPr>
          <w:sz w:val="16"/>
          <w:szCs w:val="16"/>
        </w:rPr>
        <w:t>)</w:t>
      </w:r>
      <w:r>
        <w:rPr>
          <w:sz w:val="16"/>
          <w:szCs w:val="16"/>
        </w:rPr>
        <w:tab/>
      </w:r>
      <w:r w:rsidR="00191972">
        <w:rPr>
          <w:sz w:val="16"/>
          <w:szCs w:val="16"/>
        </w:rPr>
        <w:t>Includes both the interest and loan fee component</w:t>
      </w:r>
      <w:r w:rsidR="009D73AC">
        <w:rPr>
          <w:sz w:val="16"/>
          <w:szCs w:val="16"/>
        </w:rPr>
        <w:t>s</w:t>
      </w:r>
      <w:r w:rsidR="00191972">
        <w:rPr>
          <w:sz w:val="16"/>
          <w:szCs w:val="16"/>
        </w:rPr>
        <w:t xml:space="preserve"> of repayments.</w:t>
      </w:r>
    </w:p>
    <w:p w:rsidR="00DF59C5" w:rsidRDefault="00DF59C5" w:rsidP="00DF59C5">
      <w:pPr>
        <w:keepNext/>
        <w:widowControl w:val="0"/>
        <w:tabs>
          <w:tab w:val="left" w:pos="9356"/>
        </w:tabs>
        <w:spacing w:line="240" w:lineRule="exact"/>
        <w:ind w:left="284" w:hanging="284"/>
        <w:rPr>
          <w:sz w:val="16"/>
          <w:szCs w:val="16"/>
        </w:rPr>
      </w:pPr>
      <w:r>
        <w:rPr>
          <w:sz w:val="16"/>
          <w:szCs w:val="16"/>
        </w:rPr>
        <w:t>(d)</w:t>
      </w:r>
      <w:r>
        <w:rPr>
          <w:sz w:val="16"/>
          <w:szCs w:val="16"/>
        </w:rPr>
        <w:tab/>
        <w:t>State and territory governments contribute to deferral costs for this program.</w:t>
      </w:r>
    </w:p>
    <w:p w:rsidR="00C56230" w:rsidRPr="009F2A5C" w:rsidRDefault="00C56230" w:rsidP="00473E7C">
      <w:pPr>
        <w:pStyle w:val="TableFootnotes"/>
        <w:keepNext/>
        <w:widowControl w:val="0"/>
        <w:numPr>
          <w:ilvl w:val="0"/>
          <w:numId w:val="0"/>
        </w:numPr>
        <w:tabs>
          <w:tab w:val="left" w:pos="9356"/>
        </w:tabs>
        <w:spacing w:line="240" w:lineRule="exact"/>
        <w:ind w:left="284" w:hanging="284"/>
        <w:rPr>
          <w:sz w:val="16"/>
          <w:szCs w:val="16"/>
        </w:rPr>
      </w:pPr>
      <w:r w:rsidRPr="009F2A5C">
        <w:rPr>
          <w:sz w:val="16"/>
          <w:szCs w:val="16"/>
        </w:rPr>
        <w:t>..</w:t>
      </w:r>
      <w:r w:rsidRPr="009F2A5C">
        <w:rPr>
          <w:sz w:val="16"/>
          <w:szCs w:val="16"/>
        </w:rPr>
        <w:tab/>
        <w:t>Not zero but rounded to zero.</w:t>
      </w:r>
    </w:p>
    <w:p w:rsidR="00C56230" w:rsidRPr="009F2A5C" w:rsidRDefault="00C56230" w:rsidP="00473E7C">
      <w:pPr>
        <w:pStyle w:val="TableFootnotes"/>
        <w:keepNext/>
        <w:numPr>
          <w:ilvl w:val="0"/>
          <w:numId w:val="11"/>
        </w:numPr>
        <w:tabs>
          <w:tab w:val="left" w:pos="9356"/>
        </w:tabs>
        <w:spacing w:line="240" w:lineRule="exact"/>
        <w:ind w:left="284" w:hanging="284"/>
        <w:rPr>
          <w:sz w:val="16"/>
          <w:szCs w:val="16"/>
        </w:rPr>
      </w:pPr>
      <w:r w:rsidRPr="009F2A5C">
        <w:rPr>
          <w:sz w:val="16"/>
          <w:szCs w:val="16"/>
        </w:rPr>
        <w:t>Indicates nil.</w:t>
      </w:r>
    </w:p>
    <w:p w:rsidR="00CF5153" w:rsidRDefault="00CF5153">
      <w:pPr>
        <w:rPr>
          <w:rFonts w:cs="Times New Roman"/>
          <w:spacing w:val="-1"/>
        </w:rPr>
      </w:pPr>
      <w:r>
        <w:br w:type="page"/>
      </w:r>
    </w:p>
    <w:p w:rsidR="00CF5153" w:rsidRDefault="0022510F" w:rsidP="0022510F">
      <w:pPr>
        <w:pStyle w:val="Heading8"/>
        <w:numPr>
          <w:ilvl w:val="0"/>
          <w:numId w:val="0"/>
        </w:numPr>
        <w:spacing w:before="240" w:after="120"/>
      </w:pPr>
      <w:r>
        <w:lastRenderedPageBreak/>
        <w:t>Attachment C</w:t>
      </w:r>
      <w:r w:rsidR="00F261B4">
        <w:t xml:space="preserve"> </w:t>
      </w:r>
      <w:r w:rsidR="00CF5153">
        <w:t xml:space="preserve">– Accounting treatment of concessional loans </w:t>
      </w:r>
    </w:p>
    <w:p w:rsidR="00FE6C7C" w:rsidRDefault="00FE6C7C" w:rsidP="00FE6C7C">
      <w:pPr>
        <w:pStyle w:val="BodyText"/>
        <w:spacing w:before="0"/>
        <w:rPr>
          <w:lang w:val="en-US"/>
        </w:rPr>
      </w:pPr>
      <w:r>
        <w:t>A concessional loan is a loan provided on more favourable terms than the borrower could obtain in the financial market.  The most common concession is a below</w:t>
      </w:r>
      <w:r>
        <w:noBreakHyphen/>
        <w:t>market interest rate, but concessions can also include favourable repayment conditions.  The</w:t>
      </w:r>
      <w:r w:rsidRPr="008F553E">
        <w:t xml:space="preserve"> </w:t>
      </w:r>
      <w:r>
        <w:t>income contingent loans</w:t>
      </w:r>
      <w:r w:rsidRPr="00361150">
        <w:t xml:space="preserve"> </w:t>
      </w:r>
      <w:r>
        <w:t>available through</w:t>
      </w:r>
      <w:r w:rsidRPr="00361150">
        <w:t xml:space="preserve"> the Higher Education Loan Program</w:t>
      </w:r>
      <w:r w:rsidDel="008F553E">
        <w:t xml:space="preserve"> </w:t>
      </w:r>
      <w:r>
        <w:t>are an example of concessional loans offered by the Commonwealth.</w:t>
      </w:r>
    </w:p>
    <w:p w:rsidR="00FE6C7C" w:rsidRPr="0056550C" w:rsidRDefault="00FE6C7C" w:rsidP="00FE6C7C">
      <w:pPr>
        <w:pStyle w:val="Heading2"/>
      </w:pPr>
      <w:r w:rsidRPr="0056550C">
        <w:t>Budget impact</w:t>
      </w:r>
      <w:r w:rsidRPr="00C27988">
        <w:rPr>
          <w:vertAlign w:val="superscript"/>
        </w:rPr>
        <w:footnoteReference w:id="1"/>
      </w:r>
    </w:p>
    <w:p w:rsidR="00FE6C7C" w:rsidRDefault="00FE6C7C" w:rsidP="00FE6C7C">
      <w:pPr>
        <w:pStyle w:val="BodyText"/>
        <w:spacing w:after="0"/>
      </w:pPr>
      <w:r>
        <w:rPr>
          <w:lang w:val="en-US"/>
        </w:rPr>
        <w:t>The accounting treatment of concessional loans differs across each budget aggregate</w:t>
      </w:r>
      <w:r w:rsidRPr="009661B7">
        <w:rPr>
          <w:lang w:val="en-US"/>
        </w:rPr>
        <w:t>.</w:t>
      </w:r>
      <w:r>
        <w:rPr>
          <w:lang w:val="en-US"/>
        </w:rPr>
        <w:t xml:space="preserve">  The </w:t>
      </w:r>
      <w:r w:rsidRPr="0056550C">
        <w:rPr>
          <w:u w:val="single"/>
          <w:lang w:val="en-US"/>
        </w:rPr>
        <w:t>underlying cash balance</w:t>
      </w:r>
      <w:r>
        <w:rPr>
          <w:lang w:val="en-US"/>
        </w:rPr>
        <w:t xml:space="preserve"> only captures actual flows of interest related to the loans.  </w:t>
      </w:r>
      <w:r w:rsidRPr="009D73AC">
        <w:rPr>
          <w:lang w:val="en-US"/>
        </w:rPr>
        <w:t xml:space="preserve">The </w:t>
      </w:r>
      <w:r w:rsidRPr="00BB06E6">
        <w:rPr>
          <w:u w:val="single"/>
          <w:lang w:val="en-US"/>
        </w:rPr>
        <w:t>headline cash balance</w:t>
      </w:r>
      <w:r>
        <w:rPr>
          <w:lang w:val="en-US"/>
        </w:rPr>
        <w:t xml:space="preserve"> </w:t>
      </w:r>
      <w:r w:rsidRPr="00BB06E6">
        <w:rPr>
          <w:lang w:val="en-US"/>
        </w:rPr>
        <w:t>captures actual flows of</w:t>
      </w:r>
      <w:r>
        <w:rPr>
          <w:lang w:val="en-US"/>
        </w:rPr>
        <w:t xml:space="preserve"> principal as well as</w:t>
      </w:r>
      <w:r w:rsidRPr="00BB06E6">
        <w:rPr>
          <w:lang w:val="en-US"/>
        </w:rPr>
        <w:t xml:space="preserve"> interest</w:t>
      </w:r>
      <w:r>
        <w:rPr>
          <w:lang w:val="en-US"/>
        </w:rPr>
        <w:t>.</w:t>
      </w:r>
      <w:r w:rsidRPr="009661B7">
        <w:rPr>
          <w:lang w:val="en-US"/>
        </w:rPr>
        <w:t xml:space="preserve"> </w:t>
      </w:r>
      <w:r>
        <w:rPr>
          <w:lang w:val="en-US"/>
        </w:rPr>
        <w:t xml:space="preserve"> The </w:t>
      </w:r>
      <w:r w:rsidRPr="0056550C">
        <w:rPr>
          <w:u w:val="single"/>
          <w:lang w:val="en-US"/>
        </w:rPr>
        <w:t>fiscal balance</w:t>
      </w:r>
      <w:r>
        <w:rPr>
          <w:lang w:val="en-US"/>
        </w:rPr>
        <w:t xml:space="preserve"> captures accrued interest, the value of the concession</w:t>
      </w:r>
      <w:r w:rsidRPr="007D243D">
        <w:rPr>
          <w:lang w:val="en-US"/>
        </w:rPr>
        <w:t xml:space="preserve"> </w:t>
      </w:r>
      <w:r>
        <w:rPr>
          <w:lang w:val="en-US"/>
        </w:rPr>
        <w:t>and any write-offs related to the loans.  The interest cost of financing these loans is captured in all budget aggregates, and is separately identified by the PBO.</w:t>
      </w:r>
      <w:r>
        <w:rPr>
          <w:rStyle w:val="FootnoteReference"/>
        </w:rPr>
        <w:footnoteReference w:id="2"/>
      </w:r>
      <w:r>
        <w:rPr>
          <w:lang w:val="en-US"/>
        </w:rPr>
        <w:t xml:space="preserve">  (Table </w:t>
      </w:r>
      <w:r w:rsidR="009D73AC">
        <w:rPr>
          <w:lang w:val="en-US"/>
        </w:rPr>
        <w:t xml:space="preserve">C1 </w:t>
      </w:r>
      <w:r>
        <w:rPr>
          <w:lang w:val="en-US"/>
        </w:rPr>
        <w:t xml:space="preserve">provides information about the detail provided in a costing.)  </w:t>
      </w:r>
      <w:r w:rsidRPr="0056550C">
        <w:rPr>
          <w:lang w:val="en-US"/>
        </w:rPr>
        <w:t xml:space="preserve">The </w:t>
      </w:r>
      <w:r>
        <w:rPr>
          <w:lang w:val="en-US"/>
        </w:rPr>
        <w:t>provision</w:t>
      </w:r>
      <w:r w:rsidRPr="0056550C">
        <w:rPr>
          <w:lang w:val="en-US"/>
        </w:rPr>
        <w:t xml:space="preserve"> of concessional loans decreases</w:t>
      </w:r>
      <w:r>
        <w:rPr>
          <w:lang w:val="en-US"/>
        </w:rPr>
        <w:t xml:space="preserve"> the Commonwealth Government’s</w:t>
      </w:r>
      <w:r w:rsidRPr="0056550C">
        <w:rPr>
          <w:lang w:val="en-US"/>
        </w:rPr>
        <w:t xml:space="preserve"> </w:t>
      </w:r>
      <w:r w:rsidRPr="008F553E">
        <w:rPr>
          <w:u w:val="single"/>
        </w:rPr>
        <w:t>net</w:t>
      </w:r>
      <w:r w:rsidRPr="0056550C">
        <w:rPr>
          <w:u w:val="single"/>
        </w:rPr>
        <w:t xml:space="preserve"> worth</w:t>
      </w:r>
      <w:r>
        <w:t xml:space="preserve"> if the liabilities issued (the </w:t>
      </w:r>
      <w:r w:rsidRPr="00A944A0">
        <w:t xml:space="preserve">value of </w:t>
      </w:r>
      <w:r>
        <w:t>Commonwealth Government Securities (CGS)</w:t>
      </w:r>
      <w:r w:rsidRPr="00A944A0">
        <w:t xml:space="preserve"> is</w:t>
      </w:r>
      <w:r>
        <w:t>sued to finance the loans) are greater than the assets created (measured at their ‘fair value’ or price at which the loans could be sold).</w:t>
      </w:r>
    </w:p>
    <w:p w:rsidR="00FE6C7C" w:rsidRDefault="00FE6C7C" w:rsidP="00FE6C7C">
      <w:pPr>
        <w:pStyle w:val="Heading2"/>
      </w:pPr>
      <w:r>
        <w:t>Treatment of debt not expected to be repaid</w:t>
      </w:r>
    </w:p>
    <w:p w:rsidR="00FE6C7C" w:rsidRDefault="00FE6C7C" w:rsidP="00FE6C7C">
      <w:pPr>
        <w:pStyle w:val="BodyText"/>
        <w:spacing w:after="0"/>
        <w:rPr>
          <w:lang w:val="en-US"/>
        </w:rPr>
      </w:pPr>
      <w:r>
        <w:rPr>
          <w:lang w:val="en-US"/>
        </w:rPr>
        <w:t xml:space="preserve">All budget aggregates take into account estimates of the share of loans not expected to be repaid when calculating interest flows and </w:t>
      </w:r>
      <w:r>
        <w:t xml:space="preserve">estimating the value of the concession that is being provided.  None of the measures capture the direct impact on net worth of the loans not expected to be repaid.  </w:t>
      </w:r>
      <w:r w:rsidRPr="0056550C">
        <w:rPr>
          <w:lang w:val="en-US"/>
        </w:rPr>
        <w:t xml:space="preserve">If a portion of loans are not expected to be repaid, estimates of the ‘fair value’ of the loans outstanding will be reduced.  Such reductions, both when loans are issued and if loans are subsequently re-valued, are recorded in the </w:t>
      </w:r>
      <w:r>
        <w:rPr>
          <w:lang w:val="en-US"/>
        </w:rPr>
        <w:t>b</w:t>
      </w:r>
      <w:r w:rsidRPr="0056550C">
        <w:rPr>
          <w:lang w:val="en-US"/>
        </w:rPr>
        <w:t xml:space="preserve">udget under ‘Other economic flows’ </w:t>
      </w:r>
      <w:r>
        <w:rPr>
          <w:lang w:val="en-US"/>
        </w:rPr>
        <w:t>which are</w:t>
      </w:r>
      <w:r w:rsidRPr="0056550C">
        <w:rPr>
          <w:lang w:val="en-US"/>
        </w:rPr>
        <w:t xml:space="preserve"> reflected in net worth</w:t>
      </w:r>
      <w:r>
        <w:rPr>
          <w:lang w:val="en-US"/>
        </w:rPr>
        <w:t xml:space="preserve"> but not in the budget aggregates</w:t>
      </w:r>
      <w:r w:rsidRPr="0056550C">
        <w:rPr>
          <w:lang w:val="en-US"/>
        </w:rPr>
        <w:t>.</w:t>
      </w:r>
    </w:p>
    <w:p w:rsidR="00FE6C7C" w:rsidRPr="006318D3" w:rsidRDefault="00FE6C7C" w:rsidP="00FE6C7C">
      <w:pPr>
        <w:pStyle w:val="Caption"/>
      </w:pPr>
      <w:r w:rsidRPr="006318D3">
        <w:t>T</w:t>
      </w:r>
      <w:r>
        <w:t>able</w:t>
      </w:r>
      <w:r w:rsidRPr="006318D3">
        <w:t xml:space="preserve"> </w:t>
      </w:r>
      <w:r w:rsidR="009D73AC">
        <w:t>C</w:t>
      </w:r>
      <w:r w:rsidR="009D73AC" w:rsidRPr="006318D3">
        <w:t>1</w:t>
      </w:r>
      <w:r w:rsidRPr="006318D3">
        <w:t>: C</w:t>
      </w:r>
      <w:r>
        <w:t>omponents of concessional loan financial impacts in costing proposals</w:t>
      </w:r>
    </w:p>
    <w:tbl>
      <w:tblPr>
        <w:tblStyle w:val="TableGrid1"/>
        <w:tblW w:w="10031" w:type="dxa"/>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Layout w:type="fixed"/>
        <w:tblLook w:val="04A0" w:firstRow="1" w:lastRow="0" w:firstColumn="1" w:lastColumn="0" w:noHBand="0" w:noVBand="1"/>
      </w:tblPr>
      <w:tblGrid>
        <w:gridCol w:w="1570"/>
        <w:gridCol w:w="1090"/>
        <w:gridCol w:w="7371"/>
      </w:tblGrid>
      <w:tr w:rsidR="00FE6C7C" w:rsidRPr="0076160F" w:rsidTr="009F3C7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70" w:type="dxa"/>
            <w:shd w:val="clear" w:color="auto" w:fill="D3D8E9" w:themeFill="background2" w:themeFillTint="33"/>
          </w:tcPr>
          <w:p w:rsidR="00FE6C7C" w:rsidRPr="0076160F" w:rsidRDefault="00FE6C7C" w:rsidP="009F3C70">
            <w:pPr>
              <w:keepNext/>
              <w:keepLines/>
              <w:ind w:left="57" w:right="57"/>
              <w:rPr>
                <w:rFonts w:ascii="Calibri" w:hAnsi="Calibri"/>
                <w:b/>
                <w:color w:val="auto"/>
                <w:lang w:val="en-US"/>
              </w:rPr>
            </w:pPr>
            <w:r w:rsidRPr="0076160F">
              <w:rPr>
                <w:rFonts w:ascii="Calibri" w:hAnsi="Calibri"/>
                <w:b/>
                <w:color w:val="auto"/>
                <w:lang w:val="en-US"/>
              </w:rPr>
              <w:t>Budget item</w:t>
            </w:r>
          </w:p>
        </w:tc>
        <w:tc>
          <w:tcPr>
            <w:tcW w:w="1090" w:type="dxa"/>
            <w:shd w:val="clear" w:color="auto" w:fill="D3D8E9" w:themeFill="background2" w:themeFillTint="33"/>
          </w:tcPr>
          <w:p w:rsidR="00FE6C7C" w:rsidRPr="0076160F" w:rsidRDefault="00FE6C7C" w:rsidP="009F3C70">
            <w:pPr>
              <w:keepNext/>
              <w:keepLines/>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b/>
                <w:color w:val="auto"/>
                <w:lang w:val="en-US"/>
              </w:rPr>
            </w:pPr>
            <w:r w:rsidRPr="0076160F">
              <w:rPr>
                <w:rFonts w:ascii="Calibri" w:hAnsi="Calibri"/>
                <w:b/>
                <w:color w:val="auto"/>
                <w:lang w:val="en-US"/>
              </w:rPr>
              <w:t>Appears in</w:t>
            </w:r>
          </w:p>
        </w:tc>
        <w:tc>
          <w:tcPr>
            <w:tcW w:w="7371" w:type="dxa"/>
            <w:shd w:val="clear" w:color="auto" w:fill="D3D8E9" w:themeFill="background2" w:themeFillTint="33"/>
          </w:tcPr>
          <w:p w:rsidR="00FE6C7C" w:rsidRPr="0076160F" w:rsidRDefault="00FE6C7C" w:rsidP="009F3C70">
            <w:pPr>
              <w:keepNext/>
              <w:keepLines/>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b/>
                <w:color w:val="auto"/>
                <w:lang w:val="en-US"/>
              </w:rPr>
            </w:pPr>
            <w:r w:rsidRPr="0076160F">
              <w:rPr>
                <w:rFonts w:ascii="Calibri" w:hAnsi="Calibri"/>
                <w:b/>
                <w:color w:val="auto"/>
                <w:lang w:val="en-US"/>
              </w:rPr>
              <w:t>Comments</w:t>
            </w:r>
          </w:p>
        </w:tc>
      </w:tr>
      <w:tr w:rsidR="00FE6C7C" w:rsidRPr="0076160F" w:rsidTr="009F3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Borders>
              <w:bottom w:val="single" w:sz="4" w:space="0" w:color="auto"/>
            </w:tcBorders>
            <w:shd w:val="clear" w:color="auto" w:fill="auto"/>
            <w:vAlign w:val="top"/>
          </w:tcPr>
          <w:p w:rsidR="00FE6C7C" w:rsidRPr="0076160F" w:rsidRDefault="00FE6C7C" w:rsidP="009F3C70">
            <w:pPr>
              <w:ind w:left="57" w:right="57"/>
              <w:rPr>
                <w:rFonts w:ascii="Calibri" w:hAnsi="Calibri"/>
                <w:lang w:val="en-US"/>
              </w:rPr>
            </w:pPr>
            <w:r w:rsidRPr="0076160F">
              <w:rPr>
                <w:rFonts w:ascii="Calibri" w:hAnsi="Calibri"/>
                <w:lang w:val="en-US"/>
              </w:rPr>
              <w:t>Interest accrued or received</w:t>
            </w:r>
          </w:p>
        </w:tc>
        <w:tc>
          <w:tcPr>
            <w:tcW w:w="1090" w:type="dxa"/>
            <w:tcBorders>
              <w:bottom w:val="single" w:sz="4" w:space="0" w:color="auto"/>
            </w:tcBorders>
            <w:shd w:val="clear" w:color="auto" w:fill="auto"/>
            <w:vAlign w:val="top"/>
          </w:tcPr>
          <w:p w:rsidR="00FE6C7C" w:rsidRPr="0076160F" w:rsidRDefault="00FE6C7C" w:rsidP="009F3C70">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76160F">
              <w:rPr>
                <w:rFonts w:ascii="Calibri" w:hAnsi="Calibri"/>
                <w:lang w:val="en-US"/>
              </w:rPr>
              <w:t>All budget aggregates</w:t>
            </w:r>
          </w:p>
        </w:tc>
        <w:tc>
          <w:tcPr>
            <w:tcW w:w="7371" w:type="dxa"/>
            <w:tcBorders>
              <w:bottom w:val="single" w:sz="4" w:space="0" w:color="auto"/>
            </w:tcBorders>
            <w:shd w:val="clear" w:color="auto" w:fill="auto"/>
            <w:vAlign w:val="top"/>
          </w:tcPr>
          <w:p w:rsidR="00FE6C7C" w:rsidRPr="0076160F" w:rsidRDefault="00FE6C7C" w:rsidP="009F3C70">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76160F">
              <w:rPr>
                <w:rFonts w:ascii="Calibri" w:hAnsi="Calibri"/>
              </w:rPr>
              <w:t>Captures the interest accrued or expected to be received on the fair value of the debt. (The budget cannot include interest income on a debt that is not expected to be repaid.)</w:t>
            </w:r>
            <w:r w:rsidRPr="0076160F">
              <w:rPr>
                <w:rFonts w:ascii="Calibri" w:hAnsi="Calibri"/>
                <w:lang w:val="en-US"/>
              </w:rPr>
              <w:t xml:space="preserve">  </w:t>
            </w:r>
          </w:p>
        </w:tc>
      </w:tr>
      <w:tr w:rsidR="00FE6C7C" w:rsidRPr="0076160F" w:rsidTr="009F3C70">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left w:val="nil"/>
              <w:bottom w:val="single" w:sz="4" w:space="0" w:color="auto"/>
              <w:right w:val="nil"/>
            </w:tcBorders>
            <w:shd w:val="clear" w:color="auto" w:fill="auto"/>
            <w:vAlign w:val="top"/>
          </w:tcPr>
          <w:p w:rsidR="00FE6C7C" w:rsidRPr="0076160F" w:rsidRDefault="00FE6C7C" w:rsidP="009F3C70">
            <w:pPr>
              <w:ind w:left="57" w:right="57"/>
              <w:rPr>
                <w:rFonts w:ascii="Calibri" w:hAnsi="Calibri"/>
                <w:lang w:val="en-US"/>
              </w:rPr>
            </w:pPr>
            <w:r w:rsidRPr="0076160F">
              <w:rPr>
                <w:rFonts w:ascii="Calibri" w:hAnsi="Calibri"/>
                <w:lang w:val="en-US"/>
              </w:rPr>
              <w:t>Concessional loan discount expense and unwinding revenue</w:t>
            </w:r>
          </w:p>
        </w:tc>
        <w:tc>
          <w:tcPr>
            <w:tcW w:w="1090" w:type="dxa"/>
            <w:tcBorders>
              <w:top w:val="single" w:sz="4" w:space="0" w:color="auto"/>
              <w:left w:val="nil"/>
              <w:bottom w:val="single" w:sz="4" w:space="0" w:color="auto"/>
              <w:right w:val="nil"/>
            </w:tcBorders>
            <w:shd w:val="clear" w:color="auto" w:fill="auto"/>
            <w:vAlign w:val="top"/>
          </w:tcPr>
          <w:p w:rsidR="00FE6C7C" w:rsidRPr="0076160F" w:rsidRDefault="00FE6C7C" w:rsidP="009F3C70">
            <w:pPr>
              <w:ind w:left="57" w:right="57"/>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76160F">
              <w:rPr>
                <w:rFonts w:ascii="Calibri" w:hAnsi="Calibri"/>
                <w:lang w:val="en-US"/>
              </w:rPr>
              <w:t>Fiscal balance</w:t>
            </w:r>
          </w:p>
        </w:tc>
        <w:tc>
          <w:tcPr>
            <w:tcW w:w="7371" w:type="dxa"/>
            <w:tcBorders>
              <w:top w:val="single" w:sz="4" w:space="0" w:color="auto"/>
              <w:left w:val="nil"/>
              <w:bottom w:val="single" w:sz="4" w:space="0" w:color="auto"/>
              <w:right w:val="nil"/>
            </w:tcBorders>
            <w:shd w:val="clear" w:color="auto" w:fill="auto"/>
            <w:vAlign w:val="top"/>
          </w:tcPr>
          <w:p w:rsidR="00FE6C7C" w:rsidRPr="0076160F" w:rsidRDefault="00FE6C7C" w:rsidP="009F3C70">
            <w:pPr>
              <w:ind w:left="57" w:right="57"/>
              <w:cnfStyle w:val="000000000000" w:firstRow="0" w:lastRow="0" w:firstColumn="0" w:lastColumn="0" w:oddVBand="0" w:evenVBand="0" w:oddHBand="0" w:evenHBand="0" w:firstRowFirstColumn="0" w:firstRowLastColumn="0" w:lastRowFirstColumn="0" w:lastRowLastColumn="0"/>
              <w:rPr>
                <w:rFonts w:ascii="Calibri" w:hAnsi="Calibri"/>
              </w:rPr>
            </w:pPr>
            <w:r w:rsidRPr="0076160F">
              <w:rPr>
                <w:rFonts w:ascii="Calibri" w:hAnsi="Calibri"/>
              </w:rPr>
              <w:t xml:space="preserve">The net present value of the concession (based on the difference between the market and concessional interest rates) is captured as an expense in the fiscal balance. As loans are repaid, the remaining value of the concession reduces, so this expense is ‘unwound’ with a positive impact on the fiscal balance.  The concessional discount and its unwinding are not recognised in cash balances as there is no cash inflow or outflow.  </w:t>
            </w:r>
          </w:p>
        </w:tc>
      </w:tr>
      <w:tr w:rsidR="00FE6C7C" w:rsidRPr="0076160F" w:rsidTr="009F3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bottom w:val="single" w:sz="4" w:space="0" w:color="auto"/>
            </w:tcBorders>
            <w:shd w:val="clear" w:color="auto" w:fill="auto"/>
            <w:vAlign w:val="top"/>
          </w:tcPr>
          <w:p w:rsidR="00FE6C7C" w:rsidRPr="0076160F" w:rsidRDefault="00FE6C7C" w:rsidP="009F3C70">
            <w:pPr>
              <w:ind w:left="57" w:right="57"/>
              <w:rPr>
                <w:rFonts w:ascii="Calibri" w:hAnsi="Calibri"/>
                <w:lang w:val="en-US"/>
              </w:rPr>
            </w:pPr>
            <w:r w:rsidRPr="0076160F">
              <w:rPr>
                <w:rFonts w:ascii="Calibri" w:hAnsi="Calibri"/>
                <w:lang w:val="en-US"/>
              </w:rPr>
              <w:t>Write-offs</w:t>
            </w:r>
          </w:p>
        </w:tc>
        <w:tc>
          <w:tcPr>
            <w:tcW w:w="1090" w:type="dxa"/>
            <w:tcBorders>
              <w:top w:val="single" w:sz="4" w:space="0" w:color="auto"/>
              <w:bottom w:val="single" w:sz="4" w:space="0" w:color="auto"/>
            </w:tcBorders>
            <w:shd w:val="clear" w:color="auto" w:fill="auto"/>
            <w:vAlign w:val="top"/>
          </w:tcPr>
          <w:p w:rsidR="00FE6C7C" w:rsidRPr="0076160F" w:rsidRDefault="00FE6C7C" w:rsidP="009F3C70">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76160F">
              <w:rPr>
                <w:rFonts w:ascii="Calibri" w:hAnsi="Calibri"/>
                <w:lang w:val="en-US"/>
              </w:rPr>
              <w:t>Fiscal balance</w:t>
            </w:r>
          </w:p>
        </w:tc>
        <w:tc>
          <w:tcPr>
            <w:tcW w:w="7371" w:type="dxa"/>
            <w:tcBorders>
              <w:top w:val="single" w:sz="4" w:space="0" w:color="auto"/>
              <w:bottom w:val="single" w:sz="4" w:space="0" w:color="auto"/>
            </w:tcBorders>
            <w:shd w:val="clear" w:color="auto" w:fill="auto"/>
            <w:vAlign w:val="top"/>
          </w:tcPr>
          <w:p w:rsidR="00FE6C7C" w:rsidRPr="0076160F" w:rsidRDefault="00FE6C7C" w:rsidP="009F3C70">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76160F">
              <w:rPr>
                <w:rFonts w:ascii="Calibri" w:hAnsi="Calibri"/>
                <w:lang w:val="en-US"/>
              </w:rPr>
              <w:t>Debt forgiveness, also known as mutually agreed write-downs (</w:t>
            </w:r>
            <w:r w:rsidRPr="0076160F">
              <w:rPr>
                <w:rFonts w:ascii="Calibri" w:hAnsi="Calibri"/>
              </w:rPr>
              <w:t xml:space="preserve">for example in the case of </w:t>
            </w:r>
            <w:r>
              <w:rPr>
                <w:rFonts w:ascii="Calibri" w:hAnsi="Calibri"/>
              </w:rPr>
              <w:t xml:space="preserve">the </w:t>
            </w:r>
            <w:r w:rsidRPr="0076160F">
              <w:rPr>
                <w:rFonts w:ascii="Calibri" w:hAnsi="Calibri"/>
              </w:rPr>
              <w:t>death of the borrower of a HELP loan) are expensed when they occur</w:t>
            </w:r>
            <w:proofErr w:type="gramStart"/>
            <w:r w:rsidRPr="0076160F">
              <w:rPr>
                <w:rFonts w:ascii="Calibri" w:hAnsi="Calibri"/>
              </w:rPr>
              <w:t>, reducing</w:t>
            </w:r>
            <w:proofErr w:type="gramEnd"/>
            <w:r w:rsidRPr="0076160F">
              <w:rPr>
                <w:rFonts w:ascii="Calibri" w:hAnsi="Calibri"/>
              </w:rPr>
              <w:t xml:space="preserve"> the fiscal balance.  These transactions do not affect the cash balances as no cash flows occur.</w:t>
            </w:r>
          </w:p>
        </w:tc>
      </w:tr>
      <w:tr w:rsidR="00FE6C7C" w:rsidRPr="0076160F" w:rsidTr="009F3C70">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left w:val="nil"/>
              <w:bottom w:val="single" w:sz="4" w:space="0" w:color="auto"/>
              <w:right w:val="nil"/>
            </w:tcBorders>
            <w:shd w:val="clear" w:color="auto" w:fill="auto"/>
            <w:vAlign w:val="top"/>
          </w:tcPr>
          <w:p w:rsidR="00FE6C7C" w:rsidRPr="0076160F" w:rsidRDefault="00FE6C7C" w:rsidP="009F3C70">
            <w:pPr>
              <w:ind w:left="57" w:right="57"/>
              <w:rPr>
                <w:rFonts w:ascii="Calibri" w:hAnsi="Calibri"/>
                <w:lang w:val="en-US"/>
              </w:rPr>
            </w:pPr>
            <w:r w:rsidRPr="0076160F">
              <w:rPr>
                <w:rFonts w:ascii="Calibri" w:hAnsi="Calibri"/>
                <w:lang w:val="en-US"/>
              </w:rPr>
              <w:t>Initial loan; principal repayments</w:t>
            </w:r>
          </w:p>
        </w:tc>
        <w:tc>
          <w:tcPr>
            <w:tcW w:w="1090" w:type="dxa"/>
            <w:tcBorders>
              <w:top w:val="single" w:sz="4" w:space="0" w:color="auto"/>
              <w:left w:val="nil"/>
              <w:bottom w:val="single" w:sz="4" w:space="0" w:color="auto"/>
              <w:right w:val="nil"/>
            </w:tcBorders>
            <w:shd w:val="clear" w:color="auto" w:fill="auto"/>
            <w:vAlign w:val="top"/>
          </w:tcPr>
          <w:p w:rsidR="00FE6C7C" w:rsidRPr="0076160F" w:rsidRDefault="00FE6C7C" w:rsidP="009F3C70">
            <w:pPr>
              <w:ind w:left="57" w:right="57"/>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76160F">
              <w:rPr>
                <w:rFonts w:ascii="Calibri" w:hAnsi="Calibri"/>
                <w:lang w:val="en-US"/>
              </w:rPr>
              <w:t>Headline cash balance</w:t>
            </w:r>
          </w:p>
        </w:tc>
        <w:tc>
          <w:tcPr>
            <w:tcW w:w="7371" w:type="dxa"/>
            <w:tcBorders>
              <w:top w:val="single" w:sz="4" w:space="0" w:color="auto"/>
              <w:left w:val="nil"/>
              <w:bottom w:val="single" w:sz="4" w:space="0" w:color="auto"/>
              <w:right w:val="nil"/>
            </w:tcBorders>
            <w:shd w:val="clear" w:color="auto" w:fill="auto"/>
            <w:vAlign w:val="top"/>
          </w:tcPr>
          <w:p w:rsidR="00FE6C7C" w:rsidRPr="0076160F" w:rsidRDefault="00FE6C7C" w:rsidP="009F3C70">
            <w:pPr>
              <w:ind w:left="57" w:right="57"/>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76160F">
              <w:rPr>
                <w:rFonts w:ascii="Calibri" w:hAnsi="Calibri"/>
              </w:rPr>
              <w:t xml:space="preserve">Higher estimates of loans not expected to be repaid lowers principal repayments.  These transactions are not included in the </w:t>
            </w:r>
            <w:r>
              <w:rPr>
                <w:rFonts w:ascii="Calibri" w:hAnsi="Calibri"/>
              </w:rPr>
              <w:t>underlying cash balance or fiscal</w:t>
            </w:r>
            <w:r w:rsidRPr="0076160F">
              <w:rPr>
                <w:rFonts w:ascii="Calibri" w:hAnsi="Calibri"/>
              </w:rPr>
              <w:t xml:space="preserve"> balance</w:t>
            </w:r>
            <w:r>
              <w:rPr>
                <w:rFonts w:ascii="Calibri" w:hAnsi="Calibri"/>
              </w:rPr>
              <w:t xml:space="preserve"> </w:t>
            </w:r>
            <w:r w:rsidRPr="0076160F">
              <w:rPr>
                <w:rFonts w:ascii="Calibri" w:hAnsi="Calibri"/>
              </w:rPr>
              <w:t xml:space="preserve">as they involve the exchange of one financial asset (loan) for another (cash).  </w:t>
            </w:r>
          </w:p>
        </w:tc>
      </w:tr>
      <w:tr w:rsidR="00FE6C7C" w:rsidRPr="0076160F" w:rsidTr="009F3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bottom w:val="single" w:sz="4" w:space="0" w:color="auto"/>
            </w:tcBorders>
            <w:shd w:val="clear" w:color="auto" w:fill="auto"/>
            <w:vAlign w:val="top"/>
          </w:tcPr>
          <w:p w:rsidR="00FE6C7C" w:rsidRPr="0076160F" w:rsidRDefault="00FE6C7C" w:rsidP="009F3C70">
            <w:pPr>
              <w:ind w:left="57" w:right="57"/>
              <w:rPr>
                <w:rFonts w:ascii="Calibri" w:hAnsi="Calibri"/>
                <w:lang w:val="en-US"/>
              </w:rPr>
            </w:pPr>
            <w:r w:rsidRPr="0076160F">
              <w:rPr>
                <w:rFonts w:ascii="Calibri" w:hAnsi="Calibri"/>
                <w:lang w:val="en-US"/>
              </w:rPr>
              <w:t>Public debt interest (PDI)</w:t>
            </w:r>
          </w:p>
        </w:tc>
        <w:tc>
          <w:tcPr>
            <w:tcW w:w="1090" w:type="dxa"/>
            <w:tcBorders>
              <w:top w:val="single" w:sz="4" w:space="0" w:color="auto"/>
              <w:bottom w:val="single" w:sz="4" w:space="0" w:color="auto"/>
            </w:tcBorders>
            <w:shd w:val="clear" w:color="auto" w:fill="auto"/>
            <w:vAlign w:val="top"/>
          </w:tcPr>
          <w:p w:rsidR="00FE6C7C" w:rsidRPr="0076160F" w:rsidRDefault="00FE6C7C" w:rsidP="009F3C70">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76160F">
              <w:rPr>
                <w:rFonts w:ascii="Calibri" w:hAnsi="Calibri"/>
                <w:lang w:val="en-US"/>
              </w:rPr>
              <w:t>All budget aggregates</w:t>
            </w:r>
          </w:p>
        </w:tc>
        <w:tc>
          <w:tcPr>
            <w:tcW w:w="7371" w:type="dxa"/>
            <w:tcBorders>
              <w:top w:val="single" w:sz="4" w:space="0" w:color="auto"/>
              <w:bottom w:val="single" w:sz="4" w:space="0" w:color="auto"/>
            </w:tcBorders>
            <w:shd w:val="clear" w:color="auto" w:fill="auto"/>
            <w:vAlign w:val="top"/>
          </w:tcPr>
          <w:p w:rsidR="00FE6C7C" w:rsidRPr="0076160F" w:rsidRDefault="00FE6C7C" w:rsidP="009F3C70">
            <w:pPr>
              <w:ind w:left="57" w:right="57"/>
              <w:cnfStyle w:val="000000100000" w:firstRow="0" w:lastRow="0" w:firstColumn="0" w:lastColumn="0" w:oddVBand="0" w:evenVBand="0" w:oddHBand="1" w:evenHBand="0" w:firstRowFirstColumn="0" w:firstRowLastColumn="0" w:lastRowFirstColumn="0" w:lastRowLastColumn="0"/>
              <w:rPr>
                <w:rFonts w:ascii="Calibri" w:hAnsi="Calibri"/>
              </w:rPr>
            </w:pPr>
            <w:r w:rsidRPr="0076160F">
              <w:rPr>
                <w:rFonts w:ascii="Calibri" w:hAnsi="Calibri"/>
              </w:rPr>
              <w:t>The PDI impact is the cost of the change in the government’s borrowing requirements to fund the loans.  The net headline cash balance impact excluding PDI is used</w:t>
            </w:r>
            <w:r w:rsidRPr="0076160F" w:rsidDel="00727D7F">
              <w:rPr>
                <w:rFonts w:ascii="Calibri" w:hAnsi="Calibri"/>
              </w:rPr>
              <w:t xml:space="preserve"> </w:t>
            </w:r>
            <w:r w:rsidRPr="0076160F">
              <w:rPr>
                <w:rFonts w:ascii="Calibri" w:hAnsi="Calibri"/>
              </w:rPr>
              <w:t xml:space="preserve">to estimate the proposal’s impact on PDI payments.  </w:t>
            </w:r>
          </w:p>
        </w:tc>
      </w:tr>
    </w:tbl>
    <w:p w:rsidR="00FE70CB" w:rsidRPr="001D255F" w:rsidRDefault="00FE70CB" w:rsidP="001D255F">
      <w:pPr>
        <w:pStyle w:val="BodyText"/>
        <w:spacing w:before="0" w:after="0" w:line="240" w:lineRule="auto"/>
        <w:rPr>
          <w:sz w:val="16"/>
          <w:szCs w:val="16"/>
        </w:rPr>
      </w:pPr>
    </w:p>
    <w:sectPr w:rsidR="00FE70CB" w:rsidRPr="001D255F" w:rsidSect="00131861">
      <w:footerReference w:type="default" r:id="rId21"/>
      <w:pgSz w:w="11907" w:h="16839" w:code="9"/>
      <w:pgMar w:top="1134" w:right="992" w:bottom="1134" w:left="992"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085" w:rsidRDefault="00F03085" w:rsidP="00A20802">
      <w:pPr>
        <w:spacing w:line="240" w:lineRule="auto"/>
      </w:pPr>
      <w:r>
        <w:separator/>
      </w:r>
    </w:p>
    <w:p w:rsidR="00F03085" w:rsidRDefault="00F03085"/>
    <w:p w:rsidR="00F03085" w:rsidRDefault="00F03085"/>
  </w:endnote>
  <w:endnote w:type="continuationSeparator" w:id="0">
    <w:p w:rsidR="00F03085" w:rsidRDefault="00F03085" w:rsidP="00A20802">
      <w:pPr>
        <w:spacing w:line="240" w:lineRule="auto"/>
      </w:pPr>
      <w:r>
        <w:continuationSeparator/>
      </w:r>
    </w:p>
    <w:p w:rsidR="00F03085" w:rsidRDefault="00F03085"/>
    <w:p w:rsidR="00F03085" w:rsidRDefault="00F0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85" w:rsidRPr="00015E04" w:rsidRDefault="00F03085" w:rsidP="00425534">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sidRPr="0001113E">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BF5EB0">
      <w:rPr>
        <w:rStyle w:val="FooterChar"/>
        <w:b/>
        <w:noProof/>
      </w:rPr>
      <w:t>2</w:t>
    </w:r>
    <w:r w:rsidRPr="002C4DA6">
      <w:rPr>
        <w:rStyle w:val="FooterChar"/>
        <w:b/>
      </w:rPr>
      <w:fldChar w:fldCharType="end"/>
    </w:r>
    <w:r w:rsidRPr="002C4DA6">
      <w:rPr>
        <w:rStyle w:val="FooterChar"/>
        <w:b/>
      </w:rPr>
      <w:t xml:space="preserve"> of</w:t>
    </w:r>
    <w:r w:rsidR="0001113E">
      <w:rPr>
        <w:rStyle w:val="FooterChar"/>
        <w:b/>
      </w:rPr>
      <w:t xml:space="preserve"> 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85" w:rsidRPr="007A47D0" w:rsidRDefault="00F03085" w:rsidP="004D01F1">
    <w:pPr>
      <w:pStyle w:val="Footer"/>
      <w:tabs>
        <w:tab w:val="center" w:pos="4536"/>
        <w:tab w:val="right" w:pos="9072"/>
      </w:tabs>
      <w:spacing w:before="120"/>
      <w:rPr>
        <w:rFonts w:ascii="Calibri" w:hAnsi="Calibri" w:cs="Arial"/>
        <w:color w:val="FF0000"/>
        <w:sz w:val="40"/>
        <w:szCs w:val="40"/>
      </w:rPr>
    </w:pPr>
    <w:r w:rsidRPr="00DB1DDD">
      <w:rPr>
        <w:rStyle w:val="FooterChar"/>
        <w:rFonts w:ascii="Calibri" w:hAnsi="Calibri" w:cs="Arial"/>
        <w:b/>
      </w:rPr>
      <w:t>PBO reference</w:t>
    </w:r>
    <w:r>
      <w:rPr>
        <w:rStyle w:val="FooterChar"/>
        <w:rFonts w:ascii="Calibri" w:hAnsi="Calibri" w:cs="Arial"/>
        <w:b/>
      </w:rPr>
      <w:t>s PR18/00544 and PR18/00595</w:t>
    </w:r>
    <w:r w:rsidRPr="00DB1DDD">
      <w:rPr>
        <w:rStyle w:val="FooterChar"/>
        <w:rFonts w:ascii="Calibri" w:hAnsi="Calibri" w:cs="Arial"/>
        <w:b/>
      </w:rPr>
      <w:t xml:space="preserve"> </w:t>
    </w:r>
    <w:r w:rsidRPr="009B70E6">
      <w:rPr>
        <w:rStyle w:val="FooterChar"/>
        <w:rFonts w:ascii="Calibri" w:hAnsi="Calibri" w:cs="Arial"/>
        <w:b/>
        <w:sz w:val="20"/>
        <w:szCs w:val="20"/>
      </w:rPr>
      <w:tab/>
    </w:r>
    <w:r w:rsidRPr="0001113E">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BF5EB0">
      <w:rPr>
        <w:rStyle w:val="FooterChar"/>
        <w:b/>
        <w:noProof/>
      </w:rPr>
      <w:t>1</w:t>
    </w:r>
    <w:r w:rsidRPr="002C4DA6">
      <w:rPr>
        <w:rStyle w:val="FooterChar"/>
        <w:b/>
      </w:rPr>
      <w:fldChar w:fldCharType="end"/>
    </w:r>
    <w:r w:rsidRPr="002C4DA6">
      <w:rPr>
        <w:rStyle w:val="FooterChar"/>
        <w:b/>
      </w:rPr>
      <w:t xml:space="preserve"> of </w:t>
    </w:r>
    <w:r w:rsidR="0001113E">
      <w:rPr>
        <w:rStyle w:val="FooterChar"/>
        <w:b/>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85" w:rsidRPr="00015E04" w:rsidRDefault="00F03085" w:rsidP="002E5CE6">
    <w:pPr>
      <w:pStyle w:val="Footer"/>
      <w:tabs>
        <w:tab w:val="center" w:pos="4962"/>
        <w:tab w:val="right" w:pos="9923"/>
      </w:tabs>
      <w:spacing w:before="120"/>
      <w:rPr>
        <w:rFonts w:ascii="Calibri" w:hAnsi="Calibri" w:cs="Arial"/>
        <w:color w:val="FF0000"/>
        <w:sz w:val="40"/>
        <w:szCs w:val="40"/>
      </w:rPr>
    </w:pPr>
    <w:r>
      <w:rPr>
        <w:rStyle w:val="FooterChar"/>
        <w:rFonts w:ascii="Calibri" w:hAnsi="Calibri" w:cs="Arial"/>
        <w:b/>
        <w:color w:val="FF0000"/>
        <w:sz w:val="40"/>
        <w:szCs w:val="40"/>
      </w:rPr>
      <w:tab/>
    </w:r>
    <w:r w:rsidRPr="0001113E">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BF5EB0">
      <w:rPr>
        <w:rStyle w:val="FooterChar"/>
        <w:b/>
        <w:noProof/>
      </w:rPr>
      <w:t>13</w:t>
    </w:r>
    <w:r w:rsidRPr="002C4DA6">
      <w:rPr>
        <w:rStyle w:val="FooterChar"/>
        <w:b/>
      </w:rPr>
      <w:fldChar w:fldCharType="end"/>
    </w:r>
    <w:r w:rsidRPr="002C4DA6">
      <w:rPr>
        <w:rStyle w:val="FooterChar"/>
        <w:b/>
      </w:rPr>
      <w:t xml:space="preserve"> of </w:t>
    </w:r>
    <w:r w:rsidR="0001113E">
      <w:rPr>
        <w:rStyle w:val="FooterChar"/>
        <w:b/>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085" w:rsidRPr="000557A7" w:rsidRDefault="00F03085" w:rsidP="008D5A11">
      <w:pPr>
        <w:pBdr>
          <w:top w:val="single" w:sz="4" w:space="1" w:color="auto"/>
        </w:pBdr>
        <w:spacing w:before="240" w:line="60" w:lineRule="exact"/>
        <w:rPr>
          <w:sz w:val="16"/>
          <w:szCs w:val="16"/>
        </w:rPr>
      </w:pPr>
    </w:p>
  </w:footnote>
  <w:footnote w:type="continuationSeparator" w:id="0">
    <w:p w:rsidR="00F03085" w:rsidRDefault="00F03085" w:rsidP="00A20802">
      <w:pPr>
        <w:spacing w:line="240" w:lineRule="auto"/>
      </w:pPr>
      <w:r>
        <w:continuationSeparator/>
      </w:r>
    </w:p>
    <w:p w:rsidR="00F03085" w:rsidRDefault="00F03085"/>
    <w:p w:rsidR="00F03085" w:rsidRDefault="00F03085"/>
  </w:footnote>
  <w:footnote w:id="1">
    <w:p w:rsidR="00F03085" w:rsidRDefault="00F03085" w:rsidP="00FE6C7C">
      <w:pPr>
        <w:pStyle w:val="FootnoteText"/>
        <w:spacing w:before="0" w:line="240" w:lineRule="auto"/>
      </w:pPr>
      <w:r>
        <w:rPr>
          <w:rStyle w:val="FootnoteReference"/>
        </w:rPr>
        <w:footnoteRef/>
      </w:r>
      <w:r>
        <w:t xml:space="preserve"> </w:t>
      </w:r>
      <w:r w:rsidRPr="009661B7">
        <w:rPr>
          <w:lang w:val="en-US"/>
        </w:rPr>
        <w:t>The PBO’s treatment of these loans is consistent with the Department of Finance costing guidelines</w:t>
      </w:r>
      <w:r>
        <w:rPr>
          <w:lang w:val="en-US"/>
        </w:rPr>
        <w:t xml:space="preserve">.  </w:t>
      </w:r>
    </w:p>
  </w:footnote>
  <w:footnote w:id="2">
    <w:p w:rsidR="00F03085" w:rsidRDefault="00F03085" w:rsidP="00FE6C7C">
      <w:pPr>
        <w:pStyle w:val="FootnoteText"/>
        <w:tabs>
          <w:tab w:val="clear" w:pos="425"/>
          <w:tab w:val="left" w:pos="0"/>
        </w:tabs>
        <w:spacing w:before="0" w:line="240" w:lineRule="auto"/>
        <w:ind w:left="0" w:firstLine="0"/>
      </w:pPr>
      <w:r>
        <w:rPr>
          <w:rStyle w:val="FootnoteReference"/>
        </w:rPr>
        <w:footnoteRef/>
      </w:r>
      <w:r>
        <w:t xml:space="preserve"> </w:t>
      </w:r>
      <w:proofErr w:type="spellStart"/>
      <w:r>
        <w:t>Th</w:t>
      </w:r>
      <w:proofErr w:type="spellEnd"/>
      <w:r w:rsidRPr="00115ECD">
        <w:rPr>
          <w:lang w:val="en-US"/>
        </w:rPr>
        <w:t xml:space="preserve">is </w:t>
      </w:r>
      <w:proofErr w:type="spellStart"/>
      <w:r w:rsidRPr="00115ECD">
        <w:rPr>
          <w:lang w:val="en-US"/>
        </w:rPr>
        <w:t>is</w:t>
      </w:r>
      <w:proofErr w:type="spellEnd"/>
      <w:r w:rsidRPr="00115ECD">
        <w:rPr>
          <w:lang w:val="en-US"/>
        </w:rPr>
        <w:t xml:space="preserve"> in accordance with PBO Guidance 02/2015 and the Charter of Budget Honesty Policy Costing Guidelines which specify that costings of proposals that ‘involve transactions of financial assets’ need to take into account the impact on PDI payments.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86" w:rsidRPr="009A3386" w:rsidRDefault="009A3386" w:rsidP="009A3386">
    <w:pPr>
      <w:pStyle w:val="Header"/>
      <w:jc w:val="center"/>
      <w:rPr>
        <w:rFonts w:ascii="Calibri" w:hAnsi="Calibri"/>
        <w:b/>
        <w:strike/>
        <w:color w:val="FF0000"/>
        <w:sz w:val="40"/>
        <w:szCs w:val="40"/>
      </w:rPr>
    </w:pPr>
    <w:r w:rsidRPr="0001113E">
      <w:rPr>
        <w:rFonts w:ascii="Calibri" w:hAnsi="Calibri"/>
        <w:b/>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85" w:rsidRPr="0001113E" w:rsidRDefault="00F03085" w:rsidP="002C4DA6">
    <w:pPr>
      <w:pStyle w:val="Header"/>
      <w:jc w:val="center"/>
      <w:rPr>
        <w:rFonts w:ascii="Calibri" w:hAnsi="Calibri"/>
        <w:b/>
        <w:strike/>
        <w:color w:val="FF0000"/>
        <w:sz w:val="40"/>
        <w:szCs w:val="40"/>
      </w:rPr>
    </w:pPr>
    <w:r w:rsidRPr="0001113E">
      <w:rPr>
        <w:rFonts w:ascii="Calibri" w:hAnsi="Calibri"/>
        <w:b/>
        <w:strike/>
        <w:color w:val="FF0000"/>
        <w:sz w:val="40"/>
        <w:szCs w:val="40"/>
      </w:rPr>
      <w:t>Sensitive</w:t>
    </w:r>
  </w:p>
  <w:p w:rsidR="00F03085" w:rsidRPr="0046444F" w:rsidRDefault="00F03085" w:rsidP="0046444F">
    <w:pPr>
      <w:pStyle w:val="Header"/>
    </w:pPr>
    <w:r>
      <w:rPr>
        <w:noProof/>
        <w:lang w:eastAsia="en-AU"/>
      </w:rPr>
      <w:drawing>
        <wp:inline distT="0" distB="0" distL="0" distR="0" wp14:anchorId="68D8C362" wp14:editId="5ECC83E1">
          <wp:extent cx="1934491" cy="5760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BO Logo In Line_Black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491"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2CA8A22A"/>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B9B2787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40041CBC"/>
    <w:multiLevelType w:val="hybridMultilevel"/>
    <w:tmpl w:val="1F9C214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9">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1">
    <w:nsid w:val="6A0508D3"/>
    <w:multiLevelType w:val="hybridMultilevel"/>
    <w:tmpl w:val="5A606F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4">
    <w:nsid w:val="70D202B3"/>
    <w:multiLevelType w:val="hybridMultilevel"/>
    <w:tmpl w:val="BC161136"/>
    <w:lvl w:ilvl="0" w:tplc="27683D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0"/>
  </w:num>
  <w:num w:numId="2">
    <w:abstractNumId w:val="0"/>
  </w:num>
  <w:num w:numId="3">
    <w:abstractNumId w:val="15"/>
  </w:num>
  <w:num w:numId="4">
    <w:abstractNumId w:val="7"/>
  </w:num>
  <w:num w:numId="5">
    <w:abstractNumId w:val="6"/>
  </w:num>
  <w:num w:numId="6">
    <w:abstractNumId w:val="13"/>
  </w:num>
  <w:num w:numId="7">
    <w:abstractNumId w:val="2"/>
  </w:num>
  <w:num w:numId="8">
    <w:abstractNumId w:val="3"/>
  </w:num>
  <w:num w:numId="9">
    <w:abstractNumId w:val="12"/>
  </w:num>
  <w:num w:numId="10">
    <w:abstractNumId w:val="1"/>
  </w:num>
  <w:num w:numId="11">
    <w:abstractNumId w:val="5"/>
  </w:num>
  <w:num w:numId="12">
    <w:abstractNumId w:val="4"/>
  </w:num>
  <w:num w:numId="13">
    <w:abstractNumId w:val="0"/>
  </w:num>
  <w:num w:numId="14">
    <w:abstractNumId w:val="0"/>
  </w:num>
  <w:num w:numId="15">
    <w:abstractNumId w:val="0"/>
  </w:num>
  <w:num w:numId="16">
    <w:abstractNumId w:val="11"/>
  </w:num>
  <w:num w:numId="17">
    <w:abstractNumId w:val="0"/>
  </w:num>
  <w:num w:numId="18">
    <w:abstractNumId w:val="9"/>
  </w:num>
  <w:num w:numId="19">
    <w:abstractNumId w:val="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4"/>
  </w:num>
  <w:num w:numId="3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6E7AF8"/>
    <w:rsid w:val="0000071C"/>
    <w:rsid w:val="00001832"/>
    <w:rsid w:val="0000322C"/>
    <w:rsid w:val="00003CDD"/>
    <w:rsid w:val="0001113E"/>
    <w:rsid w:val="00011FBB"/>
    <w:rsid w:val="00013620"/>
    <w:rsid w:val="0001406F"/>
    <w:rsid w:val="00015E04"/>
    <w:rsid w:val="000168A7"/>
    <w:rsid w:val="00016D53"/>
    <w:rsid w:val="0001732C"/>
    <w:rsid w:val="00021E91"/>
    <w:rsid w:val="00027384"/>
    <w:rsid w:val="000278D0"/>
    <w:rsid w:val="00027E62"/>
    <w:rsid w:val="000300A8"/>
    <w:rsid w:val="000307C8"/>
    <w:rsid w:val="00030F73"/>
    <w:rsid w:val="00032712"/>
    <w:rsid w:val="00033326"/>
    <w:rsid w:val="00035ADE"/>
    <w:rsid w:val="0004074C"/>
    <w:rsid w:val="0004224B"/>
    <w:rsid w:val="00046226"/>
    <w:rsid w:val="00046F23"/>
    <w:rsid w:val="000505FB"/>
    <w:rsid w:val="0005330D"/>
    <w:rsid w:val="000557A7"/>
    <w:rsid w:val="00055805"/>
    <w:rsid w:val="00056CB3"/>
    <w:rsid w:val="0005793B"/>
    <w:rsid w:val="00060E0C"/>
    <w:rsid w:val="00061758"/>
    <w:rsid w:val="000629AE"/>
    <w:rsid w:val="00062C01"/>
    <w:rsid w:val="00062C28"/>
    <w:rsid w:val="00065125"/>
    <w:rsid w:val="00066D54"/>
    <w:rsid w:val="00067A28"/>
    <w:rsid w:val="000702E4"/>
    <w:rsid w:val="0007260F"/>
    <w:rsid w:val="000739CB"/>
    <w:rsid w:val="00073C89"/>
    <w:rsid w:val="0007488E"/>
    <w:rsid w:val="000805D5"/>
    <w:rsid w:val="0008103B"/>
    <w:rsid w:val="00085F97"/>
    <w:rsid w:val="000879B1"/>
    <w:rsid w:val="00092A33"/>
    <w:rsid w:val="00092AA6"/>
    <w:rsid w:val="00093F3D"/>
    <w:rsid w:val="000973F9"/>
    <w:rsid w:val="00097A23"/>
    <w:rsid w:val="000A0848"/>
    <w:rsid w:val="000A2FEC"/>
    <w:rsid w:val="000A348F"/>
    <w:rsid w:val="000B00DE"/>
    <w:rsid w:val="000B1B0C"/>
    <w:rsid w:val="000B4345"/>
    <w:rsid w:val="000B5900"/>
    <w:rsid w:val="000B60AE"/>
    <w:rsid w:val="000B6942"/>
    <w:rsid w:val="000B6D00"/>
    <w:rsid w:val="000C09FA"/>
    <w:rsid w:val="000C1AB0"/>
    <w:rsid w:val="000C2981"/>
    <w:rsid w:val="000C37A9"/>
    <w:rsid w:val="000C6728"/>
    <w:rsid w:val="000C702E"/>
    <w:rsid w:val="000D15E9"/>
    <w:rsid w:val="000D28CB"/>
    <w:rsid w:val="000D3182"/>
    <w:rsid w:val="000D45C4"/>
    <w:rsid w:val="000D46B3"/>
    <w:rsid w:val="000E18F3"/>
    <w:rsid w:val="000E19AC"/>
    <w:rsid w:val="000E266E"/>
    <w:rsid w:val="000E4C7B"/>
    <w:rsid w:val="000F1515"/>
    <w:rsid w:val="000F16B5"/>
    <w:rsid w:val="000F616E"/>
    <w:rsid w:val="000F7D50"/>
    <w:rsid w:val="00102A46"/>
    <w:rsid w:val="00110D43"/>
    <w:rsid w:val="001156D2"/>
    <w:rsid w:val="001159EA"/>
    <w:rsid w:val="00120A75"/>
    <w:rsid w:val="00120B8A"/>
    <w:rsid w:val="001243B9"/>
    <w:rsid w:val="00125410"/>
    <w:rsid w:val="00130858"/>
    <w:rsid w:val="00131861"/>
    <w:rsid w:val="00134ADF"/>
    <w:rsid w:val="00136C26"/>
    <w:rsid w:val="00136E90"/>
    <w:rsid w:val="0014021D"/>
    <w:rsid w:val="0014059F"/>
    <w:rsid w:val="00141551"/>
    <w:rsid w:val="001417CE"/>
    <w:rsid w:val="0014479F"/>
    <w:rsid w:val="001453E9"/>
    <w:rsid w:val="00146B30"/>
    <w:rsid w:val="00146EAD"/>
    <w:rsid w:val="00150B5E"/>
    <w:rsid w:val="0015256E"/>
    <w:rsid w:val="001541BF"/>
    <w:rsid w:val="00154DC5"/>
    <w:rsid w:val="00160C8D"/>
    <w:rsid w:val="001616E8"/>
    <w:rsid w:val="001629C0"/>
    <w:rsid w:val="00165122"/>
    <w:rsid w:val="00165854"/>
    <w:rsid w:val="00166078"/>
    <w:rsid w:val="00166A15"/>
    <w:rsid w:val="001711BC"/>
    <w:rsid w:val="00172569"/>
    <w:rsid w:val="001738DB"/>
    <w:rsid w:val="001738F5"/>
    <w:rsid w:val="00173DFD"/>
    <w:rsid w:val="001778C4"/>
    <w:rsid w:val="00180FF9"/>
    <w:rsid w:val="00181354"/>
    <w:rsid w:val="00181782"/>
    <w:rsid w:val="0018234C"/>
    <w:rsid w:val="0018748B"/>
    <w:rsid w:val="00191972"/>
    <w:rsid w:val="0019204F"/>
    <w:rsid w:val="0019206B"/>
    <w:rsid w:val="00195228"/>
    <w:rsid w:val="00195696"/>
    <w:rsid w:val="00196532"/>
    <w:rsid w:val="001A1814"/>
    <w:rsid w:val="001A1DA1"/>
    <w:rsid w:val="001A1EFC"/>
    <w:rsid w:val="001A48EF"/>
    <w:rsid w:val="001A49CC"/>
    <w:rsid w:val="001A5553"/>
    <w:rsid w:val="001A716E"/>
    <w:rsid w:val="001B18C6"/>
    <w:rsid w:val="001B2C65"/>
    <w:rsid w:val="001B4255"/>
    <w:rsid w:val="001B62F2"/>
    <w:rsid w:val="001B7058"/>
    <w:rsid w:val="001C3544"/>
    <w:rsid w:val="001C3A4F"/>
    <w:rsid w:val="001C4121"/>
    <w:rsid w:val="001C48DE"/>
    <w:rsid w:val="001C56E5"/>
    <w:rsid w:val="001C5FD0"/>
    <w:rsid w:val="001C6896"/>
    <w:rsid w:val="001C7F8D"/>
    <w:rsid w:val="001D255F"/>
    <w:rsid w:val="001D30C1"/>
    <w:rsid w:val="001D52E3"/>
    <w:rsid w:val="001D576F"/>
    <w:rsid w:val="001D7C29"/>
    <w:rsid w:val="001E0475"/>
    <w:rsid w:val="001E23E6"/>
    <w:rsid w:val="001E33C2"/>
    <w:rsid w:val="001E708A"/>
    <w:rsid w:val="001F2AAD"/>
    <w:rsid w:val="001F5C90"/>
    <w:rsid w:val="001F767C"/>
    <w:rsid w:val="001F7B10"/>
    <w:rsid w:val="00203885"/>
    <w:rsid w:val="00203A7B"/>
    <w:rsid w:val="002057EF"/>
    <w:rsid w:val="00205C6E"/>
    <w:rsid w:val="00210074"/>
    <w:rsid w:val="00210FCF"/>
    <w:rsid w:val="0021542F"/>
    <w:rsid w:val="00216724"/>
    <w:rsid w:val="00216DC5"/>
    <w:rsid w:val="00216E3F"/>
    <w:rsid w:val="002179B6"/>
    <w:rsid w:val="00220A62"/>
    <w:rsid w:val="00221F1D"/>
    <w:rsid w:val="00222EFF"/>
    <w:rsid w:val="002240D5"/>
    <w:rsid w:val="0022510F"/>
    <w:rsid w:val="002261A7"/>
    <w:rsid w:val="00226AEC"/>
    <w:rsid w:val="0023077A"/>
    <w:rsid w:val="00235C95"/>
    <w:rsid w:val="002360AE"/>
    <w:rsid w:val="00236358"/>
    <w:rsid w:val="0024605B"/>
    <w:rsid w:val="002471F2"/>
    <w:rsid w:val="0025077B"/>
    <w:rsid w:val="002545F3"/>
    <w:rsid w:val="00256ECE"/>
    <w:rsid w:val="0026257E"/>
    <w:rsid w:val="0026344F"/>
    <w:rsid w:val="00266A17"/>
    <w:rsid w:val="00270372"/>
    <w:rsid w:val="00275534"/>
    <w:rsid w:val="00277075"/>
    <w:rsid w:val="002775D2"/>
    <w:rsid w:val="0028130E"/>
    <w:rsid w:val="00281ADD"/>
    <w:rsid w:val="0028563E"/>
    <w:rsid w:val="00287823"/>
    <w:rsid w:val="0028792D"/>
    <w:rsid w:val="00293E0D"/>
    <w:rsid w:val="00293E80"/>
    <w:rsid w:val="00295DBC"/>
    <w:rsid w:val="00296565"/>
    <w:rsid w:val="002973B0"/>
    <w:rsid w:val="00297C14"/>
    <w:rsid w:val="002A14B7"/>
    <w:rsid w:val="002A220F"/>
    <w:rsid w:val="002A24F1"/>
    <w:rsid w:val="002A43A0"/>
    <w:rsid w:val="002A45A3"/>
    <w:rsid w:val="002A5778"/>
    <w:rsid w:val="002A6E3B"/>
    <w:rsid w:val="002B1C24"/>
    <w:rsid w:val="002B1E84"/>
    <w:rsid w:val="002B2085"/>
    <w:rsid w:val="002B3EC4"/>
    <w:rsid w:val="002C2437"/>
    <w:rsid w:val="002C3477"/>
    <w:rsid w:val="002C37D5"/>
    <w:rsid w:val="002C4DA6"/>
    <w:rsid w:val="002C60A0"/>
    <w:rsid w:val="002D0BAB"/>
    <w:rsid w:val="002D18E1"/>
    <w:rsid w:val="002D239A"/>
    <w:rsid w:val="002D34DB"/>
    <w:rsid w:val="002D42D0"/>
    <w:rsid w:val="002D48BE"/>
    <w:rsid w:val="002D4B11"/>
    <w:rsid w:val="002D7323"/>
    <w:rsid w:val="002E1772"/>
    <w:rsid w:val="002E5633"/>
    <w:rsid w:val="002E5CE6"/>
    <w:rsid w:val="002F0A5B"/>
    <w:rsid w:val="002F1963"/>
    <w:rsid w:val="002F5B6E"/>
    <w:rsid w:val="002F61B5"/>
    <w:rsid w:val="00300066"/>
    <w:rsid w:val="0030209B"/>
    <w:rsid w:val="00310B20"/>
    <w:rsid w:val="00311135"/>
    <w:rsid w:val="003116DE"/>
    <w:rsid w:val="00312494"/>
    <w:rsid w:val="00312618"/>
    <w:rsid w:val="003127E4"/>
    <w:rsid w:val="00312C42"/>
    <w:rsid w:val="00312F68"/>
    <w:rsid w:val="00313215"/>
    <w:rsid w:val="00313DA1"/>
    <w:rsid w:val="003174C3"/>
    <w:rsid w:val="00320F35"/>
    <w:rsid w:val="0032145F"/>
    <w:rsid w:val="003230D5"/>
    <w:rsid w:val="00324E67"/>
    <w:rsid w:val="0032557A"/>
    <w:rsid w:val="00325682"/>
    <w:rsid w:val="003258F4"/>
    <w:rsid w:val="00326E3E"/>
    <w:rsid w:val="00326E4D"/>
    <w:rsid w:val="003277D1"/>
    <w:rsid w:val="003318BA"/>
    <w:rsid w:val="00331EE1"/>
    <w:rsid w:val="003326F7"/>
    <w:rsid w:val="00340778"/>
    <w:rsid w:val="00343205"/>
    <w:rsid w:val="00344D2C"/>
    <w:rsid w:val="003458CE"/>
    <w:rsid w:val="00345A57"/>
    <w:rsid w:val="00346D90"/>
    <w:rsid w:val="00351F62"/>
    <w:rsid w:val="0035792C"/>
    <w:rsid w:val="003601F4"/>
    <w:rsid w:val="00361150"/>
    <w:rsid w:val="003671E2"/>
    <w:rsid w:val="00370320"/>
    <w:rsid w:val="00370974"/>
    <w:rsid w:val="00372AE6"/>
    <w:rsid w:val="00376C3A"/>
    <w:rsid w:val="0038082C"/>
    <w:rsid w:val="003837E1"/>
    <w:rsid w:val="0038542D"/>
    <w:rsid w:val="0038584D"/>
    <w:rsid w:val="00387985"/>
    <w:rsid w:val="0039257F"/>
    <w:rsid w:val="003931DE"/>
    <w:rsid w:val="00397D1A"/>
    <w:rsid w:val="003A0F20"/>
    <w:rsid w:val="003A163C"/>
    <w:rsid w:val="003A2B4E"/>
    <w:rsid w:val="003A2FBB"/>
    <w:rsid w:val="003A3799"/>
    <w:rsid w:val="003A4913"/>
    <w:rsid w:val="003A54A9"/>
    <w:rsid w:val="003A62A5"/>
    <w:rsid w:val="003A7083"/>
    <w:rsid w:val="003B2CF2"/>
    <w:rsid w:val="003B3103"/>
    <w:rsid w:val="003B38B3"/>
    <w:rsid w:val="003B3A97"/>
    <w:rsid w:val="003B3D44"/>
    <w:rsid w:val="003B47BC"/>
    <w:rsid w:val="003B606A"/>
    <w:rsid w:val="003C2540"/>
    <w:rsid w:val="003C6BB5"/>
    <w:rsid w:val="003C7CC2"/>
    <w:rsid w:val="003D04D8"/>
    <w:rsid w:val="003D3379"/>
    <w:rsid w:val="003D50B6"/>
    <w:rsid w:val="003E05DF"/>
    <w:rsid w:val="003E0817"/>
    <w:rsid w:val="003E1562"/>
    <w:rsid w:val="003E41B2"/>
    <w:rsid w:val="003E5B3D"/>
    <w:rsid w:val="003E6085"/>
    <w:rsid w:val="003E6CA3"/>
    <w:rsid w:val="003F4C96"/>
    <w:rsid w:val="00401C49"/>
    <w:rsid w:val="00404CFE"/>
    <w:rsid w:val="00406002"/>
    <w:rsid w:val="00406AD3"/>
    <w:rsid w:val="00410731"/>
    <w:rsid w:val="004128D3"/>
    <w:rsid w:val="00412A0D"/>
    <w:rsid w:val="00412E42"/>
    <w:rsid w:val="00413EC1"/>
    <w:rsid w:val="00415776"/>
    <w:rsid w:val="0042112A"/>
    <w:rsid w:val="00425534"/>
    <w:rsid w:val="00425C05"/>
    <w:rsid w:val="00426356"/>
    <w:rsid w:val="00426929"/>
    <w:rsid w:val="00426C5F"/>
    <w:rsid w:val="00433D11"/>
    <w:rsid w:val="00437A42"/>
    <w:rsid w:val="00440108"/>
    <w:rsid w:val="00441401"/>
    <w:rsid w:val="00441A6D"/>
    <w:rsid w:val="00442C16"/>
    <w:rsid w:val="00445057"/>
    <w:rsid w:val="00445410"/>
    <w:rsid w:val="00446439"/>
    <w:rsid w:val="00450BDA"/>
    <w:rsid w:val="00452DA7"/>
    <w:rsid w:val="00453091"/>
    <w:rsid w:val="00453A3E"/>
    <w:rsid w:val="0045418F"/>
    <w:rsid w:val="0045452F"/>
    <w:rsid w:val="0045766B"/>
    <w:rsid w:val="00457EA9"/>
    <w:rsid w:val="004618A2"/>
    <w:rsid w:val="0046444F"/>
    <w:rsid w:val="00464FF9"/>
    <w:rsid w:val="00466E8A"/>
    <w:rsid w:val="004716E3"/>
    <w:rsid w:val="00471DE3"/>
    <w:rsid w:val="00473E7C"/>
    <w:rsid w:val="00474BB7"/>
    <w:rsid w:val="004756E3"/>
    <w:rsid w:val="00476133"/>
    <w:rsid w:val="00476800"/>
    <w:rsid w:val="004805DC"/>
    <w:rsid w:val="004816D7"/>
    <w:rsid w:val="00482F63"/>
    <w:rsid w:val="0048342E"/>
    <w:rsid w:val="004852F0"/>
    <w:rsid w:val="00487478"/>
    <w:rsid w:val="0048782D"/>
    <w:rsid w:val="00490873"/>
    <w:rsid w:val="00491703"/>
    <w:rsid w:val="00494724"/>
    <w:rsid w:val="00494DC1"/>
    <w:rsid w:val="00495258"/>
    <w:rsid w:val="00497385"/>
    <w:rsid w:val="004A0C2B"/>
    <w:rsid w:val="004A17B0"/>
    <w:rsid w:val="004A3F56"/>
    <w:rsid w:val="004A4F1C"/>
    <w:rsid w:val="004A5E21"/>
    <w:rsid w:val="004A666A"/>
    <w:rsid w:val="004B143F"/>
    <w:rsid w:val="004B3022"/>
    <w:rsid w:val="004B3A7E"/>
    <w:rsid w:val="004B49A0"/>
    <w:rsid w:val="004C1E44"/>
    <w:rsid w:val="004C3BDA"/>
    <w:rsid w:val="004C6306"/>
    <w:rsid w:val="004C6F5E"/>
    <w:rsid w:val="004C7E94"/>
    <w:rsid w:val="004D01F1"/>
    <w:rsid w:val="004D061D"/>
    <w:rsid w:val="004D4551"/>
    <w:rsid w:val="004D7CF8"/>
    <w:rsid w:val="004D7EDA"/>
    <w:rsid w:val="004E0E49"/>
    <w:rsid w:val="004E197A"/>
    <w:rsid w:val="004E5D52"/>
    <w:rsid w:val="004F07D7"/>
    <w:rsid w:val="004F1297"/>
    <w:rsid w:val="004F16DB"/>
    <w:rsid w:val="004F4D7E"/>
    <w:rsid w:val="004F5B16"/>
    <w:rsid w:val="004F5D9D"/>
    <w:rsid w:val="004F68E5"/>
    <w:rsid w:val="004F7037"/>
    <w:rsid w:val="004F724D"/>
    <w:rsid w:val="004F741B"/>
    <w:rsid w:val="00500F08"/>
    <w:rsid w:val="0050132A"/>
    <w:rsid w:val="00503253"/>
    <w:rsid w:val="00503BB0"/>
    <w:rsid w:val="00503CE3"/>
    <w:rsid w:val="00503E03"/>
    <w:rsid w:val="00511F0B"/>
    <w:rsid w:val="00512226"/>
    <w:rsid w:val="00512B31"/>
    <w:rsid w:val="005147C6"/>
    <w:rsid w:val="0051564E"/>
    <w:rsid w:val="005159B1"/>
    <w:rsid w:val="00522502"/>
    <w:rsid w:val="00522530"/>
    <w:rsid w:val="005255A1"/>
    <w:rsid w:val="00525825"/>
    <w:rsid w:val="00526094"/>
    <w:rsid w:val="0052641C"/>
    <w:rsid w:val="005311C2"/>
    <w:rsid w:val="005333EA"/>
    <w:rsid w:val="0053795D"/>
    <w:rsid w:val="005416B6"/>
    <w:rsid w:val="00542F6B"/>
    <w:rsid w:val="00544522"/>
    <w:rsid w:val="005451DA"/>
    <w:rsid w:val="00545D37"/>
    <w:rsid w:val="005467E2"/>
    <w:rsid w:val="005468AB"/>
    <w:rsid w:val="005501A0"/>
    <w:rsid w:val="0055026B"/>
    <w:rsid w:val="00550831"/>
    <w:rsid w:val="00550A6C"/>
    <w:rsid w:val="005525B0"/>
    <w:rsid w:val="005529EF"/>
    <w:rsid w:val="00554273"/>
    <w:rsid w:val="0056001A"/>
    <w:rsid w:val="005634D0"/>
    <w:rsid w:val="005638E9"/>
    <w:rsid w:val="005642B6"/>
    <w:rsid w:val="00566A97"/>
    <w:rsid w:val="00571D5E"/>
    <w:rsid w:val="005814CA"/>
    <w:rsid w:val="005823D0"/>
    <w:rsid w:val="00582D54"/>
    <w:rsid w:val="00583AAF"/>
    <w:rsid w:val="00587AF9"/>
    <w:rsid w:val="00591E4B"/>
    <w:rsid w:val="00593AC5"/>
    <w:rsid w:val="0059620A"/>
    <w:rsid w:val="005962D5"/>
    <w:rsid w:val="005979D8"/>
    <w:rsid w:val="005A2748"/>
    <w:rsid w:val="005A443F"/>
    <w:rsid w:val="005A5215"/>
    <w:rsid w:val="005A7C16"/>
    <w:rsid w:val="005A7C26"/>
    <w:rsid w:val="005B0970"/>
    <w:rsid w:val="005B0E43"/>
    <w:rsid w:val="005B16BB"/>
    <w:rsid w:val="005B1DBA"/>
    <w:rsid w:val="005B3B34"/>
    <w:rsid w:val="005B54F9"/>
    <w:rsid w:val="005B58D4"/>
    <w:rsid w:val="005B5B58"/>
    <w:rsid w:val="005B7DC9"/>
    <w:rsid w:val="005C07B3"/>
    <w:rsid w:val="005C15A5"/>
    <w:rsid w:val="005C284E"/>
    <w:rsid w:val="005C47D4"/>
    <w:rsid w:val="005C54F6"/>
    <w:rsid w:val="005C5CEF"/>
    <w:rsid w:val="005C732F"/>
    <w:rsid w:val="005D07C7"/>
    <w:rsid w:val="005D51D0"/>
    <w:rsid w:val="005D6F83"/>
    <w:rsid w:val="005D7877"/>
    <w:rsid w:val="005D7B5B"/>
    <w:rsid w:val="005D7CCF"/>
    <w:rsid w:val="005E04CF"/>
    <w:rsid w:val="005E0B7F"/>
    <w:rsid w:val="005E58C4"/>
    <w:rsid w:val="005E5D8F"/>
    <w:rsid w:val="005F01A1"/>
    <w:rsid w:val="005F027D"/>
    <w:rsid w:val="005F5A5C"/>
    <w:rsid w:val="005F5CD9"/>
    <w:rsid w:val="005F72B2"/>
    <w:rsid w:val="00602664"/>
    <w:rsid w:val="0060333E"/>
    <w:rsid w:val="00604DB3"/>
    <w:rsid w:val="006066B0"/>
    <w:rsid w:val="0061135C"/>
    <w:rsid w:val="00611613"/>
    <w:rsid w:val="006136DD"/>
    <w:rsid w:val="006149F0"/>
    <w:rsid w:val="00615439"/>
    <w:rsid w:val="00621856"/>
    <w:rsid w:val="006220A5"/>
    <w:rsid w:val="00622D86"/>
    <w:rsid w:val="00623B04"/>
    <w:rsid w:val="00624AC8"/>
    <w:rsid w:val="006258C6"/>
    <w:rsid w:val="006262CF"/>
    <w:rsid w:val="00633812"/>
    <w:rsid w:val="00633C60"/>
    <w:rsid w:val="00636380"/>
    <w:rsid w:val="0064126D"/>
    <w:rsid w:val="006451B8"/>
    <w:rsid w:val="00645722"/>
    <w:rsid w:val="006509C3"/>
    <w:rsid w:val="00652432"/>
    <w:rsid w:val="0065760F"/>
    <w:rsid w:val="00657840"/>
    <w:rsid w:val="0066003C"/>
    <w:rsid w:val="0066041E"/>
    <w:rsid w:val="00661202"/>
    <w:rsid w:val="006619BB"/>
    <w:rsid w:val="00667E4F"/>
    <w:rsid w:val="00671018"/>
    <w:rsid w:val="00673CCC"/>
    <w:rsid w:val="00675C98"/>
    <w:rsid w:val="006762CE"/>
    <w:rsid w:val="006839BC"/>
    <w:rsid w:val="006840A5"/>
    <w:rsid w:val="0069026B"/>
    <w:rsid w:val="006941BB"/>
    <w:rsid w:val="006956EA"/>
    <w:rsid w:val="00696DCC"/>
    <w:rsid w:val="006A0D82"/>
    <w:rsid w:val="006A0E3C"/>
    <w:rsid w:val="006A490C"/>
    <w:rsid w:val="006A5881"/>
    <w:rsid w:val="006A766E"/>
    <w:rsid w:val="006B4161"/>
    <w:rsid w:val="006B4F7D"/>
    <w:rsid w:val="006B5AB5"/>
    <w:rsid w:val="006B63B1"/>
    <w:rsid w:val="006C114C"/>
    <w:rsid w:val="006C3668"/>
    <w:rsid w:val="006C3864"/>
    <w:rsid w:val="006C5383"/>
    <w:rsid w:val="006C5E72"/>
    <w:rsid w:val="006C61DA"/>
    <w:rsid w:val="006D27FE"/>
    <w:rsid w:val="006D2AEC"/>
    <w:rsid w:val="006D35D6"/>
    <w:rsid w:val="006D438F"/>
    <w:rsid w:val="006D4B1C"/>
    <w:rsid w:val="006D4BF2"/>
    <w:rsid w:val="006D4C8E"/>
    <w:rsid w:val="006D6CCE"/>
    <w:rsid w:val="006E19D1"/>
    <w:rsid w:val="006E1CBB"/>
    <w:rsid w:val="006E4B27"/>
    <w:rsid w:val="006E5E7E"/>
    <w:rsid w:val="006E7AF8"/>
    <w:rsid w:val="006F05E4"/>
    <w:rsid w:val="006F100B"/>
    <w:rsid w:val="006F13E5"/>
    <w:rsid w:val="006F239A"/>
    <w:rsid w:val="006F2C9D"/>
    <w:rsid w:val="006F4073"/>
    <w:rsid w:val="006F4201"/>
    <w:rsid w:val="006F6B51"/>
    <w:rsid w:val="007048DB"/>
    <w:rsid w:val="00705473"/>
    <w:rsid w:val="0070637D"/>
    <w:rsid w:val="007071DD"/>
    <w:rsid w:val="0070771F"/>
    <w:rsid w:val="0070776F"/>
    <w:rsid w:val="0071041C"/>
    <w:rsid w:val="00712A14"/>
    <w:rsid w:val="00713208"/>
    <w:rsid w:val="00713EE2"/>
    <w:rsid w:val="00716C04"/>
    <w:rsid w:val="00717180"/>
    <w:rsid w:val="007179D2"/>
    <w:rsid w:val="00720750"/>
    <w:rsid w:val="0072549C"/>
    <w:rsid w:val="00725A80"/>
    <w:rsid w:val="00726E61"/>
    <w:rsid w:val="0073102A"/>
    <w:rsid w:val="00733970"/>
    <w:rsid w:val="007375FE"/>
    <w:rsid w:val="0073773B"/>
    <w:rsid w:val="0074148C"/>
    <w:rsid w:val="00741D0B"/>
    <w:rsid w:val="00743101"/>
    <w:rsid w:val="0074343B"/>
    <w:rsid w:val="00746E09"/>
    <w:rsid w:val="00752B36"/>
    <w:rsid w:val="00754C58"/>
    <w:rsid w:val="0077436E"/>
    <w:rsid w:val="00776E78"/>
    <w:rsid w:val="0078138A"/>
    <w:rsid w:val="00783014"/>
    <w:rsid w:val="007834DC"/>
    <w:rsid w:val="00786A9B"/>
    <w:rsid w:val="00790768"/>
    <w:rsid w:val="007959D8"/>
    <w:rsid w:val="0079630F"/>
    <w:rsid w:val="007A04C2"/>
    <w:rsid w:val="007A4188"/>
    <w:rsid w:val="007A4238"/>
    <w:rsid w:val="007A47D0"/>
    <w:rsid w:val="007A7188"/>
    <w:rsid w:val="007B146A"/>
    <w:rsid w:val="007B57C9"/>
    <w:rsid w:val="007B5D9A"/>
    <w:rsid w:val="007B5EB1"/>
    <w:rsid w:val="007C0E7C"/>
    <w:rsid w:val="007C0EAA"/>
    <w:rsid w:val="007C19C3"/>
    <w:rsid w:val="007C2EB3"/>
    <w:rsid w:val="007C44B2"/>
    <w:rsid w:val="007C54EE"/>
    <w:rsid w:val="007C6496"/>
    <w:rsid w:val="007C745E"/>
    <w:rsid w:val="007D0ABE"/>
    <w:rsid w:val="007D263A"/>
    <w:rsid w:val="007D386E"/>
    <w:rsid w:val="007E0BFB"/>
    <w:rsid w:val="007E0E53"/>
    <w:rsid w:val="007E319A"/>
    <w:rsid w:val="007E356F"/>
    <w:rsid w:val="007E3F8C"/>
    <w:rsid w:val="007F2058"/>
    <w:rsid w:val="007F41A3"/>
    <w:rsid w:val="007F7685"/>
    <w:rsid w:val="007F780B"/>
    <w:rsid w:val="0080011D"/>
    <w:rsid w:val="00800EA5"/>
    <w:rsid w:val="00801C01"/>
    <w:rsid w:val="00804F9F"/>
    <w:rsid w:val="00805EE0"/>
    <w:rsid w:val="00806C07"/>
    <w:rsid w:val="008112CC"/>
    <w:rsid w:val="00812D9F"/>
    <w:rsid w:val="0081301E"/>
    <w:rsid w:val="008130BB"/>
    <w:rsid w:val="00813D7D"/>
    <w:rsid w:val="008147C6"/>
    <w:rsid w:val="00817224"/>
    <w:rsid w:val="00817406"/>
    <w:rsid w:val="008208A7"/>
    <w:rsid w:val="008237FA"/>
    <w:rsid w:val="00825D37"/>
    <w:rsid w:val="008369B0"/>
    <w:rsid w:val="00836EAA"/>
    <w:rsid w:val="008372D1"/>
    <w:rsid w:val="00845C1E"/>
    <w:rsid w:val="0085732C"/>
    <w:rsid w:val="00857C91"/>
    <w:rsid w:val="00860B45"/>
    <w:rsid w:val="00861F68"/>
    <w:rsid w:val="00863860"/>
    <w:rsid w:val="008638B5"/>
    <w:rsid w:val="00866B47"/>
    <w:rsid w:val="00867855"/>
    <w:rsid w:val="0087088B"/>
    <w:rsid w:val="0087299C"/>
    <w:rsid w:val="008734DB"/>
    <w:rsid w:val="0087390B"/>
    <w:rsid w:val="00874035"/>
    <w:rsid w:val="008745A1"/>
    <w:rsid w:val="008768E9"/>
    <w:rsid w:val="00876C68"/>
    <w:rsid w:val="0087751B"/>
    <w:rsid w:val="00881803"/>
    <w:rsid w:val="00881A32"/>
    <w:rsid w:val="00881A96"/>
    <w:rsid w:val="00887114"/>
    <w:rsid w:val="00890995"/>
    <w:rsid w:val="008914FB"/>
    <w:rsid w:val="0089203C"/>
    <w:rsid w:val="00892516"/>
    <w:rsid w:val="0089737A"/>
    <w:rsid w:val="00897E99"/>
    <w:rsid w:val="00897F60"/>
    <w:rsid w:val="008A4829"/>
    <w:rsid w:val="008B1066"/>
    <w:rsid w:val="008B1BCB"/>
    <w:rsid w:val="008B2384"/>
    <w:rsid w:val="008B38D6"/>
    <w:rsid w:val="008B4802"/>
    <w:rsid w:val="008B545D"/>
    <w:rsid w:val="008B69E3"/>
    <w:rsid w:val="008B7D0A"/>
    <w:rsid w:val="008C1FD1"/>
    <w:rsid w:val="008C24A8"/>
    <w:rsid w:val="008C2B7C"/>
    <w:rsid w:val="008C35EF"/>
    <w:rsid w:val="008C3664"/>
    <w:rsid w:val="008C5996"/>
    <w:rsid w:val="008D4FA9"/>
    <w:rsid w:val="008D5A11"/>
    <w:rsid w:val="008D5E23"/>
    <w:rsid w:val="008D605C"/>
    <w:rsid w:val="008D77AF"/>
    <w:rsid w:val="008E6D59"/>
    <w:rsid w:val="008F30C7"/>
    <w:rsid w:val="008F4527"/>
    <w:rsid w:val="008F5D66"/>
    <w:rsid w:val="00901D5B"/>
    <w:rsid w:val="009028AA"/>
    <w:rsid w:val="00903E3F"/>
    <w:rsid w:val="009049C3"/>
    <w:rsid w:val="00904AB8"/>
    <w:rsid w:val="009057D9"/>
    <w:rsid w:val="0090774A"/>
    <w:rsid w:val="00907C97"/>
    <w:rsid w:val="00910D07"/>
    <w:rsid w:val="00914B2F"/>
    <w:rsid w:val="00914D5E"/>
    <w:rsid w:val="009150E6"/>
    <w:rsid w:val="00916290"/>
    <w:rsid w:val="00916F37"/>
    <w:rsid w:val="00917F89"/>
    <w:rsid w:val="009223BE"/>
    <w:rsid w:val="0092499B"/>
    <w:rsid w:val="009255EE"/>
    <w:rsid w:val="00925603"/>
    <w:rsid w:val="00925F76"/>
    <w:rsid w:val="00925FCE"/>
    <w:rsid w:val="009260FC"/>
    <w:rsid w:val="009264EF"/>
    <w:rsid w:val="00930032"/>
    <w:rsid w:val="00932E89"/>
    <w:rsid w:val="0093359D"/>
    <w:rsid w:val="00933F2B"/>
    <w:rsid w:val="00940A43"/>
    <w:rsid w:val="00942EEB"/>
    <w:rsid w:val="0094468E"/>
    <w:rsid w:val="00944B6E"/>
    <w:rsid w:val="00945261"/>
    <w:rsid w:val="00947377"/>
    <w:rsid w:val="009506A5"/>
    <w:rsid w:val="00951452"/>
    <w:rsid w:val="00952EED"/>
    <w:rsid w:val="009541CC"/>
    <w:rsid w:val="00956564"/>
    <w:rsid w:val="009567A6"/>
    <w:rsid w:val="00956D5A"/>
    <w:rsid w:val="00961B2C"/>
    <w:rsid w:val="00961DBB"/>
    <w:rsid w:val="00961F03"/>
    <w:rsid w:val="00961F9B"/>
    <w:rsid w:val="00963D2B"/>
    <w:rsid w:val="0096618E"/>
    <w:rsid w:val="009758AE"/>
    <w:rsid w:val="00975B36"/>
    <w:rsid w:val="00981433"/>
    <w:rsid w:val="0098222F"/>
    <w:rsid w:val="0098244F"/>
    <w:rsid w:val="00983122"/>
    <w:rsid w:val="0098429A"/>
    <w:rsid w:val="00985C07"/>
    <w:rsid w:val="0099142D"/>
    <w:rsid w:val="00995008"/>
    <w:rsid w:val="00995B4F"/>
    <w:rsid w:val="00995FA3"/>
    <w:rsid w:val="00996132"/>
    <w:rsid w:val="00997582"/>
    <w:rsid w:val="009A22F8"/>
    <w:rsid w:val="009A2C21"/>
    <w:rsid w:val="009A3386"/>
    <w:rsid w:val="009A3E58"/>
    <w:rsid w:val="009A4EE1"/>
    <w:rsid w:val="009A5F02"/>
    <w:rsid w:val="009A7AB1"/>
    <w:rsid w:val="009B424D"/>
    <w:rsid w:val="009B6408"/>
    <w:rsid w:val="009B70E6"/>
    <w:rsid w:val="009B7E9E"/>
    <w:rsid w:val="009C6DAA"/>
    <w:rsid w:val="009D0C4B"/>
    <w:rsid w:val="009D0E74"/>
    <w:rsid w:val="009D1A96"/>
    <w:rsid w:val="009D370B"/>
    <w:rsid w:val="009D617C"/>
    <w:rsid w:val="009D73AC"/>
    <w:rsid w:val="009D7EE0"/>
    <w:rsid w:val="009E2087"/>
    <w:rsid w:val="009E252B"/>
    <w:rsid w:val="009E3265"/>
    <w:rsid w:val="009E3353"/>
    <w:rsid w:val="009E446D"/>
    <w:rsid w:val="009E7C09"/>
    <w:rsid w:val="009F146D"/>
    <w:rsid w:val="009F3C70"/>
    <w:rsid w:val="009F3DC4"/>
    <w:rsid w:val="009F4F1E"/>
    <w:rsid w:val="009F5D6A"/>
    <w:rsid w:val="00A009AC"/>
    <w:rsid w:val="00A015E4"/>
    <w:rsid w:val="00A0273F"/>
    <w:rsid w:val="00A04C7E"/>
    <w:rsid w:val="00A075BC"/>
    <w:rsid w:val="00A100B2"/>
    <w:rsid w:val="00A11222"/>
    <w:rsid w:val="00A11D59"/>
    <w:rsid w:val="00A12546"/>
    <w:rsid w:val="00A12C39"/>
    <w:rsid w:val="00A134FB"/>
    <w:rsid w:val="00A162FE"/>
    <w:rsid w:val="00A20802"/>
    <w:rsid w:val="00A22AA4"/>
    <w:rsid w:val="00A25B4F"/>
    <w:rsid w:val="00A261B3"/>
    <w:rsid w:val="00A26450"/>
    <w:rsid w:val="00A27E8B"/>
    <w:rsid w:val="00A311CF"/>
    <w:rsid w:val="00A373DF"/>
    <w:rsid w:val="00A42EF9"/>
    <w:rsid w:val="00A442BF"/>
    <w:rsid w:val="00A44F0E"/>
    <w:rsid w:val="00A50BC1"/>
    <w:rsid w:val="00A517D0"/>
    <w:rsid w:val="00A51B96"/>
    <w:rsid w:val="00A53716"/>
    <w:rsid w:val="00A5629E"/>
    <w:rsid w:val="00A60ED8"/>
    <w:rsid w:val="00A634C8"/>
    <w:rsid w:val="00A63FAB"/>
    <w:rsid w:val="00A64832"/>
    <w:rsid w:val="00A71DD7"/>
    <w:rsid w:val="00A732DB"/>
    <w:rsid w:val="00A75338"/>
    <w:rsid w:val="00A77EA9"/>
    <w:rsid w:val="00A838D2"/>
    <w:rsid w:val="00A83D0F"/>
    <w:rsid w:val="00A8532C"/>
    <w:rsid w:val="00A85C73"/>
    <w:rsid w:val="00A86965"/>
    <w:rsid w:val="00A86F04"/>
    <w:rsid w:val="00A9177A"/>
    <w:rsid w:val="00A92C08"/>
    <w:rsid w:val="00A946C4"/>
    <w:rsid w:val="00A9528C"/>
    <w:rsid w:val="00A96CFD"/>
    <w:rsid w:val="00AA0637"/>
    <w:rsid w:val="00AA07C7"/>
    <w:rsid w:val="00AA478E"/>
    <w:rsid w:val="00AA5986"/>
    <w:rsid w:val="00AA6D24"/>
    <w:rsid w:val="00AB137D"/>
    <w:rsid w:val="00AB17EB"/>
    <w:rsid w:val="00AB234B"/>
    <w:rsid w:val="00AC01F8"/>
    <w:rsid w:val="00AC059A"/>
    <w:rsid w:val="00AC3BE3"/>
    <w:rsid w:val="00AC41CF"/>
    <w:rsid w:val="00AD0308"/>
    <w:rsid w:val="00AD377A"/>
    <w:rsid w:val="00AD67BB"/>
    <w:rsid w:val="00AE1CC1"/>
    <w:rsid w:val="00AE2003"/>
    <w:rsid w:val="00AE3EA4"/>
    <w:rsid w:val="00AE51FE"/>
    <w:rsid w:val="00AF1B02"/>
    <w:rsid w:val="00AF41E4"/>
    <w:rsid w:val="00AF568A"/>
    <w:rsid w:val="00AF60C1"/>
    <w:rsid w:val="00AF6DB0"/>
    <w:rsid w:val="00AF6F6A"/>
    <w:rsid w:val="00B00A6E"/>
    <w:rsid w:val="00B0145B"/>
    <w:rsid w:val="00B05262"/>
    <w:rsid w:val="00B06A75"/>
    <w:rsid w:val="00B06BC3"/>
    <w:rsid w:val="00B15A0F"/>
    <w:rsid w:val="00B17FB2"/>
    <w:rsid w:val="00B20236"/>
    <w:rsid w:val="00B20937"/>
    <w:rsid w:val="00B220A0"/>
    <w:rsid w:val="00B22B64"/>
    <w:rsid w:val="00B22D72"/>
    <w:rsid w:val="00B22FEA"/>
    <w:rsid w:val="00B23136"/>
    <w:rsid w:val="00B24321"/>
    <w:rsid w:val="00B30FEB"/>
    <w:rsid w:val="00B311BA"/>
    <w:rsid w:val="00B35B47"/>
    <w:rsid w:val="00B40AA3"/>
    <w:rsid w:val="00B4274F"/>
    <w:rsid w:val="00B43530"/>
    <w:rsid w:val="00B43AF9"/>
    <w:rsid w:val="00B44478"/>
    <w:rsid w:val="00B4609C"/>
    <w:rsid w:val="00B47187"/>
    <w:rsid w:val="00B508DA"/>
    <w:rsid w:val="00B538BA"/>
    <w:rsid w:val="00B544EF"/>
    <w:rsid w:val="00B6002C"/>
    <w:rsid w:val="00B620EE"/>
    <w:rsid w:val="00B717FF"/>
    <w:rsid w:val="00B80FB4"/>
    <w:rsid w:val="00B85366"/>
    <w:rsid w:val="00B87F60"/>
    <w:rsid w:val="00B9079B"/>
    <w:rsid w:val="00B90C21"/>
    <w:rsid w:val="00B93B5E"/>
    <w:rsid w:val="00B93D3D"/>
    <w:rsid w:val="00B96341"/>
    <w:rsid w:val="00BA471F"/>
    <w:rsid w:val="00BA65D3"/>
    <w:rsid w:val="00BB0626"/>
    <w:rsid w:val="00BB5013"/>
    <w:rsid w:val="00BB528E"/>
    <w:rsid w:val="00BB615A"/>
    <w:rsid w:val="00BB6F1B"/>
    <w:rsid w:val="00BB78CD"/>
    <w:rsid w:val="00BC11EC"/>
    <w:rsid w:val="00BC2600"/>
    <w:rsid w:val="00BC36F0"/>
    <w:rsid w:val="00BC3E99"/>
    <w:rsid w:val="00BC4FA7"/>
    <w:rsid w:val="00BC5E30"/>
    <w:rsid w:val="00BC7A37"/>
    <w:rsid w:val="00BD00ED"/>
    <w:rsid w:val="00BD02C5"/>
    <w:rsid w:val="00BD068D"/>
    <w:rsid w:val="00BD1EC3"/>
    <w:rsid w:val="00BD5C3E"/>
    <w:rsid w:val="00BD611F"/>
    <w:rsid w:val="00BE0D9A"/>
    <w:rsid w:val="00BE1A50"/>
    <w:rsid w:val="00BE2F0D"/>
    <w:rsid w:val="00BE5A8E"/>
    <w:rsid w:val="00BE5E2E"/>
    <w:rsid w:val="00BF0BD5"/>
    <w:rsid w:val="00BF0D35"/>
    <w:rsid w:val="00BF55F8"/>
    <w:rsid w:val="00BF5EA4"/>
    <w:rsid w:val="00BF5EB0"/>
    <w:rsid w:val="00BF68C6"/>
    <w:rsid w:val="00C051FD"/>
    <w:rsid w:val="00C15FD2"/>
    <w:rsid w:val="00C1744F"/>
    <w:rsid w:val="00C20C7D"/>
    <w:rsid w:val="00C20DEF"/>
    <w:rsid w:val="00C2227B"/>
    <w:rsid w:val="00C24B25"/>
    <w:rsid w:val="00C24E89"/>
    <w:rsid w:val="00C32C2F"/>
    <w:rsid w:val="00C3738A"/>
    <w:rsid w:val="00C40859"/>
    <w:rsid w:val="00C418CA"/>
    <w:rsid w:val="00C4315A"/>
    <w:rsid w:val="00C43F5E"/>
    <w:rsid w:val="00C44074"/>
    <w:rsid w:val="00C4569A"/>
    <w:rsid w:val="00C4651F"/>
    <w:rsid w:val="00C4653C"/>
    <w:rsid w:val="00C46D1A"/>
    <w:rsid w:val="00C51D0B"/>
    <w:rsid w:val="00C52207"/>
    <w:rsid w:val="00C52A50"/>
    <w:rsid w:val="00C56230"/>
    <w:rsid w:val="00C61628"/>
    <w:rsid w:val="00C642D4"/>
    <w:rsid w:val="00C645F5"/>
    <w:rsid w:val="00C66AF6"/>
    <w:rsid w:val="00C730F4"/>
    <w:rsid w:val="00C74311"/>
    <w:rsid w:val="00C75BF3"/>
    <w:rsid w:val="00C770B5"/>
    <w:rsid w:val="00C80200"/>
    <w:rsid w:val="00C80E0A"/>
    <w:rsid w:val="00C8270B"/>
    <w:rsid w:val="00C841A9"/>
    <w:rsid w:val="00C8728F"/>
    <w:rsid w:val="00C91D48"/>
    <w:rsid w:val="00C95DEF"/>
    <w:rsid w:val="00C966F8"/>
    <w:rsid w:val="00C971E6"/>
    <w:rsid w:val="00C97FBC"/>
    <w:rsid w:val="00CA06C8"/>
    <w:rsid w:val="00CA0B7E"/>
    <w:rsid w:val="00CA37B6"/>
    <w:rsid w:val="00CA4C28"/>
    <w:rsid w:val="00CA4E33"/>
    <w:rsid w:val="00CA4FC7"/>
    <w:rsid w:val="00CA50D3"/>
    <w:rsid w:val="00CA5598"/>
    <w:rsid w:val="00CA5EF8"/>
    <w:rsid w:val="00CB28A3"/>
    <w:rsid w:val="00CB44C2"/>
    <w:rsid w:val="00CB73EC"/>
    <w:rsid w:val="00CC00A0"/>
    <w:rsid w:val="00CC0FED"/>
    <w:rsid w:val="00CC143F"/>
    <w:rsid w:val="00CC3C34"/>
    <w:rsid w:val="00CC5455"/>
    <w:rsid w:val="00CC6C06"/>
    <w:rsid w:val="00CD1526"/>
    <w:rsid w:val="00CD1546"/>
    <w:rsid w:val="00CD2807"/>
    <w:rsid w:val="00CD5509"/>
    <w:rsid w:val="00CE0215"/>
    <w:rsid w:val="00CE1EB0"/>
    <w:rsid w:val="00CE2110"/>
    <w:rsid w:val="00CE3528"/>
    <w:rsid w:val="00CE3DF2"/>
    <w:rsid w:val="00CF04D5"/>
    <w:rsid w:val="00CF0C0F"/>
    <w:rsid w:val="00CF146A"/>
    <w:rsid w:val="00CF1690"/>
    <w:rsid w:val="00CF1F2A"/>
    <w:rsid w:val="00CF5153"/>
    <w:rsid w:val="00CF5CE3"/>
    <w:rsid w:val="00CF6DFC"/>
    <w:rsid w:val="00CF7412"/>
    <w:rsid w:val="00D0142F"/>
    <w:rsid w:val="00D014E1"/>
    <w:rsid w:val="00D030F8"/>
    <w:rsid w:val="00D03EC8"/>
    <w:rsid w:val="00D04B04"/>
    <w:rsid w:val="00D077B7"/>
    <w:rsid w:val="00D12FD4"/>
    <w:rsid w:val="00D14EFE"/>
    <w:rsid w:val="00D20297"/>
    <w:rsid w:val="00D21E43"/>
    <w:rsid w:val="00D21E6B"/>
    <w:rsid w:val="00D22367"/>
    <w:rsid w:val="00D2336A"/>
    <w:rsid w:val="00D23634"/>
    <w:rsid w:val="00D3322E"/>
    <w:rsid w:val="00D34551"/>
    <w:rsid w:val="00D355BB"/>
    <w:rsid w:val="00D36D27"/>
    <w:rsid w:val="00D41664"/>
    <w:rsid w:val="00D4569D"/>
    <w:rsid w:val="00D457D6"/>
    <w:rsid w:val="00D55013"/>
    <w:rsid w:val="00D64CE2"/>
    <w:rsid w:val="00D65980"/>
    <w:rsid w:val="00D661D4"/>
    <w:rsid w:val="00D66770"/>
    <w:rsid w:val="00D702E1"/>
    <w:rsid w:val="00D719B9"/>
    <w:rsid w:val="00D7270F"/>
    <w:rsid w:val="00D7596A"/>
    <w:rsid w:val="00D7751B"/>
    <w:rsid w:val="00D815DC"/>
    <w:rsid w:val="00D822B5"/>
    <w:rsid w:val="00D83D3C"/>
    <w:rsid w:val="00D84451"/>
    <w:rsid w:val="00D85C95"/>
    <w:rsid w:val="00D8641D"/>
    <w:rsid w:val="00D867AE"/>
    <w:rsid w:val="00D87BBB"/>
    <w:rsid w:val="00D87C87"/>
    <w:rsid w:val="00D91C7E"/>
    <w:rsid w:val="00D921C4"/>
    <w:rsid w:val="00D9296A"/>
    <w:rsid w:val="00D93C23"/>
    <w:rsid w:val="00D95638"/>
    <w:rsid w:val="00D9584C"/>
    <w:rsid w:val="00D96066"/>
    <w:rsid w:val="00D97180"/>
    <w:rsid w:val="00D97C79"/>
    <w:rsid w:val="00DA14D9"/>
    <w:rsid w:val="00DA7588"/>
    <w:rsid w:val="00DB13AD"/>
    <w:rsid w:val="00DB1DDD"/>
    <w:rsid w:val="00DB23F9"/>
    <w:rsid w:val="00DB58BE"/>
    <w:rsid w:val="00DB602E"/>
    <w:rsid w:val="00DB6176"/>
    <w:rsid w:val="00DB6AA0"/>
    <w:rsid w:val="00DB7C3A"/>
    <w:rsid w:val="00DC0D22"/>
    <w:rsid w:val="00DC23E2"/>
    <w:rsid w:val="00DD14EE"/>
    <w:rsid w:val="00DD32AB"/>
    <w:rsid w:val="00DD5BF6"/>
    <w:rsid w:val="00DD64DC"/>
    <w:rsid w:val="00DE1865"/>
    <w:rsid w:val="00DE4311"/>
    <w:rsid w:val="00DE6CEF"/>
    <w:rsid w:val="00DF0CED"/>
    <w:rsid w:val="00DF11C2"/>
    <w:rsid w:val="00DF2134"/>
    <w:rsid w:val="00DF4593"/>
    <w:rsid w:val="00DF59C5"/>
    <w:rsid w:val="00DF64E0"/>
    <w:rsid w:val="00E03C9F"/>
    <w:rsid w:val="00E054C3"/>
    <w:rsid w:val="00E07CD3"/>
    <w:rsid w:val="00E101E3"/>
    <w:rsid w:val="00E10D05"/>
    <w:rsid w:val="00E155EE"/>
    <w:rsid w:val="00E178DA"/>
    <w:rsid w:val="00E2223E"/>
    <w:rsid w:val="00E22D98"/>
    <w:rsid w:val="00E23807"/>
    <w:rsid w:val="00E24623"/>
    <w:rsid w:val="00E252E3"/>
    <w:rsid w:val="00E25B1B"/>
    <w:rsid w:val="00E378A9"/>
    <w:rsid w:val="00E40505"/>
    <w:rsid w:val="00E42A41"/>
    <w:rsid w:val="00E43E02"/>
    <w:rsid w:val="00E44B9C"/>
    <w:rsid w:val="00E45766"/>
    <w:rsid w:val="00E45AC5"/>
    <w:rsid w:val="00E4669C"/>
    <w:rsid w:val="00E5669B"/>
    <w:rsid w:val="00E567E5"/>
    <w:rsid w:val="00E57BCC"/>
    <w:rsid w:val="00E64480"/>
    <w:rsid w:val="00E65807"/>
    <w:rsid w:val="00E66103"/>
    <w:rsid w:val="00E6692B"/>
    <w:rsid w:val="00E6708B"/>
    <w:rsid w:val="00E730E0"/>
    <w:rsid w:val="00E73A8C"/>
    <w:rsid w:val="00E75050"/>
    <w:rsid w:val="00E75D5E"/>
    <w:rsid w:val="00E76F42"/>
    <w:rsid w:val="00E77D6D"/>
    <w:rsid w:val="00E915E6"/>
    <w:rsid w:val="00EA3E11"/>
    <w:rsid w:val="00EA6EB3"/>
    <w:rsid w:val="00EB4A8E"/>
    <w:rsid w:val="00EB4B25"/>
    <w:rsid w:val="00EB5EF3"/>
    <w:rsid w:val="00EB62F7"/>
    <w:rsid w:val="00EB664D"/>
    <w:rsid w:val="00EB695D"/>
    <w:rsid w:val="00EB7C6D"/>
    <w:rsid w:val="00EC38F3"/>
    <w:rsid w:val="00EC4241"/>
    <w:rsid w:val="00ED0404"/>
    <w:rsid w:val="00ED1407"/>
    <w:rsid w:val="00ED39CE"/>
    <w:rsid w:val="00ED4134"/>
    <w:rsid w:val="00ED7A9F"/>
    <w:rsid w:val="00EE05F1"/>
    <w:rsid w:val="00EE1B0F"/>
    <w:rsid w:val="00EE3226"/>
    <w:rsid w:val="00EE471A"/>
    <w:rsid w:val="00EE5492"/>
    <w:rsid w:val="00EE583A"/>
    <w:rsid w:val="00EE71EF"/>
    <w:rsid w:val="00EF0A00"/>
    <w:rsid w:val="00EF7395"/>
    <w:rsid w:val="00F001E9"/>
    <w:rsid w:val="00F0183C"/>
    <w:rsid w:val="00F03085"/>
    <w:rsid w:val="00F0379D"/>
    <w:rsid w:val="00F03C79"/>
    <w:rsid w:val="00F04769"/>
    <w:rsid w:val="00F06E0E"/>
    <w:rsid w:val="00F07BD5"/>
    <w:rsid w:val="00F122D6"/>
    <w:rsid w:val="00F147EA"/>
    <w:rsid w:val="00F15BF4"/>
    <w:rsid w:val="00F171E0"/>
    <w:rsid w:val="00F17940"/>
    <w:rsid w:val="00F17DC0"/>
    <w:rsid w:val="00F2046C"/>
    <w:rsid w:val="00F20647"/>
    <w:rsid w:val="00F207FC"/>
    <w:rsid w:val="00F235FD"/>
    <w:rsid w:val="00F2524B"/>
    <w:rsid w:val="00F261B4"/>
    <w:rsid w:val="00F274DB"/>
    <w:rsid w:val="00F30AC2"/>
    <w:rsid w:val="00F31392"/>
    <w:rsid w:val="00F348B5"/>
    <w:rsid w:val="00F3652B"/>
    <w:rsid w:val="00F36D95"/>
    <w:rsid w:val="00F377B9"/>
    <w:rsid w:val="00F4210D"/>
    <w:rsid w:val="00F45442"/>
    <w:rsid w:val="00F5145E"/>
    <w:rsid w:val="00F52EE9"/>
    <w:rsid w:val="00F54B6E"/>
    <w:rsid w:val="00F554DB"/>
    <w:rsid w:val="00F558EA"/>
    <w:rsid w:val="00F5681C"/>
    <w:rsid w:val="00F6045D"/>
    <w:rsid w:val="00F613CB"/>
    <w:rsid w:val="00F61F79"/>
    <w:rsid w:val="00F651DD"/>
    <w:rsid w:val="00F656A4"/>
    <w:rsid w:val="00F6665E"/>
    <w:rsid w:val="00F7075F"/>
    <w:rsid w:val="00F71D76"/>
    <w:rsid w:val="00F8349F"/>
    <w:rsid w:val="00F83FB7"/>
    <w:rsid w:val="00F854AC"/>
    <w:rsid w:val="00F85935"/>
    <w:rsid w:val="00F85D29"/>
    <w:rsid w:val="00F969D3"/>
    <w:rsid w:val="00F9789E"/>
    <w:rsid w:val="00FA190E"/>
    <w:rsid w:val="00FA54D8"/>
    <w:rsid w:val="00FB1A59"/>
    <w:rsid w:val="00FB26C8"/>
    <w:rsid w:val="00FB27CA"/>
    <w:rsid w:val="00FB460E"/>
    <w:rsid w:val="00FB5B88"/>
    <w:rsid w:val="00FB738F"/>
    <w:rsid w:val="00FB7561"/>
    <w:rsid w:val="00FC4B76"/>
    <w:rsid w:val="00FC4FB7"/>
    <w:rsid w:val="00FC65E5"/>
    <w:rsid w:val="00FC6998"/>
    <w:rsid w:val="00FD1EE0"/>
    <w:rsid w:val="00FD357B"/>
    <w:rsid w:val="00FD38FC"/>
    <w:rsid w:val="00FD54C8"/>
    <w:rsid w:val="00FD6119"/>
    <w:rsid w:val="00FD688E"/>
    <w:rsid w:val="00FD7C0C"/>
    <w:rsid w:val="00FE045C"/>
    <w:rsid w:val="00FE0C52"/>
    <w:rsid w:val="00FE1692"/>
    <w:rsid w:val="00FE1762"/>
    <w:rsid w:val="00FE3069"/>
    <w:rsid w:val="00FE3B13"/>
    <w:rsid w:val="00FE6C7C"/>
    <w:rsid w:val="00FE70CB"/>
    <w:rsid w:val="00FE71EA"/>
    <w:rsid w:val="00FF0566"/>
    <w:rsid w:val="00FF15F5"/>
    <w:rsid w:val="00FF6218"/>
    <w:rsid w:val="00FF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13"/>
    <w:lsdException w:name="header" w:uiPriority="99"/>
    <w:lsdException w:name="caption" w:uiPriority="13" w:qFormat="1"/>
    <w:lsdException w:name="table of figures" w:semiHidden="0" w:uiPriority="99" w:unhideWhenUsed="0"/>
    <w:lsdException w:name="footnote reference" w:uiPriority="39"/>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03271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3D4D7D" w:themeColor="background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12"/>
      </w:numPr>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 w:type="table" w:customStyle="1" w:styleId="TableGrid1">
    <w:name w:val="Table Grid1"/>
    <w:basedOn w:val="TableNormal"/>
    <w:next w:val="TableGrid"/>
    <w:uiPriority w:val="59"/>
    <w:rsid w:val="00FE6C7C"/>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13"/>
    <w:lsdException w:name="header" w:uiPriority="99"/>
    <w:lsdException w:name="caption" w:uiPriority="13" w:qFormat="1"/>
    <w:lsdException w:name="table of figures" w:semiHidden="0" w:uiPriority="99" w:unhideWhenUsed="0"/>
    <w:lsdException w:name="footnote reference" w:uiPriority="39"/>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03271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3D4D7D" w:themeColor="background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12"/>
      </w:numPr>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 w:type="table" w:customStyle="1" w:styleId="TableGrid1">
    <w:name w:val="Table Grid1"/>
    <w:basedOn w:val="TableNormal"/>
    <w:next w:val="TableGrid"/>
    <w:uiPriority w:val="59"/>
    <w:rsid w:val="00FE6C7C"/>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1123">
      <w:bodyDiv w:val="1"/>
      <w:marLeft w:val="0"/>
      <w:marRight w:val="0"/>
      <w:marTop w:val="0"/>
      <w:marBottom w:val="0"/>
      <w:divBdr>
        <w:top w:val="none" w:sz="0" w:space="0" w:color="auto"/>
        <w:left w:val="none" w:sz="0" w:space="0" w:color="auto"/>
        <w:bottom w:val="none" w:sz="0" w:space="0" w:color="auto"/>
        <w:right w:val="none" w:sz="0" w:space="0" w:color="auto"/>
      </w:divBdr>
    </w:div>
    <w:div w:id="152913467">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260455970">
      <w:bodyDiv w:val="1"/>
      <w:marLeft w:val="0"/>
      <w:marRight w:val="0"/>
      <w:marTop w:val="0"/>
      <w:marBottom w:val="0"/>
      <w:divBdr>
        <w:top w:val="none" w:sz="0" w:space="0" w:color="auto"/>
        <w:left w:val="none" w:sz="0" w:space="0" w:color="auto"/>
        <w:bottom w:val="none" w:sz="0" w:space="0" w:color="auto"/>
        <w:right w:val="none" w:sz="0" w:space="0" w:color="auto"/>
      </w:divBdr>
    </w:div>
    <w:div w:id="849835040">
      <w:bodyDiv w:val="1"/>
      <w:marLeft w:val="0"/>
      <w:marRight w:val="0"/>
      <w:marTop w:val="0"/>
      <w:marBottom w:val="0"/>
      <w:divBdr>
        <w:top w:val="none" w:sz="0" w:space="0" w:color="auto"/>
        <w:left w:val="none" w:sz="0" w:space="0" w:color="auto"/>
        <w:bottom w:val="none" w:sz="0" w:space="0" w:color="auto"/>
        <w:right w:val="none" w:sz="0" w:space="0" w:color="auto"/>
      </w:divBdr>
    </w:div>
    <w:div w:id="890195063">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1819224709">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 w:id="21099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ver.edu.au/research-and-statistics/data/all-data/historical-time-series-of-government-funded-vocational-education-and-training-from-1981-to-20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aph.gov.au/Parliamentary_Business/Bills_Legislation/Bills_Search_Results/Result?bId=r60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c.gov.au/research/ongoing/report-on-government-serv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gov.au/dataset/cff2ae8a-55e4-47db-a66d-e177fe0ac6a0/resource/c9bcd6ed-b6bd-423b-abc5-86b54bd7a591/download/dss-demographics-march-2018.xlsx" TargetMode="External"/><Relationship Id="rId5" Type="http://schemas.openxmlformats.org/officeDocument/2006/relationships/settings" Target="settings.xml"/><Relationship Id="rId15" Type="http://schemas.openxmlformats.org/officeDocument/2006/relationships/hyperlink" Target="https://grattan.edu.au/wp-content/uploads/2018/04/904-dropping-out-the-benefits-and-costs-of-trying-university.pdf" TargetMode="External"/><Relationship Id="rId23" Type="http://schemas.openxmlformats.org/officeDocument/2006/relationships/theme" Target="theme/theme1.xml"/><Relationship Id="rId10" Type="http://schemas.openxmlformats.org/officeDocument/2006/relationships/hyperlink" Target="https://onlinelibrary.wiley.com/doi/pdf/10.1111/1467-8462.00189"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abs.gov.au/AUSSTATS/abs@.nsf/DetailsPage/6333.0August%202017?OpenDocument" TargetMode="External"/><Relationship Id="rId14" Type="http://schemas.openxmlformats.org/officeDocument/2006/relationships/hyperlink" Target="https://www.ncver.edu.au/research-and-statistics/data/all-data/total-vet-students-and-courses-2017-data-slice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PRR%20-%20costing.dotm" TargetMode="External"/></Relationships>
</file>

<file path=word/theme/theme1.xml><?xml version="1.0" encoding="utf-8"?>
<a:theme xmlns:a="http://schemas.openxmlformats.org/drawingml/2006/main" name="Office Theme">
  <a:themeElements>
    <a:clrScheme name="PBO colours">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D3A4E7BA-C85D-409D-9EE7-A3997F04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 - costing.dotm</Template>
  <TotalTime>12</TotalTime>
  <Pages>13</Pages>
  <Words>5440</Words>
  <Characters>31011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Higher education (consolidation)</vt:lpstr>
    </vt:vector>
  </TitlesOfParts>
  <Company>Parliament of Australia</Company>
  <LinksUpToDate>false</LinksUpToDate>
  <CharactersWithSpaces>36379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(consolidation)</dc:title>
  <dc:creator>PBO@pbo.gov.au</dc:creator>
  <cp:lastModifiedBy>Pratley, Lauren (PBO)</cp:lastModifiedBy>
  <cp:revision>6</cp:revision>
  <cp:lastPrinted>2018-12-05T00:28:00Z</cp:lastPrinted>
  <dcterms:created xsi:type="dcterms:W3CDTF">2018-12-12T00:03:00Z</dcterms:created>
  <dcterms:modified xsi:type="dcterms:W3CDTF">2018-12-12T05:16:00Z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