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44F" w:rsidRDefault="0046444F" w:rsidP="0046444F">
      <w:pPr>
        <w:pStyle w:val="Title"/>
      </w:pPr>
      <w:r w:rsidRPr="008D77AF">
        <w:t>Policy costing—outside the caretaker period</w:t>
      </w:r>
    </w:p>
    <w:tbl>
      <w:tblPr>
        <w:tblStyle w:val="LightGrid-Accent6"/>
        <w:tblW w:w="5000" w:type="pct"/>
        <w:tblLook w:val="0600" w:firstRow="0" w:lastRow="0" w:firstColumn="0" w:lastColumn="0" w:noHBand="1" w:noVBand="1"/>
      </w:tblPr>
      <w:tblGrid>
        <w:gridCol w:w="3085"/>
        <w:gridCol w:w="1276"/>
        <w:gridCol w:w="4167"/>
      </w:tblGrid>
      <w:tr w:rsidR="0098222F" w:rsidRPr="008D77AF" w:rsidTr="00B002A4">
        <w:tc>
          <w:tcPr>
            <w:tcW w:w="1809" w:type="pct"/>
            <w:shd w:val="clear" w:color="auto" w:fill="D7DDE9" w:themeFill="accent3"/>
          </w:tcPr>
          <w:p w:rsidR="0098222F" w:rsidRPr="008D77AF" w:rsidRDefault="0098222F" w:rsidP="0098222F">
            <w:pPr>
              <w:pStyle w:val="PullOutBoxHeading"/>
            </w:pPr>
            <w:r w:rsidRPr="008D77AF">
              <w:t>Name of proposal:</w:t>
            </w:r>
          </w:p>
        </w:tc>
        <w:tc>
          <w:tcPr>
            <w:tcW w:w="3191" w:type="pct"/>
            <w:gridSpan w:val="2"/>
            <w:shd w:val="clear" w:color="auto" w:fill="D7DDE9" w:themeFill="accent3"/>
          </w:tcPr>
          <w:p w:rsidR="004B3022" w:rsidRPr="008D77AF" w:rsidRDefault="00496DCF" w:rsidP="00496DCF">
            <w:pPr>
              <w:pStyle w:val="PullOutBoxHeading"/>
            </w:pPr>
            <w:bookmarkStart w:id="0" w:name="_GoBack"/>
            <w:r w:rsidRPr="00496DCF">
              <w:t>Higher education and vocational education and training</w:t>
            </w:r>
            <w:r w:rsidRPr="00496DCF">
              <w:rPr>
                <w:highlight w:val="yellow"/>
              </w:rPr>
              <w:t xml:space="preserve"> </w:t>
            </w:r>
            <w:bookmarkEnd w:id="0"/>
          </w:p>
        </w:tc>
      </w:tr>
      <w:tr w:rsidR="0098222F" w:rsidRPr="008D77AF" w:rsidTr="00B002A4">
        <w:tc>
          <w:tcPr>
            <w:tcW w:w="1809" w:type="pct"/>
          </w:tcPr>
          <w:p w:rsidR="0098222F" w:rsidRPr="008D77AF" w:rsidRDefault="0098222F" w:rsidP="0098222F">
            <w:pPr>
              <w:pStyle w:val="PullOutBoxBodyText"/>
            </w:pPr>
            <w:r w:rsidRPr="008D77AF">
              <w:t>Summary of proposal:</w:t>
            </w:r>
          </w:p>
        </w:tc>
        <w:tc>
          <w:tcPr>
            <w:tcW w:w="3191" w:type="pct"/>
            <w:gridSpan w:val="2"/>
          </w:tcPr>
          <w:p w:rsidR="008112CC" w:rsidRDefault="00496DCF" w:rsidP="0089737A">
            <w:pPr>
              <w:pStyle w:val="PullOutBoxBodyText"/>
            </w:pPr>
            <w:r>
              <w:t>The proposal would amend the Higher Education Loan Program (HELP) as follows:</w:t>
            </w:r>
          </w:p>
          <w:p w:rsidR="00496DCF" w:rsidRDefault="002B7964" w:rsidP="00277313">
            <w:pPr>
              <w:pStyle w:val="PullOutBoxBullet"/>
            </w:pPr>
            <w:r>
              <w:t>I</w:t>
            </w:r>
            <w:r w:rsidR="00496DCF">
              <w:t xml:space="preserve">nterest on </w:t>
            </w:r>
            <w:r w:rsidR="00277313" w:rsidRPr="00277313">
              <w:t xml:space="preserve">outstanding </w:t>
            </w:r>
            <w:r w:rsidR="003B56C4">
              <w:t xml:space="preserve">HELP </w:t>
            </w:r>
            <w:r w:rsidR="00496DCF">
              <w:t>loans would be charged at the standard variable owner-occupied home loan rate published by the Reserve Bank of Australia</w:t>
            </w:r>
            <w:r>
              <w:t>.</w:t>
            </w:r>
          </w:p>
          <w:p w:rsidR="00496DCF" w:rsidRDefault="002B7964" w:rsidP="006C58D9">
            <w:pPr>
              <w:pStyle w:val="PullOutBoxBullet"/>
            </w:pPr>
            <w:r>
              <w:t>T</w:t>
            </w:r>
            <w:r w:rsidR="007C73B5">
              <w:t xml:space="preserve">he </w:t>
            </w:r>
            <w:r w:rsidR="00B0239A">
              <w:t xml:space="preserve">threshold of </w:t>
            </w:r>
            <w:r w:rsidR="00496DCF">
              <w:t>income at which HELP compulsory repayments would take effect</w:t>
            </w:r>
            <w:r w:rsidR="003B1FEE">
              <w:t xml:space="preserve"> would be reduced to the</w:t>
            </w:r>
            <w:r w:rsidR="00B0239A">
              <w:t xml:space="preserve"> level </w:t>
            </w:r>
            <w:r w:rsidR="00496DCF">
              <w:t xml:space="preserve">at which </w:t>
            </w:r>
            <w:r w:rsidR="006C58D9">
              <w:t xml:space="preserve">a </w:t>
            </w:r>
            <w:r w:rsidR="00496DCF">
              <w:t>recipient</w:t>
            </w:r>
            <w:r w:rsidR="006C58D9">
              <w:t xml:space="preserve"> would</w:t>
            </w:r>
            <w:r w:rsidR="00496DCF">
              <w:t xml:space="preserve"> lose eligib</w:t>
            </w:r>
            <w:r w:rsidR="006C58D9">
              <w:t>ility for unemployment benefits</w:t>
            </w:r>
            <w:r>
              <w:t>.</w:t>
            </w:r>
          </w:p>
          <w:p w:rsidR="006C58D9" w:rsidRDefault="002B7964" w:rsidP="006C58D9">
            <w:pPr>
              <w:pStyle w:val="PullOutBoxBullet"/>
            </w:pPr>
            <w:r>
              <w:t>A</w:t>
            </w:r>
            <w:r w:rsidR="006C58D9">
              <w:t>n initial repayment rate of 4 per cent of HELP repayment income, rising as per existing arrangements</w:t>
            </w:r>
            <w:r>
              <w:t>.</w:t>
            </w:r>
          </w:p>
          <w:p w:rsidR="006C58D9" w:rsidRDefault="002B7964" w:rsidP="006C58D9">
            <w:pPr>
              <w:pStyle w:val="PullOutBoxBullet"/>
            </w:pPr>
            <w:r>
              <w:t>O</w:t>
            </w:r>
            <w:r w:rsidR="006C58D9">
              <w:t>utstanding debts to be claimed from deceased estates.</w:t>
            </w:r>
          </w:p>
          <w:p w:rsidR="006C58D9" w:rsidRDefault="006C58D9" w:rsidP="006C58D9">
            <w:pPr>
              <w:pStyle w:val="PullOutBoxBodyText"/>
            </w:pPr>
            <w:r>
              <w:t>The proposal would also:</w:t>
            </w:r>
          </w:p>
          <w:p w:rsidR="006C58D9" w:rsidRDefault="006C58D9" w:rsidP="006C58D9">
            <w:pPr>
              <w:pStyle w:val="PullOutBoxBullet"/>
            </w:pPr>
            <w:r>
              <w:t>abolish higher education and vocational education and training (VET) tuition subsidies</w:t>
            </w:r>
          </w:p>
          <w:p w:rsidR="006C58D9" w:rsidRDefault="006C58D9" w:rsidP="006C58D9">
            <w:pPr>
              <w:pStyle w:val="PullOutBoxBullet"/>
            </w:pPr>
            <w:r>
              <w:t xml:space="preserve">abolish </w:t>
            </w:r>
            <w:r w:rsidR="007C73B5">
              <w:t xml:space="preserve">government </w:t>
            </w:r>
            <w:r>
              <w:t>funding fo</w:t>
            </w:r>
            <w:r w:rsidR="00B0239A">
              <w:t xml:space="preserve">r research by higher education </w:t>
            </w:r>
            <w:r>
              <w:t>and VET institutions</w:t>
            </w:r>
          </w:p>
          <w:p w:rsidR="006C58D9" w:rsidRDefault="006C58D9" w:rsidP="006C58D9">
            <w:pPr>
              <w:pStyle w:val="PullOutBoxBullet"/>
            </w:pPr>
            <w:proofErr w:type="gramStart"/>
            <w:r>
              <w:t>deregulate</w:t>
            </w:r>
            <w:proofErr w:type="gramEnd"/>
            <w:r>
              <w:t xml:space="preserve"> the higher education and VET sector</w:t>
            </w:r>
            <w:r w:rsidR="00277313">
              <w:t>s</w:t>
            </w:r>
            <w:r>
              <w:t>.</w:t>
            </w:r>
          </w:p>
          <w:p w:rsidR="006C58D9" w:rsidRPr="008D77AF" w:rsidRDefault="006C58D9" w:rsidP="006C58D9">
            <w:pPr>
              <w:pStyle w:val="PullOutBoxBullet"/>
              <w:numPr>
                <w:ilvl w:val="0"/>
                <w:numId w:val="0"/>
              </w:numPr>
              <w:ind w:left="397" w:hanging="340"/>
            </w:pPr>
            <w:r>
              <w:t xml:space="preserve">The proposal would be implemented on 1 July 2017. </w:t>
            </w:r>
          </w:p>
        </w:tc>
      </w:tr>
      <w:tr w:rsidR="0098222F" w:rsidRPr="008D77AF" w:rsidTr="00B002A4">
        <w:tc>
          <w:tcPr>
            <w:tcW w:w="1809" w:type="pct"/>
          </w:tcPr>
          <w:p w:rsidR="0098222F" w:rsidRPr="008D77AF" w:rsidRDefault="0098222F" w:rsidP="0098222F">
            <w:pPr>
              <w:pStyle w:val="PullOutBoxBodyText"/>
            </w:pPr>
            <w:r w:rsidRPr="008D77AF">
              <w:t>Person/party requesting the costing:</w:t>
            </w:r>
          </w:p>
        </w:tc>
        <w:tc>
          <w:tcPr>
            <w:tcW w:w="3191" w:type="pct"/>
            <w:gridSpan w:val="2"/>
          </w:tcPr>
          <w:p w:rsidR="0098222F" w:rsidRPr="008D77AF" w:rsidRDefault="006C58D9" w:rsidP="00FD1EE0">
            <w:pPr>
              <w:pStyle w:val="PullOutBoxBodyText"/>
            </w:pPr>
            <w:r w:rsidRPr="006C58D9">
              <w:t>Senator David Leyonhjelm, Liberal Democratic Party</w:t>
            </w:r>
          </w:p>
        </w:tc>
      </w:tr>
      <w:tr w:rsidR="008112CC" w:rsidRPr="008D77AF" w:rsidTr="00B002A4">
        <w:tc>
          <w:tcPr>
            <w:tcW w:w="1809" w:type="pct"/>
          </w:tcPr>
          <w:p w:rsidR="008112CC" w:rsidRPr="008D77AF" w:rsidRDefault="008112CC" w:rsidP="0056001A">
            <w:pPr>
              <w:pStyle w:val="PullOutBoxBodyText"/>
            </w:pPr>
            <w:r w:rsidRPr="008D77AF">
              <w:t>Did the applicant request the costing be confidential:</w:t>
            </w:r>
          </w:p>
        </w:tc>
        <w:tc>
          <w:tcPr>
            <w:tcW w:w="748" w:type="pct"/>
            <w:tcBorders>
              <w:right w:val="nil"/>
            </w:tcBorders>
          </w:tcPr>
          <w:p w:rsidR="008112CC" w:rsidRPr="008D77AF" w:rsidRDefault="005C1DA5" w:rsidP="0056001A">
            <w:pPr>
              <w:pStyle w:val="PullOutBoxBodyText"/>
            </w:pPr>
            <w:sdt>
              <w:sdtPr>
                <w:id w:val="33003715"/>
                <w14:checkbox>
                  <w14:checked w14:val="1"/>
                  <w14:checkedState w14:val="2612" w14:font="MS Gothic"/>
                  <w14:uncheckedState w14:val="2610" w14:font="MS Gothic"/>
                </w14:checkbox>
              </w:sdtPr>
              <w:sdtEndPr/>
              <w:sdtContent>
                <w:r w:rsidR="006C58D9">
                  <w:rPr>
                    <w:rFonts w:ascii="MS Gothic" w:eastAsia="MS Gothic" w:hAnsi="MS Gothic" w:hint="eastAsia"/>
                  </w:rPr>
                  <w:t>☒</w:t>
                </w:r>
              </w:sdtContent>
            </w:sdt>
            <w:r w:rsidR="008112CC" w:rsidRPr="008D77AF">
              <w:t xml:space="preserve"> Yes</w:t>
            </w:r>
          </w:p>
        </w:tc>
        <w:tc>
          <w:tcPr>
            <w:tcW w:w="2443" w:type="pct"/>
            <w:tcBorders>
              <w:left w:val="nil"/>
            </w:tcBorders>
          </w:tcPr>
          <w:p w:rsidR="008112CC" w:rsidRPr="008D77AF" w:rsidRDefault="005C1DA5" w:rsidP="0056001A">
            <w:pPr>
              <w:pStyle w:val="PullOutBoxBodyText"/>
            </w:pPr>
            <w:sdt>
              <w:sdtPr>
                <w:id w:val="-864130722"/>
                <w14:checkbox>
                  <w14:checked w14:val="0"/>
                  <w14:checkedState w14:val="2612" w14:font="MS Gothic"/>
                  <w14:uncheckedState w14:val="2610" w14:font="MS Gothic"/>
                </w14:checkbox>
              </w:sdtPr>
              <w:sdtEndPr/>
              <w:sdtContent>
                <w:r w:rsidR="008112CC" w:rsidRPr="008D77AF">
                  <w:rPr>
                    <w:rFonts w:ascii="MS Gothic" w:eastAsia="MS Gothic" w:hAnsi="MS Gothic" w:hint="eastAsia"/>
                  </w:rPr>
                  <w:t>☐</w:t>
                </w:r>
              </w:sdtContent>
            </w:sdt>
            <w:r w:rsidR="008112CC" w:rsidRPr="008D77AF">
              <w:t xml:space="preserve"> No</w:t>
            </w:r>
          </w:p>
        </w:tc>
      </w:tr>
      <w:tr w:rsidR="008112CC" w:rsidRPr="008D77AF" w:rsidTr="00B002A4">
        <w:tc>
          <w:tcPr>
            <w:tcW w:w="1809" w:type="pct"/>
          </w:tcPr>
          <w:p w:rsidR="008112CC" w:rsidRPr="008D77AF" w:rsidRDefault="008112CC" w:rsidP="0056001A">
            <w:pPr>
              <w:pStyle w:val="PullOutBoxBodyText"/>
            </w:pPr>
            <w:r w:rsidRPr="008D77AF">
              <w:t>Date costing request received:</w:t>
            </w:r>
          </w:p>
        </w:tc>
        <w:tc>
          <w:tcPr>
            <w:tcW w:w="3191" w:type="pct"/>
            <w:gridSpan w:val="2"/>
          </w:tcPr>
          <w:p w:rsidR="008112CC" w:rsidRPr="008D77AF" w:rsidRDefault="006C58D9" w:rsidP="0056001A">
            <w:pPr>
              <w:pStyle w:val="PullOutBoxBodyText"/>
            </w:pPr>
            <w:r>
              <w:t>9 August 2016</w:t>
            </w:r>
          </w:p>
        </w:tc>
      </w:tr>
      <w:tr w:rsidR="008112CC" w:rsidRPr="008D77AF" w:rsidTr="00B002A4">
        <w:tc>
          <w:tcPr>
            <w:tcW w:w="1809" w:type="pct"/>
          </w:tcPr>
          <w:p w:rsidR="008112CC" w:rsidRPr="008D77AF" w:rsidRDefault="008112CC" w:rsidP="0098222F">
            <w:pPr>
              <w:pStyle w:val="PullOutBoxBodyText"/>
            </w:pPr>
            <w:r w:rsidRPr="008D77AF">
              <w:t>Date costing completed:</w:t>
            </w:r>
          </w:p>
        </w:tc>
        <w:tc>
          <w:tcPr>
            <w:tcW w:w="3191" w:type="pct"/>
            <w:gridSpan w:val="2"/>
          </w:tcPr>
          <w:p w:rsidR="008112CC" w:rsidRPr="008D77AF" w:rsidRDefault="00B0239A" w:rsidP="00B0239A">
            <w:pPr>
              <w:pStyle w:val="PullOutBoxBodyText"/>
            </w:pPr>
            <w:r>
              <w:t>11</w:t>
            </w:r>
            <w:r w:rsidR="006C58D9">
              <w:t xml:space="preserve"> </w:t>
            </w:r>
            <w:r>
              <w:t>January</w:t>
            </w:r>
            <w:r w:rsidR="006C58D9">
              <w:t xml:space="preserve"> 201</w:t>
            </w:r>
            <w:r>
              <w:t>7</w:t>
            </w:r>
          </w:p>
        </w:tc>
      </w:tr>
      <w:tr w:rsidR="0098222F" w:rsidRPr="008D77AF" w:rsidTr="00B002A4">
        <w:tc>
          <w:tcPr>
            <w:tcW w:w="1809" w:type="pct"/>
            <w:shd w:val="clear" w:color="auto" w:fill="auto"/>
          </w:tcPr>
          <w:p w:rsidR="0098222F" w:rsidRPr="00103997" w:rsidRDefault="0098222F" w:rsidP="0098222F">
            <w:pPr>
              <w:pStyle w:val="PullOutBoxBodyText"/>
            </w:pPr>
            <w:r w:rsidRPr="00103997">
              <w:t>Additional information requested (including date):</w:t>
            </w:r>
          </w:p>
        </w:tc>
        <w:tc>
          <w:tcPr>
            <w:tcW w:w="3191" w:type="pct"/>
            <w:gridSpan w:val="2"/>
          </w:tcPr>
          <w:p w:rsidR="008112CC" w:rsidRDefault="006C58D9" w:rsidP="001738DB">
            <w:pPr>
              <w:pStyle w:val="PullOutBoxBodyText"/>
            </w:pPr>
            <w:r>
              <w:t xml:space="preserve">On 13 September 2016, clarifications were sought from Senator </w:t>
            </w:r>
            <w:proofErr w:type="spellStart"/>
            <w:r>
              <w:t>Leyonhjelm’s</w:t>
            </w:r>
            <w:proofErr w:type="spellEnd"/>
            <w:r>
              <w:t xml:space="preserve"> office </w:t>
            </w:r>
            <w:r w:rsidR="00103997">
              <w:t>on the following:</w:t>
            </w:r>
          </w:p>
          <w:p w:rsidR="00103997" w:rsidRDefault="002B7964" w:rsidP="00103997">
            <w:pPr>
              <w:pStyle w:val="PullOutBoxBullet"/>
            </w:pPr>
            <w:r>
              <w:t>T</w:t>
            </w:r>
            <w:r w:rsidR="00103997">
              <w:t>he unemployment benefit to be used in guiding the starting point of HELP compulsory repayment income thresholds</w:t>
            </w:r>
            <w:r>
              <w:t>.</w:t>
            </w:r>
          </w:p>
          <w:p w:rsidR="00103997" w:rsidRPr="001738DB" w:rsidRDefault="002B7964">
            <w:pPr>
              <w:pStyle w:val="PullOutBoxBullet"/>
            </w:pPr>
            <w:r>
              <w:t>T</w:t>
            </w:r>
            <w:r w:rsidR="00103997" w:rsidRPr="002B7964">
              <w:t>he</w:t>
            </w:r>
            <w:r w:rsidR="00103997">
              <w:t xml:space="preserve"> manner in which </w:t>
            </w:r>
            <w:r w:rsidR="00B0239A">
              <w:t xml:space="preserve">the </w:t>
            </w:r>
            <w:r w:rsidR="00103997">
              <w:t>proposed HELP repayment</w:t>
            </w:r>
            <w:r w:rsidR="00B0239A">
              <w:t xml:space="preserve"> rate would rise</w:t>
            </w:r>
            <w:r>
              <w:t>.</w:t>
            </w:r>
          </w:p>
        </w:tc>
      </w:tr>
    </w:tbl>
    <w:p w:rsidR="002B7964" w:rsidRDefault="002B7964">
      <w:r>
        <w:br w:type="page"/>
      </w:r>
    </w:p>
    <w:tbl>
      <w:tblPr>
        <w:tblStyle w:val="LightGrid-Accent6"/>
        <w:tblW w:w="5000" w:type="pct"/>
        <w:tblLook w:val="0600" w:firstRow="0" w:lastRow="0" w:firstColumn="0" w:lastColumn="0" w:noHBand="1" w:noVBand="1"/>
      </w:tblPr>
      <w:tblGrid>
        <w:gridCol w:w="3085"/>
        <w:gridCol w:w="5443"/>
      </w:tblGrid>
      <w:tr w:rsidR="002B7964" w:rsidRPr="008D77AF" w:rsidTr="00B002A4">
        <w:tc>
          <w:tcPr>
            <w:tcW w:w="1809" w:type="pct"/>
          </w:tcPr>
          <w:p w:rsidR="002B7964" w:rsidRPr="00AA08F3" w:rsidRDefault="002B7964" w:rsidP="0098222F">
            <w:pPr>
              <w:pStyle w:val="PullOutBoxBodyText"/>
            </w:pPr>
          </w:p>
        </w:tc>
        <w:tc>
          <w:tcPr>
            <w:tcW w:w="3191" w:type="pct"/>
          </w:tcPr>
          <w:p w:rsidR="002B7964" w:rsidRDefault="002B7964" w:rsidP="002B7964">
            <w:pPr>
              <w:pStyle w:val="PullOutBoxBullet"/>
              <w:widowControl w:val="0"/>
            </w:pPr>
            <w:r>
              <w:t>The seniority of HELP debt in claims against deceased estates.</w:t>
            </w:r>
          </w:p>
          <w:p w:rsidR="002B7964" w:rsidRDefault="002B7964" w:rsidP="002B7964">
            <w:pPr>
              <w:pStyle w:val="PullOutBoxBullet"/>
              <w:keepNext/>
              <w:keepLines/>
            </w:pPr>
            <w:r>
              <w:t>Whether funding that may have indirectly contributed to lower tuition fees should be included in the list of funding being abolished.</w:t>
            </w:r>
          </w:p>
          <w:p w:rsidR="002B7964" w:rsidRDefault="002B7964" w:rsidP="00DE1B0B">
            <w:pPr>
              <w:pStyle w:val="PullOutBoxBullet"/>
            </w:pPr>
            <w:r>
              <w:t>The specific programs that are considered funding for research by higher education and VET institutions.</w:t>
            </w:r>
          </w:p>
        </w:tc>
      </w:tr>
      <w:tr w:rsidR="001738DB" w:rsidRPr="008D77AF" w:rsidTr="00B002A4">
        <w:tc>
          <w:tcPr>
            <w:tcW w:w="1809" w:type="pct"/>
          </w:tcPr>
          <w:p w:rsidR="001738DB" w:rsidRPr="001738DB" w:rsidRDefault="001738DB" w:rsidP="0098222F">
            <w:pPr>
              <w:pStyle w:val="PullOutBoxBodyText"/>
              <w:rPr>
                <w:highlight w:val="green"/>
              </w:rPr>
            </w:pPr>
            <w:r w:rsidRPr="00AA08F3">
              <w:t>Additional info</w:t>
            </w:r>
            <w:r w:rsidR="00BC3E99" w:rsidRPr="00AA08F3">
              <w:t>rmation received (including dat</w:t>
            </w:r>
            <w:r w:rsidRPr="00AA08F3">
              <w:t>e):</w:t>
            </w:r>
          </w:p>
        </w:tc>
        <w:tc>
          <w:tcPr>
            <w:tcW w:w="3191" w:type="pct"/>
          </w:tcPr>
          <w:p w:rsidR="001738DB" w:rsidRDefault="00103997" w:rsidP="001738DB">
            <w:pPr>
              <w:pStyle w:val="PullOutBoxBodyText"/>
            </w:pPr>
            <w:r>
              <w:t xml:space="preserve">On 14 September 2016, Senator </w:t>
            </w:r>
            <w:proofErr w:type="spellStart"/>
            <w:r>
              <w:t>Leyonhjelm’</w:t>
            </w:r>
            <w:r w:rsidR="00B0239A">
              <w:t>s</w:t>
            </w:r>
            <w:proofErr w:type="spellEnd"/>
            <w:r w:rsidR="00B0239A">
              <w:t xml:space="preserve"> office clarified that</w:t>
            </w:r>
            <w:r>
              <w:t>:</w:t>
            </w:r>
          </w:p>
          <w:p w:rsidR="00103997" w:rsidRDefault="00103997" w:rsidP="00103997">
            <w:pPr>
              <w:pStyle w:val="PullOutBoxBullet"/>
            </w:pPr>
            <w:r w:rsidRPr="00103997">
              <w:t>the unemployment benefit to be used in guiding the starting point of HELP compulsory repayment income thresholds</w:t>
            </w:r>
            <w:r>
              <w:t xml:space="preserve"> would be </w:t>
            </w:r>
            <w:proofErr w:type="spellStart"/>
            <w:r>
              <w:t>Newstart</w:t>
            </w:r>
            <w:proofErr w:type="spellEnd"/>
            <w:r>
              <w:t xml:space="preserve"> Allowance for single rec</w:t>
            </w:r>
            <w:r w:rsidR="00C55250">
              <w:t>ipients with dependent children</w:t>
            </w:r>
          </w:p>
          <w:p w:rsidR="00C55250" w:rsidRDefault="00C55250" w:rsidP="00C55250">
            <w:pPr>
              <w:pStyle w:val="PullOutBoxBullet"/>
            </w:pPr>
            <w:r>
              <w:t>the proposed HELP compulsory repayment income thresholds and rates would mirror the current arrangements, except for the bottom threshold, which would be lowered to the aforementioned income and the repayment set at 4 per cent of HELP repayment income</w:t>
            </w:r>
          </w:p>
          <w:p w:rsidR="00C55250" w:rsidRDefault="00665B34" w:rsidP="00C55250">
            <w:pPr>
              <w:pStyle w:val="PullOutBoxBullet"/>
            </w:pPr>
            <w:r>
              <w:t>the seniority of HELP debt would the same as for tax debt in claims against deceased estates</w:t>
            </w:r>
          </w:p>
          <w:p w:rsidR="00665B34" w:rsidRDefault="00AA08F3" w:rsidP="00C55250">
            <w:pPr>
              <w:pStyle w:val="PullOutBoxBullet"/>
            </w:pPr>
            <w:r>
              <w:t>the following Department of Education and Training programs and payment to states and territories would be abolished:</w:t>
            </w:r>
          </w:p>
          <w:p w:rsidR="00AA08F3" w:rsidRDefault="00AA08F3" w:rsidP="00AA08F3">
            <w:pPr>
              <w:pStyle w:val="PullOutBoxBullet2"/>
            </w:pPr>
            <w:r>
              <w:t>Program 2.1 Commonwealth Grant Scheme</w:t>
            </w:r>
          </w:p>
          <w:p w:rsidR="00AA08F3" w:rsidRDefault="00AA08F3" w:rsidP="00AA08F3">
            <w:pPr>
              <w:pStyle w:val="PullOutBoxBullet2"/>
            </w:pPr>
            <w:r>
              <w:t>Program 2.3 Higher Education Support</w:t>
            </w:r>
          </w:p>
          <w:p w:rsidR="00AA08F3" w:rsidRDefault="00AA08F3" w:rsidP="00AA08F3">
            <w:pPr>
              <w:pStyle w:val="PullOutBoxBullet2"/>
            </w:pPr>
            <w:r>
              <w:t>Program 2.5 Investment in Higher Education Research</w:t>
            </w:r>
          </w:p>
          <w:p w:rsidR="00AA08F3" w:rsidRDefault="00AA08F3" w:rsidP="00AA08F3">
            <w:pPr>
              <w:pStyle w:val="PullOutBoxBullet2"/>
            </w:pPr>
            <w:r>
              <w:t>Program 2.6 Research Capacity</w:t>
            </w:r>
          </w:p>
          <w:p w:rsidR="00AA08F3" w:rsidRDefault="00AA08F3" w:rsidP="00AA08F3">
            <w:pPr>
              <w:pStyle w:val="PullOutBoxBullet2"/>
            </w:pPr>
            <w:r>
              <w:t>Program 2.8 Building Skills and Capability</w:t>
            </w:r>
          </w:p>
          <w:p w:rsidR="00AA08F3" w:rsidRDefault="00AA08F3" w:rsidP="00AA08F3">
            <w:pPr>
              <w:pStyle w:val="PullOutBoxBullet2"/>
            </w:pPr>
            <w:r w:rsidRPr="00AA08F3">
              <w:t>National Agreement for Skills and Workforce Development</w:t>
            </w:r>
            <w:r w:rsidR="00B0239A">
              <w:t>.</w:t>
            </w:r>
          </w:p>
        </w:tc>
      </w:tr>
      <w:tr w:rsidR="008112CC" w:rsidRPr="008D77AF" w:rsidTr="00B002A4">
        <w:tc>
          <w:tcPr>
            <w:tcW w:w="1809" w:type="pct"/>
          </w:tcPr>
          <w:p w:rsidR="008112CC" w:rsidRPr="008D77AF" w:rsidRDefault="008112CC" w:rsidP="0098222F">
            <w:pPr>
              <w:pStyle w:val="PullOutBoxBodyText"/>
            </w:pPr>
            <w:r w:rsidRPr="008D77AF">
              <w:t>Expiry date of the costing:</w:t>
            </w:r>
          </w:p>
        </w:tc>
        <w:tc>
          <w:tcPr>
            <w:tcW w:w="3191" w:type="pct"/>
          </w:tcPr>
          <w:p w:rsidR="008112CC" w:rsidRPr="008D77AF" w:rsidRDefault="008112CC" w:rsidP="0098222F">
            <w:pPr>
              <w:pStyle w:val="PullOutBoxBodyText"/>
            </w:pPr>
            <w:r w:rsidRPr="008D77AF">
              <w:t>Release of the next economic and fiscal outlook report.</w:t>
            </w:r>
          </w:p>
        </w:tc>
      </w:tr>
    </w:tbl>
    <w:p w:rsidR="0046444F" w:rsidRDefault="0046444F" w:rsidP="00E07036">
      <w:pPr>
        <w:pStyle w:val="Heading1"/>
      </w:pPr>
      <w:r w:rsidRPr="008D77AF">
        <w:t>Costing overview</w:t>
      </w:r>
    </w:p>
    <w:p w:rsidR="008574A4" w:rsidRDefault="00EF7F1D" w:rsidP="006C3668">
      <w:pPr>
        <w:pStyle w:val="BodyText"/>
      </w:pPr>
      <w:r>
        <w:t>The proposal would remove all Commonwealth Government subsidies to the higher education and VET sector</w:t>
      </w:r>
      <w:r w:rsidR="00277313">
        <w:t>s</w:t>
      </w:r>
      <w:r w:rsidR="00F40C77">
        <w:t xml:space="preserve"> and deregulate these sectors, leading </w:t>
      </w:r>
      <w:r>
        <w:t xml:space="preserve">to higher fees for students.  </w:t>
      </w:r>
      <w:r w:rsidR="008574A4">
        <w:t xml:space="preserve">The majority of the increase in fees </w:t>
      </w:r>
      <w:r w:rsidR="003E4F66">
        <w:t xml:space="preserve">that would be faced by students under the proposal </w:t>
      </w:r>
      <w:r w:rsidR="008574A4">
        <w:t>would be borrowed through HELP.</w:t>
      </w:r>
    </w:p>
    <w:p w:rsidR="00EF7F1D" w:rsidRDefault="008574A4" w:rsidP="006C3668">
      <w:pPr>
        <w:pStyle w:val="BodyText"/>
      </w:pPr>
      <w:r>
        <w:t>The proposal would also amend HELP</w:t>
      </w:r>
      <w:r w:rsidR="001177F4">
        <w:t xml:space="preserve"> </w:t>
      </w:r>
      <w:r w:rsidR="00F40C77">
        <w:t xml:space="preserve">by removing the concessional interest rate on loans and introducing changes to increase the likelihood of </w:t>
      </w:r>
      <w:r w:rsidR="00B0239A">
        <w:t xml:space="preserve">more </w:t>
      </w:r>
      <w:r>
        <w:t>HELP debt being repaid</w:t>
      </w:r>
      <w:r w:rsidR="001177F4">
        <w:t>, partially offsetting the increase in debt not expected to be repaid as a result of increased borrowing per student.</w:t>
      </w:r>
    </w:p>
    <w:p w:rsidR="00133E32" w:rsidRDefault="00133E32" w:rsidP="006C3668">
      <w:pPr>
        <w:pStyle w:val="BodyText"/>
      </w:pPr>
      <w:r>
        <w:lastRenderedPageBreak/>
        <w:t>The increase in up-front student fees</w:t>
      </w:r>
      <w:r w:rsidR="002D3419">
        <w:t>,</w:t>
      </w:r>
      <w:r>
        <w:t xml:space="preserve"> reduced </w:t>
      </w:r>
      <w:proofErr w:type="spellStart"/>
      <w:r>
        <w:t>concessionality</w:t>
      </w:r>
      <w:proofErr w:type="spellEnd"/>
      <w:r>
        <w:t xml:space="preserve"> and higher repayment rates for HELP loans would be expected to reduce demand for higher education </w:t>
      </w:r>
      <w:r w:rsidR="003D50B3">
        <w:t>courses</w:t>
      </w:r>
      <w:r>
        <w:t>.</w:t>
      </w:r>
    </w:p>
    <w:p w:rsidR="00B002A4" w:rsidRDefault="006C3668" w:rsidP="006C3668">
      <w:pPr>
        <w:pStyle w:val="BodyText"/>
      </w:pPr>
      <w:r w:rsidRPr="00B002A4">
        <w:t xml:space="preserve">This proposal </w:t>
      </w:r>
      <w:r w:rsidR="0056001A" w:rsidRPr="00B002A4">
        <w:t xml:space="preserve">would be </w:t>
      </w:r>
      <w:r w:rsidRPr="00B002A4">
        <w:t>expected to increase the fiscal balance by $</w:t>
      </w:r>
      <w:r w:rsidR="00B0239A">
        <w:t>46,21</w:t>
      </w:r>
      <w:r w:rsidR="00D36A3E" w:rsidRPr="00B002A4">
        <w:t>0 </w:t>
      </w:r>
      <w:r w:rsidRPr="00B002A4">
        <w:t>million</w:t>
      </w:r>
      <w:r w:rsidR="00D36A3E" w:rsidRPr="00B002A4">
        <w:t>,</w:t>
      </w:r>
      <w:r w:rsidRPr="00B002A4">
        <w:t xml:space="preserve"> increase the underlying cash balance by $</w:t>
      </w:r>
      <w:r w:rsidR="00B0239A">
        <w:t>39</w:t>
      </w:r>
      <w:r w:rsidR="00D36A3E" w:rsidRPr="00B002A4">
        <w:t>,</w:t>
      </w:r>
      <w:r w:rsidR="00B0239A">
        <w:t>15</w:t>
      </w:r>
      <w:r w:rsidR="00D36A3E" w:rsidRPr="00B002A4">
        <w:t>0</w:t>
      </w:r>
      <w:r w:rsidRPr="00B002A4">
        <w:t xml:space="preserve"> million </w:t>
      </w:r>
      <w:r w:rsidR="00D36A3E" w:rsidRPr="00B002A4">
        <w:t xml:space="preserve">and increase </w:t>
      </w:r>
      <w:r w:rsidR="00A136F8">
        <w:t xml:space="preserve">the headline cash balance by </w:t>
      </w:r>
      <w:r w:rsidR="00B0239A">
        <w:t>$28</w:t>
      </w:r>
      <w:r w:rsidR="00D36A3E" w:rsidRPr="00B002A4">
        <w:t>,</w:t>
      </w:r>
      <w:r w:rsidR="00B0239A">
        <w:t>77</w:t>
      </w:r>
      <w:r w:rsidR="00D36A3E" w:rsidRPr="00B002A4">
        <w:t xml:space="preserve">0 million </w:t>
      </w:r>
      <w:r w:rsidRPr="00B002A4">
        <w:t>over the 201</w:t>
      </w:r>
      <w:r w:rsidR="0056001A" w:rsidRPr="00B002A4">
        <w:t>6</w:t>
      </w:r>
      <w:r w:rsidRPr="00B002A4">
        <w:noBreakHyphen/>
        <w:t>1</w:t>
      </w:r>
      <w:r w:rsidR="0056001A" w:rsidRPr="00B002A4">
        <w:t>7</w:t>
      </w:r>
      <w:r w:rsidRPr="00B002A4">
        <w:t xml:space="preserve"> Budget forward estimates period.  </w:t>
      </w:r>
      <w:r w:rsidR="00B002A4" w:rsidRPr="00B002A4">
        <w:t xml:space="preserve">The disaggregated financial impacts of the proposal to 2026-27 are included at </w:t>
      </w:r>
      <w:r w:rsidR="00B002A4" w:rsidRPr="00B002A4">
        <w:rPr>
          <w:u w:val="single"/>
        </w:rPr>
        <w:t>Attachment A</w:t>
      </w:r>
      <w:r w:rsidR="00B002A4" w:rsidRPr="00B002A4">
        <w:t>.</w:t>
      </w:r>
    </w:p>
    <w:p w:rsidR="00B002A4" w:rsidRDefault="00B002A4" w:rsidP="006C3668">
      <w:pPr>
        <w:pStyle w:val="BodyText"/>
        <w:rPr>
          <w:highlight w:val="yellow"/>
        </w:rPr>
      </w:pPr>
      <w:r w:rsidRPr="00B002A4">
        <w:t xml:space="preserve">As the proposal involves the transaction of financial assets in the form of additional loan </w:t>
      </w:r>
      <w:r>
        <w:t xml:space="preserve">issuance and </w:t>
      </w:r>
      <w:r w:rsidRPr="00B002A4">
        <w:t>repayments, the P</w:t>
      </w:r>
      <w:r w:rsidR="00A136F8">
        <w:t xml:space="preserve">ublic </w:t>
      </w:r>
      <w:r w:rsidRPr="00B002A4">
        <w:t>D</w:t>
      </w:r>
      <w:r w:rsidR="00A136F8">
        <w:t xml:space="preserve">ebt </w:t>
      </w:r>
      <w:r w:rsidRPr="00B002A4">
        <w:t>I</w:t>
      </w:r>
      <w:r w:rsidR="00A136F8">
        <w:t>nterest (PDI)</w:t>
      </w:r>
      <w:r w:rsidRPr="00B002A4">
        <w:t xml:space="preserve"> impact of the proposal has been included in the overall financial impact of the proposal.  </w:t>
      </w:r>
      <w:r w:rsidR="003E4F66">
        <w:t xml:space="preserve">The proposal </w:t>
      </w:r>
      <w:r w:rsidR="00016693">
        <w:t>results in</w:t>
      </w:r>
      <w:r w:rsidR="00133E32">
        <w:t xml:space="preserve"> </w:t>
      </w:r>
      <w:r w:rsidR="003E4F66">
        <w:t xml:space="preserve">a </w:t>
      </w:r>
      <w:r w:rsidR="00311E34">
        <w:t xml:space="preserve">net </w:t>
      </w:r>
      <w:r w:rsidR="003E4F66">
        <w:t xml:space="preserve">reduction in PDI payments, </w:t>
      </w:r>
      <w:r w:rsidR="00B0239A">
        <w:t>which are the results of</w:t>
      </w:r>
      <w:r w:rsidR="003E4F66">
        <w:t xml:space="preserve"> the savings from abolition of subsidies, partially offset by </w:t>
      </w:r>
      <w:r w:rsidR="00D32E8D">
        <w:t>higher</w:t>
      </w:r>
      <w:r w:rsidR="003E4F66">
        <w:t xml:space="preserve"> </w:t>
      </w:r>
      <w:r w:rsidR="00B0239A">
        <w:t>lending to</w:t>
      </w:r>
      <w:r w:rsidR="003E4F66">
        <w:t xml:space="preserve"> students.  </w:t>
      </w:r>
      <w:r w:rsidRPr="00B002A4">
        <w:t xml:space="preserve">The </w:t>
      </w:r>
      <w:r w:rsidRPr="00B002A4">
        <w:rPr>
          <w:i/>
        </w:rPr>
        <w:t>Methodology</w:t>
      </w:r>
      <w:r w:rsidRPr="00B002A4">
        <w:t xml:space="preserve"> section outlines how impacts on each budget balance are estimated, and a note on the accounting treatment of income contingent loans is included at </w:t>
      </w:r>
      <w:r w:rsidRPr="00B002A4">
        <w:rPr>
          <w:u w:val="single"/>
        </w:rPr>
        <w:t>Attachment B</w:t>
      </w:r>
      <w:r w:rsidRPr="00B002A4">
        <w:t>.</w:t>
      </w:r>
    </w:p>
    <w:p w:rsidR="00B002A4" w:rsidRPr="00B002A4" w:rsidRDefault="00B002A4" w:rsidP="006C3668">
      <w:pPr>
        <w:pStyle w:val="BodyText"/>
      </w:pPr>
      <w:r w:rsidRPr="00B002A4">
        <w:t xml:space="preserve">The </w:t>
      </w:r>
      <w:r>
        <w:t>pr</w:t>
      </w:r>
      <w:r w:rsidR="003B141D">
        <w:t>oposal would be expected to reduce departmental expenditure as a result of the abolition of higher education and VET programs.</w:t>
      </w:r>
    </w:p>
    <w:p w:rsidR="003B141D" w:rsidRDefault="003B141D" w:rsidP="006C3668">
      <w:pPr>
        <w:pStyle w:val="BodyText"/>
        <w:rPr>
          <w:highlight w:val="yellow"/>
        </w:rPr>
      </w:pPr>
      <w:r w:rsidRPr="003B141D">
        <w:t xml:space="preserve">The costing is considered to be of </w:t>
      </w:r>
      <w:r>
        <w:t xml:space="preserve">very </w:t>
      </w:r>
      <w:r w:rsidRPr="003B141D">
        <w:t xml:space="preserve">low reliability as there is </w:t>
      </w:r>
      <w:r>
        <w:t xml:space="preserve">significant </w:t>
      </w:r>
      <w:r w:rsidRPr="003B141D">
        <w:t xml:space="preserve">uncertainty regarding the </w:t>
      </w:r>
      <w:r>
        <w:t>demand for higher education in a deregulated market without any government subsidy</w:t>
      </w:r>
      <w:r w:rsidRPr="003B141D">
        <w:t>.</w:t>
      </w:r>
      <w:r w:rsidR="00D36A53">
        <w:t xml:space="preserve">  </w:t>
      </w:r>
      <w:r w:rsidR="00D36A53" w:rsidRPr="00D36A53">
        <w:t>Furthermore, the reliability of these estimates decreases the further into the future the estimates are projected.</w:t>
      </w:r>
    </w:p>
    <w:p w:rsidR="005B0970" w:rsidRPr="003B141D" w:rsidRDefault="008112CC" w:rsidP="003B141D">
      <w:pPr>
        <w:pStyle w:val="Caption"/>
        <w:keepLines/>
      </w:pPr>
      <w:r w:rsidRPr="008112CC">
        <w:t xml:space="preserve">Table </w:t>
      </w:r>
      <w:fldSimple w:instr=" SEQ Table \* ARABIC \s 1 ">
        <w:r w:rsidR="006D4E71">
          <w:rPr>
            <w:noProof/>
          </w:rPr>
          <w:t>1</w:t>
        </w:r>
      </w:fldSimple>
      <w:r w:rsidRPr="008112CC">
        <w:t xml:space="preserve">: </w:t>
      </w:r>
      <w:r>
        <w:t>Financial implications (outturn prices</w:t>
      </w:r>
      <w:proofErr w:type="gramStart"/>
      <w:r>
        <w:t>)</w:t>
      </w:r>
      <w:r w:rsidRPr="008112CC">
        <w:rPr>
          <w:vertAlign w:val="superscript"/>
        </w:rPr>
        <w:t>(</w:t>
      </w:r>
      <w:proofErr w:type="gramEnd"/>
      <w:r w:rsidRPr="008112CC">
        <w:rPr>
          <w:vertAlign w:val="superscript"/>
        </w:rPr>
        <w:t>a)(b)</w:t>
      </w:r>
    </w:p>
    <w:tbl>
      <w:tblPr>
        <w:tblStyle w:val="LightGrid-Accent6"/>
        <w:tblW w:w="5000" w:type="pct"/>
        <w:tblLook w:val="07A0" w:firstRow="1" w:lastRow="0" w:firstColumn="1" w:lastColumn="1" w:noHBand="1" w:noVBand="1"/>
      </w:tblPr>
      <w:tblGrid>
        <w:gridCol w:w="2518"/>
        <w:gridCol w:w="1203"/>
        <w:gridCol w:w="1202"/>
        <w:gridCol w:w="1202"/>
        <w:gridCol w:w="1202"/>
        <w:gridCol w:w="1201"/>
      </w:tblGrid>
      <w:tr w:rsidR="005C0528" w:rsidTr="005C05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pct"/>
          </w:tcPr>
          <w:p w:rsidR="005B0970" w:rsidRPr="00BF301F" w:rsidRDefault="005B0970" w:rsidP="00CD2324">
            <w:pPr>
              <w:pStyle w:val="TableText"/>
              <w:keepNext/>
              <w:keepLines/>
              <w:jc w:val="left"/>
            </w:pPr>
            <w:r w:rsidRPr="00BF301F">
              <w:t>Impact on ($m)</w:t>
            </w:r>
          </w:p>
        </w:tc>
        <w:tc>
          <w:tcPr>
            <w:tcW w:w="705" w:type="pct"/>
          </w:tcPr>
          <w:p w:rsidR="005B0970" w:rsidRPr="005B0970" w:rsidRDefault="005B0970" w:rsidP="00CD2324">
            <w:pPr>
              <w:pStyle w:val="TableTextRight"/>
              <w:keepNext/>
              <w:keepLines/>
              <w:cnfStyle w:val="100000000000" w:firstRow="1" w:lastRow="0" w:firstColumn="0" w:lastColumn="0" w:oddVBand="0" w:evenVBand="0" w:oddHBand="0" w:evenHBand="0" w:firstRowFirstColumn="0" w:firstRowLastColumn="0" w:lastRowFirstColumn="0" w:lastRowLastColumn="0"/>
              <w:rPr>
                <w:b/>
              </w:rPr>
            </w:pPr>
            <w:r w:rsidRPr="005B0970">
              <w:t>2016–17</w:t>
            </w:r>
          </w:p>
        </w:tc>
        <w:tc>
          <w:tcPr>
            <w:tcW w:w="705" w:type="pct"/>
          </w:tcPr>
          <w:p w:rsidR="005B0970" w:rsidRPr="005B0970" w:rsidRDefault="005B0970" w:rsidP="00CD2324">
            <w:pPr>
              <w:pStyle w:val="TableTextRight"/>
              <w:keepNext/>
              <w:keepLines/>
              <w:cnfStyle w:val="100000000000" w:firstRow="1" w:lastRow="0" w:firstColumn="0" w:lastColumn="0" w:oddVBand="0" w:evenVBand="0" w:oddHBand="0" w:evenHBand="0" w:firstRowFirstColumn="0" w:firstRowLastColumn="0" w:lastRowFirstColumn="0" w:lastRowLastColumn="0"/>
              <w:rPr>
                <w:b/>
              </w:rPr>
            </w:pPr>
            <w:r w:rsidRPr="005B0970">
              <w:t>2017–18</w:t>
            </w:r>
          </w:p>
        </w:tc>
        <w:tc>
          <w:tcPr>
            <w:tcW w:w="705" w:type="pct"/>
          </w:tcPr>
          <w:p w:rsidR="005B0970" w:rsidRPr="005B0970" w:rsidRDefault="005B0970" w:rsidP="00CD2324">
            <w:pPr>
              <w:pStyle w:val="TableTextRight"/>
              <w:keepNext/>
              <w:keepLines/>
              <w:cnfStyle w:val="100000000000" w:firstRow="1" w:lastRow="0" w:firstColumn="0" w:lastColumn="0" w:oddVBand="0" w:evenVBand="0" w:oddHBand="0" w:evenHBand="0" w:firstRowFirstColumn="0" w:firstRowLastColumn="0" w:lastRowFirstColumn="0" w:lastRowLastColumn="0"/>
              <w:rPr>
                <w:b/>
              </w:rPr>
            </w:pPr>
            <w:r w:rsidRPr="005B0970">
              <w:t>2018–19</w:t>
            </w:r>
          </w:p>
        </w:tc>
        <w:tc>
          <w:tcPr>
            <w:tcW w:w="705" w:type="pct"/>
          </w:tcPr>
          <w:p w:rsidR="005B0970" w:rsidRPr="005B0970" w:rsidRDefault="005B0970" w:rsidP="00CD2324">
            <w:pPr>
              <w:pStyle w:val="TableTextRight"/>
              <w:keepNext/>
              <w:keepLines/>
              <w:cnfStyle w:val="100000000000" w:firstRow="1" w:lastRow="0" w:firstColumn="0" w:lastColumn="0" w:oddVBand="0" w:evenVBand="0" w:oddHBand="0" w:evenHBand="0" w:firstRowFirstColumn="0" w:firstRowLastColumn="0" w:lastRowFirstColumn="0" w:lastRowLastColumn="0"/>
              <w:rPr>
                <w:b/>
              </w:rPr>
            </w:pPr>
            <w:r w:rsidRPr="005B0970">
              <w:t>2019–20</w:t>
            </w:r>
          </w:p>
        </w:tc>
        <w:tc>
          <w:tcPr>
            <w:cnfStyle w:val="000100000000" w:firstRow="0" w:lastRow="0" w:firstColumn="0" w:lastColumn="1" w:oddVBand="0" w:evenVBand="0" w:oddHBand="0" w:evenHBand="0" w:firstRowFirstColumn="0" w:firstRowLastColumn="0" w:lastRowFirstColumn="0" w:lastRowLastColumn="0"/>
            <w:tcW w:w="704" w:type="pct"/>
          </w:tcPr>
          <w:p w:rsidR="005B0970" w:rsidRPr="0043669D" w:rsidRDefault="005B0970" w:rsidP="00CD2324">
            <w:pPr>
              <w:pStyle w:val="TableHeadingRight"/>
              <w:rPr>
                <w:b w:val="0"/>
              </w:rPr>
            </w:pPr>
            <w:r w:rsidRPr="0043669D">
              <w:t>Total to 2019–20</w:t>
            </w:r>
          </w:p>
        </w:tc>
      </w:tr>
      <w:tr w:rsidR="00B0239A" w:rsidTr="00B0239A">
        <w:tc>
          <w:tcPr>
            <w:cnfStyle w:val="001000000000" w:firstRow="0" w:lastRow="0" w:firstColumn="1" w:lastColumn="0" w:oddVBand="0" w:evenVBand="0" w:oddHBand="0" w:evenHBand="0" w:firstRowFirstColumn="0" w:firstRowLastColumn="0" w:lastRowFirstColumn="0" w:lastRowLastColumn="0"/>
            <w:tcW w:w="1476" w:type="pct"/>
          </w:tcPr>
          <w:p w:rsidR="00B0239A" w:rsidRPr="005B0970" w:rsidRDefault="00B0239A" w:rsidP="00CD2324">
            <w:pPr>
              <w:pStyle w:val="TableText"/>
              <w:keepNext/>
              <w:keepLines/>
              <w:rPr>
                <w:rFonts w:asciiTheme="majorHAnsi" w:hAnsiTheme="majorHAnsi"/>
              </w:rPr>
            </w:pPr>
            <w:r w:rsidRPr="005B0970">
              <w:t>Fiscal balance</w:t>
            </w:r>
          </w:p>
        </w:tc>
        <w:tc>
          <w:tcPr>
            <w:tcW w:w="705" w:type="pct"/>
          </w:tcPr>
          <w:p w:rsidR="00B0239A" w:rsidRPr="00B0239A" w:rsidRDefault="00B0239A" w:rsidP="00B0239A">
            <w:pPr>
              <w:spacing w:before="70" w:after="70"/>
              <w:jc w:val="right"/>
              <w:cnfStyle w:val="000000000000" w:firstRow="0" w:lastRow="0" w:firstColumn="0" w:lastColumn="0" w:oddVBand="0" w:evenVBand="0" w:oddHBand="0" w:evenHBand="0" w:firstRowFirstColumn="0" w:firstRowLastColumn="0" w:lastRowFirstColumn="0" w:lastRowLastColumn="0"/>
              <w:rPr>
                <w:rFonts w:ascii="Calibri" w:hAnsi="Calibri"/>
                <w:bCs/>
                <w:color w:val="000000"/>
                <w:szCs w:val="20"/>
              </w:rPr>
            </w:pPr>
            <w:r w:rsidRPr="00B0239A">
              <w:rPr>
                <w:rFonts w:ascii="Calibri" w:hAnsi="Calibri"/>
                <w:bCs/>
                <w:color w:val="000000"/>
                <w:szCs w:val="20"/>
              </w:rPr>
              <w:t>520</w:t>
            </w:r>
          </w:p>
        </w:tc>
        <w:tc>
          <w:tcPr>
            <w:tcW w:w="705" w:type="pct"/>
          </w:tcPr>
          <w:p w:rsidR="00B0239A" w:rsidRPr="00B0239A" w:rsidRDefault="00B0239A" w:rsidP="00B0239A">
            <w:pPr>
              <w:spacing w:before="70" w:after="70"/>
              <w:jc w:val="right"/>
              <w:cnfStyle w:val="000000000000" w:firstRow="0" w:lastRow="0" w:firstColumn="0" w:lastColumn="0" w:oddVBand="0" w:evenVBand="0" w:oddHBand="0" w:evenHBand="0" w:firstRowFirstColumn="0" w:firstRowLastColumn="0" w:lastRowFirstColumn="0" w:lastRowLastColumn="0"/>
              <w:rPr>
                <w:rFonts w:ascii="Calibri" w:hAnsi="Calibri"/>
                <w:bCs/>
                <w:color w:val="000000"/>
                <w:szCs w:val="20"/>
              </w:rPr>
            </w:pPr>
            <w:r w:rsidRPr="00B0239A">
              <w:rPr>
                <w:rFonts w:ascii="Calibri" w:hAnsi="Calibri"/>
                <w:bCs/>
                <w:color w:val="000000"/>
                <w:szCs w:val="20"/>
              </w:rPr>
              <w:t>14,620</w:t>
            </w:r>
          </w:p>
        </w:tc>
        <w:tc>
          <w:tcPr>
            <w:tcW w:w="705" w:type="pct"/>
          </w:tcPr>
          <w:p w:rsidR="00B0239A" w:rsidRPr="00B0239A" w:rsidRDefault="00B0239A" w:rsidP="00B0239A">
            <w:pPr>
              <w:spacing w:before="70" w:after="70"/>
              <w:jc w:val="right"/>
              <w:cnfStyle w:val="000000000000" w:firstRow="0" w:lastRow="0" w:firstColumn="0" w:lastColumn="0" w:oddVBand="0" w:evenVBand="0" w:oddHBand="0" w:evenHBand="0" w:firstRowFirstColumn="0" w:firstRowLastColumn="0" w:lastRowFirstColumn="0" w:lastRowLastColumn="0"/>
              <w:rPr>
                <w:rFonts w:ascii="Calibri" w:hAnsi="Calibri"/>
                <w:bCs/>
                <w:color w:val="000000"/>
                <w:szCs w:val="20"/>
              </w:rPr>
            </w:pPr>
            <w:r w:rsidRPr="00B0239A">
              <w:rPr>
                <w:rFonts w:ascii="Calibri" w:hAnsi="Calibri"/>
                <w:bCs/>
                <w:color w:val="000000"/>
                <w:szCs w:val="20"/>
              </w:rPr>
              <w:t>15,090</w:t>
            </w:r>
          </w:p>
        </w:tc>
        <w:tc>
          <w:tcPr>
            <w:tcW w:w="705" w:type="pct"/>
          </w:tcPr>
          <w:p w:rsidR="00B0239A" w:rsidRPr="00B0239A" w:rsidRDefault="00B0239A" w:rsidP="00B0239A">
            <w:pPr>
              <w:spacing w:before="70" w:after="70"/>
              <w:jc w:val="right"/>
              <w:cnfStyle w:val="000000000000" w:firstRow="0" w:lastRow="0" w:firstColumn="0" w:lastColumn="0" w:oddVBand="0" w:evenVBand="0" w:oddHBand="0" w:evenHBand="0" w:firstRowFirstColumn="0" w:firstRowLastColumn="0" w:lastRowFirstColumn="0" w:lastRowLastColumn="0"/>
              <w:rPr>
                <w:rFonts w:ascii="Calibri" w:hAnsi="Calibri"/>
                <w:bCs/>
                <w:color w:val="000000"/>
                <w:szCs w:val="20"/>
              </w:rPr>
            </w:pPr>
            <w:r w:rsidRPr="00B0239A">
              <w:rPr>
                <w:rFonts w:ascii="Calibri" w:hAnsi="Calibri"/>
                <w:bCs/>
                <w:color w:val="000000"/>
                <w:szCs w:val="20"/>
              </w:rPr>
              <w:t>15,990</w:t>
            </w:r>
          </w:p>
        </w:tc>
        <w:tc>
          <w:tcPr>
            <w:cnfStyle w:val="000100000000" w:firstRow="0" w:lastRow="0" w:firstColumn="0" w:lastColumn="1" w:oddVBand="0" w:evenVBand="0" w:oddHBand="0" w:evenHBand="0" w:firstRowFirstColumn="0" w:firstRowLastColumn="0" w:lastRowFirstColumn="0" w:lastRowLastColumn="0"/>
            <w:tcW w:w="704" w:type="pct"/>
          </w:tcPr>
          <w:p w:rsidR="00B0239A" w:rsidRPr="00B0239A" w:rsidRDefault="00B0239A" w:rsidP="00B0239A">
            <w:pPr>
              <w:spacing w:before="70" w:after="70"/>
              <w:rPr>
                <w:rFonts w:eastAsiaTheme="minorHAnsi" w:cstheme="minorBidi"/>
                <w:color w:val="000000"/>
                <w:szCs w:val="20"/>
              </w:rPr>
            </w:pPr>
            <w:r w:rsidRPr="00B0239A">
              <w:rPr>
                <w:rFonts w:eastAsiaTheme="minorHAnsi" w:cstheme="minorBidi"/>
                <w:color w:val="000000"/>
                <w:szCs w:val="20"/>
              </w:rPr>
              <w:t>46,210</w:t>
            </w:r>
          </w:p>
        </w:tc>
      </w:tr>
      <w:tr w:rsidR="00B0239A" w:rsidTr="00B0239A">
        <w:tc>
          <w:tcPr>
            <w:cnfStyle w:val="001000000000" w:firstRow="0" w:lastRow="0" w:firstColumn="1" w:lastColumn="0" w:oddVBand="0" w:evenVBand="0" w:oddHBand="0" w:evenHBand="0" w:firstRowFirstColumn="0" w:firstRowLastColumn="0" w:lastRowFirstColumn="0" w:lastRowLastColumn="0"/>
            <w:tcW w:w="1476" w:type="pct"/>
          </w:tcPr>
          <w:p w:rsidR="00B0239A" w:rsidRPr="005B0970" w:rsidRDefault="00B0239A" w:rsidP="00CD2324">
            <w:pPr>
              <w:pStyle w:val="TableText"/>
              <w:keepNext/>
              <w:keepLines/>
            </w:pPr>
            <w:r w:rsidRPr="005B0970">
              <w:t>Underlying cash balance</w:t>
            </w:r>
          </w:p>
        </w:tc>
        <w:tc>
          <w:tcPr>
            <w:tcW w:w="705" w:type="pct"/>
          </w:tcPr>
          <w:p w:rsidR="00B0239A" w:rsidRPr="00B0239A" w:rsidRDefault="00B0239A">
            <w:pPr>
              <w:jc w:val="right"/>
              <w:cnfStyle w:val="000000000000" w:firstRow="0" w:lastRow="0" w:firstColumn="0" w:lastColumn="0" w:oddVBand="0" w:evenVBand="0" w:oddHBand="0" w:evenHBand="0" w:firstRowFirstColumn="0" w:firstRowLastColumn="0" w:lastRowFirstColumn="0" w:lastRowLastColumn="0"/>
              <w:rPr>
                <w:rFonts w:ascii="Calibri" w:hAnsi="Calibri"/>
                <w:bCs/>
                <w:color w:val="000000"/>
                <w:szCs w:val="20"/>
              </w:rPr>
            </w:pPr>
            <w:r w:rsidRPr="00B0239A">
              <w:rPr>
                <w:rFonts w:ascii="Calibri" w:hAnsi="Calibri"/>
                <w:bCs/>
                <w:color w:val="000000"/>
                <w:szCs w:val="20"/>
              </w:rPr>
              <w:t>..</w:t>
            </w:r>
          </w:p>
        </w:tc>
        <w:tc>
          <w:tcPr>
            <w:tcW w:w="705" w:type="pct"/>
          </w:tcPr>
          <w:p w:rsidR="00B0239A" w:rsidRPr="00B0239A" w:rsidRDefault="00B0239A">
            <w:pPr>
              <w:jc w:val="right"/>
              <w:cnfStyle w:val="000000000000" w:firstRow="0" w:lastRow="0" w:firstColumn="0" w:lastColumn="0" w:oddVBand="0" w:evenVBand="0" w:oddHBand="0" w:evenHBand="0" w:firstRowFirstColumn="0" w:firstRowLastColumn="0" w:lastRowFirstColumn="0" w:lastRowLastColumn="0"/>
              <w:rPr>
                <w:rFonts w:ascii="Calibri" w:hAnsi="Calibri"/>
                <w:bCs/>
                <w:color w:val="000000"/>
                <w:szCs w:val="20"/>
              </w:rPr>
            </w:pPr>
            <w:r w:rsidRPr="00B0239A">
              <w:rPr>
                <w:rFonts w:ascii="Calibri" w:hAnsi="Calibri"/>
                <w:bCs/>
                <w:color w:val="000000"/>
                <w:szCs w:val="20"/>
              </w:rPr>
              <w:t>12,780</w:t>
            </w:r>
          </w:p>
        </w:tc>
        <w:tc>
          <w:tcPr>
            <w:tcW w:w="705" w:type="pct"/>
          </w:tcPr>
          <w:p w:rsidR="00B0239A" w:rsidRPr="00B0239A" w:rsidRDefault="00B0239A">
            <w:pPr>
              <w:jc w:val="right"/>
              <w:cnfStyle w:val="000000000000" w:firstRow="0" w:lastRow="0" w:firstColumn="0" w:lastColumn="0" w:oddVBand="0" w:evenVBand="0" w:oddHBand="0" w:evenHBand="0" w:firstRowFirstColumn="0" w:firstRowLastColumn="0" w:lastRowFirstColumn="0" w:lastRowLastColumn="0"/>
              <w:rPr>
                <w:rFonts w:ascii="Calibri" w:hAnsi="Calibri"/>
                <w:bCs/>
                <w:color w:val="000000"/>
                <w:szCs w:val="20"/>
              </w:rPr>
            </w:pPr>
            <w:r w:rsidRPr="00B0239A">
              <w:rPr>
                <w:rFonts w:ascii="Calibri" w:hAnsi="Calibri"/>
                <w:bCs/>
                <w:color w:val="000000"/>
                <w:szCs w:val="20"/>
              </w:rPr>
              <w:t>12,900</w:t>
            </w:r>
          </w:p>
        </w:tc>
        <w:tc>
          <w:tcPr>
            <w:tcW w:w="705" w:type="pct"/>
          </w:tcPr>
          <w:p w:rsidR="00B0239A" w:rsidRPr="00B0239A" w:rsidRDefault="00B0239A">
            <w:pPr>
              <w:jc w:val="right"/>
              <w:cnfStyle w:val="000000000000" w:firstRow="0" w:lastRow="0" w:firstColumn="0" w:lastColumn="0" w:oddVBand="0" w:evenVBand="0" w:oddHBand="0" w:evenHBand="0" w:firstRowFirstColumn="0" w:firstRowLastColumn="0" w:lastRowFirstColumn="0" w:lastRowLastColumn="0"/>
              <w:rPr>
                <w:rFonts w:ascii="Calibri" w:hAnsi="Calibri"/>
                <w:bCs/>
                <w:color w:val="000000"/>
                <w:szCs w:val="20"/>
              </w:rPr>
            </w:pPr>
            <w:r w:rsidRPr="00B0239A">
              <w:rPr>
                <w:rFonts w:ascii="Calibri" w:hAnsi="Calibri"/>
                <w:bCs/>
                <w:color w:val="000000"/>
                <w:szCs w:val="20"/>
              </w:rPr>
              <w:t>13,470</w:t>
            </w:r>
          </w:p>
        </w:tc>
        <w:tc>
          <w:tcPr>
            <w:cnfStyle w:val="000100000000" w:firstRow="0" w:lastRow="0" w:firstColumn="0" w:lastColumn="1" w:oddVBand="0" w:evenVBand="0" w:oddHBand="0" w:evenHBand="0" w:firstRowFirstColumn="0" w:firstRowLastColumn="0" w:lastRowFirstColumn="0" w:lastRowLastColumn="0"/>
            <w:tcW w:w="704" w:type="pct"/>
          </w:tcPr>
          <w:p w:rsidR="00B0239A" w:rsidRPr="00B0239A" w:rsidRDefault="00B0239A">
            <w:pPr>
              <w:rPr>
                <w:color w:val="000000"/>
                <w:szCs w:val="20"/>
              </w:rPr>
            </w:pPr>
            <w:r w:rsidRPr="00B0239A">
              <w:rPr>
                <w:bCs w:val="0"/>
                <w:color w:val="000000"/>
                <w:szCs w:val="20"/>
              </w:rPr>
              <w:t>39,150</w:t>
            </w:r>
          </w:p>
        </w:tc>
      </w:tr>
      <w:tr w:rsidR="00B0239A" w:rsidTr="00B0239A">
        <w:tc>
          <w:tcPr>
            <w:cnfStyle w:val="001000000000" w:firstRow="0" w:lastRow="0" w:firstColumn="1" w:lastColumn="0" w:oddVBand="0" w:evenVBand="0" w:oddHBand="0" w:evenHBand="0" w:firstRowFirstColumn="0" w:firstRowLastColumn="0" w:lastRowFirstColumn="0" w:lastRowLastColumn="0"/>
            <w:tcW w:w="1476" w:type="pct"/>
          </w:tcPr>
          <w:p w:rsidR="00B0239A" w:rsidRPr="005B0970" w:rsidRDefault="00B0239A" w:rsidP="00CD2324">
            <w:pPr>
              <w:pStyle w:val="TableText"/>
              <w:keepNext/>
              <w:keepLines/>
            </w:pPr>
            <w:r>
              <w:t>Headline cash balance</w:t>
            </w:r>
          </w:p>
        </w:tc>
        <w:tc>
          <w:tcPr>
            <w:tcW w:w="705" w:type="pct"/>
          </w:tcPr>
          <w:p w:rsidR="00B0239A" w:rsidRPr="00B0239A" w:rsidRDefault="00B0239A">
            <w:pPr>
              <w:jc w:val="right"/>
              <w:cnfStyle w:val="000000000000" w:firstRow="0" w:lastRow="0" w:firstColumn="0" w:lastColumn="0" w:oddVBand="0" w:evenVBand="0" w:oddHBand="0" w:evenHBand="0" w:firstRowFirstColumn="0" w:firstRowLastColumn="0" w:lastRowFirstColumn="0" w:lastRowLastColumn="0"/>
              <w:rPr>
                <w:rFonts w:ascii="Calibri" w:hAnsi="Calibri"/>
                <w:bCs/>
                <w:color w:val="000000"/>
                <w:szCs w:val="20"/>
              </w:rPr>
            </w:pPr>
            <w:r w:rsidRPr="00B0239A">
              <w:rPr>
                <w:rFonts w:ascii="Calibri" w:hAnsi="Calibri"/>
                <w:bCs/>
                <w:color w:val="000000"/>
                <w:szCs w:val="20"/>
              </w:rPr>
              <w:t>..</w:t>
            </w:r>
          </w:p>
        </w:tc>
        <w:tc>
          <w:tcPr>
            <w:tcW w:w="705" w:type="pct"/>
          </w:tcPr>
          <w:p w:rsidR="00B0239A" w:rsidRPr="00B0239A" w:rsidRDefault="00B0239A">
            <w:pPr>
              <w:jc w:val="right"/>
              <w:cnfStyle w:val="000000000000" w:firstRow="0" w:lastRow="0" w:firstColumn="0" w:lastColumn="0" w:oddVBand="0" w:evenVBand="0" w:oddHBand="0" w:evenHBand="0" w:firstRowFirstColumn="0" w:firstRowLastColumn="0" w:lastRowFirstColumn="0" w:lastRowLastColumn="0"/>
              <w:rPr>
                <w:rFonts w:ascii="Calibri" w:hAnsi="Calibri"/>
                <w:bCs/>
                <w:color w:val="000000"/>
                <w:szCs w:val="20"/>
              </w:rPr>
            </w:pPr>
            <w:r w:rsidRPr="00B0239A">
              <w:rPr>
                <w:rFonts w:ascii="Calibri" w:hAnsi="Calibri"/>
                <w:bCs/>
                <w:color w:val="000000"/>
                <w:szCs w:val="20"/>
              </w:rPr>
              <w:t>8,490</w:t>
            </w:r>
          </w:p>
        </w:tc>
        <w:tc>
          <w:tcPr>
            <w:tcW w:w="705" w:type="pct"/>
          </w:tcPr>
          <w:p w:rsidR="00B0239A" w:rsidRPr="00B0239A" w:rsidRDefault="00B0239A">
            <w:pPr>
              <w:jc w:val="right"/>
              <w:cnfStyle w:val="000000000000" w:firstRow="0" w:lastRow="0" w:firstColumn="0" w:lastColumn="0" w:oddVBand="0" w:evenVBand="0" w:oddHBand="0" w:evenHBand="0" w:firstRowFirstColumn="0" w:firstRowLastColumn="0" w:lastRowFirstColumn="0" w:lastRowLastColumn="0"/>
              <w:rPr>
                <w:rFonts w:ascii="Calibri" w:hAnsi="Calibri"/>
                <w:bCs/>
                <w:color w:val="000000"/>
                <w:szCs w:val="20"/>
              </w:rPr>
            </w:pPr>
            <w:r w:rsidRPr="00B0239A">
              <w:rPr>
                <w:rFonts w:ascii="Calibri" w:hAnsi="Calibri"/>
                <w:bCs/>
                <w:color w:val="000000"/>
                <w:szCs w:val="20"/>
              </w:rPr>
              <w:t>9,580</w:t>
            </w:r>
          </w:p>
        </w:tc>
        <w:tc>
          <w:tcPr>
            <w:tcW w:w="705" w:type="pct"/>
          </w:tcPr>
          <w:p w:rsidR="00B0239A" w:rsidRPr="00B0239A" w:rsidRDefault="00B0239A">
            <w:pPr>
              <w:jc w:val="right"/>
              <w:cnfStyle w:val="000000000000" w:firstRow="0" w:lastRow="0" w:firstColumn="0" w:lastColumn="0" w:oddVBand="0" w:evenVBand="0" w:oddHBand="0" w:evenHBand="0" w:firstRowFirstColumn="0" w:firstRowLastColumn="0" w:lastRowFirstColumn="0" w:lastRowLastColumn="0"/>
              <w:rPr>
                <w:rFonts w:ascii="Calibri" w:hAnsi="Calibri"/>
                <w:bCs/>
                <w:color w:val="000000"/>
                <w:szCs w:val="20"/>
              </w:rPr>
            </w:pPr>
            <w:r w:rsidRPr="00B0239A">
              <w:rPr>
                <w:rFonts w:ascii="Calibri" w:hAnsi="Calibri"/>
                <w:bCs/>
                <w:color w:val="000000"/>
                <w:szCs w:val="20"/>
              </w:rPr>
              <w:t>10,700</w:t>
            </w:r>
          </w:p>
        </w:tc>
        <w:tc>
          <w:tcPr>
            <w:cnfStyle w:val="000100000000" w:firstRow="0" w:lastRow="0" w:firstColumn="0" w:lastColumn="1" w:oddVBand="0" w:evenVBand="0" w:oddHBand="0" w:evenHBand="0" w:firstRowFirstColumn="0" w:firstRowLastColumn="0" w:lastRowFirstColumn="0" w:lastRowLastColumn="0"/>
            <w:tcW w:w="704" w:type="pct"/>
          </w:tcPr>
          <w:p w:rsidR="00B0239A" w:rsidRPr="00B0239A" w:rsidRDefault="00B0239A">
            <w:pPr>
              <w:rPr>
                <w:color w:val="000000"/>
                <w:szCs w:val="20"/>
              </w:rPr>
            </w:pPr>
            <w:r w:rsidRPr="00B0239A">
              <w:rPr>
                <w:bCs w:val="0"/>
                <w:color w:val="000000"/>
                <w:szCs w:val="20"/>
              </w:rPr>
              <w:t>28,770</w:t>
            </w:r>
          </w:p>
        </w:tc>
      </w:tr>
    </w:tbl>
    <w:p w:rsidR="008112CC" w:rsidRDefault="005B0970" w:rsidP="00CD2324">
      <w:pPr>
        <w:pStyle w:val="TableFootnotes"/>
        <w:keepNext/>
      </w:pPr>
      <w:r>
        <w:t xml:space="preserve">A positive number represents an increase in the relevant budget </w:t>
      </w:r>
      <w:proofErr w:type="gramStart"/>
      <w:r>
        <w:t>balance,</w:t>
      </w:r>
      <w:proofErr w:type="gramEnd"/>
      <w:r>
        <w:t xml:space="preserve"> a negative number represents a decrease.</w:t>
      </w:r>
    </w:p>
    <w:p w:rsidR="005B0970" w:rsidRDefault="005B0970" w:rsidP="00CD2324">
      <w:pPr>
        <w:pStyle w:val="TableFootnotes"/>
        <w:keepNext/>
      </w:pPr>
      <w:r>
        <w:t>Figures may not sum to totals due to rounding.</w:t>
      </w:r>
    </w:p>
    <w:p w:rsidR="00FE3B13" w:rsidRPr="00CA06C8" w:rsidRDefault="00FE3B13" w:rsidP="00CA06C8">
      <w:pPr>
        <w:pStyle w:val="Heading1"/>
      </w:pPr>
      <w:r w:rsidRPr="00CA06C8">
        <w:t>Key assumptions</w:t>
      </w:r>
    </w:p>
    <w:p w:rsidR="003B141D" w:rsidRDefault="003B141D" w:rsidP="006C3668">
      <w:pPr>
        <w:pStyle w:val="BodyText"/>
      </w:pPr>
      <w:r w:rsidRPr="003B56C4">
        <w:t>In costing the proposal</w:t>
      </w:r>
      <w:r w:rsidR="003B56C4" w:rsidRPr="003B56C4">
        <w:t>, the Parliamentary Budget Office has made the following assumptions:</w:t>
      </w:r>
    </w:p>
    <w:p w:rsidR="005C6627" w:rsidRDefault="002B7964" w:rsidP="005C6627">
      <w:pPr>
        <w:pStyle w:val="ListBullet"/>
      </w:pPr>
      <w:r>
        <w:t>T</w:t>
      </w:r>
      <w:r w:rsidR="005C6627">
        <w:t>he legislation enabling the proposal would be passed in 2016</w:t>
      </w:r>
      <w:r w:rsidR="005C6627">
        <w:noBreakHyphen/>
        <w:t>17</w:t>
      </w:r>
      <w:r w:rsidR="00DC3EDA">
        <w:t>.</w:t>
      </w:r>
    </w:p>
    <w:p w:rsidR="005C6627" w:rsidRDefault="005C6627" w:rsidP="005C6627">
      <w:pPr>
        <w:pStyle w:val="ListBullet2"/>
      </w:pPr>
      <w:r>
        <w:t xml:space="preserve">Once the enabling legislation </w:t>
      </w:r>
      <w:r w:rsidR="00B0239A">
        <w:t>is</w:t>
      </w:r>
      <w:r>
        <w:t xml:space="preserve"> passed, </w:t>
      </w:r>
      <w:r w:rsidR="00FC43FD">
        <w:t xml:space="preserve">the fair value of all existing HELP debt increases to reflect the improved prospect of the loans being repaid, which would in turn increase the amount of debt </w:t>
      </w:r>
      <w:r w:rsidR="00B041D5">
        <w:t xml:space="preserve">on which </w:t>
      </w:r>
      <w:r w:rsidR="00FC43FD">
        <w:t>interest could reasonably be accrued.</w:t>
      </w:r>
    </w:p>
    <w:p w:rsidR="003B56C4" w:rsidRDefault="002B7964" w:rsidP="003B56C4">
      <w:pPr>
        <w:pStyle w:val="ListBullet"/>
      </w:pPr>
      <w:r>
        <w:t>A</w:t>
      </w:r>
      <w:r w:rsidR="00A136F8">
        <w:t xml:space="preserve">s interest on HELP loans </w:t>
      </w:r>
      <w:r w:rsidR="00B041D5">
        <w:t xml:space="preserve">is </w:t>
      </w:r>
      <w:r w:rsidR="00A136F8">
        <w:t xml:space="preserve">only accrued once a year, </w:t>
      </w:r>
      <w:r w:rsidR="003B56C4">
        <w:t>the proposed interest rate on HELP loans would be based on the 12</w:t>
      </w:r>
      <w:r w:rsidR="00DC3EDA">
        <w:t>-</w:t>
      </w:r>
      <w:r w:rsidR="003B56C4">
        <w:t xml:space="preserve">month average of the </w:t>
      </w:r>
      <w:r w:rsidR="003B56C4" w:rsidRPr="003B56C4">
        <w:t>standard variable owner</w:t>
      </w:r>
      <w:r w:rsidR="003E4F66">
        <w:noBreakHyphen/>
      </w:r>
      <w:r w:rsidR="003B56C4" w:rsidRPr="003B56C4">
        <w:t>occupied home loan rate published by the Reserve Bank of Australia</w:t>
      </w:r>
      <w:r w:rsidR="005C6627">
        <w:t xml:space="preserve"> prior to 1 June each year</w:t>
      </w:r>
      <w:r>
        <w:t>.</w:t>
      </w:r>
    </w:p>
    <w:p w:rsidR="00CD33AE" w:rsidRDefault="00DC3EDA" w:rsidP="003B56C4">
      <w:pPr>
        <w:pStyle w:val="ListBullet"/>
      </w:pPr>
      <w:r>
        <w:lastRenderedPageBreak/>
        <w:t>H</w:t>
      </w:r>
      <w:r w:rsidR="00CD33AE">
        <w:t>igher education providers would increase fees for students</w:t>
      </w:r>
      <w:r w:rsidR="00DE1B0B">
        <w:t>.</w:t>
      </w:r>
      <w:r w:rsidR="00CD33AE">
        <w:t xml:space="preserve"> </w:t>
      </w:r>
      <w:r w:rsidR="00DE1B0B">
        <w:t xml:space="preserve"> For the purpose of this costing, it has been assumed that </w:t>
      </w:r>
      <w:r w:rsidR="00CD33AE">
        <w:t>the increase</w:t>
      </w:r>
      <w:r w:rsidR="003C266C">
        <w:t xml:space="preserve"> is</w:t>
      </w:r>
      <w:r w:rsidR="00CD33AE">
        <w:t xml:space="preserve"> equal to the amount of lost </w:t>
      </w:r>
      <w:r w:rsidR="00EF7F1D">
        <w:t xml:space="preserve">direct </w:t>
      </w:r>
      <w:r w:rsidR="00CD33AE">
        <w:t xml:space="preserve">government </w:t>
      </w:r>
      <w:r w:rsidR="00EF7F1D">
        <w:t>subsidies</w:t>
      </w:r>
      <w:r>
        <w:t>.</w:t>
      </w:r>
    </w:p>
    <w:p w:rsidR="003A0AE3" w:rsidRDefault="00DC3EDA" w:rsidP="003B56C4">
      <w:pPr>
        <w:pStyle w:val="ListBullet"/>
      </w:pPr>
      <w:r>
        <w:t>D</w:t>
      </w:r>
      <w:r w:rsidR="003B56C4">
        <w:t xml:space="preserve">emand for higher education places that would otherwise be </w:t>
      </w:r>
      <w:r w:rsidR="00CD33AE">
        <w:t xml:space="preserve">funded under the Commonwealth Grant Scheme </w:t>
      </w:r>
      <w:r w:rsidR="00B0239A">
        <w:t xml:space="preserve">or Research Training Program </w:t>
      </w:r>
      <w:r w:rsidR="00CD33AE">
        <w:t xml:space="preserve">would </w:t>
      </w:r>
      <w:r w:rsidR="00B0239A">
        <w:t xml:space="preserve">reduce </w:t>
      </w:r>
      <w:r w:rsidR="003A0AE3">
        <w:t>substantially, reflecting the higher fees that would be paid by students</w:t>
      </w:r>
      <w:r>
        <w:t>.</w:t>
      </w:r>
    </w:p>
    <w:p w:rsidR="003B56C4" w:rsidRPr="00087D29" w:rsidRDefault="003A0AE3" w:rsidP="003A0AE3">
      <w:pPr>
        <w:pStyle w:val="ListBullet2"/>
      </w:pPr>
      <w:r>
        <w:t xml:space="preserve">The reduction would occur </w:t>
      </w:r>
      <w:r w:rsidR="00B0239A">
        <w:t>gradually over six</w:t>
      </w:r>
      <w:r w:rsidR="00CD33AE" w:rsidRPr="008F435A">
        <w:t> years</w:t>
      </w:r>
      <w:r w:rsidR="007920ED">
        <w:t xml:space="preserve">, reflecting the </w:t>
      </w:r>
      <w:r w:rsidR="008B3514">
        <w:t xml:space="preserve">estimated </w:t>
      </w:r>
      <w:r w:rsidR="007920ED">
        <w:t xml:space="preserve">time </w:t>
      </w:r>
      <w:r w:rsidR="008B3514">
        <w:t>taken</w:t>
      </w:r>
      <w:r w:rsidR="007920ED">
        <w:t xml:space="preserve"> by current and future students to adjust their plans in response to the increased costs of studying</w:t>
      </w:r>
      <w:r>
        <w:t>.</w:t>
      </w:r>
    </w:p>
    <w:p w:rsidR="00EF7F1D" w:rsidRPr="00087D29" w:rsidRDefault="00DC3EDA" w:rsidP="003B56C4">
      <w:pPr>
        <w:pStyle w:val="ListBullet"/>
      </w:pPr>
      <w:r>
        <w:t>D</w:t>
      </w:r>
      <w:r w:rsidR="00EF7F1D" w:rsidRPr="00087D29">
        <w:t>emand and fees for courses that d</w:t>
      </w:r>
      <w:r w:rsidR="003E4F66" w:rsidRPr="00087D29">
        <w:t>o</w:t>
      </w:r>
      <w:r w:rsidR="00EF7F1D" w:rsidRPr="00087D29">
        <w:t xml:space="preserve"> not </w:t>
      </w:r>
      <w:r w:rsidR="003E4F66" w:rsidRPr="00087D29">
        <w:t xml:space="preserve">currently </w:t>
      </w:r>
      <w:r w:rsidR="00EF7F1D" w:rsidRPr="00087D29">
        <w:t xml:space="preserve">receive any direct government subsidies would remain </w:t>
      </w:r>
      <w:r w:rsidR="00D644CF">
        <w:t>largely unchanged</w:t>
      </w:r>
      <w:r>
        <w:t>.</w:t>
      </w:r>
    </w:p>
    <w:p w:rsidR="00A136F8" w:rsidRPr="00087D29" w:rsidRDefault="00DC3EDA" w:rsidP="003B56C4">
      <w:pPr>
        <w:pStyle w:val="ListBullet"/>
      </w:pPr>
      <w:r>
        <w:t>T</w:t>
      </w:r>
      <w:r w:rsidR="00A136F8" w:rsidRPr="00087D29">
        <w:t xml:space="preserve">he mix of subjects studied and the proportion of students paying their fees upfront would </w:t>
      </w:r>
      <w:r w:rsidR="00D644CF">
        <w:t>remain largely unchanged</w:t>
      </w:r>
      <w:r>
        <w:t>.</w:t>
      </w:r>
    </w:p>
    <w:p w:rsidR="006A7467" w:rsidRDefault="00DC3EDA" w:rsidP="003B56C4">
      <w:pPr>
        <w:pStyle w:val="ListBullet"/>
      </w:pPr>
      <w:r>
        <w:t>D</w:t>
      </w:r>
      <w:r w:rsidR="006A7467" w:rsidRPr="00087D29">
        <w:t>epartmental expenditure for Outcome 2 of the Department of Education and Training would reduce by 40 per cent</w:t>
      </w:r>
      <w:r w:rsidR="006A7467" w:rsidRPr="008F435A">
        <w:t>, which takes</w:t>
      </w:r>
      <w:r w:rsidR="006A7467">
        <w:t xml:space="preserve"> into account both the abolition of programs and the proposed changes to HELP.</w:t>
      </w:r>
    </w:p>
    <w:p w:rsidR="00FE3B13" w:rsidRDefault="00FE3B13" w:rsidP="0056001A">
      <w:pPr>
        <w:pStyle w:val="Heading1"/>
      </w:pPr>
      <w:r>
        <w:t>Methodology</w:t>
      </w:r>
    </w:p>
    <w:p w:rsidR="00DE1B0B" w:rsidRDefault="00DE1B0B" w:rsidP="000853B9">
      <w:pPr>
        <w:pStyle w:val="Heading2"/>
      </w:pPr>
      <w:r>
        <w:t>Abolition of subsidies for higher education and VET</w:t>
      </w:r>
    </w:p>
    <w:p w:rsidR="00CB126E" w:rsidRDefault="00CB126E" w:rsidP="0056001A">
      <w:pPr>
        <w:pStyle w:val="BodyText"/>
        <w:keepNext/>
        <w:keepLines/>
      </w:pPr>
      <w:r w:rsidRPr="00CB126E">
        <w:t xml:space="preserve">The financial impacts of abolishing the </w:t>
      </w:r>
      <w:r w:rsidR="00622CEB">
        <w:t>identified</w:t>
      </w:r>
      <w:r w:rsidR="00622CEB" w:rsidRPr="00CB126E">
        <w:t xml:space="preserve"> </w:t>
      </w:r>
      <w:r w:rsidRPr="00CB126E">
        <w:t xml:space="preserve">programs </w:t>
      </w:r>
      <w:r>
        <w:t>over the 2016</w:t>
      </w:r>
      <w:r>
        <w:noBreakHyphen/>
        <w:t xml:space="preserve">17 Budget forward estimates </w:t>
      </w:r>
      <w:r w:rsidRPr="00CB126E">
        <w:t xml:space="preserve">are based on </w:t>
      </w:r>
      <w:r>
        <w:t>information provided by the Department of Finance.  Beyond the forward estimates, financial impacts are estimated by growing the savings by the relevant indexation factors, which include the Consumer Price Index and growth in student numbers.</w:t>
      </w:r>
    </w:p>
    <w:p w:rsidR="00DE1B0B" w:rsidRDefault="00DE1B0B" w:rsidP="000853B9">
      <w:pPr>
        <w:pStyle w:val="Heading2"/>
      </w:pPr>
      <w:r>
        <w:t>Changes to HELP</w:t>
      </w:r>
    </w:p>
    <w:p w:rsidR="00F17C57" w:rsidRDefault="00CB126E" w:rsidP="002D3419">
      <w:pPr>
        <w:pStyle w:val="BodyText"/>
        <w:keepLines/>
      </w:pPr>
      <w:r>
        <w:t xml:space="preserve">The proposed changes to HELP were modelled </w:t>
      </w:r>
      <w:r w:rsidR="00837CE0">
        <w:t xml:space="preserve">using </w:t>
      </w:r>
      <w:r>
        <w:t xml:space="preserve">a microsimulation of existing HELP debtors, which compares the values of repayments and </w:t>
      </w:r>
      <w:r w:rsidR="005C6AFD">
        <w:t xml:space="preserve">outstanding </w:t>
      </w:r>
      <w:r>
        <w:t>loans under current and proposed arrangements.  The microsimulation takes into account the income and amount of HELP debt of individuals, as well as the proposed interest rate, HELP repayment thresholds</w:t>
      </w:r>
      <w:r w:rsidR="003A0AE3">
        <w:t>,</w:t>
      </w:r>
      <w:r w:rsidR="00837CE0">
        <w:t xml:space="preserve"> additional HELP borrowing</w:t>
      </w:r>
      <w:r w:rsidR="005C6AFD">
        <w:t>s and reduced demand</w:t>
      </w:r>
      <w:r w:rsidR="00837CE0">
        <w:t xml:space="preserve"> </w:t>
      </w:r>
      <w:r w:rsidR="003A0AE3">
        <w:t xml:space="preserve">for higher education </w:t>
      </w:r>
      <w:r w:rsidR="00837CE0">
        <w:t>due to the abolition of government subsidies.</w:t>
      </w:r>
    </w:p>
    <w:p w:rsidR="00CB126E" w:rsidRDefault="00F17C57" w:rsidP="002D3419">
      <w:pPr>
        <w:pStyle w:val="BodyText"/>
        <w:keepLines/>
      </w:pPr>
      <w:r w:rsidRPr="00F17C57">
        <w:t xml:space="preserve">The value of HELP loans that could be recovered </w:t>
      </w:r>
      <w:r w:rsidR="000F5CD9">
        <w:t xml:space="preserve">from deceased estates </w:t>
      </w:r>
      <w:r w:rsidRPr="00F17C57">
        <w:t xml:space="preserve">under the proposal was derived by assigning an estimated net wealth to the unit record of HELP debt write-off over the period 2012-13 </w:t>
      </w:r>
      <w:r w:rsidR="003A0AE3">
        <w:t>to</w:t>
      </w:r>
      <w:r w:rsidRPr="00F17C57">
        <w:t xml:space="preserve"> 2014-15.  Individuals’ net wealth was estimated based on the </w:t>
      </w:r>
      <w:r w:rsidRPr="00941DDB">
        <w:rPr>
          <w:i/>
        </w:rPr>
        <w:t>Survey of Income and Housing 2013</w:t>
      </w:r>
      <w:r w:rsidRPr="00941DDB">
        <w:rPr>
          <w:i/>
        </w:rPr>
        <w:noBreakHyphen/>
        <w:t>14</w:t>
      </w:r>
      <w:r w:rsidRPr="00F17C57">
        <w:t>.</w:t>
      </w:r>
      <w:r w:rsidR="00837CE0">
        <w:t xml:space="preserve">  </w:t>
      </w:r>
    </w:p>
    <w:p w:rsidR="00837CE0" w:rsidRDefault="00CB126E" w:rsidP="002D3419">
      <w:pPr>
        <w:pStyle w:val="BodyText"/>
        <w:keepLines/>
      </w:pPr>
      <w:r>
        <w:t xml:space="preserve">The financial impact of the proposed changes </w:t>
      </w:r>
      <w:r w:rsidR="00837CE0">
        <w:t xml:space="preserve">to HELP </w:t>
      </w:r>
      <w:r>
        <w:t xml:space="preserve">were </w:t>
      </w:r>
      <w:r w:rsidR="00837CE0">
        <w:t>then estimated based on the change in repayments</w:t>
      </w:r>
      <w:r w:rsidR="00F17C57">
        <w:t>,</w:t>
      </w:r>
      <w:r w:rsidR="00837CE0">
        <w:t xml:space="preserve"> loans outstanding</w:t>
      </w:r>
      <w:r w:rsidR="00DC3EDA">
        <w:t>,</w:t>
      </w:r>
      <w:r w:rsidR="00837CE0">
        <w:t xml:space="preserve"> </w:t>
      </w:r>
      <w:r w:rsidR="00F17C57">
        <w:t xml:space="preserve">and debt </w:t>
      </w:r>
      <w:proofErr w:type="spellStart"/>
      <w:r w:rsidR="00F17C57">
        <w:t>writedowns</w:t>
      </w:r>
      <w:proofErr w:type="spellEnd"/>
      <w:r w:rsidR="00F17C57">
        <w:t xml:space="preserve"> </w:t>
      </w:r>
      <w:r w:rsidR="00837CE0">
        <w:t>using the HELP forward estimates model provided by the Department of Education and Training.</w:t>
      </w:r>
    </w:p>
    <w:p w:rsidR="00837CE0" w:rsidRPr="00837CE0" w:rsidRDefault="00837CE0" w:rsidP="006D4E71">
      <w:pPr>
        <w:pStyle w:val="Heading3"/>
      </w:pPr>
      <w:r w:rsidRPr="00837CE0">
        <w:lastRenderedPageBreak/>
        <w:t xml:space="preserve">Fiscal balance impact </w:t>
      </w:r>
      <w:r w:rsidR="00DE1B0B">
        <w:t xml:space="preserve">of changes to HELP </w:t>
      </w:r>
      <w:r w:rsidRPr="00837CE0">
        <w:t>– components</w:t>
      </w:r>
    </w:p>
    <w:p w:rsidR="00211323" w:rsidRDefault="00211323" w:rsidP="00211323">
      <w:pPr>
        <w:pStyle w:val="ListBullet"/>
      </w:pPr>
      <w:r>
        <w:t xml:space="preserve">Concessional loan discount expenses are no longer </w:t>
      </w:r>
      <w:r w:rsidR="007920ED">
        <w:t xml:space="preserve">incurred </w:t>
      </w:r>
      <w:r w:rsidR="000F5CD9">
        <w:t>with</w:t>
      </w:r>
      <w:r>
        <w:t xml:space="preserve"> a positive impact on the fiscal balance</w:t>
      </w:r>
      <w:r w:rsidR="00CB5A4C">
        <w:t>.</w:t>
      </w:r>
    </w:p>
    <w:p w:rsidR="00CB126E" w:rsidRDefault="00211323" w:rsidP="003A0AE3">
      <w:pPr>
        <w:pStyle w:val="ListBullet2"/>
      </w:pPr>
      <w:r>
        <w:t>Reduced c</w:t>
      </w:r>
      <w:r w:rsidRPr="00211323">
        <w:t xml:space="preserve">oncessional loan discount unwinding revenue in later years </w:t>
      </w:r>
      <w:r w:rsidR="003A0AE3">
        <w:t xml:space="preserve">would completely </w:t>
      </w:r>
      <w:r w:rsidRPr="00211323">
        <w:t xml:space="preserve">offset the </w:t>
      </w:r>
      <w:r>
        <w:t>de</w:t>
      </w:r>
      <w:r w:rsidRPr="00211323">
        <w:t xml:space="preserve">creased concessional loan discount expenses and has a </w:t>
      </w:r>
      <w:r>
        <w:t>negative impact on the fiscal balance</w:t>
      </w:r>
      <w:r w:rsidR="00CB5A4C">
        <w:t>.</w:t>
      </w:r>
    </w:p>
    <w:p w:rsidR="003A0AE3" w:rsidRDefault="003A0AE3" w:rsidP="003A0AE3">
      <w:pPr>
        <w:pStyle w:val="ListBullet2"/>
      </w:pPr>
      <w:r>
        <w:t>Over</w:t>
      </w:r>
      <w:r w:rsidR="003B1FEE">
        <w:t xml:space="preserve"> an indefinite period of</w:t>
      </w:r>
      <w:r>
        <w:t xml:space="preserve"> time, the combined concessional loan discount expense and unwinding revenue would have a nil impact on the fiscal balance.</w:t>
      </w:r>
    </w:p>
    <w:p w:rsidR="00211323" w:rsidRDefault="00211323" w:rsidP="00211323">
      <w:pPr>
        <w:pStyle w:val="ListBullet"/>
      </w:pPr>
      <w:r>
        <w:t>Increased interest revenue has a positive impact on the fiscal balance</w:t>
      </w:r>
      <w:r w:rsidR="00CB5A4C">
        <w:t>.</w:t>
      </w:r>
    </w:p>
    <w:p w:rsidR="00194E61" w:rsidRDefault="00194E61" w:rsidP="00194E61">
      <w:pPr>
        <w:pStyle w:val="ListBullet"/>
      </w:pPr>
      <w:r>
        <w:t xml:space="preserve">Decreased </w:t>
      </w:r>
      <w:proofErr w:type="spellStart"/>
      <w:r>
        <w:t>writedowns</w:t>
      </w:r>
      <w:proofErr w:type="spellEnd"/>
      <w:r>
        <w:t xml:space="preserve"> have a positive impact on the fiscal balance</w:t>
      </w:r>
      <w:r w:rsidR="00CB5A4C">
        <w:t>.</w:t>
      </w:r>
    </w:p>
    <w:p w:rsidR="00194E61" w:rsidRDefault="00194E61" w:rsidP="00194E61">
      <w:pPr>
        <w:pStyle w:val="ListBullet"/>
      </w:pPr>
      <w:r>
        <w:t>Decreased state contributions to deferral costs have a negative impact on the fiscal balance</w:t>
      </w:r>
      <w:r w:rsidR="00CB5A4C">
        <w:t>.</w:t>
      </w:r>
    </w:p>
    <w:p w:rsidR="00194E61" w:rsidRDefault="00CB5A4C" w:rsidP="00CB5A4C">
      <w:pPr>
        <w:pStyle w:val="ListBullet"/>
      </w:pPr>
      <w:r>
        <w:t>In</w:t>
      </w:r>
      <w:r w:rsidRPr="00CB5A4C">
        <w:t xml:space="preserve">creased PDI payments have a </w:t>
      </w:r>
      <w:r>
        <w:t>negative</w:t>
      </w:r>
      <w:r w:rsidRPr="00CB5A4C">
        <w:t xml:space="preserve"> impact on the fiscal balance</w:t>
      </w:r>
      <w:r>
        <w:t>.</w:t>
      </w:r>
    </w:p>
    <w:p w:rsidR="00CB5A4C" w:rsidRPr="00C77BC0" w:rsidRDefault="00CB5A4C" w:rsidP="006D4E71">
      <w:pPr>
        <w:pStyle w:val="Heading3"/>
      </w:pPr>
      <w:r w:rsidRPr="00DE2B04">
        <w:t xml:space="preserve">Underlying cash balance impact </w:t>
      </w:r>
      <w:r w:rsidR="00DE1B0B">
        <w:t xml:space="preserve">of changes to HELP </w:t>
      </w:r>
      <w:r w:rsidRPr="00DE2B04">
        <w:t>– components</w:t>
      </w:r>
    </w:p>
    <w:p w:rsidR="00CB5A4C" w:rsidRDefault="0091043B" w:rsidP="00CB5A4C">
      <w:pPr>
        <w:pStyle w:val="ListBullet"/>
      </w:pPr>
      <w:r>
        <w:t xml:space="preserve">Increased interest </w:t>
      </w:r>
      <w:r w:rsidR="003A0AE3">
        <w:t>receipts</w:t>
      </w:r>
      <w:r>
        <w:t xml:space="preserve"> have a positive impact on the underlying cash balance.</w:t>
      </w:r>
    </w:p>
    <w:p w:rsidR="0091043B" w:rsidRDefault="0091043B" w:rsidP="00CB5A4C">
      <w:pPr>
        <w:pStyle w:val="ListBullet"/>
      </w:pPr>
      <w:r>
        <w:t>Decreased state contributions to deferral costs have a negative impact on the underlying cash balance.</w:t>
      </w:r>
    </w:p>
    <w:p w:rsidR="0091043B" w:rsidRDefault="0091043B" w:rsidP="00CB5A4C">
      <w:pPr>
        <w:pStyle w:val="ListBullet"/>
      </w:pPr>
      <w:r>
        <w:t>In</w:t>
      </w:r>
      <w:r w:rsidRPr="00CB5A4C">
        <w:t xml:space="preserve">creased PDI payments have a </w:t>
      </w:r>
      <w:r>
        <w:t>negative</w:t>
      </w:r>
      <w:r w:rsidRPr="00CB5A4C">
        <w:t xml:space="preserve"> impact on the </w:t>
      </w:r>
      <w:r>
        <w:t>underlying cash</w:t>
      </w:r>
      <w:r w:rsidRPr="00CB5A4C">
        <w:t xml:space="preserve"> balance</w:t>
      </w:r>
      <w:r>
        <w:t>.</w:t>
      </w:r>
    </w:p>
    <w:p w:rsidR="00CB5A4C" w:rsidRPr="00764F7A" w:rsidRDefault="00CB5A4C" w:rsidP="006D4E71">
      <w:pPr>
        <w:pStyle w:val="Heading3"/>
      </w:pPr>
      <w:r w:rsidRPr="00764F7A">
        <w:t xml:space="preserve">Headline cash balance impact </w:t>
      </w:r>
      <w:r w:rsidR="00DE1B0B">
        <w:t xml:space="preserve">of changes to HELP </w:t>
      </w:r>
      <w:r w:rsidRPr="00764F7A">
        <w:t>– components</w:t>
      </w:r>
    </w:p>
    <w:p w:rsidR="00CB5A4C" w:rsidRDefault="0091043B" w:rsidP="00CB5A4C">
      <w:pPr>
        <w:pStyle w:val="ListBullet"/>
      </w:pPr>
      <w:r>
        <w:t>Increased value of loans issued due to higher fees has a negative impact on the headline cash balance.</w:t>
      </w:r>
    </w:p>
    <w:p w:rsidR="0091043B" w:rsidRDefault="0091043B" w:rsidP="00CB5A4C">
      <w:pPr>
        <w:pStyle w:val="ListBullet"/>
      </w:pPr>
      <w:r>
        <w:t xml:space="preserve">Increased principal repayments and interest </w:t>
      </w:r>
      <w:r w:rsidR="003A0AE3">
        <w:t>receipts</w:t>
      </w:r>
      <w:r>
        <w:t xml:space="preserve"> have a positive impact on the headline cash balance.</w:t>
      </w:r>
    </w:p>
    <w:p w:rsidR="0091043B" w:rsidRDefault="0091043B" w:rsidP="0091043B">
      <w:pPr>
        <w:pStyle w:val="ListBullet"/>
      </w:pPr>
      <w:r>
        <w:t>Decreased state contributions to deferral costs have a negative impact on the headline cash balance.</w:t>
      </w:r>
    </w:p>
    <w:p w:rsidR="0091043B" w:rsidRDefault="00D36A53" w:rsidP="00D36A53">
      <w:pPr>
        <w:pStyle w:val="ListBullet"/>
      </w:pPr>
      <w:r>
        <w:t>In</w:t>
      </w:r>
      <w:r w:rsidRPr="00CB5A4C">
        <w:t xml:space="preserve">creased PDI payments have a </w:t>
      </w:r>
      <w:r>
        <w:t>negative</w:t>
      </w:r>
      <w:r w:rsidRPr="00CB5A4C">
        <w:t xml:space="preserve"> impact on the </w:t>
      </w:r>
      <w:r>
        <w:t>headline cash</w:t>
      </w:r>
      <w:r w:rsidRPr="00CB5A4C">
        <w:t xml:space="preserve"> balance</w:t>
      </w:r>
      <w:r>
        <w:t>.</w:t>
      </w:r>
    </w:p>
    <w:p w:rsidR="00D36A53" w:rsidRDefault="00D36A53" w:rsidP="00D36A53">
      <w:pPr>
        <w:pStyle w:val="BodyText17ptAbove"/>
      </w:pPr>
      <w:r>
        <w:t>The sum of the financial impacts from the abolition of programs and changes to HELP represents the financial impacts of the proposal.</w:t>
      </w:r>
    </w:p>
    <w:p w:rsidR="00D36A53" w:rsidRPr="00D36A53" w:rsidRDefault="00D36A53" w:rsidP="00D36A53">
      <w:pPr>
        <w:pStyle w:val="BodyText"/>
      </w:pPr>
      <w:r>
        <w:t>All estimates regarding HELP have been rounded to the nearest $10 million.</w:t>
      </w:r>
    </w:p>
    <w:p w:rsidR="00FE3B13" w:rsidRDefault="00FE3B13" w:rsidP="00FE3B13">
      <w:pPr>
        <w:pStyle w:val="Heading1"/>
      </w:pPr>
      <w:r>
        <w:t>Data sources</w:t>
      </w:r>
    </w:p>
    <w:sdt>
      <w:sdtPr>
        <w:id w:val="572776023"/>
        <w:docPartObj>
          <w:docPartGallery w:val="Bibliographies"/>
          <w:docPartUnique/>
        </w:docPartObj>
      </w:sdtPr>
      <w:sdtEndPr/>
      <w:sdtContent>
        <w:p w:rsidR="004E07E4" w:rsidRDefault="004E07E4" w:rsidP="004E07E4">
          <w:pPr>
            <w:pStyle w:val="ListBullet"/>
            <w:rPr>
              <w:noProof/>
            </w:rPr>
          </w:pPr>
          <w:r>
            <w:rPr>
              <w:noProof/>
            </w:rPr>
            <w:t xml:space="preserve">Australian Bureau of Statistics, 2015. </w:t>
          </w:r>
          <w:r>
            <w:rPr>
              <w:i/>
              <w:iCs/>
              <w:noProof/>
            </w:rPr>
            <w:t xml:space="preserve">6553.0 - Survey of Income and Housing 2012-13, </w:t>
          </w:r>
          <w:r>
            <w:rPr>
              <w:noProof/>
            </w:rPr>
            <w:t>Canberra: Australian Bureau of Statistics.</w:t>
          </w:r>
        </w:p>
        <w:p w:rsidR="004E07E4" w:rsidRDefault="004E07E4" w:rsidP="004E07E4">
          <w:pPr>
            <w:pStyle w:val="ListBullet"/>
            <w:rPr>
              <w:noProof/>
            </w:rPr>
          </w:pPr>
          <w:r>
            <w:rPr>
              <w:noProof/>
            </w:rPr>
            <w:lastRenderedPageBreak/>
            <w:t xml:space="preserve">Australian Taxation Office, 2012-13. </w:t>
          </w:r>
          <w:r>
            <w:rPr>
              <w:i/>
              <w:iCs/>
              <w:noProof/>
            </w:rPr>
            <w:t xml:space="preserve">Income tax unit records, </w:t>
          </w:r>
          <w:r>
            <w:rPr>
              <w:noProof/>
            </w:rPr>
            <w:t>Canberra: Australian Taxation Office.</w:t>
          </w:r>
        </w:p>
        <w:p w:rsidR="004E07E4" w:rsidRDefault="004E07E4" w:rsidP="004E07E4">
          <w:pPr>
            <w:pStyle w:val="ListBullet"/>
            <w:rPr>
              <w:noProof/>
            </w:rPr>
          </w:pPr>
          <w:r>
            <w:rPr>
              <w:noProof/>
            </w:rPr>
            <w:t xml:space="preserve">Australian Taxation Office, 2016. </w:t>
          </w:r>
          <w:r>
            <w:rPr>
              <w:i/>
              <w:iCs/>
              <w:noProof/>
            </w:rPr>
            <w:t xml:space="preserve">HELP writedowns unit record between 2012-13 and 2014-15, </w:t>
          </w:r>
          <w:r>
            <w:rPr>
              <w:noProof/>
            </w:rPr>
            <w:t>Canberra: Australian Taxation Office.</w:t>
          </w:r>
        </w:p>
        <w:p w:rsidR="004E07E4" w:rsidRDefault="004E07E4" w:rsidP="004E07E4">
          <w:pPr>
            <w:pStyle w:val="ListBullet"/>
            <w:rPr>
              <w:noProof/>
            </w:rPr>
          </w:pPr>
          <w:r>
            <w:rPr>
              <w:noProof/>
            </w:rPr>
            <w:t xml:space="preserve">Department of Education and Training, 2016. </w:t>
          </w:r>
          <w:r>
            <w:rPr>
              <w:i/>
              <w:iCs/>
              <w:noProof/>
            </w:rPr>
            <w:t xml:space="preserve">Higher Education Loan Program Forward Estimates Model, 2016-17 </w:t>
          </w:r>
          <w:r w:rsidR="00AC45D9">
            <w:rPr>
              <w:i/>
              <w:iCs/>
              <w:noProof/>
            </w:rPr>
            <w:t>Mid-year Economic and Fiscal Outlook (MYEFO)</w:t>
          </w:r>
          <w:r>
            <w:rPr>
              <w:i/>
              <w:iCs/>
              <w:noProof/>
            </w:rPr>
            <w:t xml:space="preserve">, </w:t>
          </w:r>
          <w:r>
            <w:rPr>
              <w:noProof/>
            </w:rPr>
            <w:t>Canberra: Department of Education and Training.</w:t>
          </w:r>
        </w:p>
        <w:p w:rsidR="004E07E4" w:rsidRDefault="004E07E4" w:rsidP="004E07E4">
          <w:pPr>
            <w:pStyle w:val="ListBullet"/>
            <w:rPr>
              <w:noProof/>
            </w:rPr>
          </w:pPr>
          <w:r>
            <w:rPr>
              <w:noProof/>
            </w:rPr>
            <w:t xml:space="preserve">Department of Finance, 2016-17 </w:t>
          </w:r>
          <w:r w:rsidR="00AC45D9">
            <w:rPr>
              <w:noProof/>
            </w:rPr>
            <w:t>MYEFO</w:t>
          </w:r>
          <w:r>
            <w:rPr>
              <w:noProof/>
            </w:rPr>
            <w:t xml:space="preserve">. </w:t>
          </w:r>
          <w:r>
            <w:rPr>
              <w:i/>
              <w:iCs/>
              <w:noProof/>
            </w:rPr>
            <w:t xml:space="preserve">Central Budget Management System estimates, </w:t>
          </w:r>
          <w:r>
            <w:rPr>
              <w:noProof/>
            </w:rPr>
            <w:t>Canberra: s.n.</w:t>
          </w:r>
        </w:p>
        <w:p w:rsidR="004E07E4" w:rsidRDefault="004E07E4" w:rsidP="004E07E4">
          <w:pPr>
            <w:pStyle w:val="ListBullet"/>
            <w:rPr>
              <w:noProof/>
            </w:rPr>
          </w:pPr>
          <w:r>
            <w:rPr>
              <w:noProof/>
            </w:rPr>
            <w:t xml:space="preserve">Reserve Bank of Australia, 2016. </w:t>
          </w:r>
          <w:r>
            <w:rPr>
              <w:i/>
              <w:iCs/>
              <w:noProof/>
            </w:rPr>
            <w:t xml:space="preserve">Indicative Mid Rates of Australian Government Securities – F16. </w:t>
          </w:r>
          <w:r>
            <w:rPr>
              <w:noProof/>
            </w:rPr>
            <w:t xml:space="preserve">[Online] </w:t>
          </w:r>
          <w:r>
            <w:rPr>
              <w:noProof/>
            </w:rPr>
            <w:br/>
            <w:t xml:space="preserve">Available at: </w:t>
          </w:r>
          <w:r>
            <w:rPr>
              <w:noProof/>
              <w:u w:val="single"/>
            </w:rPr>
            <w:t>http://www.rba.gov.au/statistics/tables/xls/f16.xls</w:t>
          </w:r>
          <w:r>
            <w:rPr>
              <w:noProof/>
            </w:rPr>
            <w:br/>
            <w:t>[Accessed 25</w:t>
          </w:r>
          <w:r w:rsidR="003A0AE3">
            <w:rPr>
              <w:noProof/>
            </w:rPr>
            <w:t>.11.</w:t>
          </w:r>
          <w:r>
            <w:rPr>
              <w:noProof/>
            </w:rPr>
            <w:t>2016].</w:t>
          </w:r>
        </w:p>
        <w:p w:rsidR="00404763" w:rsidRDefault="004E07E4" w:rsidP="004E07E4">
          <w:pPr>
            <w:pStyle w:val="ListBullet"/>
          </w:pPr>
          <w:r>
            <w:rPr>
              <w:noProof/>
            </w:rPr>
            <w:t xml:space="preserve">Reserve Bank of Australia, 2016. </w:t>
          </w:r>
          <w:r w:rsidRPr="004E07E4">
            <w:rPr>
              <w:i/>
              <w:iCs/>
              <w:noProof/>
            </w:rPr>
            <w:t xml:space="preserve">Indicator Lending Rates – F5. </w:t>
          </w:r>
          <w:r>
            <w:rPr>
              <w:noProof/>
            </w:rPr>
            <w:t xml:space="preserve">[Online] </w:t>
          </w:r>
          <w:r>
            <w:rPr>
              <w:noProof/>
            </w:rPr>
            <w:br/>
            <w:t xml:space="preserve">Available at: </w:t>
          </w:r>
          <w:r w:rsidRPr="004E07E4">
            <w:rPr>
              <w:noProof/>
              <w:u w:val="single"/>
            </w:rPr>
            <w:t>http://www.rba.gov.au/statistics/tables/xls/f05hist.xls</w:t>
          </w:r>
          <w:r w:rsidR="003A0AE3">
            <w:rPr>
              <w:noProof/>
            </w:rPr>
            <w:br/>
            <w:t>[Accessed 25.</w:t>
          </w:r>
          <w:r>
            <w:rPr>
              <w:noProof/>
            </w:rPr>
            <w:t>11</w:t>
          </w:r>
          <w:r w:rsidR="003A0AE3">
            <w:rPr>
              <w:noProof/>
            </w:rPr>
            <w:t>.</w:t>
          </w:r>
          <w:r>
            <w:rPr>
              <w:noProof/>
            </w:rPr>
            <w:t>2016].</w:t>
          </w:r>
        </w:p>
      </w:sdtContent>
    </w:sdt>
    <w:p w:rsidR="0046444F" w:rsidRDefault="0046444F" w:rsidP="00B311BA">
      <w:pPr>
        <w:pStyle w:val="BodyText"/>
        <w:sectPr w:rsidR="0046444F" w:rsidSect="00F06116">
          <w:headerReference w:type="default" r:id="rId9"/>
          <w:footerReference w:type="default" r:id="rId10"/>
          <w:headerReference w:type="first" r:id="rId11"/>
          <w:footerReference w:type="first" r:id="rId12"/>
          <w:pgSz w:w="11906" w:h="16838" w:code="9"/>
          <w:pgMar w:top="1361" w:right="1797" w:bottom="1474" w:left="1797" w:header="284" w:footer="454" w:gutter="0"/>
          <w:pgNumType w:start="1"/>
          <w:cols w:space="708"/>
          <w:titlePg/>
          <w:docGrid w:linePitch="360"/>
        </w:sectPr>
      </w:pPr>
    </w:p>
    <w:p w:rsidR="00016D53" w:rsidRDefault="00016D53" w:rsidP="00404763">
      <w:pPr>
        <w:pStyle w:val="Heading8"/>
      </w:pPr>
      <w:r w:rsidRPr="002D239A">
        <w:lastRenderedPageBreak/>
        <w:t xml:space="preserve">– </w:t>
      </w:r>
      <w:r w:rsidR="00404763" w:rsidRPr="00404763">
        <w:t>Higher education and vo</w:t>
      </w:r>
      <w:r w:rsidR="00404763">
        <w:t>cational education and training</w:t>
      </w:r>
      <w:r w:rsidRPr="002D239A">
        <w:t>—financial implications</w:t>
      </w:r>
    </w:p>
    <w:p w:rsidR="00404763" w:rsidRDefault="00404763" w:rsidP="00404763">
      <w:pPr>
        <w:pStyle w:val="Caption"/>
        <w:rPr>
          <w:vertAlign w:val="superscript"/>
        </w:rPr>
      </w:pPr>
      <w:r w:rsidRPr="00404763">
        <w:t xml:space="preserve">Table A1: </w:t>
      </w:r>
      <w:r w:rsidR="002E6B61" w:rsidRPr="002E6B61">
        <w:t xml:space="preserve">Higher education and vocational education and training </w:t>
      </w:r>
      <w:r w:rsidRPr="00404763">
        <w:t>—Financial implications (outturn prices</w:t>
      </w:r>
      <w:proofErr w:type="gramStart"/>
      <w:r w:rsidRPr="00404763">
        <w:t>)</w:t>
      </w:r>
      <w:r w:rsidRPr="00404763">
        <w:rPr>
          <w:vertAlign w:val="superscript"/>
        </w:rPr>
        <w:t>(</w:t>
      </w:r>
      <w:proofErr w:type="gramEnd"/>
      <w:r w:rsidRPr="00404763">
        <w:rPr>
          <w:vertAlign w:val="superscript"/>
        </w:rPr>
        <w:t>a)(b)</w:t>
      </w:r>
    </w:p>
    <w:tbl>
      <w:tblPr>
        <w:tblW w:w="20989" w:type="dxa"/>
        <w:tblInd w:w="98" w:type="dxa"/>
        <w:tblLook w:val="04A0" w:firstRow="1" w:lastRow="0" w:firstColumn="1" w:lastColumn="0" w:noHBand="0" w:noVBand="1"/>
      </w:tblPr>
      <w:tblGrid>
        <w:gridCol w:w="6673"/>
        <w:gridCol w:w="1101"/>
        <w:gridCol w:w="1101"/>
        <w:gridCol w:w="1101"/>
        <w:gridCol w:w="1101"/>
        <w:gridCol w:w="1102"/>
        <w:gridCol w:w="1101"/>
        <w:gridCol w:w="1101"/>
        <w:gridCol w:w="1101"/>
        <w:gridCol w:w="1102"/>
        <w:gridCol w:w="1101"/>
        <w:gridCol w:w="1101"/>
        <w:gridCol w:w="1101"/>
        <w:gridCol w:w="1102"/>
      </w:tblGrid>
      <w:tr w:rsidR="002E6B61" w:rsidRPr="002E6B61" w:rsidTr="00C676BA">
        <w:trPr>
          <w:trHeight w:val="525"/>
        </w:trPr>
        <w:tc>
          <w:tcPr>
            <w:tcW w:w="6673" w:type="dxa"/>
            <w:tcBorders>
              <w:top w:val="single" w:sz="8" w:space="0" w:color="788184"/>
              <w:left w:val="single" w:sz="8" w:space="0" w:color="788184"/>
              <w:bottom w:val="single" w:sz="8" w:space="0" w:color="788184"/>
              <w:right w:val="single" w:sz="8" w:space="0" w:color="788184"/>
            </w:tcBorders>
            <w:shd w:val="clear" w:color="000000" w:fill="D7DDE9"/>
            <w:vAlign w:val="center"/>
            <w:hideMark/>
          </w:tcPr>
          <w:p w:rsidR="002E6B61" w:rsidRPr="002E6B61" w:rsidRDefault="002E6B61" w:rsidP="002E6B61">
            <w:pPr>
              <w:spacing w:before="70" w:after="70" w:line="240" w:lineRule="auto"/>
              <w:ind w:left="57" w:right="57"/>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($m)</w:t>
            </w:r>
          </w:p>
        </w:tc>
        <w:tc>
          <w:tcPr>
            <w:tcW w:w="1101" w:type="dxa"/>
            <w:tcBorders>
              <w:top w:val="single" w:sz="8" w:space="0" w:color="788184"/>
              <w:left w:val="nil"/>
              <w:bottom w:val="single" w:sz="8" w:space="0" w:color="788184"/>
              <w:right w:val="single" w:sz="8" w:space="0" w:color="788184"/>
            </w:tcBorders>
            <w:shd w:val="clear" w:color="000000" w:fill="D7DDE9"/>
            <w:vAlign w:val="center"/>
            <w:hideMark/>
          </w:tcPr>
          <w:p w:rsidR="002E6B61" w:rsidRPr="002E6B61" w:rsidRDefault="002E6B61" w:rsidP="002E6B61">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2016–17</w:t>
            </w:r>
          </w:p>
        </w:tc>
        <w:tc>
          <w:tcPr>
            <w:tcW w:w="1101" w:type="dxa"/>
            <w:tcBorders>
              <w:top w:val="single" w:sz="8" w:space="0" w:color="788184"/>
              <w:left w:val="nil"/>
              <w:bottom w:val="single" w:sz="8" w:space="0" w:color="788184"/>
              <w:right w:val="single" w:sz="8" w:space="0" w:color="788184"/>
            </w:tcBorders>
            <w:shd w:val="clear" w:color="000000" w:fill="D7DDE9"/>
            <w:vAlign w:val="center"/>
            <w:hideMark/>
          </w:tcPr>
          <w:p w:rsidR="002E6B61" w:rsidRPr="002E6B61" w:rsidRDefault="002E6B61" w:rsidP="002E6B61">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2017–18</w:t>
            </w:r>
          </w:p>
        </w:tc>
        <w:tc>
          <w:tcPr>
            <w:tcW w:w="1101" w:type="dxa"/>
            <w:tcBorders>
              <w:top w:val="single" w:sz="8" w:space="0" w:color="788184"/>
              <w:left w:val="nil"/>
              <w:bottom w:val="single" w:sz="8" w:space="0" w:color="788184"/>
              <w:right w:val="single" w:sz="8" w:space="0" w:color="788184"/>
            </w:tcBorders>
            <w:shd w:val="clear" w:color="000000" w:fill="D7DDE9"/>
            <w:vAlign w:val="center"/>
            <w:hideMark/>
          </w:tcPr>
          <w:p w:rsidR="002E6B61" w:rsidRPr="002E6B61" w:rsidRDefault="002E6B61" w:rsidP="002E6B61">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2018–19</w:t>
            </w:r>
          </w:p>
        </w:tc>
        <w:tc>
          <w:tcPr>
            <w:tcW w:w="1101" w:type="dxa"/>
            <w:tcBorders>
              <w:top w:val="single" w:sz="8" w:space="0" w:color="788184"/>
              <w:left w:val="nil"/>
              <w:bottom w:val="single" w:sz="8" w:space="0" w:color="788184"/>
              <w:right w:val="single" w:sz="8" w:space="0" w:color="788184"/>
            </w:tcBorders>
            <w:shd w:val="clear" w:color="000000" w:fill="D7DDE9"/>
            <w:vAlign w:val="center"/>
            <w:hideMark/>
          </w:tcPr>
          <w:p w:rsidR="002E6B61" w:rsidRPr="002E6B61" w:rsidRDefault="002E6B61" w:rsidP="002E6B61">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2019–20</w:t>
            </w:r>
          </w:p>
        </w:tc>
        <w:tc>
          <w:tcPr>
            <w:tcW w:w="1102" w:type="dxa"/>
            <w:tcBorders>
              <w:top w:val="single" w:sz="8" w:space="0" w:color="788184"/>
              <w:left w:val="nil"/>
              <w:bottom w:val="single" w:sz="8" w:space="0" w:color="788184"/>
              <w:right w:val="single" w:sz="8" w:space="0" w:color="788184"/>
            </w:tcBorders>
            <w:shd w:val="clear" w:color="000000" w:fill="D7DDE9"/>
            <w:vAlign w:val="center"/>
            <w:hideMark/>
          </w:tcPr>
          <w:p w:rsidR="002E6B61" w:rsidRPr="002E6B61" w:rsidRDefault="002E6B61" w:rsidP="002E6B61">
            <w:pPr>
              <w:spacing w:before="70" w:after="70" w:line="240" w:lineRule="auto"/>
              <w:ind w:left="57" w:right="57"/>
              <w:jc w:val="right"/>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Total to 2019–20</w:t>
            </w:r>
          </w:p>
        </w:tc>
        <w:tc>
          <w:tcPr>
            <w:tcW w:w="1101" w:type="dxa"/>
            <w:tcBorders>
              <w:top w:val="single" w:sz="8" w:space="0" w:color="788184"/>
              <w:left w:val="nil"/>
              <w:bottom w:val="single" w:sz="8" w:space="0" w:color="788184"/>
              <w:right w:val="single" w:sz="8" w:space="0" w:color="788184"/>
            </w:tcBorders>
            <w:shd w:val="clear" w:color="000000" w:fill="D7DDE9"/>
            <w:vAlign w:val="center"/>
            <w:hideMark/>
          </w:tcPr>
          <w:p w:rsidR="002E6B61" w:rsidRPr="002E6B61" w:rsidRDefault="002E6B61" w:rsidP="002E6B61">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2020–21</w:t>
            </w:r>
          </w:p>
        </w:tc>
        <w:tc>
          <w:tcPr>
            <w:tcW w:w="1101" w:type="dxa"/>
            <w:tcBorders>
              <w:top w:val="single" w:sz="8" w:space="0" w:color="788184"/>
              <w:left w:val="nil"/>
              <w:bottom w:val="single" w:sz="8" w:space="0" w:color="788184"/>
              <w:right w:val="single" w:sz="8" w:space="0" w:color="788184"/>
            </w:tcBorders>
            <w:shd w:val="clear" w:color="000000" w:fill="D7DDE9"/>
            <w:vAlign w:val="center"/>
            <w:hideMark/>
          </w:tcPr>
          <w:p w:rsidR="002E6B61" w:rsidRPr="002E6B61" w:rsidRDefault="002E6B61" w:rsidP="002E6B61">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2021–22</w:t>
            </w:r>
          </w:p>
        </w:tc>
        <w:tc>
          <w:tcPr>
            <w:tcW w:w="1101" w:type="dxa"/>
            <w:tcBorders>
              <w:top w:val="single" w:sz="8" w:space="0" w:color="788184"/>
              <w:left w:val="nil"/>
              <w:bottom w:val="single" w:sz="8" w:space="0" w:color="788184"/>
              <w:right w:val="single" w:sz="8" w:space="0" w:color="788184"/>
            </w:tcBorders>
            <w:shd w:val="clear" w:color="000000" w:fill="D7DDE9"/>
            <w:vAlign w:val="center"/>
            <w:hideMark/>
          </w:tcPr>
          <w:p w:rsidR="002E6B61" w:rsidRPr="002E6B61" w:rsidRDefault="002E6B61" w:rsidP="002E6B61">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2022–23</w:t>
            </w:r>
          </w:p>
        </w:tc>
        <w:tc>
          <w:tcPr>
            <w:tcW w:w="1102" w:type="dxa"/>
            <w:tcBorders>
              <w:top w:val="single" w:sz="8" w:space="0" w:color="788184"/>
              <w:left w:val="nil"/>
              <w:bottom w:val="single" w:sz="8" w:space="0" w:color="788184"/>
              <w:right w:val="single" w:sz="8" w:space="0" w:color="788184"/>
            </w:tcBorders>
            <w:shd w:val="clear" w:color="000000" w:fill="D7DDE9"/>
            <w:vAlign w:val="center"/>
            <w:hideMark/>
          </w:tcPr>
          <w:p w:rsidR="002E6B61" w:rsidRPr="002E6B61" w:rsidRDefault="002E6B61" w:rsidP="002E6B61">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2023–24</w:t>
            </w:r>
          </w:p>
        </w:tc>
        <w:tc>
          <w:tcPr>
            <w:tcW w:w="1101" w:type="dxa"/>
            <w:tcBorders>
              <w:top w:val="single" w:sz="8" w:space="0" w:color="788184"/>
              <w:left w:val="nil"/>
              <w:bottom w:val="single" w:sz="8" w:space="0" w:color="788184"/>
              <w:right w:val="single" w:sz="8" w:space="0" w:color="788184"/>
            </w:tcBorders>
            <w:shd w:val="clear" w:color="000000" w:fill="D7DDE9"/>
            <w:vAlign w:val="center"/>
            <w:hideMark/>
          </w:tcPr>
          <w:p w:rsidR="002E6B61" w:rsidRPr="002E6B61" w:rsidRDefault="002E6B61" w:rsidP="002E6B61">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2024–25</w:t>
            </w:r>
          </w:p>
        </w:tc>
        <w:tc>
          <w:tcPr>
            <w:tcW w:w="1101" w:type="dxa"/>
            <w:tcBorders>
              <w:top w:val="single" w:sz="8" w:space="0" w:color="788184"/>
              <w:left w:val="nil"/>
              <w:bottom w:val="single" w:sz="8" w:space="0" w:color="788184"/>
              <w:right w:val="single" w:sz="8" w:space="0" w:color="788184"/>
            </w:tcBorders>
            <w:shd w:val="clear" w:color="000000" w:fill="D7DDE9"/>
            <w:vAlign w:val="center"/>
            <w:hideMark/>
          </w:tcPr>
          <w:p w:rsidR="002E6B61" w:rsidRPr="002E6B61" w:rsidRDefault="002E6B61" w:rsidP="002E6B61">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2025–26</w:t>
            </w:r>
          </w:p>
        </w:tc>
        <w:tc>
          <w:tcPr>
            <w:tcW w:w="1101" w:type="dxa"/>
            <w:tcBorders>
              <w:top w:val="single" w:sz="8" w:space="0" w:color="788184"/>
              <w:left w:val="nil"/>
              <w:bottom w:val="single" w:sz="8" w:space="0" w:color="788184"/>
              <w:right w:val="single" w:sz="8" w:space="0" w:color="788184"/>
            </w:tcBorders>
            <w:shd w:val="clear" w:color="000000" w:fill="D7DDE9"/>
            <w:vAlign w:val="center"/>
            <w:hideMark/>
          </w:tcPr>
          <w:p w:rsidR="002E6B61" w:rsidRPr="002E6B61" w:rsidRDefault="002E6B61" w:rsidP="002E6B61">
            <w:pPr>
              <w:spacing w:before="70" w:after="70" w:line="240" w:lineRule="auto"/>
              <w:ind w:left="57" w:right="57"/>
              <w:jc w:val="right"/>
              <w:rPr>
                <w:rFonts w:ascii="Calibri" w:eastAsia="Times New Roman" w:hAnsi="Calibri" w:cs="Times New Roman"/>
                <w:bCs/>
                <w:color w:val="000000"/>
                <w:sz w:val="20"/>
                <w:szCs w:val="20"/>
                <w:lang w:eastAsia="en-AU"/>
              </w:rPr>
            </w:pPr>
            <w:r w:rsidRPr="002E6B61">
              <w:rPr>
                <w:rFonts w:ascii="Calibri" w:eastAsia="Times New Roman" w:hAnsi="Calibri" w:cs="Times New Roman"/>
                <w:bCs/>
                <w:color w:val="000000"/>
                <w:sz w:val="20"/>
                <w:szCs w:val="20"/>
                <w:lang w:eastAsia="en-AU"/>
              </w:rPr>
              <w:t>2026–27</w:t>
            </w:r>
          </w:p>
        </w:tc>
        <w:tc>
          <w:tcPr>
            <w:tcW w:w="1102" w:type="dxa"/>
            <w:tcBorders>
              <w:top w:val="single" w:sz="8" w:space="0" w:color="788184"/>
              <w:left w:val="nil"/>
              <w:bottom w:val="single" w:sz="8" w:space="0" w:color="788184"/>
              <w:right w:val="single" w:sz="8" w:space="0" w:color="788184"/>
            </w:tcBorders>
            <w:shd w:val="clear" w:color="000000" w:fill="D7DDE9"/>
            <w:vAlign w:val="center"/>
            <w:hideMark/>
          </w:tcPr>
          <w:p w:rsidR="002E6B61" w:rsidRPr="002E6B61" w:rsidRDefault="002E6B61" w:rsidP="002E6B61">
            <w:pPr>
              <w:spacing w:before="70" w:after="70" w:line="240" w:lineRule="auto"/>
              <w:ind w:left="57" w:right="57"/>
              <w:jc w:val="right"/>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Total to 2026–27</w:t>
            </w:r>
          </w:p>
        </w:tc>
      </w:tr>
      <w:tr w:rsidR="002E6B61" w:rsidRPr="002E6B61" w:rsidTr="00C676BA">
        <w:trPr>
          <w:trHeight w:val="270"/>
        </w:trPr>
        <w:tc>
          <w:tcPr>
            <w:tcW w:w="6673" w:type="dxa"/>
            <w:tcBorders>
              <w:top w:val="nil"/>
              <w:left w:val="single" w:sz="8" w:space="0" w:color="788184"/>
              <w:bottom w:val="single" w:sz="8" w:space="0" w:color="788184"/>
              <w:right w:val="nil"/>
            </w:tcBorders>
            <w:shd w:val="clear" w:color="000000" w:fill="E9ECF3"/>
            <w:vAlign w:val="center"/>
            <w:hideMark/>
          </w:tcPr>
          <w:p w:rsidR="002E6B61" w:rsidRPr="002E6B61" w:rsidRDefault="002E6B61" w:rsidP="002E6B61">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Impact on fiscal balance</w:t>
            </w:r>
          </w:p>
        </w:tc>
        <w:tc>
          <w:tcPr>
            <w:tcW w:w="1101" w:type="dxa"/>
            <w:tcBorders>
              <w:top w:val="nil"/>
              <w:left w:val="nil"/>
              <w:bottom w:val="single" w:sz="8" w:space="0" w:color="788184"/>
              <w:right w:val="nil"/>
            </w:tcBorders>
            <w:shd w:val="clear" w:color="000000" w:fill="E9ECF3"/>
            <w:vAlign w:val="center"/>
            <w:hideMark/>
          </w:tcPr>
          <w:p w:rsidR="002E6B61" w:rsidRPr="002E6B61" w:rsidRDefault="002E6B61" w:rsidP="002E6B61">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2E6B61" w:rsidRPr="002E6B61" w:rsidRDefault="002E6B61" w:rsidP="002E6B61">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2E6B61" w:rsidRPr="002E6B61" w:rsidRDefault="002E6B61" w:rsidP="002E6B61">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2E6B61" w:rsidRPr="002E6B61" w:rsidRDefault="002E6B61" w:rsidP="002E6B61">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2" w:type="dxa"/>
            <w:tcBorders>
              <w:top w:val="nil"/>
              <w:left w:val="nil"/>
              <w:bottom w:val="single" w:sz="8" w:space="0" w:color="788184"/>
              <w:right w:val="nil"/>
            </w:tcBorders>
            <w:shd w:val="clear" w:color="000000" w:fill="E9ECF3"/>
            <w:vAlign w:val="center"/>
            <w:hideMark/>
          </w:tcPr>
          <w:p w:rsidR="002E6B61" w:rsidRPr="002E6B61" w:rsidRDefault="002E6B61" w:rsidP="002E6B61">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2E6B61" w:rsidRPr="002E6B61" w:rsidRDefault="002E6B61" w:rsidP="002E6B61">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2E6B61" w:rsidRPr="002E6B61" w:rsidRDefault="002E6B61" w:rsidP="002E6B61">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2E6B61" w:rsidRPr="002E6B61" w:rsidRDefault="002E6B61" w:rsidP="002E6B61">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2" w:type="dxa"/>
            <w:tcBorders>
              <w:top w:val="nil"/>
              <w:left w:val="nil"/>
              <w:bottom w:val="single" w:sz="8" w:space="0" w:color="788184"/>
              <w:right w:val="nil"/>
            </w:tcBorders>
            <w:shd w:val="clear" w:color="000000" w:fill="E9ECF3"/>
            <w:vAlign w:val="center"/>
            <w:hideMark/>
          </w:tcPr>
          <w:p w:rsidR="002E6B61" w:rsidRPr="002E6B61" w:rsidRDefault="002E6B61" w:rsidP="002E6B61">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2E6B61" w:rsidRPr="002E6B61" w:rsidRDefault="002E6B61" w:rsidP="002E6B61">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2E6B61" w:rsidRPr="002E6B61" w:rsidRDefault="002E6B61" w:rsidP="002E6B61">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2E6B61" w:rsidRPr="002E6B61" w:rsidRDefault="002E6B61" w:rsidP="002E6B61">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2" w:type="dxa"/>
            <w:tcBorders>
              <w:top w:val="nil"/>
              <w:left w:val="nil"/>
              <w:bottom w:val="single" w:sz="8" w:space="0" w:color="788184"/>
              <w:right w:val="single" w:sz="8" w:space="0" w:color="788184"/>
            </w:tcBorders>
            <w:shd w:val="clear" w:color="000000" w:fill="E9ECF3"/>
            <w:vAlign w:val="center"/>
            <w:hideMark/>
          </w:tcPr>
          <w:p w:rsidR="002E6B61" w:rsidRPr="002E6B61" w:rsidRDefault="002E6B61" w:rsidP="002E6B61">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r>
      <w:tr w:rsidR="003A0AE3" w:rsidRPr="002E6B61" w:rsidTr="00C676BA">
        <w:trPr>
          <w:trHeight w:val="570"/>
        </w:trPr>
        <w:tc>
          <w:tcPr>
            <w:tcW w:w="6673" w:type="dxa"/>
            <w:tcBorders>
              <w:top w:val="nil"/>
              <w:left w:val="single" w:sz="8" w:space="0" w:color="788184"/>
              <w:bottom w:val="single" w:sz="8" w:space="0" w:color="788184"/>
              <w:right w:val="single" w:sz="8" w:space="0" w:color="788184"/>
            </w:tcBorders>
            <w:shd w:val="clear" w:color="auto" w:fill="auto"/>
            <w:vAlign w:val="center"/>
            <w:hideMark/>
          </w:tcPr>
          <w:p w:rsidR="003A0AE3" w:rsidRPr="002E6B61" w:rsidRDefault="003A0AE3" w:rsidP="002E6B61">
            <w:pPr>
              <w:spacing w:before="70" w:after="70" w:line="240" w:lineRule="auto"/>
              <w:ind w:left="57" w:right="57"/>
              <w:rPr>
                <w:rFonts w:ascii="Calibri" w:eastAsia="Times New Roman" w:hAnsi="Calibri" w:cs="Times New Roman"/>
                <w:color w:val="000000"/>
                <w:sz w:val="20"/>
                <w:szCs w:val="20"/>
                <w:lang w:eastAsia="en-AU"/>
              </w:rPr>
            </w:pPr>
            <w:r w:rsidRPr="002E6B61">
              <w:rPr>
                <w:rFonts w:ascii="Calibri" w:eastAsia="Times New Roman" w:hAnsi="Calibri" w:cs="Times New Roman"/>
                <w:color w:val="000000"/>
                <w:sz w:val="20"/>
                <w:szCs w:val="20"/>
                <w:lang w:eastAsia="en-AU"/>
              </w:rPr>
              <w:t>Changes to HELP</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520</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2,180</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2,550</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2,900</w:t>
            </w:r>
          </w:p>
        </w:tc>
        <w:tc>
          <w:tcPr>
            <w:tcW w:w="110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8,150</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3,470</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4,120</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4,880</w:t>
            </w:r>
          </w:p>
        </w:tc>
        <w:tc>
          <w:tcPr>
            <w:tcW w:w="110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5,730</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6,680</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7,730</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8,890</w:t>
            </w:r>
          </w:p>
        </w:tc>
        <w:tc>
          <w:tcPr>
            <w:tcW w:w="110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49,630</w:t>
            </w:r>
          </w:p>
        </w:tc>
      </w:tr>
      <w:tr w:rsidR="003A0AE3" w:rsidRPr="002E6B61" w:rsidTr="00C676BA">
        <w:trPr>
          <w:trHeight w:val="570"/>
        </w:trPr>
        <w:tc>
          <w:tcPr>
            <w:tcW w:w="6673" w:type="dxa"/>
            <w:tcBorders>
              <w:top w:val="nil"/>
              <w:left w:val="single" w:sz="8" w:space="0" w:color="788184"/>
              <w:bottom w:val="single" w:sz="8" w:space="0" w:color="788184"/>
              <w:right w:val="single" w:sz="8" w:space="0" w:color="788184"/>
            </w:tcBorders>
            <w:shd w:val="clear" w:color="auto" w:fill="auto"/>
            <w:vAlign w:val="center"/>
            <w:hideMark/>
          </w:tcPr>
          <w:p w:rsidR="003A0AE3" w:rsidRPr="002E6B61" w:rsidRDefault="003A0AE3" w:rsidP="002E6B61">
            <w:pPr>
              <w:spacing w:before="70" w:after="70" w:line="240" w:lineRule="auto"/>
              <w:ind w:left="57" w:right="57"/>
              <w:rPr>
                <w:rFonts w:ascii="Calibri" w:eastAsia="Times New Roman" w:hAnsi="Calibri" w:cs="Times New Roman"/>
                <w:color w:val="000000"/>
                <w:sz w:val="20"/>
                <w:szCs w:val="20"/>
                <w:lang w:eastAsia="en-AU"/>
              </w:rPr>
            </w:pPr>
            <w:r w:rsidRPr="002E6B61">
              <w:rPr>
                <w:rFonts w:ascii="Calibri" w:eastAsia="Times New Roman" w:hAnsi="Calibri" w:cs="Times New Roman"/>
                <w:color w:val="000000"/>
                <w:sz w:val="20"/>
                <w:szCs w:val="20"/>
                <w:lang w:eastAsia="en-AU"/>
              </w:rPr>
              <w:t>Abolition of higher education and vocational education and training subsidies</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12,435</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12,538</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13,094</w:t>
            </w:r>
          </w:p>
        </w:tc>
        <w:tc>
          <w:tcPr>
            <w:tcW w:w="110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38,066</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13,935</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14,945</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16,058</w:t>
            </w:r>
          </w:p>
        </w:tc>
        <w:tc>
          <w:tcPr>
            <w:tcW w:w="110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17,301</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18,670</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20,168</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21,796</w:t>
            </w:r>
          </w:p>
        </w:tc>
        <w:tc>
          <w:tcPr>
            <w:tcW w:w="110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160,940</w:t>
            </w:r>
          </w:p>
        </w:tc>
      </w:tr>
      <w:tr w:rsidR="003A0AE3" w:rsidRPr="002E6B61" w:rsidTr="00C676BA">
        <w:trPr>
          <w:trHeight w:val="270"/>
        </w:trPr>
        <w:tc>
          <w:tcPr>
            <w:tcW w:w="6673" w:type="dxa"/>
            <w:tcBorders>
              <w:top w:val="nil"/>
              <w:left w:val="single" w:sz="8" w:space="0" w:color="788184"/>
              <w:bottom w:val="single" w:sz="8" w:space="0" w:color="788184"/>
              <w:right w:val="single" w:sz="8" w:space="0" w:color="788184"/>
            </w:tcBorders>
            <w:shd w:val="clear" w:color="000000" w:fill="D7DDE9"/>
            <w:vAlign w:val="center"/>
            <w:hideMark/>
          </w:tcPr>
          <w:p w:rsidR="003A0AE3" w:rsidRPr="002E6B61" w:rsidRDefault="003A0AE3" w:rsidP="002E6B61">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Total</w:t>
            </w:r>
          </w:p>
        </w:tc>
        <w:tc>
          <w:tcPr>
            <w:tcW w:w="1101"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520</w:t>
            </w:r>
          </w:p>
        </w:tc>
        <w:tc>
          <w:tcPr>
            <w:tcW w:w="1101"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14,620</w:t>
            </w:r>
          </w:p>
        </w:tc>
        <w:tc>
          <w:tcPr>
            <w:tcW w:w="1101"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15,090</w:t>
            </w:r>
          </w:p>
        </w:tc>
        <w:tc>
          <w:tcPr>
            <w:tcW w:w="1101"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15,990</w:t>
            </w:r>
          </w:p>
        </w:tc>
        <w:tc>
          <w:tcPr>
            <w:tcW w:w="110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46,210</w:t>
            </w:r>
          </w:p>
        </w:tc>
        <w:tc>
          <w:tcPr>
            <w:tcW w:w="1101"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17,400</w:t>
            </w:r>
          </w:p>
        </w:tc>
        <w:tc>
          <w:tcPr>
            <w:tcW w:w="1101"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19,070</w:t>
            </w:r>
          </w:p>
        </w:tc>
        <w:tc>
          <w:tcPr>
            <w:tcW w:w="1101"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20,930</w:t>
            </w:r>
          </w:p>
        </w:tc>
        <w:tc>
          <w:tcPr>
            <w:tcW w:w="110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23,030</w:t>
            </w:r>
          </w:p>
        </w:tc>
        <w:tc>
          <w:tcPr>
            <w:tcW w:w="1101"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25,350</w:t>
            </w:r>
          </w:p>
        </w:tc>
        <w:tc>
          <w:tcPr>
            <w:tcW w:w="1101"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27,900</w:t>
            </w:r>
          </w:p>
        </w:tc>
        <w:tc>
          <w:tcPr>
            <w:tcW w:w="1101"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30,680</w:t>
            </w:r>
          </w:p>
        </w:tc>
        <w:tc>
          <w:tcPr>
            <w:tcW w:w="110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210,570</w:t>
            </w:r>
          </w:p>
        </w:tc>
      </w:tr>
      <w:tr w:rsidR="002E6B61" w:rsidRPr="002E6B61" w:rsidTr="00C676BA">
        <w:trPr>
          <w:trHeight w:val="270"/>
        </w:trPr>
        <w:tc>
          <w:tcPr>
            <w:tcW w:w="6673" w:type="dxa"/>
            <w:tcBorders>
              <w:top w:val="nil"/>
              <w:left w:val="single" w:sz="8" w:space="0" w:color="788184"/>
              <w:bottom w:val="single" w:sz="8" w:space="0" w:color="788184"/>
              <w:right w:val="nil"/>
            </w:tcBorders>
            <w:shd w:val="clear" w:color="000000" w:fill="E9ECF3"/>
            <w:vAlign w:val="center"/>
            <w:hideMark/>
          </w:tcPr>
          <w:p w:rsidR="002E6B61" w:rsidRPr="002E6B61" w:rsidRDefault="002E6B61" w:rsidP="002E6B61">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Impact on underlying cash balance</w:t>
            </w:r>
          </w:p>
        </w:tc>
        <w:tc>
          <w:tcPr>
            <w:tcW w:w="1101" w:type="dxa"/>
            <w:tcBorders>
              <w:top w:val="nil"/>
              <w:left w:val="nil"/>
              <w:bottom w:val="single" w:sz="8" w:space="0" w:color="788184"/>
              <w:right w:val="nil"/>
            </w:tcBorders>
            <w:shd w:val="clear" w:color="000000" w:fill="E9ECF3"/>
            <w:vAlign w:val="center"/>
            <w:hideMark/>
          </w:tcPr>
          <w:p w:rsidR="002E6B61" w:rsidRPr="002E6B61" w:rsidRDefault="002E6B61" w:rsidP="00D01467">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2E6B61" w:rsidRPr="002E6B61" w:rsidRDefault="002E6B61" w:rsidP="00D01467">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2E6B61" w:rsidRPr="002E6B61" w:rsidRDefault="002E6B61" w:rsidP="00D01467">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2E6B61" w:rsidRPr="002E6B61" w:rsidRDefault="002E6B61" w:rsidP="00D01467">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2" w:type="dxa"/>
            <w:tcBorders>
              <w:top w:val="nil"/>
              <w:left w:val="nil"/>
              <w:bottom w:val="single" w:sz="8" w:space="0" w:color="788184"/>
              <w:right w:val="nil"/>
            </w:tcBorders>
            <w:shd w:val="clear" w:color="000000" w:fill="E9ECF3"/>
            <w:vAlign w:val="center"/>
            <w:hideMark/>
          </w:tcPr>
          <w:p w:rsidR="002E6B61" w:rsidRPr="002E6B61" w:rsidRDefault="002E6B61" w:rsidP="00D01467">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2E6B61" w:rsidRPr="002E6B61" w:rsidRDefault="002E6B61" w:rsidP="00D01467">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2E6B61" w:rsidRPr="002E6B61" w:rsidRDefault="002E6B61" w:rsidP="00D01467">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2E6B61" w:rsidRPr="002E6B61" w:rsidRDefault="002E6B61" w:rsidP="00D01467">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2" w:type="dxa"/>
            <w:tcBorders>
              <w:top w:val="nil"/>
              <w:left w:val="nil"/>
              <w:bottom w:val="single" w:sz="8" w:space="0" w:color="788184"/>
              <w:right w:val="nil"/>
            </w:tcBorders>
            <w:shd w:val="clear" w:color="000000" w:fill="E9ECF3"/>
            <w:vAlign w:val="center"/>
            <w:hideMark/>
          </w:tcPr>
          <w:p w:rsidR="002E6B61" w:rsidRPr="002E6B61" w:rsidRDefault="002E6B61" w:rsidP="00D01467">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2E6B61" w:rsidRPr="002E6B61" w:rsidRDefault="002E6B61" w:rsidP="00D01467">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2E6B61" w:rsidRPr="002E6B61" w:rsidRDefault="002E6B61" w:rsidP="00D01467">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2E6B61" w:rsidRPr="002E6B61" w:rsidRDefault="002E6B61" w:rsidP="00D01467">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2" w:type="dxa"/>
            <w:tcBorders>
              <w:top w:val="nil"/>
              <w:left w:val="nil"/>
              <w:bottom w:val="single" w:sz="8" w:space="0" w:color="788184"/>
              <w:right w:val="single" w:sz="8" w:space="0" w:color="788184"/>
            </w:tcBorders>
            <w:shd w:val="clear" w:color="000000" w:fill="E9ECF3"/>
            <w:vAlign w:val="center"/>
            <w:hideMark/>
          </w:tcPr>
          <w:p w:rsidR="002E6B61" w:rsidRPr="002E6B61" w:rsidRDefault="002E6B61" w:rsidP="00D01467">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r>
      <w:tr w:rsidR="003A0AE3" w:rsidRPr="002E6B61" w:rsidTr="00C676BA">
        <w:trPr>
          <w:trHeight w:val="570"/>
        </w:trPr>
        <w:tc>
          <w:tcPr>
            <w:tcW w:w="6673" w:type="dxa"/>
            <w:tcBorders>
              <w:top w:val="nil"/>
              <w:left w:val="single" w:sz="8" w:space="0" w:color="788184"/>
              <w:bottom w:val="single" w:sz="8" w:space="0" w:color="788184"/>
              <w:right w:val="single" w:sz="8" w:space="0" w:color="788184"/>
            </w:tcBorders>
            <w:shd w:val="clear" w:color="auto" w:fill="auto"/>
            <w:vAlign w:val="center"/>
            <w:hideMark/>
          </w:tcPr>
          <w:p w:rsidR="003A0AE3" w:rsidRPr="002E6B61" w:rsidRDefault="003A0AE3" w:rsidP="002E6B61">
            <w:pPr>
              <w:spacing w:before="70" w:after="70" w:line="240" w:lineRule="auto"/>
              <w:ind w:left="57" w:right="57"/>
              <w:rPr>
                <w:rFonts w:ascii="Calibri" w:eastAsia="Times New Roman" w:hAnsi="Calibri" w:cs="Times New Roman"/>
                <w:color w:val="000000"/>
                <w:sz w:val="20"/>
                <w:szCs w:val="20"/>
                <w:lang w:eastAsia="en-AU"/>
              </w:rPr>
            </w:pPr>
            <w:r w:rsidRPr="002E6B61">
              <w:rPr>
                <w:rFonts w:ascii="Calibri" w:eastAsia="Times New Roman" w:hAnsi="Calibri" w:cs="Times New Roman"/>
                <w:color w:val="000000"/>
                <w:sz w:val="20"/>
                <w:szCs w:val="20"/>
                <w:lang w:eastAsia="en-AU"/>
              </w:rPr>
              <w:t>Changes to HELP</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210</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240</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250</w:t>
            </w:r>
          </w:p>
        </w:tc>
        <w:tc>
          <w:tcPr>
            <w:tcW w:w="110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690</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160</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110</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90</w:t>
            </w:r>
          </w:p>
        </w:tc>
        <w:tc>
          <w:tcPr>
            <w:tcW w:w="110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130</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270</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460</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850</w:t>
            </w:r>
          </w:p>
        </w:tc>
        <w:tc>
          <w:tcPr>
            <w:tcW w:w="110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2,760</w:t>
            </w:r>
          </w:p>
        </w:tc>
      </w:tr>
      <w:tr w:rsidR="003A0AE3" w:rsidRPr="002E6B61" w:rsidTr="00C676BA">
        <w:trPr>
          <w:trHeight w:val="570"/>
        </w:trPr>
        <w:tc>
          <w:tcPr>
            <w:tcW w:w="6673" w:type="dxa"/>
            <w:tcBorders>
              <w:top w:val="nil"/>
              <w:left w:val="single" w:sz="8" w:space="0" w:color="788184"/>
              <w:bottom w:val="single" w:sz="8" w:space="0" w:color="788184"/>
              <w:right w:val="single" w:sz="8" w:space="0" w:color="788184"/>
            </w:tcBorders>
            <w:shd w:val="clear" w:color="auto" w:fill="auto"/>
            <w:vAlign w:val="center"/>
            <w:hideMark/>
          </w:tcPr>
          <w:p w:rsidR="003A0AE3" w:rsidRPr="002E6B61" w:rsidRDefault="003A0AE3" w:rsidP="002E6B61">
            <w:pPr>
              <w:spacing w:before="70" w:after="70" w:line="240" w:lineRule="auto"/>
              <w:ind w:left="57" w:right="57"/>
              <w:rPr>
                <w:rFonts w:ascii="Calibri" w:eastAsia="Times New Roman" w:hAnsi="Calibri" w:cs="Times New Roman"/>
                <w:color w:val="000000"/>
                <w:sz w:val="20"/>
                <w:szCs w:val="20"/>
                <w:lang w:eastAsia="en-AU"/>
              </w:rPr>
            </w:pPr>
            <w:r w:rsidRPr="002E6B61">
              <w:rPr>
                <w:rFonts w:ascii="Calibri" w:eastAsia="Times New Roman" w:hAnsi="Calibri" w:cs="Times New Roman"/>
                <w:color w:val="000000"/>
                <w:sz w:val="20"/>
                <w:szCs w:val="20"/>
                <w:lang w:eastAsia="en-AU"/>
              </w:rPr>
              <w:t>Abolition of higher education and vocational education and training subsidies</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12,575</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12,664</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13,218</w:t>
            </w:r>
          </w:p>
        </w:tc>
        <w:tc>
          <w:tcPr>
            <w:tcW w:w="110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38,457</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14,055</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14,870</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15,992</w:t>
            </w:r>
          </w:p>
        </w:tc>
        <w:tc>
          <w:tcPr>
            <w:tcW w:w="110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17,243</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18,616</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20,111</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21,728</w:t>
            </w:r>
          </w:p>
        </w:tc>
        <w:tc>
          <w:tcPr>
            <w:tcW w:w="110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161,073</w:t>
            </w:r>
          </w:p>
        </w:tc>
      </w:tr>
      <w:tr w:rsidR="003A0AE3" w:rsidRPr="002E6B61" w:rsidTr="00C676BA">
        <w:trPr>
          <w:trHeight w:val="270"/>
        </w:trPr>
        <w:tc>
          <w:tcPr>
            <w:tcW w:w="6673" w:type="dxa"/>
            <w:tcBorders>
              <w:top w:val="nil"/>
              <w:left w:val="single" w:sz="8" w:space="0" w:color="788184"/>
              <w:bottom w:val="single" w:sz="8" w:space="0" w:color="788184"/>
              <w:right w:val="single" w:sz="8" w:space="0" w:color="788184"/>
            </w:tcBorders>
            <w:shd w:val="clear" w:color="000000" w:fill="D7DDE9"/>
            <w:vAlign w:val="center"/>
            <w:hideMark/>
          </w:tcPr>
          <w:p w:rsidR="003A0AE3" w:rsidRPr="002E6B61" w:rsidRDefault="003A0AE3" w:rsidP="002E6B61">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Total</w:t>
            </w:r>
          </w:p>
        </w:tc>
        <w:tc>
          <w:tcPr>
            <w:tcW w:w="1101"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w:t>
            </w:r>
          </w:p>
        </w:tc>
        <w:tc>
          <w:tcPr>
            <w:tcW w:w="1101"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12,780</w:t>
            </w:r>
          </w:p>
        </w:tc>
        <w:tc>
          <w:tcPr>
            <w:tcW w:w="1101"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12,900</w:t>
            </w:r>
          </w:p>
        </w:tc>
        <w:tc>
          <w:tcPr>
            <w:tcW w:w="1101"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13,470</w:t>
            </w:r>
          </w:p>
        </w:tc>
        <w:tc>
          <w:tcPr>
            <w:tcW w:w="110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39,150</w:t>
            </w:r>
          </w:p>
        </w:tc>
        <w:tc>
          <w:tcPr>
            <w:tcW w:w="1101"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14,210</w:t>
            </w:r>
          </w:p>
        </w:tc>
        <w:tc>
          <w:tcPr>
            <w:tcW w:w="1101"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14,980</w:t>
            </w:r>
          </w:p>
        </w:tc>
        <w:tc>
          <w:tcPr>
            <w:tcW w:w="1101"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16,080</w:t>
            </w:r>
          </w:p>
        </w:tc>
        <w:tc>
          <w:tcPr>
            <w:tcW w:w="110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17,380</w:t>
            </w:r>
          </w:p>
        </w:tc>
        <w:tc>
          <w:tcPr>
            <w:tcW w:w="1101"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18,880</w:t>
            </w:r>
          </w:p>
        </w:tc>
        <w:tc>
          <w:tcPr>
            <w:tcW w:w="1101"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20,570</w:t>
            </w:r>
          </w:p>
        </w:tc>
        <w:tc>
          <w:tcPr>
            <w:tcW w:w="1101"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22,580</w:t>
            </w:r>
          </w:p>
        </w:tc>
        <w:tc>
          <w:tcPr>
            <w:tcW w:w="110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163,830</w:t>
            </w:r>
          </w:p>
        </w:tc>
      </w:tr>
      <w:tr w:rsidR="002E6B61" w:rsidRPr="002E6B61" w:rsidTr="00C676BA">
        <w:trPr>
          <w:trHeight w:val="270"/>
        </w:trPr>
        <w:tc>
          <w:tcPr>
            <w:tcW w:w="6673" w:type="dxa"/>
            <w:tcBorders>
              <w:top w:val="nil"/>
              <w:left w:val="single" w:sz="8" w:space="0" w:color="788184"/>
              <w:bottom w:val="single" w:sz="8" w:space="0" w:color="788184"/>
              <w:right w:val="nil"/>
            </w:tcBorders>
            <w:shd w:val="clear" w:color="000000" w:fill="E9ECF3"/>
            <w:vAlign w:val="center"/>
            <w:hideMark/>
          </w:tcPr>
          <w:p w:rsidR="002E6B61" w:rsidRPr="002E6B61" w:rsidRDefault="002E6B61" w:rsidP="002E6B61">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Impact on headline cash balance</w:t>
            </w:r>
          </w:p>
        </w:tc>
        <w:tc>
          <w:tcPr>
            <w:tcW w:w="1101" w:type="dxa"/>
            <w:tcBorders>
              <w:top w:val="nil"/>
              <w:left w:val="nil"/>
              <w:bottom w:val="single" w:sz="8" w:space="0" w:color="788184"/>
              <w:right w:val="nil"/>
            </w:tcBorders>
            <w:shd w:val="clear" w:color="000000" w:fill="E9ECF3"/>
            <w:vAlign w:val="center"/>
            <w:hideMark/>
          </w:tcPr>
          <w:p w:rsidR="002E6B61" w:rsidRPr="002E6B61" w:rsidRDefault="002E6B61" w:rsidP="00D01467">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2E6B61" w:rsidRPr="002E6B61" w:rsidRDefault="002E6B61" w:rsidP="00D01467">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2E6B61" w:rsidRPr="002E6B61" w:rsidRDefault="002E6B61" w:rsidP="00D01467">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2E6B61" w:rsidRPr="002E6B61" w:rsidRDefault="002E6B61" w:rsidP="00D01467">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2" w:type="dxa"/>
            <w:tcBorders>
              <w:top w:val="nil"/>
              <w:left w:val="nil"/>
              <w:bottom w:val="single" w:sz="8" w:space="0" w:color="788184"/>
              <w:right w:val="nil"/>
            </w:tcBorders>
            <w:shd w:val="clear" w:color="000000" w:fill="E9ECF3"/>
            <w:vAlign w:val="center"/>
            <w:hideMark/>
          </w:tcPr>
          <w:p w:rsidR="002E6B61" w:rsidRPr="002E6B61" w:rsidRDefault="002E6B61" w:rsidP="00D01467">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2E6B61" w:rsidRPr="002E6B61" w:rsidRDefault="002E6B61" w:rsidP="00D01467">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2E6B61" w:rsidRPr="002E6B61" w:rsidRDefault="002E6B61" w:rsidP="00D01467">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2E6B61" w:rsidRPr="002E6B61" w:rsidRDefault="002E6B61" w:rsidP="00D01467">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2" w:type="dxa"/>
            <w:tcBorders>
              <w:top w:val="nil"/>
              <w:left w:val="nil"/>
              <w:bottom w:val="single" w:sz="8" w:space="0" w:color="788184"/>
              <w:right w:val="nil"/>
            </w:tcBorders>
            <w:shd w:val="clear" w:color="000000" w:fill="E9ECF3"/>
            <w:vAlign w:val="center"/>
            <w:hideMark/>
          </w:tcPr>
          <w:p w:rsidR="002E6B61" w:rsidRPr="002E6B61" w:rsidRDefault="002E6B61" w:rsidP="00D01467">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2E6B61" w:rsidRPr="002E6B61" w:rsidRDefault="002E6B61" w:rsidP="00D01467">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2E6B61" w:rsidRPr="002E6B61" w:rsidRDefault="002E6B61" w:rsidP="00D01467">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1" w:type="dxa"/>
            <w:tcBorders>
              <w:top w:val="nil"/>
              <w:left w:val="nil"/>
              <w:bottom w:val="single" w:sz="8" w:space="0" w:color="788184"/>
              <w:right w:val="nil"/>
            </w:tcBorders>
            <w:shd w:val="clear" w:color="000000" w:fill="E9ECF3"/>
            <w:vAlign w:val="center"/>
            <w:hideMark/>
          </w:tcPr>
          <w:p w:rsidR="002E6B61" w:rsidRPr="002E6B61" w:rsidRDefault="002E6B61" w:rsidP="00D01467">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c>
          <w:tcPr>
            <w:tcW w:w="1102" w:type="dxa"/>
            <w:tcBorders>
              <w:top w:val="nil"/>
              <w:left w:val="nil"/>
              <w:bottom w:val="single" w:sz="8" w:space="0" w:color="788184"/>
              <w:right w:val="single" w:sz="8" w:space="0" w:color="788184"/>
            </w:tcBorders>
            <w:shd w:val="clear" w:color="000000" w:fill="E9ECF3"/>
            <w:vAlign w:val="center"/>
            <w:hideMark/>
          </w:tcPr>
          <w:p w:rsidR="002E6B61" w:rsidRPr="002E6B61" w:rsidRDefault="002E6B61" w:rsidP="00D01467">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 </w:t>
            </w:r>
          </w:p>
        </w:tc>
      </w:tr>
      <w:tr w:rsidR="003A0AE3" w:rsidRPr="002E6B61" w:rsidTr="00C676BA">
        <w:trPr>
          <w:trHeight w:val="570"/>
        </w:trPr>
        <w:tc>
          <w:tcPr>
            <w:tcW w:w="6673" w:type="dxa"/>
            <w:tcBorders>
              <w:top w:val="nil"/>
              <w:left w:val="single" w:sz="8" w:space="0" w:color="788184"/>
              <w:bottom w:val="single" w:sz="8" w:space="0" w:color="788184"/>
              <w:right w:val="single" w:sz="8" w:space="0" w:color="788184"/>
            </w:tcBorders>
            <w:shd w:val="clear" w:color="auto" w:fill="auto"/>
            <w:vAlign w:val="center"/>
            <w:hideMark/>
          </w:tcPr>
          <w:p w:rsidR="003A0AE3" w:rsidRPr="002E6B61" w:rsidRDefault="003A0AE3" w:rsidP="002E6B61">
            <w:pPr>
              <w:spacing w:before="70" w:after="70" w:line="240" w:lineRule="auto"/>
              <w:ind w:left="57" w:right="57"/>
              <w:rPr>
                <w:rFonts w:ascii="Calibri" w:eastAsia="Times New Roman" w:hAnsi="Calibri" w:cs="Times New Roman"/>
                <w:color w:val="000000"/>
                <w:sz w:val="20"/>
                <w:szCs w:val="20"/>
                <w:lang w:eastAsia="en-AU"/>
              </w:rPr>
            </w:pPr>
            <w:r w:rsidRPr="002E6B61">
              <w:rPr>
                <w:rFonts w:ascii="Calibri" w:eastAsia="Times New Roman" w:hAnsi="Calibri" w:cs="Times New Roman"/>
                <w:color w:val="000000"/>
                <w:sz w:val="20"/>
                <w:szCs w:val="20"/>
                <w:lang w:eastAsia="en-AU"/>
              </w:rPr>
              <w:t>Changes to HELP</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-4,410</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-3,420</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-2,870</w:t>
            </w:r>
          </w:p>
        </w:tc>
        <w:tc>
          <w:tcPr>
            <w:tcW w:w="110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-10,710</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-2,820</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-2,710</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-2,510</w:t>
            </w:r>
          </w:p>
        </w:tc>
        <w:tc>
          <w:tcPr>
            <w:tcW w:w="110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-2,070</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-1,430</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-520</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1,050</w:t>
            </w:r>
          </w:p>
        </w:tc>
        <w:tc>
          <w:tcPr>
            <w:tcW w:w="110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-21,710</w:t>
            </w:r>
          </w:p>
        </w:tc>
      </w:tr>
      <w:tr w:rsidR="003A0AE3" w:rsidRPr="002E6B61" w:rsidTr="00C676BA">
        <w:trPr>
          <w:trHeight w:val="570"/>
        </w:trPr>
        <w:tc>
          <w:tcPr>
            <w:tcW w:w="6673" w:type="dxa"/>
            <w:tcBorders>
              <w:top w:val="nil"/>
              <w:left w:val="single" w:sz="8" w:space="0" w:color="788184"/>
              <w:bottom w:val="single" w:sz="8" w:space="0" w:color="788184"/>
              <w:right w:val="single" w:sz="8" w:space="0" w:color="788184"/>
            </w:tcBorders>
            <w:shd w:val="clear" w:color="auto" w:fill="auto"/>
            <w:vAlign w:val="center"/>
            <w:hideMark/>
          </w:tcPr>
          <w:p w:rsidR="003A0AE3" w:rsidRPr="002E6B61" w:rsidRDefault="003A0AE3" w:rsidP="002E6B61">
            <w:pPr>
              <w:spacing w:before="70" w:after="70" w:line="240" w:lineRule="auto"/>
              <w:ind w:left="57" w:right="57"/>
              <w:rPr>
                <w:rFonts w:ascii="Calibri" w:eastAsia="Times New Roman" w:hAnsi="Calibri" w:cs="Times New Roman"/>
                <w:color w:val="000000"/>
                <w:sz w:val="20"/>
                <w:szCs w:val="20"/>
                <w:lang w:eastAsia="en-AU"/>
              </w:rPr>
            </w:pPr>
            <w:r w:rsidRPr="002E6B61">
              <w:rPr>
                <w:rFonts w:ascii="Calibri" w:eastAsia="Times New Roman" w:hAnsi="Calibri" w:cs="Times New Roman"/>
                <w:color w:val="000000"/>
                <w:sz w:val="20"/>
                <w:szCs w:val="20"/>
                <w:lang w:eastAsia="en-AU"/>
              </w:rPr>
              <w:t>Abolition of higher education and vocational education and training subsidies</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12,898</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13,000</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13,575</w:t>
            </w:r>
          </w:p>
        </w:tc>
        <w:tc>
          <w:tcPr>
            <w:tcW w:w="110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39,472</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14,432</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15,456</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16,584</w:t>
            </w:r>
          </w:p>
        </w:tc>
        <w:tc>
          <w:tcPr>
            <w:tcW w:w="110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17,706</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18,948</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20,310</w:t>
            </w:r>
          </w:p>
        </w:tc>
        <w:tc>
          <w:tcPr>
            <w:tcW w:w="1101"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21,791</w:t>
            </w:r>
          </w:p>
        </w:tc>
        <w:tc>
          <w:tcPr>
            <w:tcW w:w="110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164,699</w:t>
            </w:r>
          </w:p>
        </w:tc>
      </w:tr>
      <w:tr w:rsidR="003A0AE3" w:rsidRPr="002E6B61" w:rsidTr="00C676BA">
        <w:trPr>
          <w:trHeight w:val="270"/>
        </w:trPr>
        <w:tc>
          <w:tcPr>
            <w:tcW w:w="6673" w:type="dxa"/>
            <w:tcBorders>
              <w:top w:val="nil"/>
              <w:left w:val="single" w:sz="8" w:space="0" w:color="788184"/>
              <w:bottom w:val="single" w:sz="8" w:space="0" w:color="788184"/>
              <w:right w:val="single" w:sz="8" w:space="0" w:color="788184"/>
            </w:tcBorders>
            <w:shd w:val="clear" w:color="000000" w:fill="D7DDE9"/>
            <w:vAlign w:val="center"/>
            <w:hideMark/>
          </w:tcPr>
          <w:p w:rsidR="003A0AE3" w:rsidRPr="002E6B61" w:rsidRDefault="003A0AE3" w:rsidP="002E6B61">
            <w:pPr>
              <w:spacing w:before="70" w:after="70" w:line="240" w:lineRule="auto"/>
              <w:ind w:left="57" w:right="57"/>
              <w:rPr>
                <w:rFonts w:ascii="Calibri" w:eastAsia="Times New Roman" w:hAnsi="Calibri" w:cs="Times New Roman"/>
                <w:b/>
                <w:bCs/>
                <w:color w:val="000000"/>
                <w:sz w:val="20"/>
                <w:szCs w:val="20"/>
                <w:lang w:eastAsia="en-AU"/>
              </w:rPr>
            </w:pPr>
            <w:r w:rsidRPr="002E6B61">
              <w:rPr>
                <w:rFonts w:ascii="Calibri" w:eastAsia="Times New Roman" w:hAnsi="Calibri" w:cs="Times New Roman"/>
                <w:b/>
                <w:bCs/>
                <w:color w:val="000000"/>
                <w:sz w:val="20"/>
                <w:szCs w:val="20"/>
                <w:lang w:eastAsia="en-AU"/>
              </w:rPr>
              <w:t>Total</w:t>
            </w:r>
          </w:p>
        </w:tc>
        <w:tc>
          <w:tcPr>
            <w:tcW w:w="1101"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w:t>
            </w:r>
          </w:p>
        </w:tc>
        <w:tc>
          <w:tcPr>
            <w:tcW w:w="1101"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8,490</w:t>
            </w:r>
          </w:p>
        </w:tc>
        <w:tc>
          <w:tcPr>
            <w:tcW w:w="1101"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9,580</w:t>
            </w:r>
          </w:p>
        </w:tc>
        <w:tc>
          <w:tcPr>
            <w:tcW w:w="1101"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10,700</w:t>
            </w:r>
          </w:p>
        </w:tc>
        <w:tc>
          <w:tcPr>
            <w:tcW w:w="110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28,770</w:t>
            </w:r>
          </w:p>
        </w:tc>
        <w:tc>
          <w:tcPr>
            <w:tcW w:w="1101"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11,610</w:t>
            </w:r>
          </w:p>
        </w:tc>
        <w:tc>
          <w:tcPr>
            <w:tcW w:w="1101"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12,750</w:t>
            </w:r>
          </w:p>
        </w:tc>
        <w:tc>
          <w:tcPr>
            <w:tcW w:w="1101"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14,080</w:t>
            </w:r>
          </w:p>
        </w:tc>
        <w:tc>
          <w:tcPr>
            <w:tcW w:w="110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15,640</w:t>
            </w:r>
          </w:p>
        </w:tc>
        <w:tc>
          <w:tcPr>
            <w:tcW w:w="1101"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17,510</w:t>
            </w:r>
          </w:p>
        </w:tc>
        <w:tc>
          <w:tcPr>
            <w:tcW w:w="1101"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19,790</w:t>
            </w:r>
          </w:p>
        </w:tc>
        <w:tc>
          <w:tcPr>
            <w:tcW w:w="1101"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22,840</w:t>
            </w:r>
          </w:p>
        </w:tc>
        <w:tc>
          <w:tcPr>
            <w:tcW w:w="110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142,980</w:t>
            </w:r>
          </w:p>
        </w:tc>
      </w:tr>
    </w:tbl>
    <w:p w:rsidR="002E6B61" w:rsidRDefault="00C676BA" w:rsidP="00E63CF2">
      <w:pPr>
        <w:pStyle w:val="TableFootnotes"/>
        <w:numPr>
          <w:ilvl w:val="0"/>
          <w:numId w:val="13"/>
        </w:numPr>
        <w:ind w:left="284" w:hanging="284"/>
      </w:pPr>
      <w:r w:rsidRPr="00C676BA">
        <w:t xml:space="preserve">A positive number for the fiscal balance indicates an increase in revenue or a decrease in expenses or net capital investment in accrual terms.  A positive number for the underlying cash balance indicates an increase in receipts or a decrease in outlays or net capital investment in cash terms.  </w:t>
      </w:r>
      <w:r>
        <w:t xml:space="preserve">A positive number for the headline cash balance indicates an increase in </w:t>
      </w:r>
      <w:proofErr w:type="spellStart"/>
      <w:r>
        <w:t>cashflow</w:t>
      </w:r>
      <w:proofErr w:type="spellEnd"/>
      <w:r>
        <w:t xml:space="preserve">.  A negative number for the headline cash balance indicates a decrease in </w:t>
      </w:r>
      <w:proofErr w:type="spellStart"/>
      <w:r>
        <w:t>cashflow</w:t>
      </w:r>
      <w:proofErr w:type="spellEnd"/>
      <w:r>
        <w:t>.</w:t>
      </w:r>
    </w:p>
    <w:p w:rsidR="00C676BA" w:rsidRDefault="00C676BA" w:rsidP="00E63CF2">
      <w:pPr>
        <w:pStyle w:val="TableFootnotes"/>
        <w:numPr>
          <w:ilvl w:val="0"/>
          <w:numId w:val="13"/>
        </w:numPr>
        <w:ind w:left="284" w:hanging="284"/>
      </w:pPr>
      <w:r w:rsidRPr="00C676BA">
        <w:t>Figures may not sum to totals due to rounding</w:t>
      </w:r>
      <w:r>
        <w:t>.</w:t>
      </w:r>
    </w:p>
    <w:p w:rsidR="00622CEB" w:rsidRDefault="00622CEB" w:rsidP="00622CEB">
      <w:pPr>
        <w:pStyle w:val="TableFootnotes"/>
        <w:keepNext/>
        <w:numPr>
          <w:ilvl w:val="0"/>
          <w:numId w:val="0"/>
        </w:numPr>
        <w:ind w:left="284" w:hanging="284"/>
      </w:pPr>
      <w:r>
        <w:t>..</w:t>
      </w:r>
      <w:r>
        <w:tab/>
        <w:t>Not zero but rounded to zero.</w:t>
      </w:r>
    </w:p>
    <w:p w:rsidR="00622CEB" w:rsidRDefault="00622CEB" w:rsidP="00622CEB">
      <w:pPr>
        <w:pStyle w:val="TableFootnotes"/>
        <w:keepLines w:val="0"/>
        <w:numPr>
          <w:ilvl w:val="0"/>
          <w:numId w:val="11"/>
        </w:numPr>
        <w:ind w:left="284" w:hanging="284"/>
      </w:pPr>
      <w:r>
        <w:t>Indicates nil.</w:t>
      </w:r>
    </w:p>
    <w:p w:rsidR="00C676BA" w:rsidRDefault="00C676BA">
      <w:pPr>
        <w:rPr>
          <w:sz w:val="20"/>
        </w:rPr>
      </w:pPr>
      <w:r>
        <w:br w:type="page"/>
      </w:r>
    </w:p>
    <w:p w:rsidR="00C676BA" w:rsidRDefault="00C676BA" w:rsidP="00C676BA">
      <w:pPr>
        <w:pStyle w:val="Caption"/>
        <w:rPr>
          <w:vertAlign w:val="superscript"/>
        </w:rPr>
      </w:pPr>
      <w:r w:rsidRPr="00404763">
        <w:lastRenderedPageBreak/>
        <w:t>Table A</w:t>
      </w:r>
      <w:r>
        <w:t>2</w:t>
      </w:r>
      <w:r w:rsidRPr="00404763">
        <w:t xml:space="preserve">: </w:t>
      </w:r>
      <w:r>
        <w:t>Changes to HELP</w:t>
      </w:r>
      <w:r w:rsidRPr="00404763">
        <w:t>—Financial implications (outturn prices</w:t>
      </w:r>
      <w:proofErr w:type="gramStart"/>
      <w:r w:rsidRPr="00404763">
        <w:t>)</w:t>
      </w:r>
      <w:r w:rsidRPr="00404763">
        <w:rPr>
          <w:vertAlign w:val="superscript"/>
        </w:rPr>
        <w:t>(</w:t>
      </w:r>
      <w:proofErr w:type="gramEnd"/>
      <w:r w:rsidRPr="00404763">
        <w:rPr>
          <w:vertAlign w:val="superscript"/>
        </w:rPr>
        <w:t>a)(b)</w:t>
      </w:r>
    </w:p>
    <w:tbl>
      <w:tblPr>
        <w:tblW w:w="20989" w:type="dxa"/>
        <w:tblInd w:w="98" w:type="dxa"/>
        <w:tblLook w:val="04A0" w:firstRow="1" w:lastRow="0" w:firstColumn="1" w:lastColumn="0" w:noHBand="0" w:noVBand="1"/>
      </w:tblPr>
      <w:tblGrid>
        <w:gridCol w:w="5100"/>
        <w:gridCol w:w="1222"/>
        <w:gridCol w:w="1222"/>
        <w:gridCol w:w="1222"/>
        <w:gridCol w:w="1222"/>
        <w:gridCol w:w="1223"/>
        <w:gridCol w:w="1222"/>
        <w:gridCol w:w="1222"/>
        <w:gridCol w:w="1222"/>
        <w:gridCol w:w="1223"/>
        <w:gridCol w:w="1222"/>
        <w:gridCol w:w="1222"/>
        <w:gridCol w:w="1222"/>
        <w:gridCol w:w="1223"/>
      </w:tblGrid>
      <w:tr w:rsidR="00C676BA" w:rsidRPr="00C676BA" w:rsidTr="00C676BA">
        <w:trPr>
          <w:trHeight w:val="525"/>
        </w:trPr>
        <w:tc>
          <w:tcPr>
            <w:tcW w:w="5100" w:type="dxa"/>
            <w:tcBorders>
              <w:top w:val="single" w:sz="8" w:space="0" w:color="788184"/>
              <w:left w:val="single" w:sz="8" w:space="0" w:color="788184"/>
              <w:bottom w:val="single" w:sz="8" w:space="0" w:color="788184"/>
              <w:right w:val="single" w:sz="8" w:space="0" w:color="788184"/>
            </w:tcBorders>
            <w:shd w:val="clear" w:color="000000" w:fill="D7DDE9"/>
            <w:vAlign w:val="center"/>
            <w:hideMark/>
          </w:tcPr>
          <w:p w:rsidR="00C676BA" w:rsidRPr="00C676BA" w:rsidRDefault="00C676BA" w:rsidP="00C676BA">
            <w:pPr>
              <w:spacing w:before="70" w:after="70" w:line="240" w:lineRule="auto"/>
              <w:ind w:left="57" w:right="57"/>
              <w:rPr>
                <w:rFonts w:ascii="Calibri" w:eastAsia="Times New Roman" w:hAnsi="Calibri" w:cs="Times New Roman"/>
                <w:bCs/>
                <w:color w:val="000000"/>
                <w:sz w:val="20"/>
                <w:szCs w:val="20"/>
                <w:lang w:eastAsia="en-AU"/>
              </w:rPr>
            </w:pPr>
            <w:r w:rsidRPr="00C676BA">
              <w:rPr>
                <w:rFonts w:ascii="Calibri" w:eastAsia="Times New Roman" w:hAnsi="Calibri" w:cs="Times New Roman"/>
                <w:bCs/>
                <w:color w:val="000000"/>
                <w:sz w:val="20"/>
                <w:szCs w:val="20"/>
                <w:lang w:eastAsia="en-AU"/>
              </w:rPr>
              <w:t>($m)</w:t>
            </w:r>
          </w:p>
        </w:tc>
        <w:tc>
          <w:tcPr>
            <w:tcW w:w="1222" w:type="dxa"/>
            <w:tcBorders>
              <w:top w:val="single" w:sz="8" w:space="0" w:color="788184"/>
              <w:left w:val="nil"/>
              <w:bottom w:val="single" w:sz="8" w:space="0" w:color="788184"/>
              <w:right w:val="single" w:sz="8" w:space="0" w:color="788184"/>
            </w:tcBorders>
            <w:shd w:val="clear" w:color="000000" w:fill="D7DDE9"/>
            <w:vAlign w:val="center"/>
            <w:hideMark/>
          </w:tcPr>
          <w:p w:rsidR="00C676BA" w:rsidRPr="00C676BA" w:rsidRDefault="00C676BA" w:rsidP="00C676BA">
            <w:pPr>
              <w:spacing w:before="70" w:after="70" w:line="240" w:lineRule="auto"/>
              <w:ind w:left="57" w:right="57"/>
              <w:jc w:val="right"/>
              <w:rPr>
                <w:rFonts w:ascii="Calibri" w:eastAsia="Times New Roman" w:hAnsi="Calibri" w:cs="Times New Roman"/>
                <w:bCs/>
                <w:color w:val="000000"/>
                <w:sz w:val="20"/>
                <w:szCs w:val="20"/>
                <w:lang w:eastAsia="en-AU"/>
              </w:rPr>
            </w:pPr>
            <w:r w:rsidRPr="00C676BA">
              <w:rPr>
                <w:rFonts w:ascii="Calibri" w:eastAsia="Times New Roman" w:hAnsi="Calibri" w:cs="Times New Roman"/>
                <w:bCs/>
                <w:color w:val="000000"/>
                <w:sz w:val="20"/>
                <w:szCs w:val="20"/>
                <w:lang w:eastAsia="en-AU"/>
              </w:rPr>
              <w:t>2016–17</w:t>
            </w:r>
          </w:p>
        </w:tc>
        <w:tc>
          <w:tcPr>
            <w:tcW w:w="1222" w:type="dxa"/>
            <w:tcBorders>
              <w:top w:val="single" w:sz="8" w:space="0" w:color="788184"/>
              <w:left w:val="nil"/>
              <w:bottom w:val="single" w:sz="8" w:space="0" w:color="788184"/>
              <w:right w:val="single" w:sz="8" w:space="0" w:color="788184"/>
            </w:tcBorders>
            <w:shd w:val="clear" w:color="000000" w:fill="D7DDE9"/>
            <w:vAlign w:val="center"/>
            <w:hideMark/>
          </w:tcPr>
          <w:p w:rsidR="00C676BA" w:rsidRPr="00C676BA" w:rsidRDefault="00C676BA" w:rsidP="00C676BA">
            <w:pPr>
              <w:spacing w:before="70" w:after="70" w:line="240" w:lineRule="auto"/>
              <w:ind w:left="57" w:right="57"/>
              <w:jc w:val="right"/>
              <w:rPr>
                <w:rFonts w:ascii="Calibri" w:eastAsia="Times New Roman" w:hAnsi="Calibri" w:cs="Times New Roman"/>
                <w:bCs/>
                <w:color w:val="000000"/>
                <w:sz w:val="20"/>
                <w:szCs w:val="20"/>
                <w:lang w:eastAsia="en-AU"/>
              </w:rPr>
            </w:pPr>
            <w:r w:rsidRPr="00C676BA">
              <w:rPr>
                <w:rFonts w:ascii="Calibri" w:eastAsia="Times New Roman" w:hAnsi="Calibri" w:cs="Times New Roman"/>
                <w:bCs/>
                <w:color w:val="000000"/>
                <w:sz w:val="20"/>
                <w:szCs w:val="20"/>
                <w:lang w:eastAsia="en-AU"/>
              </w:rPr>
              <w:t>2017–18</w:t>
            </w:r>
          </w:p>
        </w:tc>
        <w:tc>
          <w:tcPr>
            <w:tcW w:w="1222" w:type="dxa"/>
            <w:tcBorders>
              <w:top w:val="single" w:sz="8" w:space="0" w:color="788184"/>
              <w:left w:val="nil"/>
              <w:bottom w:val="single" w:sz="8" w:space="0" w:color="788184"/>
              <w:right w:val="single" w:sz="8" w:space="0" w:color="788184"/>
            </w:tcBorders>
            <w:shd w:val="clear" w:color="000000" w:fill="D7DDE9"/>
            <w:vAlign w:val="center"/>
            <w:hideMark/>
          </w:tcPr>
          <w:p w:rsidR="00C676BA" w:rsidRPr="00C676BA" w:rsidRDefault="00C676BA" w:rsidP="00C676BA">
            <w:pPr>
              <w:spacing w:before="70" w:after="70" w:line="240" w:lineRule="auto"/>
              <w:ind w:left="57" w:right="57"/>
              <w:jc w:val="right"/>
              <w:rPr>
                <w:rFonts w:ascii="Calibri" w:eastAsia="Times New Roman" w:hAnsi="Calibri" w:cs="Times New Roman"/>
                <w:bCs/>
                <w:color w:val="000000"/>
                <w:sz w:val="20"/>
                <w:szCs w:val="20"/>
                <w:lang w:eastAsia="en-AU"/>
              </w:rPr>
            </w:pPr>
            <w:r w:rsidRPr="00C676BA">
              <w:rPr>
                <w:rFonts w:ascii="Calibri" w:eastAsia="Times New Roman" w:hAnsi="Calibri" w:cs="Times New Roman"/>
                <w:bCs/>
                <w:color w:val="000000"/>
                <w:sz w:val="20"/>
                <w:szCs w:val="20"/>
                <w:lang w:eastAsia="en-AU"/>
              </w:rPr>
              <w:t>2018–19</w:t>
            </w:r>
          </w:p>
        </w:tc>
        <w:tc>
          <w:tcPr>
            <w:tcW w:w="1222" w:type="dxa"/>
            <w:tcBorders>
              <w:top w:val="single" w:sz="8" w:space="0" w:color="788184"/>
              <w:left w:val="nil"/>
              <w:bottom w:val="single" w:sz="8" w:space="0" w:color="788184"/>
              <w:right w:val="single" w:sz="8" w:space="0" w:color="788184"/>
            </w:tcBorders>
            <w:shd w:val="clear" w:color="000000" w:fill="D7DDE9"/>
            <w:vAlign w:val="center"/>
            <w:hideMark/>
          </w:tcPr>
          <w:p w:rsidR="00C676BA" w:rsidRPr="00C676BA" w:rsidRDefault="00C676BA" w:rsidP="00C676BA">
            <w:pPr>
              <w:spacing w:before="70" w:after="70" w:line="240" w:lineRule="auto"/>
              <w:ind w:left="57" w:right="57"/>
              <w:jc w:val="right"/>
              <w:rPr>
                <w:rFonts w:ascii="Calibri" w:eastAsia="Times New Roman" w:hAnsi="Calibri" w:cs="Times New Roman"/>
                <w:bCs/>
                <w:color w:val="000000"/>
                <w:sz w:val="20"/>
                <w:szCs w:val="20"/>
                <w:lang w:eastAsia="en-AU"/>
              </w:rPr>
            </w:pPr>
            <w:r w:rsidRPr="00C676BA">
              <w:rPr>
                <w:rFonts w:ascii="Calibri" w:eastAsia="Times New Roman" w:hAnsi="Calibri" w:cs="Times New Roman"/>
                <w:bCs/>
                <w:color w:val="000000"/>
                <w:sz w:val="20"/>
                <w:szCs w:val="20"/>
                <w:lang w:eastAsia="en-AU"/>
              </w:rPr>
              <w:t>2019–20</w:t>
            </w:r>
          </w:p>
        </w:tc>
        <w:tc>
          <w:tcPr>
            <w:tcW w:w="1223" w:type="dxa"/>
            <w:tcBorders>
              <w:top w:val="single" w:sz="8" w:space="0" w:color="788184"/>
              <w:left w:val="nil"/>
              <w:bottom w:val="single" w:sz="8" w:space="0" w:color="788184"/>
              <w:right w:val="single" w:sz="8" w:space="0" w:color="788184"/>
            </w:tcBorders>
            <w:shd w:val="clear" w:color="000000" w:fill="D7DDE9"/>
            <w:vAlign w:val="center"/>
            <w:hideMark/>
          </w:tcPr>
          <w:p w:rsidR="00C676BA" w:rsidRPr="00C676BA" w:rsidRDefault="00C676BA" w:rsidP="00C676BA">
            <w:pPr>
              <w:spacing w:before="70" w:after="70" w:line="240" w:lineRule="auto"/>
              <w:ind w:left="57" w:right="57"/>
              <w:jc w:val="right"/>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Total to 2019–20</w:t>
            </w:r>
          </w:p>
        </w:tc>
        <w:tc>
          <w:tcPr>
            <w:tcW w:w="1222" w:type="dxa"/>
            <w:tcBorders>
              <w:top w:val="single" w:sz="8" w:space="0" w:color="788184"/>
              <w:left w:val="nil"/>
              <w:bottom w:val="single" w:sz="8" w:space="0" w:color="788184"/>
              <w:right w:val="single" w:sz="8" w:space="0" w:color="788184"/>
            </w:tcBorders>
            <w:shd w:val="clear" w:color="000000" w:fill="D7DDE9"/>
            <w:vAlign w:val="center"/>
            <w:hideMark/>
          </w:tcPr>
          <w:p w:rsidR="00C676BA" w:rsidRPr="00C676BA" w:rsidRDefault="00C676BA" w:rsidP="00C676BA">
            <w:pPr>
              <w:spacing w:before="70" w:after="70" w:line="240" w:lineRule="auto"/>
              <w:ind w:left="57" w:right="57"/>
              <w:jc w:val="right"/>
              <w:rPr>
                <w:rFonts w:ascii="Calibri" w:eastAsia="Times New Roman" w:hAnsi="Calibri" w:cs="Times New Roman"/>
                <w:bCs/>
                <w:color w:val="000000"/>
                <w:sz w:val="20"/>
                <w:szCs w:val="20"/>
                <w:lang w:eastAsia="en-AU"/>
              </w:rPr>
            </w:pPr>
            <w:r w:rsidRPr="00C676BA">
              <w:rPr>
                <w:rFonts w:ascii="Calibri" w:eastAsia="Times New Roman" w:hAnsi="Calibri" w:cs="Times New Roman"/>
                <w:bCs/>
                <w:color w:val="000000"/>
                <w:sz w:val="20"/>
                <w:szCs w:val="20"/>
                <w:lang w:eastAsia="en-AU"/>
              </w:rPr>
              <w:t>2020–21</w:t>
            </w:r>
          </w:p>
        </w:tc>
        <w:tc>
          <w:tcPr>
            <w:tcW w:w="1222" w:type="dxa"/>
            <w:tcBorders>
              <w:top w:val="single" w:sz="8" w:space="0" w:color="788184"/>
              <w:left w:val="nil"/>
              <w:bottom w:val="single" w:sz="8" w:space="0" w:color="788184"/>
              <w:right w:val="single" w:sz="8" w:space="0" w:color="788184"/>
            </w:tcBorders>
            <w:shd w:val="clear" w:color="000000" w:fill="D7DDE9"/>
            <w:vAlign w:val="center"/>
            <w:hideMark/>
          </w:tcPr>
          <w:p w:rsidR="00C676BA" w:rsidRPr="00C676BA" w:rsidRDefault="00C676BA" w:rsidP="00C676BA">
            <w:pPr>
              <w:spacing w:before="70" w:after="70" w:line="240" w:lineRule="auto"/>
              <w:ind w:left="57" w:right="57"/>
              <w:jc w:val="right"/>
              <w:rPr>
                <w:rFonts w:ascii="Calibri" w:eastAsia="Times New Roman" w:hAnsi="Calibri" w:cs="Times New Roman"/>
                <w:bCs/>
                <w:color w:val="000000"/>
                <w:sz w:val="20"/>
                <w:szCs w:val="20"/>
                <w:lang w:eastAsia="en-AU"/>
              </w:rPr>
            </w:pPr>
            <w:r w:rsidRPr="00C676BA">
              <w:rPr>
                <w:rFonts w:ascii="Calibri" w:eastAsia="Times New Roman" w:hAnsi="Calibri" w:cs="Times New Roman"/>
                <w:bCs/>
                <w:color w:val="000000"/>
                <w:sz w:val="20"/>
                <w:szCs w:val="20"/>
                <w:lang w:eastAsia="en-AU"/>
              </w:rPr>
              <w:t>2021–22</w:t>
            </w:r>
          </w:p>
        </w:tc>
        <w:tc>
          <w:tcPr>
            <w:tcW w:w="1222" w:type="dxa"/>
            <w:tcBorders>
              <w:top w:val="single" w:sz="8" w:space="0" w:color="788184"/>
              <w:left w:val="nil"/>
              <w:bottom w:val="single" w:sz="8" w:space="0" w:color="788184"/>
              <w:right w:val="single" w:sz="8" w:space="0" w:color="788184"/>
            </w:tcBorders>
            <w:shd w:val="clear" w:color="000000" w:fill="D7DDE9"/>
            <w:vAlign w:val="center"/>
            <w:hideMark/>
          </w:tcPr>
          <w:p w:rsidR="00C676BA" w:rsidRPr="00C676BA" w:rsidRDefault="00C676BA" w:rsidP="00C676BA">
            <w:pPr>
              <w:spacing w:before="70" w:after="70" w:line="240" w:lineRule="auto"/>
              <w:ind w:left="57" w:right="57"/>
              <w:jc w:val="right"/>
              <w:rPr>
                <w:rFonts w:ascii="Calibri" w:eastAsia="Times New Roman" w:hAnsi="Calibri" w:cs="Times New Roman"/>
                <w:bCs/>
                <w:color w:val="000000"/>
                <w:sz w:val="20"/>
                <w:szCs w:val="20"/>
                <w:lang w:eastAsia="en-AU"/>
              </w:rPr>
            </w:pPr>
            <w:r w:rsidRPr="00C676BA">
              <w:rPr>
                <w:rFonts w:ascii="Calibri" w:eastAsia="Times New Roman" w:hAnsi="Calibri" w:cs="Times New Roman"/>
                <w:bCs/>
                <w:color w:val="000000"/>
                <w:sz w:val="20"/>
                <w:szCs w:val="20"/>
                <w:lang w:eastAsia="en-AU"/>
              </w:rPr>
              <w:t>2022–23</w:t>
            </w:r>
          </w:p>
        </w:tc>
        <w:tc>
          <w:tcPr>
            <w:tcW w:w="1223" w:type="dxa"/>
            <w:tcBorders>
              <w:top w:val="single" w:sz="8" w:space="0" w:color="788184"/>
              <w:left w:val="nil"/>
              <w:bottom w:val="single" w:sz="8" w:space="0" w:color="788184"/>
              <w:right w:val="single" w:sz="8" w:space="0" w:color="788184"/>
            </w:tcBorders>
            <w:shd w:val="clear" w:color="000000" w:fill="D7DDE9"/>
            <w:vAlign w:val="center"/>
            <w:hideMark/>
          </w:tcPr>
          <w:p w:rsidR="00C676BA" w:rsidRPr="00C676BA" w:rsidRDefault="00C676BA" w:rsidP="00C676BA">
            <w:pPr>
              <w:spacing w:before="70" w:after="70" w:line="240" w:lineRule="auto"/>
              <w:ind w:left="57" w:right="57"/>
              <w:jc w:val="right"/>
              <w:rPr>
                <w:rFonts w:ascii="Calibri" w:eastAsia="Times New Roman" w:hAnsi="Calibri" w:cs="Times New Roman"/>
                <w:bCs/>
                <w:color w:val="000000"/>
                <w:sz w:val="20"/>
                <w:szCs w:val="20"/>
                <w:lang w:eastAsia="en-AU"/>
              </w:rPr>
            </w:pPr>
            <w:r w:rsidRPr="00C676BA">
              <w:rPr>
                <w:rFonts w:ascii="Calibri" w:eastAsia="Times New Roman" w:hAnsi="Calibri" w:cs="Times New Roman"/>
                <w:bCs/>
                <w:color w:val="000000"/>
                <w:sz w:val="20"/>
                <w:szCs w:val="20"/>
                <w:lang w:eastAsia="en-AU"/>
              </w:rPr>
              <w:t>2023–24</w:t>
            </w:r>
          </w:p>
        </w:tc>
        <w:tc>
          <w:tcPr>
            <w:tcW w:w="1222" w:type="dxa"/>
            <w:tcBorders>
              <w:top w:val="single" w:sz="8" w:space="0" w:color="788184"/>
              <w:left w:val="nil"/>
              <w:bottom w:val="single" w:sz="8" w:space="0" w:color="788184"/>
              <w:right w:val="single" w:sz="8" w:space="0" w:color="788184"/>
            </w:tcBorders>
            <w:shd w:val="clear" w:color="000000" w:fill="D7DDE9"/>
            <w:vAlign w:val="center"/>
            <w:hideMark/>
          </w:tcPr>
          <w:p w:rsidR="00C676BA" w:rsidRPr="00C676BA" w:rsidRDefault="00C676BA" w:rsidP="00C676BA">
            <w:pPr>
              <w:spacing w:before="70" w:after="70" w:line="240" w:lineRule="auto"/>
              <w:ind w:left="57" w:right="57"/>
              <w:jc w:val="right"/>
              <w:rPr>
                <w:rFonts w:ascii="Calibri" w:eastAsia="Times New Roman" w:hAnsi="Calibri" w:cs="Times New Roman"/>
                <w:bCs/>
                <w:color w:val="000000"/>
                <w:sz w:val="20"/>
                <w:szCs w:val="20"/>
                <w:lang w:eastAsia="en-AU"/>
              </w:rPr>
            </w:pPr>
            <w:r w:rsidRPr="00C676BA">
              <w:rPr>
                <w:rFonts w:ascii="Calibri" w:eastAsia="Times New Roman" w:hAnsi="Calibri" w:cs="Times New Roman"/>
                <w:bCs/>
                <w:color w:val="000000"/>
                <w:sz w:val="20"/>
                <w:szCs w:val="20"/>
                <w:lang w:eastAsia="en-AU"/>
              </w:rPr>
              <w:t>2024–25</w:t>
            </w:r>
          </w:p>
        </w:tc>
        <w:tc>
          <w:tcPr>
            <w:tcW w:w="1222" w:type="dxa"/>
            <w:tcBorders>
              <w:top w:val="single" w:sz="8" w:space="0" w:color="788184"/>
              <w:left w:val="nil"/>
              <w:bottom w:val="single" w:sz="8" w:space="0" w:color="788184"/>
              <w:right w:val="single" w:sz="8" w:space="0" w:color="788184"/>
            </w:tcBorders>
            <w:shd w:val="clear" w:color="000000" w:fill="D7DDE9"/>
            <w:vAlign w:val="center"/>
            <w:hideMark/>
          </w:tcPr>
          <w:p w:rsidR="00C676BA" w:rsidRPr="00C676BA" w:rsidRDefault="00C676BA" w:rsidP="00C676BA">
            <w:pPr>
              <w:spacing w:before="70" w:after="70" w:line="240" w:lineRule="auto"/>
              <w:ind w:left="57" w:right="57"/>
              <w:jc w:val="right"/>
              <w:rPr>
                <w:rFonts w:ascii="Calibri" w:eastAsia="Times New Roman" w:hAnsi="Calibri" w:cs="Times New Roman"/>
                <w:bCs/>
                <w:color w:val="000000"/>
                <w:sz w:val="20"/>
                <w:szCs w:val="20"/>
                <w:lang w:eastAsia="en-AU"/>
              </w:rPr>
            </w:pPr>
            <w:r w:rsidRPr="00C676BA">
              <w:rPr>
                <w:rFonts w:ascii="Calibri" w:eastAsia="Times New Roman" w:hAnsi="Calibri" w:cs="Times New Roman"/>
                <w:bCs/>
                <w:color w:val="000000"/>
                <w:sz w:val="20"/>
                <w:szCs w:val="20"/>
                <w:lang w:eastAsia="en-AU"/>
              </w:rPr>
              <w:t>2025–26</w:t>
            </w:r>
          </w:p>
        </w:tc>
        <w:tc>
          <w:tcPr>
            <w:tcW w:w="1222" w:type="dxa"/>
            <w:tcBorders>
              <w:top w:val="single" w:sz="8" w:space="0" w:color="788184"/>
              <w:left w:val="nil"/>
              <w:bottom w:val="single" w:sz="8" w:space="0" w:color="788184"/>
              <w:right w:val="single" w:sz="8" w:space="0" w:color="788184"/>
            </w:tcBorders>
            <w:shd w:val="clear" w:color="000000" w:fill="D7DDE9"/>
            <w:vAlign w:val="center"/>
            <w:hideMark/>
          </w:tcPr>
          <w:p w:rsidR="00C676BA" w:rsidRPr="00C676BA" w:rsidRDefault="00C676BA" w:rsidP="00C676BA">
            <w:pPr>
              <w:spacing w:before="70" w:after="70" w:line="240" w:lineRule="auto"/>
              <w:ind w:left="57" w:right="57"/>
              <w:jc w:val="right"/>
              <w:rPr>
                <w:rFonts w:ascii="Calibri" w:eastAsia="Times New Roman" w:hAnsi="Calibri" w:cs="Times New Roman"/>
                <w:bCs/>
                <w:color w:val="000000"/>
                <w:sz w:val="20"/>
                <w:szCs w:val="20"/>
                <w:lang w:eastAsia="en-AU"/>
              </w:rPr>
            </w:pPr>
            <w:r w:rsidRPr="00C676BA">
              <w:rPr>
                <w:rFonts w:ascii="Calibri" w:eastAsia="Times New Roman" w:hAnsi="Calibri" w:cs="Times New Roman"/>
                <w:bCs/>
                <w:color w:val="000000"/>
                <w:sz w:val="20"/>
                <w:szCs w:val="20"/>
                <w:lang w:eastAsia="en-AU"/>
              </w:rPr>
              <w:t>2026–27</w:t>
            </w:r>
          </w:p>
        </w:tc>
        <w:tc>
          <w:tcPr>
            <w:tcW w:w="1223" w:type="dxa"/>
            <w:tcBorders>
              <w:top w:val="single" w:sz="8" w:space="0" w:color="788184"/>
              <w:left w:val="nil"/>
              <w:bottom w:val="single" w:sz="8" w:space="0" w:color="788184"/>
              <w:right w:val="single" w:sz="8" w:space="0" w:color="788184"/>
            </w:tcBorders>
            <w:shd w:val="clear" w:color="000000" w:fill="D7DDE9"/>
            <w:vAlign w:val="center"/>
            <w:hideMark/>
          </w:tcPr>
          <w:p w:rsidR="00C676BA" w:rsidRPr="00C676BA" w:rsidRDefault="00C676BA" w:rsidP="00C676BA">
            <w:pPr>
              <w:spacing w:before="70" w:after="70" w:line="240" w:lineRule="auto"/>
              <w:ind w:left="57" w:right="57"/>
              <w:jc w:val="right"/>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Total to 2026–27</w:t>
            </w:r>
          </w:p>
        </w:tc>
      </w:tr>
      <w:tr w:rsidR="00C676BA" w:rsidRPr="00C676BA" w:rsidTr="00C676BA">
        <w:trPr>
          <w:trHeight w:val="270"/>
        </w:trPr>
        <w:tc>
          <w:tcPr>
            <w:tcW w:w="5100" w:type="dxa"/>
            <w:tcBorders>
              <w:top w:val="nil"/>
              <w:left w:val="single" w:sz="8" w:space="0" w:color="788184"/>
              <w:bottom w:val="single" w:sz="8" w:space="0" w:color="788184"/>
              <w:right w:val="nil"/>
            </w:tcBorders>
            <w:shd w:val="clear" w:color="000000" w:fill="E9ECF3"/>
            <w:vAlign w:val="center"/>
            <w:hideMark/>
          </w:tcPr>
          <w:p w:rsidR="00C676BA" w:rsidRPr="00C676BA" w:rsidRDefault="00C676BA" w:rsidP="00C676BA">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Impact on fiscal balance</w:t>
            </w:r>
          </w:p>
        </w:tc>
        <w:tc>
          <w:tcPr>
            <w:tcW w:w="1222" w:type="dxa"/>
            <w:tcBorders>
              <w:top w:val="nil"/>
              <w:left w:val="nil"/>
              <w:bottom w:val="single" w:sz="8" w:space="0" w:color="788184"/>
              <w:right w:val="nil"/>
            </w:tcBorders>
            <w:shd w:val="clear" w:color="000000" w:fill="E9ECF3"/>
            <w:vAlign w:val="center"/>
            <w:hideMark/>
          </w:tcPr>
          <w:p w:rsidR="00C676BA" w:rsidRPr="00C676BA" w:rsidRDefault="00C676BA" w:rsidP="00C676BA">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nil"/>
              <w:left w:val="nil"/>
              <w:bottom w:val="single" w:sz="8" w:space="0" w:color="788184"/>
              <w:right w:val="nil"/>
            </w:tcBorders>
            <w:shd w:val="clear" w:color="000000" w:fill="E9ECF3"/>
            <w:vAlign w:val="center"/>
            <w:hideMark/>
          </w:tcPr>
          <w:p w:rsidR="00C676BA" w:rsidRPr="00C676BA" w:rsidRDefault="00C676BA" w:rsidP="00C676BA">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nil"/>
              <w:left w:val="nil"/>
              <w:bottom w:val="single" w:sz="8" w:space="0" w:color="788184"/>
              <w:right w:val="nil"/>
            </w:tcBorders>
            <w:shd w:val="clear" w:color="000000" w:fill="E9ECF3"/>
            <w:vAlign w:val="center"/>
            <w:hideMark/>
          </w:tcPr>
          <w:p w:rsidR="00C676BA" w:rsidRPr="00C676BA" w:rsidRDefault="00C676BA" w:rsidP="00C676BA">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nil"/>
              <w:left w:val="nil"/>
              <w:bottom w:val="single" w:sz="8" w:space="0" w:color="788184"/>
              <w:right w:val="nil"/>
            </w:tcBorders>
            <w:shd w:val="clear" w:color="000000" w:fill="E9ECF3"/>
            <w:vAlign w:val="center"/>
            <w:hideMark/>
          </w:tcPr>
          <w:p w:rsidR="00C676BA" w:rsidRPr="00C676BA" w:rsidRDefault="00C676BA" w:rsidP="00C676BA">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3" w:type="dxa"/>
            <w:tcBorders>
              <w:top w:val="nil"/>
              <w:left w:val="nil"/>
              <w:bottom w:val="single" w:sz="8" w:space="0" w:color="788184"/>
              <w:right w:val="nil"/>
            </w:tcBorders>
            <w:shd w:val="clear" w:color="000000" w:fill="E9ECF3"/>
            <w:vAlign w:val="center"/>
            <w:hideMark/>
          </w:tcPr>
          <w:p w:rsidR="00C676BA" w:rsidRPr="00C676BA" w:rsidRDefault="00C676BA" w:rsidP="00C676BA">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nil"/>
              <w:left w:val="nil"/>
              <w:bottom w:val="single" w:sz="8" w:space="0" w:color="788184"/>
              <w:right w:val="nil"/>
            </w:tcBorders>
            <w:shd w:val="clear" w:color="000000" w:fill="E9ECF3"/>
            <w:vAlign w:val="center"/>
            <w:hideMark/>
          </w:tcPr>
          <w:p w:rsidR="00C676BA" w:rsidRPr="00C676BA" w:rsidRDefault="00C676BA" w:rsidP="00C676BA">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nil"/>
              <w:left w:val="nil"/>
              <w:bottom w:val="single" w:sz="8" w:space="0" w:color="788184"/>
              <w:right w:val="nil"/>
            </w:tcBorders>
            <w:shd w:val="clear" w:color="000000" w:fill="E9ECF3"/>
            <w:vAlign w:val="center"/>
            <w:hideMark/>
          </w:tcPr>
          <w:p w:rsidR="00C676BA" w:rsidRPr="00C676BA" w:rsidRDefault="00C676BA" w:rsidP="00C676BA">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nil"/>
              <w:left w:val="nil"/>
              <w:bottom w:val="single" w:sz="8" w:space="0" w:color="788184"/>
              <w:right w:val="nil"/>
            </w:tcBorders>
            <w:shd w:val="clear" w:color="000000" w:fill="E9ECF3"/>
            <w:vAlign w:val="center"/>
            <w:hideMark/>
          </w:tcPr>
          <w:p w:rsidR="00C676BA" w:rsidRPr="00C676BA" w:rsidRDefault="00C676BA" w:rsidP="00C676BA">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3" w:type="dxa"/>
            <w:tcBorders>
              <w:top w:val="nil"/>
              <w:left w:val="nil"/>
              <w:bottom w:val="single" w:sz="8" w:space="0" w:color="788184"/>
              <w:right w:val="nil"/>
            </w:tcBorders>
            <w:shd w:val="clear" w:color="000000" w:fill="E9ECF3"/>
            <w:vAlign w:val="center"/>
            <w:hideMark/>
          </w:tcPr>
          <w:p w:rsidR="00C676BA" w:rsidRPr="00C676BA" w:rsidRDefault="00C676BA" w:rsidP="00C676BA">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nil"/>
              <w:left w:val="nil"/>
              <w:bottom w:val="single" w:sz="8" w:space="0" w:color="788184"/>
              <w:right w:val="nil"/>
            </w:tcBorders>
            <w:shd w:val="clear" w:color="000000" w:fill="E9ECF3"/>
            <w:vAlign w:val="center"/>
            <w:hideMark/>
          </w:tcPr>
          <w:p w:rsidR="00C676BA" w:rsidRPr="00C676BA" w:rsidRDefault="00C676BA" w:rsidP="00C676BA">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nil"/>
              <w:left w:val="nil"/>
              <w:bottom w:val="single" w:sz="8" w:space="0" w:color="788184"/>
              <w:right w:val="nil"/>
            </w:tcBorders>
            <w:shd w:val="clear" w:color="000000" w:fill="E9ECF3"/>
            <w:vAlign w:val="center"/>
            <w:hideMark/>
          </w:tcPr>
          <w:p w:rsidR="00C676BA" w:rsidRPr="00C676BA" w:rsidRDefault="00C676BA" w:rsidP="00C676BA">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nil"/>
              <w:left w:val="nil"/>
              <w:bottom w:val="single" w:sz="8" w:space="0" w:color="788184"/>
              <w:right w:val="nil"/>
            </w:tcBorders>
            <w:shd w:val="clear" w:color="000000" w:fill="E9ECF3"/>
            <w:vAlign w:val="center"/>
            <w:hideMark/>
          </w:tcPr>
          <w:p w:rsidR="00C676BA" w:rsidRPr="00C676BA" w:rsidRDefault="00C676BA" w:rsidP="00C676BA">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3" w:type="dxa"/>
            <w:tcBorders>
              <w:top w:val="nil"/>
              <w:left w:val="nil"/>
              <w:bottom w:val="single" w:sz="8" w:space="0" w:color="788184"/>
              <w:right w:val="single" w:sz="8" w:space="0" w:color="788184"/>
            </w:tcBorders>
            <w:shd w:val="clear" w:color="000000" w:fill="E9ECF3"/>
            <w:vAlign w:val="center"/>
            <w:hideMark/>
          </w:tcPr>
          <w:p w:rsidR="00C676BA" w:rsidRPr="00C676BA" w:rsidRDefault="00C676BA" w:rsidP="00C676BA">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r>
      <w:tr w:rsidR="00C676BA" w:rsidRPr="00C676BA" w:rsidTr="00C676BA">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C676BA" w:rsidRPr="00C676BA" w:rsidRDefault="00C676BA" w:rsidP="00C676BA">
            <w:pPr>
              <w:spacing w:before="70" w:after="70" w:line="240" w:lineRule="auto"/>
              <w:ind w:left="57" w:right="57"/>
              <w:rPr>
                <w:rFonts w:ascii="Calibri" w:eastAsia="Times New Roman" w:hAnsi="Calibri" w:cs="Times New Roman"/>
                <w:color w:val="000000"/>
                <w:sz w:val="20"/>
                <w:szCs w:val="20"/>
                <w:lang w:eastAsia="en-AU"/>
              </w:rPr>
            </w:pPr>
            <w:r w:rsidRPr="00C676BA">
              <w:rPr>
                <w:rFonts w:ascii="Calibri" w:eastAsia="Times New Roman" w:hAnsi="Calibri" w:cs="Times New Roman"/>
                <w:color w:val="000000"/>
                <w:sz w:val="20"/>
                <w:szCs w:val="20"/>
                <w:lang w:eastAsia="en-AU"/>
              </w:rPr>
              <w:t>Higher Education Loan Program</w:t>
            </w:r>
          </w:p>
        </w:tc>
        <w:tc>
          <w:tcPr>
            <w:tcW w:w="1222"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C676BA">
            <w:pPr>
              <w:spacing w:before="70" w:after="70" w:line="240" w:lineRule="auto"/>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C676BA">
            <w:pPr>
              <w:spacing w:before="70" w:after="70" w:line="240" w:lineRule="auto"/>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C676BA">
            <w:pPr>
              <w:spacing w:before="70" w:after="70" w:line="240" w:lineRule="auto"/>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C676BA">
            <w:pPr>
              <w:spacing w:before="70" w:after="70" w:line="240" w:lineRule="auto"/>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3"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C676BA">
            <w:pPr>
              <w:spacing w:before="70" w:after="70" w:line="240" w:lineRule="auto"/>
              <w:ind w:left="57" w:right="57"/>
              <w:jc w:val="right"/>
              <w:rPr>
                <w:rFonts w:ascii="Calibri" w:eastAsia="Times New Roman" w:hAnsi="Calibri" w:cs="Times New Roman"/>
                <w:b/>
                <w:bCs/>
                <w:i/>
                <w:iCs/>
                <w:color w:val="000000"/>
                <w:sz w:val="20"/>
                <w:szCs w:val="20"/>
                <w:lang w:eastAsia="en-AU"/>
              </w:rPr>
            </w:pPr>
            <w:r w:rsidRPr="00C676BA">
              <w:rPr>
                <w:rFonts w:ascii="Calibri" w:eastAsia="Times New Roman" w:hAnsi="Calibri" w:cs="Times New Roman"/>
                <w:b/>
                <w:bCs/>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C676BA">
            <w:pPr>
              <w:spacing w:before="70" w:after="70" w:line="240" w:lineRule="auto"/>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C676BA">
            <w:pPr>
              <w:spacing w:before="70" w:after="70" w:line="240" w:lineRule="auto"/>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C676BA">
            <w:pPr>
              <w:spacing w:before="70" w:after="70" w:line="240" w:lineRule="auto"/>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3"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C676BA">
            <w:pPr>
              <w:spacing w:before="70" w:after="70" w:line="240" w:lineRule="auto"/>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C676BA">
            <w:pPr>
              <w:spacing w:before="70" w:after="70" w:line="240" w:lineRule="auto"/>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C676BA">
            <w:pPr>
              <w:spacing w:before="70" w:after="70" w:line="240" w:lineRule="auto"/>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C676BA">
            <w:pPr>
              <w:spacing w:before="70" w:after="70" w:line="240" w:lineRule="auto"/>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3"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C676BA">
            <w:pPr>
              <w:spacing w:before="70" w:after="70" w:line="240" w:lineRule="auto"/>
              <w:ind w:left="57" w:right="57"/>
              <w:jc w:val="right"/>
              <w:rPr>
                <w:rFonts w:ascii="Calibri" w:eastAsia="Times New Roman" w:hAnsi="Calibri" w:cs="Times New Roman"/>
                <w:b/>
                <w:bCs/>
                <w:i/>
                <w:iCs/>
                <w:color w:val="000000"/>
                <w:sz w:val="20"/>
                <w:szCs w:val="20"/>
                <w:lang w:eastAsia="en-AU"/>
              </w:rPr>
            </w:pPr>
            <w:r w:rsidRPr="00C676BA">
              <w:rPr>
                <w:rFonts w:ascii="Calibri" w:eastAsia="Times New Roman" w:hAnsi="Calibri" w:cs="Times New Roman"/>
                <w:b/>
                <w:bCs/>
                <w:i/>
                <w:iCs/>
                <w:color w:val="000000"/>
                <w:sz w:val="20"/>
                <w:szCs w:val="20"/>
                <w:lang w:eastAsia="en-AU"/>
              </w:rPr>
              <w:t> </w:t>
            </w:r>
          </w:p>
        </w:tc>
      </w:tr>
      <w:tr w:rsidR="003A0AE3" w:rsidRPr="00C676BA" w:rsidTr="00C676BA">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3A0AE3" w:rsidRPr="00C676BA" w:rsidRDefault="003A0AE3" w:rsidP="00C676BA">
            <w:pPr>
              <w:spacing w:before="70" w:after="70" w:line="240" w:lineRule="auto"/>
              <w:ind w:left="57" w:right="57" w:firstLineChars="200" w:firstLine="400"/>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Concessional loan discount expense</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490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550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550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550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2,140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560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580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600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630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650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680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700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6,530</w:t>
            </w:r>
          </w:p>
        </w:tc>
      </w:tr>
      <w:tr w:rsidR="003A0AE3" w:rsidRPr="00C676BA" w:rsidTr="00C676BA">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3A0AE3" w:rsidRPr="00C676BA" w:rsidRDefault="003A0AE3" w:rsidP="00C676BA">
            <w:pPr>
              <w:spacing w:before="70" w:after="70" w:line="240" w:lineRule="auto"/>
              <w:ind w:left="57" w:right="57" w:firstLineChars="200" w:firstLine="400"/>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Concessional loan discount unwinding revenue</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-60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-110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-170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-180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-250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-300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-360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-400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-450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-490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-2,610</w:t>
            </w:r>
          </w:p>
        </w:tc>
      </w:tr>
      <w:tr w:rsidR="003A0AE3" w:rsidRPr="00C676BA" w:rsidTr="00C676BA">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3A0AE3" w:rsidRPr="00C676BA" w:rsidRDefault="003A0AE3" w:rsidP="00C676BA">
            <w:pPr>
              <w:spacing w:before="70" w:after="70" w:line="240" w:lineRule="auto"/>
              <w:ind w:left="57" w:right="57" w:firstLineChars="100" w:firstLine="200"/>
              <w:rPr>
                <w:rFonts w:ascii="Calibri" w:eastAsia="Times New Roman" w:hAnsi="Calibri" w:cs="Times New Roman"/>
                <w:color w:val="000000"/>
                <w:sz w:val="20"/>
                <w:szCs w:val="20"/>
                <w:lang w:eastAsia="en-AU"/>
              </w:rPr>
            </w:pPr>
            <w:r w:rsidRPr="00C676BA">
              <w:rPr>
                <w:rFonts w:ascii="Calibri" w:eastAsia="Times New Roman" w:hAnsi="Calibri" w:cs="Times New Roman"/>
                <w:color w:val="000000"/>
                <w:sz w:val="20"/>
                <w:szCs w:val="20"/>
                <w:lang w:eastAsia="en-AU"/>
              </w:rPr>
              <w:t>Net concessional loan discount</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490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550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490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440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1,970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380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330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300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270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250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220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210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3,930</w:t>
            </w:r>
          </w:p>
        </w:tc>
      </w:tr>
      <w:tr w:rsidR="003A0AE3" w:rsidRPr="00C676BA" w:rsidTr="00C676BA">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3A0AE3" w:rsidRPr="00C676BA" w:rsidRDefault="003A0AE3" w:rsidP="00C676BA">
            <w:pPr>
              <w:spacing w:before="70" w:after="70" w:line="240" w:lineRule="auto"/>
              <w:ind w:left="57" w:right="57" w:firstLineChars="100" w:firstLine="200"/>
              <w:rPr>
                <w:rFonts w:ascii="Calibri" w:eastAsia="Times New Roman" w:hAnsi="Calibri" w:cs="Times New Roman"/>
                <w:color w:val="000000"/>
                <w:sz w:val="20"/>
                <w:szCs w:val="20"/>
                <w:lang w:eastAsia="en-AU"/>
              </w:rPr>
            </w:pPr>
            <w:r w:rsidRPr="00C676BA">
              <w:rPr>
                <w:rFonts w:ascii="Calibri" w:eastAsia="Times New Roman" w:hAnsi="Calibri" w:cs="Times New Roman"/>
                <w:color w:val="000000"/>
                <w:sz w:val="20"/>
                <w:szCs w:val="20"/>
                <w:lang w:eastAsia="en-AU"/>
              </w:rPr>
              <w:t>Interest revenue accrued</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1,690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2,220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2,710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6,650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3,420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4,230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5,130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6,120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7,180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8,300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9,460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50,500</w:t>
            </w:r>
          </w:p>
        </w:tc>
      </w:tr>
      <w:tr w:rsidR="003A0AE3" w:rsidRPr="00C676BA" w:rsidTr="00C676BA">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3A0AE3" w:rsidRPr="00C676BA" w:rsidRDefault="003A0AE3" w:rsidP="00C676BA">
            <w:pPr>
              <w:spacing w:before="70" w:after="70" w:line="240" w:lineRule="auto"/>
              <w:ind w:left="57" w:right="57" w:firstLineChars="100" w:firstLine="200"/>
              <w:rPr>
                <w:rFonts w:ascii="Calibri" w:eastAsia="Times New Roman" w:hAnsi="Calibri" w:cs="Times New Roman"/>
                <w:color w:val="000000"/>
                <w:sz w:val="20"/>
                <w:szCs w:val="20"/>
                <w:lang w:eastAsia="en-AU"/>
              </w:rPr>
            </w:pPr>
            <w:r w:rsidRPr="00C676BA">
              <w:rPr>
                <w:rFonts w:ascii="Calibri" w:eastAsia="Times New Roman" w:hAnsi="Calibri" w:cs="Times New Roman"/>
                <w:color w:val="000000"/>
                <w:sz w:val="20"/>
                <w:szCs w:val="20"/>
                <w:lang w:eastAsia="en-AU"/>
              </w:rPr>
              <w:t xml:space="preserve">Loan </w:t>
            </w:r>
            <w:proofErr w:type="spellStart"/>
            <w:r w:rsidRPr="00C676BA">
              <w:rPr>
                <w:rFonts w:ascii="Calibri" w:eastAsia="Times New Roman" w:hAnsi="Calibri" w:cs="Times New Roman"/>
                <w:color w:val="000000"/>
                <w:sz w:val="20"/>
                <w:szCs w:val="20"/>
                <w:lang w:eastAsia="en-AU"/>
              </w:rPr>
              <w:t>writedowns</w:t>
            </w:r>
            <w:proofErr w:type="spellEnd"/>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60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260</w:t>
            </w:r>
          </w:p>
        </w:tc>
      </w:tr>
      <w:tr w:rsidR="003A0AE3" w:rsidRPr="00C676BA" w:rsidTr="00C676BA">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3A0AE3" w:rsidRPr="00C676BA" w:rsidRDefault="003A0AE3" w:rsidP="00C676BA">
            <w:pPr>
              <w:spacing w:before="70" w:after="70" w:line="240" w:lineRule="auto"/>
              <w:ind w:left="57" w:right="57" w:firstLineChars="100" w:firstLine="200"/>
              <w:rPr>
                <w:rFonts w:ascii="Calibri" w:eastAsia="Times New Roman" w:hAnsi="Calibri" w:cs="Times New Roman"/>
                <w:color w:val="000000"/>
                <w:sz w:val="20"/>
                <w:szCs w:val="20"/>
                <w:lang w:eastAsia="en-AU"/>
              </w:rPr>
            </w:pPr>
            <w:r w:rsidRPr="00C676BA">
              <w:rPr>
                <w:rFonts w:ascii="Calibri" w:eastAsia="Times New Roman" w:hAnsi="Calibri" w:cs="Times New Roman"/>
                <w:color w:val="000000"/>
                <w:sz w:val="20"/>
                <w:szCs w:val="20"/>
                <w:lang w:eastAsia="en-AU"/>
              </w:rPr>
              <w:t>State contributions to deferral costs</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-70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-270</w:t>
            </w:r>
          </w:p>
        </w:tc>
      </w:tr>
      <w:tr w:rsidR="003A0AE3" w:rsidRPr="00C676BA" w:rsidTr="00C676BA">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3A0AE3" w:rsidRPr="00C676BA" w:rsidRDefault="003A0AE3" w:rsidP="00C676BA">
            <w:pPr>
              <w:spacing w:before="70" w:after="70" w:line="240" w:lineRule="auto"/>
              <w:ind w:left="57" w:right="57"/>
              <w:rPr>
                <w:rFonts w:ascii="Calibri" w:eastAsia="Times New Roman" w:hAnsi="Calibri" w:cs="Times New Roman"/>
                <w:color w:val="000000"/>
                <w:sz w:val="20"/>
                <w:szCs w:val="20"/>
                <w:lang w:eastAsia="en-AU"/>
              </w:rPr>
            </w:pPr>
            <w:r w:rsidRPr="00C676BA">
              <w:rPr>
                <w:rFonts w:ascii="Calibri" w:eastAsia="Times New Roman" w:hAnsi="Calibri" w:cs="Times New Roman"/>
                <w:color w:val="000000"/>
                <w:sz w:val="20"/>
                <w:szCs w:val="20"/>
                <w:lang w:eastAsia="en-AU"/>
              </w:rPr>
              <w:t>Public Debt Interest</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-57</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-160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-243</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-460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-332</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-439</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-553</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-662</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-750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-801</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-787</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-4,783</w:t>
            </w:r>
          </w:p>
        </w:tc>
      </w:tr>
      <w:tr w:rsidR="003A0AE3" w:rsidRPr="00C676BA" w:rsidTr="00C676BA">
        <w:trPr>
          <w:trHeight w:val="270"/>
        </w:trPr>
        <w:tc>
          <w:tcPr>
            <w:tcW w:w="5100" w:type="dxa"/>
            <w:tcBorders>
              <w:top w:val="nil"/>
              <w:left w:val="single" w:sz="8" w:space="0" w:color="788184"/>
              <w:bottom w:val="single" w:sz="8" w:space="0" w:color="788184"/>
              <w:right w:val="single" w:sz="8" w:space="0" w:color="788184"/>
            </w:tcBorders>
            <w:shd w:val="clear" w:color="000000" w:fill="D7DDE9"/>
            <w:vAlign w:val="center"/>
            <w:hideMark/>
          </w:tcPr>
          <w:p w:rsidR="003A0AE3" w:rsidRPr="00C676BA" w:rsidRDefault="003A0AE3" w:rsidP="00C676BA">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Total</w:t>
            </w:r>
          </w:p>
        </w:tc>
        <w:tc>
          <w:tcPr>
            <w:tcW w:w="122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520</w:t>
            </w:r>
          </w:p>
        </w:tc>
        <w:tc>
          <w:tcPr>
            <w:tcW w:w="122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2,180</w:t>
            </w:r>
          </w:p>
        </w:tc>
        <w:tc>
          <w:tcPr>
            <w:tcW w:w="122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2,550</w:t>
            </w:r>
          </w:p>
        </w:tc>
        <w:tc>
          <w:tcPr>
            <w:tcW w:w="122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2,900</w:t>
            </w:r>
          </w:p>
        </w:tc>
        <w:tc>
          <w:tcPr>
            <w:tcW w:w="1223"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8,150</w:t>
            </w:r>
          </w:p>
        </w:tc>
        <w:tc>
          <w:tcPr>
            <w:tcW w:w="122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3,470</w:t>
            </w:r>
          </w:p>
        </w:tc>
        <w:tc>
          <w:tcPr>
            <w:tcW w:w="122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4,120</w:t>
            </w:r>
          </w:p>
        </w:tc>
        <w:tc>
          <w:tcPr>
            <w:tcW w:w="122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4,880</w:t>
            </w:r>
          </w:p>
        </w:tc>
        <w:tc>
          <w:tcPr>
            <w:tcW w:w="1223"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5,730</w:t>
            </w:r>
          </w:p>
        </w:tc>
        <w:tc>
          <w:tcPr>
            <w:tcW w:w="122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6,680</w:t>
            </w:r>
          </w:p>
        </w:tc>
        <w:tc>
          <w:tcPr>
            <w:tcW w:w="122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7,730</w:t>
            </w:r>
          </w:p>
        </w:tc>
        <w:tc>
          <w:tcPr>
            <w:tcW w:w="122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8,890</w:t>
            </w:r>
          </w:p>
        </w:tc>
        <w:tc>
          <w:tcPr>
            <w:tcW w:w="1223"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49,630</w:t>
            </w:r>
          </w:p>
        </w:tc>
      </w:tr>
      <w:tr w:rsidR="00C676BA" w:rsidRPr="00C676BA" w:rsidTr="00C676BA">
        <w:trPr>
          <w:trHeight w:val="270"/>
        </w:trPr>
        <w:tc>
          <w:tcPr>
            <w:tcW w:w="5100" w:type="dxa"/>
            <w:tcBorders>
              <w:top w:val="single" w:sz="8" w:space="0" w:color="788184"/>
              <w:left w:val="single" w:sz="8" w:space="0" w:color="788184"/>
              <w:bottom w:val="single" w:sz="8" w:space="0" w:color="788184"/>
              <w:right w:val="nil"/>
            </w:tcBorders>
            <w:shd w:val="clear" w:color="000000" w:fill="E9ECF3"/>
            <w:vAlign w:val="center"/>
            <w:hideMark/>
          </w:tcPr>
          <w:p w:rsidR="00C676BA" w:rsidRPr="00C676BA" w:rsidRDefault="00C676BA" w:rsidP="00C676BA">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Impact on underlying cash balance</w:t>
            </w:r>
          </w:p>
        </w:tc>
        <w:tc>
          <w:tcPr>
            <w:tcW w:w="1222" w:type="dxa"/>
            <w:tcBorders>
              <w:top w:val="single" w:sz="8" w:space="0" w:color="788184"/>
              <w:left w:val="nil"/>
              <w:bottom w:val="single" w:sz="8" w:space="0" w:color="788184"/>
              <w:right w:val="nil"/>
            </w:tcBorders>
            <w:shd w:val="clear" w:color="000000" w:fill="E9ECF3"/>
            <w:vAlign w:val="center"/>
            <w:hideMark/>
          </w:tcPr>
          <w:p w:rsidR="00C676BA" w:rsidRPr="00C676BA" w:rsidRDefault="00C676BA" w:rsidP="003A0AE3">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C676BA" w:rsidRPr="00C676BA" w:rsidRDefault="00C676BA" w:rsidP="003A0AE3">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C676BA" w:rsidRPr="00C676BA" w:rsidRDefault="00C676BA" w:rsidP="003A0AE3">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C676BA" w:rsidRPr="00C676BA" w:rsidRDefault="00C676BA" w:rsidP="003A0AE3">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3" w:type="dxa"/>
            <w:tcBorders>
              <w:top w:val="single" w:sz="8" w:space="0" w:color="788184"/>
              <w:left w:val="nil"/>
              <w:bottom w:val="single" w:sz="8" w:space="0" w:color="788184"/>
              <w:right w:val="nil"/>
            </w:tcBorders>
            <w:shd w:val="clear" w:color="000000" w:fill="E9ECF3"/>
            <w:vAlign w:val="center"/>
            <w:hideMark/>
          </w:tcPr>
          <w:p w:rsidR="00C676BA" w:rsidRPr="00C676BA" w:rsidRDefault="00C676BA" w:rsidP="003A0AE3">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C676BA" w:rsidRPr="00C676BA" w:rsidRDefault="00C676BA" w:rsidP="003A0AE3">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C676BA" w:rsidRPr="00C676BA" w:rsidRDefault="00C676BA" w:rsidP="003A0AE3">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C676BA" w:rsidRPr="00C676BA" w:rsidRDefault="00C676BA" w:rsidP="003A0AE3">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3" w:type="dxa"/>
            <w:tcBorders>
              <w:top w:val="single" w:sz="8" w:space="0" w:color="788184"/>
              <w:left w:val="nil"/>
              <w:bottom w:val="single" w:sz="8" w:space="0" w:color="788184"/>
              <w:right w:val="nil"/>
            </w:tcBorders>
            <w:shd w:val="clear" w:color="000000" w:fill="E9ECF3"/>
            <w:vAlign w:val="center"/>
            <w:hideMark/>
          </w:tcPr>
          <w:p w:rsidR="00C676BA" w:rsidRPr="00C676BA" w:rsidRDefault="00C676BA" w:rsidP="003A0AE3">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C676BA" w:rsidRPr="00C676BA" w:rsidRDefault="00C676BA" w:rsidP="003A0AE3">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C676BA" w:rsidRPr="00C676BA" w:rsidRDefault="00C676BA" w:rsidP="003A0AE3">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C676BA" w:rsidRPr="00C676BA" w:rsidRDefault="00C676BA" w:rsidP="003A0AE3">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3" w:type="dxa"/>
            <w:tcBorders>
              <w:top w:val="single" w:sz="8" w:space="0" w:color="788184"/>
              <w:left w:val="nil"/>
              <w:bottom w:val="single" w:sz="8" w:space="0" w:color="788184"/>
              <w:right w:val="single" w:sz="8" w:space="0" w:color="788184"/>
            </w:tcBorders>
            <w:shd w:val="clear" w:color="000000" w:fill="E9ECF3"/>
            <w:vAlign w:val="center"/>
            <w:hideMark/>
          </w:tcPr>
          <w:p w:rsidR="00C676BA" w:rsidRPr="00C676BA" w:rsidRDefault="00C676BA" w:rsidP="003A0AE3">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r>
      <w:tr w:rsidR="00C676BA" w:rsidRPr="00C676BA" w:rsidTr="00C676BA">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C676BA" w:rsidRPr="00C676BA" w:rsidRDefault="00C676BA" w:rsidP="00C676BA">
            <w:pPr>
              <w:spacing w:before="70" w:after="70" w:line="240" w:lineRule="auto"/>
              <w:ind w:left="57" w:right="57"/>
              <w:rPr>
                <w:rFonts w:ascii="Calibri" w:eastAsia="Times New Roman" w:hAnsi="Calibri" w:cs="Times New Roman"/>
                <w:color w:val="000000"/>
                <w:sz w:val="20"/>
                <w:szCs w:val="20"/>
                <w:lang w:eastAsia="en-AU"/>
              </w:rPr>
            </w:pPr>
            <w:r w:rsidRPr="00C676BA">
              <w:rPr>
                <w:rFonts w:ascii="Calibri" w:eastAsia="Times New Roman" w:hAnsi="Calibri" w:cs="Times New Roman"/>
                <w:color w:val="000000"/>
                <w:sz w:val="20"/>
                <w:szCs w:val="20"/>
                <w:lang w:eastAsia="en-AU"/>
              </w:rPr>
              <w:t>Higher Education Loan Program</w:t>
            </w:r>
          </w:p>
        </w:tc>
        <w:tc>
          <w:tcPr>
            <w:tcW w:w="1222"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3A0AE3">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3A0AE3">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3A0AE3">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3A0AE3">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3"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3A0AE3">
            <w:pPr>
              <w:spacing w:before="70" w:after="70"/>
              <w:ind w:left="57" w:right="57"/>
              <w:jc w:val="right"/>
              <w:rPr>
                <w:rFonts w:ascii="Calibri" w:eastAsia="Times New Roman" w:hAnsi="Calibri" w:cs="Times New Roman"/>
                <w:b/>
                <w:bCs/>
                <w:i/>
                <w:iCs/>
                <w:color w:val="000000"/>
                <w:sz w:val="20"/>
                <w:szCs w:val="20"/>
                <w:lang w:eastAsia="en-AU"/>
              </w:rPr>
            </w:pPr>
            <w:r w:rsidRPr="00C676BA">
              <w:rPr>
                <w:rFonts w:ascii="Calibri" w:eastAsia="Times New Roman" w:hAnsi="Calibri" w:cs="Times New Roman"/>
                <w:b/>
                <w:bCs/>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3A0AE3">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3A0AE3">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3A0AE3">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3"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3A0AE3">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3A0AE3">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3A0AE3">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3A0AE3">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3"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3A0AE3">
            <w:pPr>
              <w:spacing w:before="70" w:after="70"/>
              <w:ind w:left="57" w:right="57"/>
              <w:jc w:val="right"/>
              <w:rPr>
                <w:rFonts w:ascii="Calibri" w:eastAsia="Times New Roman" w:hAnsi="Calibri" w:cs="Times New Roman"/>
                <w:b/>
                <w:bCs/>
                <w:i/>
                <w:iCs/>
                <w:color w:val="000000"/>
                <w:sz w:val="20"/>
                <w:szCs w:val="20"/>
                <w:lang w:eastAsia="en-AU"/>
              </w:rPr>
            </w:pPr>
            <w:r w:rsidRPr="00C676BA">
              <w:rPr>
                <w:rFonts w:ascii="Calibri" w:eastAsia="Times New Roman" w:hAnsi="Calibri" w:cs="Times New Roman"/>
                <w:b/>
                <w:bCs/>
                <w:i/>
                <w:iCs/>
                <w:color w:val="000000"/>
                <w:sz w:val="20"/>
                <w:szCs w:val="20"/>
                <w:lang w:eastAsia="en-AU"/>
              </w:rPr>
              <w:t> </w:t>
            </w:r>
          </w:p>
        </w:tc>
      </w:tr>
      <w:tr w:rsidR="003A0AE3" w:rsidRPr="00C676BA" w:rsidTr="00C676BA">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3A0AE3" w:rsidRPr="00C676BA" w:rsidRDefault="003A0AE3" w:rsidP="00016693">
            <w:pPr>
              <w:spacing w:before="70" w:after="70" w:line="240" w:lineRule="auto"/>
              <w:ind w:left="57" w:right="57" w:firstLineChars="100" w:firstLine="200"/>
              <w:rPr>
                <w:rFonts w:ascii="Calibri" w:eastAsia="Times New Roman" w:hAnsi="Calibri" w:cs="Times New Roman"/>
                <w:color w:val="000000"/>
                <w:sz w:val="20"/>
                <w:szCs w:val="20"/>
                <w:lang w:eastAsia="en-AU"/>
              </w:rPr>
            </w:pPr>
            <w:r w:rsidRPr="00C676BA">
              <w:rPr>
                <w:rFonts w:ascii="Calibri" w:eastAsia="Times New Roman" w:hAnsi="Calibri" w:cs="Times New Roman"/>
                <w:color w:val="000000"/>
                <w:sz w:val="20"/>
                <w:szCs w:val="20"/>
                <w:lang w:eastAsia="en-AU"/>
              </w:rPr>
              <w:t>Interest recei</w:t>
            </w:r>
            <w:r>
              <w:rPr>
                <w:rFonts w:ascii="Calibri" w:eastAsia="Times New Roman" w:hAnsi="Calibri" w:cs="Times New Roman"/>
                <w:color w:val="000000"/>
                <w:sz w:val="20"/>
                <w:szCs w:val="20"/>
                <w:lang w:eastAsia="en-AU"/>
              </w:rPr>
              <w:t>pts</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280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410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510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1,210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510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570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660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820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1,040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1,290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1,670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7,760</w:t>
            </w:r>
          </w:p>
        </w:tc>
      </w:tr>
      <w:tr w:rsidR="003A0AE3" w:rsidRPr="00C676BA" w:rsidTr="00C676BA">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3A0AE3" w:rsidRPr="00C676BA" w:rsidRDefault="003A0AE3" w:rsidP="00C676BA">
            <w:pPr>
              <w:spacing w:before="70" w:after="70" w:line="240" w:lineRule="auto"/>
              <w:ind w:left="57" w:right="57" w:firstLineChars="100" w:firstLine="200"/>
              <w:rPr>
                <w:rFonts w:ascii="Calibri" w:eastAsia="Times New Roman" w:hAnsi="Calibri" w:cs="Times New Roman"/>
                <w:color w:val="000000"/>
                <w:sz w:val="20"/>
                <w:szCs w:val="20"/>
                <w:lang w:eastAsia="en-AU"/>
              </w:rPr>
            </w:pPr>
            <w:r w:rsidRPr="00C676BA">
              <w:rPr>
                <w:rFonts w:ascii="Calibri" w:eastAsia="Times New Roman" w:hAnsi="Calibri" w:cs="Times New Roman"/>
                <w:color w:val="000000"/>
                <w:sz w:val="20"/>
                <w:szCs w:val="20"/>
                <w:lang w:eastAsia="en-AU"/>
              </w:rPr>
              <w:t>State contributions to deferral costs</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-70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-270</w:t>
            </w:r>
          </w:p>
        </w:tc>
      </w:tr>
      <w:tr w:rsidR="003A0AE3" w:rsidRPr="00C676BA" w:rsidTr="00C676BA">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3A0AE3" w:rsidRPr="00C676BA" w:rsidRDefault="003A0AE3" w:rsidP="00C676BA">
            <w:pPr>
              <w:spacing w:before="70" w:after="70" w:line="240" w:lineRule="auto"/>
              <w:ind w:left="57" w:right="57"/>
              <w:rPr>
                <w:rFonts w:ascii="Calibri" w:eastAsia="Times New Roman" w:hAnsi="Calibri" w:cs="Times New Roman"/>
                <w:color w:val="000000"/>
                <w:sz w:val="20"/>
                <w:szCs w:val="20"/>
                <w:lang w:eastAsia="en-AU"/>
              </w:rPr>
            </w:pPr>
            <w:r w:rsidRPr="00C676BA">
              <w:rPr>
                <w:rFonts w:ascii="Calibri" w:eastAsia="Times New Roman" w:hAnsi="Calibri" w:cs="Times New Roman"/>
                <w:color w:val="000000"/>
                <w:sz w:val="20"/>
                <w:szCs w:val="20"/>
                <w:lang w:eastAsia="en-AU"/>
              </w:rPr>
              <w:t>Public Debt Interest</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-53</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-152</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-237</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-443</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-326</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-432</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-545</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-654</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-743</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-797</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-788</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-4,728</w:t>
            </w:r>
          </w:p>
        </w:tc>
      </w:tr>
      <w:tr w:rsidR="003A0AE3" w:rsidRPr="00C676BA" w:rsidTr="00C676BA">
        <w:trPr>
          <w:trHeight w:val="270"/>
        </w:trPr>
        <w:tc>
          <w:tcPr>
            <w:tcW w:w="5100" w:type="dxa"/>
            <w:tcBorders>
              <w:top w:val="nil"/>
              <w:left w:val="single" w:sz="8" w:space="0" w:color="788184"/>
              <w:bottom w:val="single" w:sz="8" w:space="0" w:color="788184"/>
              <w:right w:val="single" w:sz="8" w:space="0" w:color="788184"/>
            </w:tcBorders>
            <w:shd w:val="clear" w:color="000000" w:fill="D7DDE9"/>
            <w:vAlign w:val="center"/>
            <w:hideMark/>
          </w:tcPr>
          <w:p w:rsidR="003A0AE3" w:rsidRPr="00C676BA" w:rsidRDefault="003A0AE3" w:rsidP="00C676BA">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Total</w:t>
            </w:r>
          </w:p>
        </w:tc>
        <w:tc>
          <w:tcPr>
            <w:tcW w:w="122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w:t>
            </w:r>
          </w:p>
        </w:tc>
        <w:tc>
          <w:tcPr>
            <w:tcW w:w="122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210</w:t>
            </w:r>
          </w:p>
        </w:tc>
        <w:tc>
          <w:tcPr>
            <w:tcW w:w="122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240</w:t>
            </w:r>
          </w:p>
        </w:tc>
        <w:tc>
          <w:tcPr>
            <w:tcW w:w="122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250</w:t>
            </w:r>
          </w:p>
        </w:tc>
        <w:tc>
          <w:tcPr>
            <w:tcW w:w="1223"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690</w:t>
            </w:r>
          </w:p>
        </w:tc>
        <w:tc>
          <w:tcPr>
            <w:tcW w:w="122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160</w:t>
            </w:r>
          </w:p>
        </w:tc>
        <w:tc>
          <w:tcPr>
            <w:tcW w:w="122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110</w:t>
            </w:r>
          </w:p>
        </w:tc>
        <w:tc>
          <w:tcPr>
            <w:tcW w:w="122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90</w:t>
            </w:r>
          </w:p>
        </w:tc>
        <w:tc>
          <w:tcPr>
            <w:tcW w:w="1223"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130</w:t>
            </w:r>
          </w:p>
        </w:tc>
        <w:tc>
          <w:tcPr>
            <w:tcW w:w="122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270</w:t>
            </w:r>
          </w:p>
        </w:tc>
        <w:tc>
          <w:tcPr>
            <w:tcW w:w="122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460</w:t>
            </w:r>
          </w:p>
        </w:tc>
        <w:tc>
          <w:tcPr>
            <w:tcW w:w="122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850</w:t>
            </w:r>
          </w:p>
        </w:tc>
        <w:tc>
          <w:tcPr>
            <w:tcW w:w="1223"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2,760</w:t>
            </w:r>
          </w:p>
        </w:tc>
      </w:tr>
      <w:tr w:rsidR="00C676BA" w:rsidRPr="00C676BA" w:rsidTr="00C676BA">
        <w:trPr>
          <w:trHeight w:val="270"/>
        </w:trPr>
        <w:tc>
          <w:tcPr>
            <w:tcW w:w="5100" w:type="dxa"/>
            <w:tcBorders>
              <w:top w:val="single" w:sz="8" w:space="0" w:color="788184"/>
              <w:left w:val="single" w:sz="8" w:space="0" w:color="788184"/>
              <w:bottom w:val="single" w:sz="8" w:space="0" w:color="788184"/>
              <w:right w:val="nil"/>
            </w:tcBorders>
            <w:shd w:val="clear" w:color="000000" w:fill="E9ECF3"/>
            <w:vAlign w:val="center"/>
            <w:hideMark/>
          </w:tcPr>
          <w:p w:rsidR="00C676BA" w:rsidRPr="00C676BA" w:rsidRDefault="00C676BA" w:rsidP="00C676BA">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Impact on headline cash balance</w:t>
            </w:r>
          </w:p>
        </w:tc>
        <w:tc>
          <w:tcPr>
            <w:tcW w:w="1222" w:type="dxa"/>
            <w:tcBorders>
              <w:top w:val="single" w:sz="8" w:space="0" w:color="788184"/>
              <w:left w:val="nil"/>
              <w:bottom w:val="single" w:sz="8" w:space="0" w:color="788184"/>
              <w:right w:val="nil"/>
            </w:tcBorders>
            <w:shd w:val="clear" w:color="000000" w:fill="E9ECF3"/>
            <w:vAlign w:val="center"/>
            <w:hideMark/>
          </w:tcPr>
          <w:p w:rsidR="00C676BA" w:rsidRPr="00C676BA" w:rsidRDefault="00C676BA" w:rsidP="003A0AE3">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C676BA" w:rsidRPr="00C676BA" w:rsidRDefault="00C676BA" w:rsidP="003A0AE3">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C676BA" w:rsidRPr="00C676BA" w:rsidRDefault="00C676BA" w:rsidP="003A0AE3">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C676BA" w:rsidRPr="00C676BA" w:rsidRDefault="00C676BA" w:rsidP="003A0AE3">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3" w:type="dxa"/>
            <w:tcBorders>
              <w:top w:val="single" w:sz="8" w:space="0" w:color="788184"/>
              <w:left w:val="nil"/>
              <w:bottom w:val="single" w:sz="8" w:space="0" w:color="788184"/>
              <w:right w:val="nil"/>
            </w:tcBorders>
            <w:shd w:val="clear" w:color="000000" w:fill="E9ECF3"/>
            <w:vAlign w:val="center"/>
            <w:hideMark/>
          </w:tcPr>
          <w:p w:rsidR="00C676BA" w:rsidRPr="00C676BA" w:rsidRDefault="00C676BA" w:rsidP="003A0AE3">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C676BA" w:rsidRPr="00C676BA" w:rsidRDefault="00C676BA" w:rsidP="003A0AE3">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C676BA" w:rsidRPr="00C676BA" w:rsidRDefault="00C676BA" w:rsidP="003A0AE3">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C676BA" w:rsidRPr="00C676BA" w:rsidRDefault="00C676BA" w:rsidP="003A0AE3">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3" w:type="dxa"/>
            <w:tcBorders>
              <w:top w:val="single" w:sz="8" w:space="0" w:color="788184"/>
              <w:left w:val="nil"/>
              <w:bottom w:val="single" w:sz="8" w:space="0" w:color="788184"/>
              <w:right w:val="nil"/>
            </w:tcBorders>
            <w:shd w:val="clear" w:color="000000" w:fill="E9ECF3"/>
            <w:vAlign w:val="center"/>
            <w:hideMark/>
          </w:tcPr>
          <w:p w:rsidR="00C676BA" w:rsidRPr="00C676BA" w:rsidRDefault="00C676BA" w:rsidP="003A0AE3">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C676BA" w:rsidRPr="00C676BA" w:rsidRDefault="00C676BA" w:rsidP="003A0AE3">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C676BA" w:rsidRPr="00C676BA" w:rsidRDefault="00C676BA" w:rsidP="003A0AE3">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2" w:type="dxa"/>
            <w:tcBorders>
              <w:top w:val="single" w:sz="8" w:space="0" w:color="788184"/>
              <w:left w:val="nil"/>
              <w:bottom w:val="single" w:sz="8" w:space="0" w:color="788184"/>
              <w:right w:val="nil"/>
            </w:tcBorders>
            <w:shd w:val="clear" w:color="000000" w:fill="E9ECF3"/>
            <w:vAlign w:val="center"/>
            <w:hideMark/>
          </w:tcPr>
          <w:p w:rsidR="00C676BA" w:rsidRPr="00C676BA" w:rsidRDefault="00C676BA" w:rsidP="003A0AE3">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c>
          <w:tcPr>
            <w:tcW w:w="1223" w:type="dxa"/>
            <w:tcBorders>
              <w:top w:val="single" w:sz="8" w:space="0" w:color="788184"/>
              <w:left w:val="nil"/>
              <w:bottom w:val="single" w:sz="8" w:space="0" w:color="788184"/>
              <w:right w:val="single" w:sz="8" w:space="0" w:color="788184"/>
            </w:tcBorders>
            <w:shd w:val="clear" w:color="000000" w:fill="E9ECF3"/>
            <w:vAlign w:val="center"/>
            <w:hideMark/>
          </w:tcPr>
          <w:p w:rsidR="00C676BA" w:rsidRPr="00C676BA" w:rsidRDefault="00C676BA" w:rsidP="003A0AE3">
            <w:pPr>
              <w:spacing w:before="70" w:after="70"/>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 </w:t>
            </w:r>
          </w:p>
        </w:tc>
      </w:tr>
      <w:tr w:rsidR="00C676BA" w:rsidRPr="00C676BA" w:rsidTr="00C676BA">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C676BA" w:rsidRPr="00C676BA" w:rsidRDefault="00C676BA" w:rsidP="00C676BA">
            <w:pPr>
              <w:spacing w:before="70" w:after="70" w:line="240" w:lineRule="auto"/>
              <w:ind w:left="57" w:right="57"/>
              <w:rPr>
                <w:rFonts w:ascii="Calibri" w:eastAsia="Times New Roman" w:hAnsi="Calibri" w:cs="Times New Roman"/>
                <w:color w:val="000000"/>
                <w:sz w:val="20"/>
                <w:szCs w:val="20"/>
                <w:lang w:eastAsia="en-AU"/>
              </w:rPr>
            </w:pPr>
            <w:r w:rsidRPr="00C676BA">
              <w:rPr>
                <w:rFonts w:ascii="Calibri" w:eastAsia="Times New Roman" w:hAnsi="Calibri" w:cs="Times New Roman"/>
                <w:color w:val="000000"/>
                <w:sz w:val="20"/>
                <w:szCs w:val="20"/>
                <w:lang w:eastAsia="en-AU"/>
              </w:rPr>
              <w:t>Higher Education Loan Program</w:t>
            </w:r>
          </w:p>
        </w:tc>
        <w:tc>
          <w:tcPr>
            <w:tcW w:w="1222"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3A0AE3">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3A0AE3">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3A0AE3">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3A0AE3">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3"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3A0AE3">
            <w:pPr>
              <w:spacing w:before="70" w:after="70"/>
              <w:ind w:left="57" w:right="57"/>
              <w:jc w:val="right"/>
              <w:rPr>
                <w:rFonts w:ascii="Calibri" w:eastAsia="Times New Roman" w:hAnsi="Calibri" w:cs="Times New Roman"/>
                <w:b/>
                <w:bCs/>
                <w:i/>
                <w:iCs/>
                <w:color w:val="000000"/>
                <w:sz w:val="20"/>
                <w:szCs w:val="20"/>
                <w:lang w:eastAsia="en-AU"/>
              </w:rPr>
            </w:pPr>
            <w:r w:rsidRPr="00C676BA">
              <w:rPr>
                <w:rFonts w:ascii="Calibri" w:eastAsia="Times New Roman" w:hAnsi="Calibri" w:cs="Times New Roman"/>
                <w:b/>
                <w:bCs/>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3A0AE3">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3A0AE3">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3A0AE3">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3"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3A0AE3">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3A0AE3">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3A0AE3">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2"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3A0AE3">
            <w:pPr>
              <w:spacing w:before="70" w:after="70"/>
              <w:ind w:left="57" w:right="57"/>
              <w:jc w:val="right"/>
              <w:rPr>
                <w:rFonts w:ascii="Calibri" w:eastAsia="Times New Roman" w:hAnsi="Calibri" w:cs="Times New Roman"/>
                <w:i/>
                <w:iCs/>
                <w:color w:val="000000"/>
                <w:sz w:val="20"/>
                <w:szCs w:val="20"/>
                <w:lang w:eastAsia="en-AU"/>
              </w:rPr>
            </w:pPr>
            <w:r w:rsidRPr="00C676BA">
              <w:rPr>
                <w:rFonts w:ascii="Calibri" w:eastAsia="Times New Roman" w:hAnsi="Calibri" w:cs="Times New Roman"/>
                <w:i/>
                <w:iCs/>
                <w:color w:val="000000"/>
                <w:sz w:val="20"/>
                <w:szCs w:val="20"/>
                <w:lang w:eastAsia="en-AU"/>
              </w:rPr>
              <w:t> </w:t>
            </w:r>
          </w:p>
        </w:tc>
        <w:tc>
          <w:tcPr>
            <w:tcW w:w="1223" w:type="dxa"/>
            <w:tcBorders>
              <w:top w:val="nil"/>
              <w:left w:val="nil"/>
              <w:bottom w:val="single" w:sz="8" w:space="0" w:color="788184"/>
              <w:right w:val="single" w:sz="8" w:space="0" w:color="788184"/>
            </w:tcBorders>
            <w:shd w:val="clear" w:color="auto" w:fill="auto"/>
            <w:vAlign w:val="center"/>
            <w:hideMark/>
          </w:tcPr>
          <w:p w:rsidR="00C676BA" w:rsidRPr="00C676BA" w:rsidRDefault="00C676BA" w:rsidP="003A0AE3">
            <w:pPr>
              <w:spacing w:before="70" w:after="70"/>
              <w:ind w:left="57" w:right="57"/>
              <w:jc w:val="right"/>
              <w:rPr>
                <w:rFonts w:ascii="Calibri" w:eastAsia="Times New Roman" w:hAnsi="Calibri" w:cs="Times New Roman"/>
                <w:b/>
                <w:bCs/>
                <w:i/>
                <w:iCs/>
                <w:color w:val="000000"/>
                <w:sz w:val="20"/>
                <w:szCs w:val="20"/>
                <w:lang w:eastAsia="en-AU"/>
              </w:rPr>
            </w:pPr>
            <w:r w:rsidRPr="00C676BA">
              <w:rPr>
                <w:rFonts w:ascii="Calibri" w:eastAsia="Times New Roman" w:hAnsi="Calibri" w:cs="Times New Roman"/>
                <w:b/>
                <w:bCs/>
                <w:i/>
                <w:iCs/>
                <w:color w:val="000000"/>
                <w:sz w:val="20"/>
                <w:szCs w:val="20"/>
                <w:lang w:eastAsia="en-AU"/>
              </w:rPr>
              <w:t> </w:t>
            </w:r>
          </w:p>
        </w:tc>
      </w:tr>
      <w:tr w:rsidR="003A0AE3" w:rsidRPr="00C676BA" w:rsidTr="00C676BA">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3A0AE3" w:rsidRPr="00C676BA" w:rsidRDefault="003A0AE3" w:rsidP="00C676BA">
            <w:pPr>
              <w:spacing w:before="70" w:after="70" w:line="240" w:lineRule="auto"/>
              <w:ind w:left="57" w:right="57" w:firstLineChars="100" w:firstLine="200"/>
              <w:rPr>
                <w:rFonts w:ascii="Calibri" w:eastAsia="Times New Roman" w:hAnsi="Calibri" w:cs="Times New Roman"/>
                <w:color w:val="000000"/>
                <w:sz w:val="20"/>
                <w:szCs w:val="20"/>
                <w:lang w:eastAsia="en-AU"/>
              </w:rPr>
            </w:pPr>
            <w:r w:rsidRPr="00C676BA">
              <w:rPr>
                <w:rFonts w:ascii="Calibri" w:eastAsia="Times New Roman" w:hAnsi="Calibri" w:cs="Times New Roman"/>
                <w:color w:val="000000"/>
                <w:sz w:val="20"/>
                <w:szCs w:val="20"/>
                <w:lang w:eastAsia="en-AU"/>
              </w:rPr>
              <w:t>Loans issued</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-5,300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-4,660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-4,400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-14,360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-4,320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-4,380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-4,500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-4,710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-5,010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-5,330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-5,690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-48,300</w:t>
            </w:r>
          </w:p>
        </w:tc>
      </w:tr>
      <w:tr w:rsidR="003A0AE3" w:rsidRPr="00C676BA" w:rsidTr="00C676BA">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3A0AE3" w:rsidRPr="00C676BA" w:rsidRDefault="003A0AE3" w:rsidP="00016693">
            <w:pPr>
              <w:spacing w:before="70" w:after="70" w:line="240" w:lineRule="auto"/>
              <w:ind w:left="57" w:right="57" w:firstLineChars="100" w:firstLine="200"/>
              <w:rPr>
                <w:rFonts w:ascii="Calibri" w:eastAsia="Times New Roman" w:hAnsi="Calibri" w:cs="Times New Roman"/>
                <w:color w:val="000000"/>
                <w:sz w:val="20"/>
                <w:szCs w:val="20"/>
                <w:lang w:eastAsia="en-AU"/>
              </w:rPr>
            </w:pPr>
            <w:r w:rsidRPr="00C676BA">
              <w:rPr>
                <w:rFonts w:ascii="Calibri" w:eastAsia="Times New Roman" w:hAnsi="Calibri" w:cs="Times New Roman"/>
                <w:color w:val="000000"/>
                <w:sz w:val="20"/>
                <w:szCs w:val="20"/>
                <w:lang w:eastAsia="en-AU"/>
              </w:rPr>
              <w:t>Principle repayments and interest recei</w:t>
            </w:r>
            <w:r>
              <w:rPr>
                <w:rFonts w:ascii="Calibri" w:eastAsia="Times New Roman" w:hAnsi="Calibri" w:cs="Times New Roman"/>
                <w:color w:val="000000"/>
                <w:sz w:val="20"/>
                <w:szCs w:val="20"/>
                <w:lang w:eastAsia="en-AU"/>
              </w:rPr>
              <w:t>pts</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960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1,420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1,790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4,170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1,850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2,130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2,570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3,320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4,340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5,640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7,550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31,580</w:t>
            </w:r>
          </w:p>
        </w:tc>
      </w:tr>
      <w:tr w:rsidR="003A0AE3" w:rsidRPr="00C676BA" w:rsidTr="00C676BA">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3A0AE3" w:rsidRPr="00C676BA" w:rsidRDefault="003A0AE3" w:rsidP="00C676BA">
            <w:pPr>
              <w:spacing w:before="70" w:after="70" w:line="240" w:lineRule="auto"/>
              <w:ind w:left="57" w:right="57" w:firstLineChars="100" w:firstLine="200"/>
              <w:rPr>
                <w:rFonts w:ascii="Calibri" w:eastAsia="Times New Roman" w:hAnsi="Calibri" w:cs="Times New Roman"/>
                <w:color w:val="000000"/>
                <w:sz w:val="20"/>
                <w:szCs w:val="20"/>
                <w:lang w:eastAsia="en-AU"/>
              </w:rPr>
            </w:pPr>
            <w:r w:rsidRPr="00C676BA">
              <w:rPr>
                <w:rFonts w:ascii="Calibri" w:eastAsia="Times New Roman" w:hAnsi="Calibri" w:cs="Times New Roman"/>
                <w:color w:val="000000"/>
                <w:sz w:val="20"/>
                <w:szCs w:val="20"/>
                <w:lang w:eastAsia="en-AU"/>
              </w:rPr>
              <w:t>State contributions to deferral costs</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-70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-30</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-30</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-270</w:t>
            </w:r>
          </w:p>
        </w:tc>
      </w:tr>
      <w:tr w:rsidR="003A0AE3" w:rsidRPr="00C676BA" w:rsidTr="00C676BA">
        <w:trPr>
          <w:trHeight w:val="270"/>
        </w:trPr>
        <w:tc>
          <w:tcPr>
            <w:tcW w:w="5100" w:type="dxa"/>
            <w:tcBorders>
              <w:top w:val="nil"/>
              <w:left w:val="single" w:sz="8" w:space="0" w:color="788184"/>
              <w:bottom w:val="single" w:sz="8" w:space="0" w:color="788184"/>
              <w:right w:val="single" w:sz="8" w:space="0" w:color="788184"/>
            </w:tcBorders>
            <w:shd w:val="clear" w:color="auto" w:fill="auto"/>
            <w:vAlign w:val="center"/>
            <w:hideMark/>
          </w:tcPr>
          <w:p w:rsidR="003A0AE3" w:rsidRPr="00C676BA" w:rsidRDefault="003A0AE3" w:rsidP="00C676BA">
            <w:pPr>
              <w:spacing w:before="70" w:after="70" w:line="240" w:lineRule="auto"/>
              <w:ind w:left="57" w:right="57"/>
              <w:rPr>
                <w:rFonts w:ascii="Calibri" w:eastAsia="Times New Roman" w:hAnsi="Calibri" w:cs="Times New Roman"/>
                <w:color w:val="000000"/>
                <w:sz w:val="20"/>
                <w:szCs w:val="20"/>
                <w:lang w:eastAsia="en-AU"/>
              </w:rPr>
            </w:pPr>
            <w:r w:rsidRPr="00C676BA">
              <w:rPr>
                <w:rFonts w:ascii="Calibri" w:eastAsia="Times New Roman" w:hAnsi="Calibri" w:cs="Times New Roman"/>
                <w:color w:val="000000"/>
                <w:sz w:val="20"/>
                <w:szCs w:val="20"/>
                <w:lang w:eastAsia="en-AU"/>
              </w:rPr>
              <w:t>Public Debt Interest</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-53</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-152</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-237</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-443</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-326</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-432</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-545</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-654</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-743</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-797</w:t>
            </w:r>
          </w:p>
        </w:tc>
        <w:tc>
          <w:tcPr>
            <w:tcW w:w="1222"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-788</w:t>
            </w:r>
          </w:p>
        </w:tc>
        <w:tc>
          <w:tcPr>
            <w:tcW w:w="1223" w:type="dxa"/>
            <w:tcBorders>
              <w:top w:val="nil"/>
              <w:left w:val="nil"/>
              <w:bottom w:val="single" w:sz="8" w:space="0" w:color="788184"/>
              <w:right w:val="single" w:sz="8" w:space="0" w:color="788184"/>
            </w:tcBorders>
            <w:shd w:val="clear" w:color="auto" w:fill="auto"/>
            <w:vAlign w:val="center"/>
            <w:hideMark/>
          </w:tcPr>
          <w:p w:rsidR="003A0AE3" w:rsidRDefault="003A0AE3"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-4,728</w:t>
            </w:r>
          </w:p>
        </w:tc>
      </w:tr>
      <w:tr w:rsidR="003A0AE3" w:rsidRPr="00C676BA" w:rsidTr="00C676BA">
        <w:trPr>
          <w:trHeight w:val="270"/>
        </w:trPr>
        <w:tc>
          <w:tcPr>
            <w:tcW w:w="5100" w:type="dxa"/>
            <w:tcBorders>
              <w:top w:val="nil"/>
              <w:left w:val="single" w:sz="8" w:space="0" w:color="788184"/>
              <w:bottom w:val="single" w:sz="8" w:space="0" w:color="788184"/>
              <w:right w:val="single" w:sz="8" w:space="0" w:color="788184"/>
            </w:tcBorders>
            <w:shd w:val="clear" w:color="000000" w:fill="D7DDE9"/>
            <w:vAlign w:val="center"/>
            <w:hideMark/>
          </w:tcPr>
          <w:p w:rsidR="003A0AE3" w:rsidRPr="00C676BA" w:rsidRDefault="003A0AE3" w:rsidP="00C676BA">
            <w:pPr>
              <w:spacing w:before="70" w:after="70" w:line="240" w:lineRule="auto"/>
              <w:ind w:left="57" w:right="57"/>
              <w:rPr>
                <w:rFonts w:ascii="Calibri" w:eastAsia="Times New Roman" w:hAnsi="Calibri" w:cs="Times New Roman"/>
                <w:b/>
                <w:bCs/>
                <w:color w:val="000000"/>
                <w:sz w:val="20"/>
                <w:szCs w:val="20"/>
                <w:lang w:eastAsia="en-AU"/>
              </w:rPr>
            </w:pPr>
            <w:r w:rsidRPr="00C676BA">
              <w:rPr>
                <w:rFonts w:ascii="Calibri" w:eastAsia="Times New Roman" w:hAnsi="Calibri" w:cs="Times New Roman"/>
                <w:b/>
                <w:bCs/>
                <w:color w:val="000000"/>
                <w:sz w:val="20"/>
                <w:szCs w:val="20"/>
                <w:lang w:eastAsia="en-AU"/>
              </w:rPr>
              <w:t>Total</w:t>
            </w:r>
          </w:p>
        </w:tc>
        <w:tc>
          <w:tcPr>
            <w:tcW w:w="122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w:t>
            </w:r>
          </w:p>
        </w:tc>
        <w:tc>
          <w:tcPr>
            <w:tcW w:w="122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-4,410</w:t>
            </w:r>
          </w:p>
        </w:tc>
        <w:tc>
          <w:tcPr>
            <w:tcW w:w="122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-3,420</w:t>
            </w:r>
          </w:p>
        </w:tc>
        <w:tc>
          <w:tcPr>
            <w:tcW w:w="122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-2,870</w:t>
            </w:r>
          </w:p>
        </w:tc>
        <w:tc>
          <w:tcPr>
            <w:tcW w:w="1223"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-10,710</w:t>
            </w:r>
          </w:p>
        </w:tc>
        <w:tc>
          <w:tcPr>
            <w:tcW w:w="122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-2,820</w:t>
            </w:r>
          </w:p>
        </w:tc>
        <w:tc>
          <w:tcPr>
            <w:tcW w:w="122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-2,710</w:t>
            </w:r>
          </w:p>
        </w:tc>
        <w:tc>
          <w:tcPr>
            <w:tcW w:w="122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-2,510</w:t>
            </w:r>
          </w:p>
        </w:tc>
        <w:tc>
          <w:tcPr>
            <w:tcW w:w="1223"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-2,070</w:t>
            </w:r>
          </w:p>
        </w:tc>
        <w:tc>
          <w:tcPr>
            <w:tcW w:w="122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-1,430</w:t>
            </w:r>
          </w:p>
        </w:tc>
        <w:tc>
          <w:tcPr>
            <w:tcW w:w="122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-520</w:t>
            </w:r>
          </w:p>
        </w:tc>
        <w:tc>
          <w:tcPr>
            <w:tcW w:w="1222"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1,050</w:t>
            </w:r>
          </w:p>
        </w:tc>
        <w:tc>
          <w:tcPr>
            <w:tcW w:w="1223" w:type="dxa"/>
            <w:tcBorders>
              <w:top w:val="nil"/>
              <w:left w:val="nil"/>
              <w:bottom w:val="single" w:sz="8" w:space="0" w:color="788184"/>
              <w:right w:val="single" w:sz="8" w:space="0" w:color="788184"/>
            </w:tcBorders>
            <w:shd w:val="clear" w:color="000000" w:fill="D7DDE9"/>
            <w:vAlign w:val="center"/>
            <w:hideMark/>
          </w:tcPr>
          <w:p w:rsidR="003A0AE3" w:rsidRDefault="003A0AE3"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-21,710</w:t>
            </w:r>
          </w:p>
        </w:tc>
      </w:tr>
    </w:tbl>
    <w:p w:rsidR="00C676BA" w:rsidRDefault="00C676BA" w:rsidP="00E63CF2">
      <w:pPr>
        <w:pStyle w:val="TableFootnotes"/>
        <w:numPr>
          <w:ilvl w:val="0"/>
          <w:numId w:val="14"/>
        </w:numPr>
        <w:ind w:left="284" w:hanging="284"/>
      </w:pPr>
      <w:r w:rsidRPr="00C676BA">
        <w:t>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w:t>
      </w:r>
      <w:r>
        <w:t xml:space="preserve">  </w:t>
      </w:r>
      <w:r w:rsidRPr="00C676BA">
        <w:t xml:space="preserve">A positive number for the underlying cash balance indicates an increase in receipts or a decrease in outlays or net capital investment in cash terms.  </w:t>
      </w:r>
      <w:r w:rsidR="00E63CF2" w:rsidRPr="00E63CF2">
        <w:t>A negative number for the underlying cash balance indicates a decrease in receipts or an increase in outlays or net capital investment in cash terms.</w:t>
      </w:r>
      <w:r w:rsidR="00E63CF2">
        <w:t xml:space="preserve">  </w:t>
      </w:r>
      <w:r>
        <w:t xml:space="preserve">A positive number for the headline cash balance indicates an increase in </w:t>
      </w:r>
      <w:proofErr w:type="spellStart"/>
      <w:r>
        <w:t>cashflow</w:t>
      </w:r>
      <w:proofErr w:type="spellEnd"/>
      <w:r>
        <w:t xml:space="preserve">.  A negative number for the headline cash balance indicates a decrease in </w:t>
      </w:r>
      <w:proofErr w:type="spellStart"/>
      <w:r>
        <w:t>cashflow</w:t>
      </w:r>
      <w:proofErr w:type="spellEnd"/>
      <w:r>
        <w:t>.</w:t>
      </w:r>
    </w:p>
    <w:p w:rsidR="00C676BA" w:rsidRDefault="00C676BA" w:rsidP="00E63CF2">
      <w:pPr>
        <w:pStyle w:val="TableFootnotes"/>
        <w:numPr>
          <w:ilvl w:val="0"/>
          <w:numId w:val="13"/>
        </w:numPr>
        <w:ind w:left="284" w:hanging="284"/>
      </w:pPr>
      <w:r w:rsidRPr="00C676BA">
        <w:t>Figures may not sum to totals due to rounding</w:t>
      </w:r>
      <w:r>
        <w:t>.</w:t>
      </w:r>
    </w:p>
    <w:p w:rsidR="00C676BA" w:rsidRDefault="00C676BA" w:rsidP="00C676BA">
      <w:pPr>
        <w:pStyle w:val="TableFootnotes"/>
        <w:keepNext/>
        <w:numPr>
          <w:ilvl w:val="0"/>
          <w:numId w:val="0"/>
        </w:numPr>
        <w:ind w:left="284" w:hanging="284"/>
      </w:pPr>
      <w:r>
        <w:t>..</w:t>
      </w:r>
      <w:r>
        <w:tab/>
        <w:t>Not zero but rounded to zero.</w:t>
      </w:r>
    </w:p>
    <w:p w:rsidR="00E63CF2" w:rsidRDefault="00C676BA" w:rsidP="00E63CF2">
      <w:pPr>
        <w:pStyle w:val="TableFootnotes"/>
        <w:keepLines w:val="0"/>
        <w:numPr>
          <w:ilvl w:val="0"/>
          <w:numId w:val="11"/>
        </w:numPr>
        <w:ind w:left="284" w:hanging="284"/>
      </w:pPr>
      <w:r>
        <w:t>Indicates nil.</w:t>
      </w:r>
    </w:p>
    <w:p w:rsidR="00E63CF2" w:rsidRDefault="00E63CF2">
      <w:pPr>
        <w:rPr>
          <w:sz w:val="20"/>
        </w:rPr>
      </w:pPr>
      <w:r>
        <w:br w:type="page"/>
      </w:r>
    </w:p>
    <w:p w:rsidR="00E63CF2" w:rsidRDefault="00E63CF2" w:rsidP="00E63CF2">
      <w:pPr>
        <w:pStyle w:val="Caption"/>
        <w:rPr>
          <w:vertAlign w:val="superscript"/>
        </w:rPr>
      </w:pPr>
      <w:r w:rsidRPr="00404763">
        <w:lastRenderedPageBreak/>
        <w:t>Table A</w:t>
      </w:r>
      <w:r>
        <w:t>3</w:t>
      </w:r>
      <w:r w:rsidRPr="00404763">
        <w:t xml:space="preserve">: </w:t>
      </w:r>
      <w:r w:rsidRPr="00E63CF2">
        <w:t>Abolition of higher education and vocational education and training subsidies</w:t>
      </w:r>
      <w:r w:rsidRPr="00404763">
        <w:t>—</w:t>
      </w:r>
      <w:r>
        <w:t>Impact on fiscal balance</w:t>
      </w:r>
      <w:r w:rsidRPr="00404763">
        <w:t xml:space="preserve"> (outturn prices</w:t>
      </w:r>
      <w:proofErr w:type="gramStart"/>
      <w:r w:rsidRPr="00404763">
        <w:t>)</w:t>
      </w:r>
      <w:r w:rsidRPr="00404763">
        <w:rPr>
          <w:vertAlign w:val="superscript"/>
        </w:rPr>
        <w:t>(</w:t>
      </w:r>
      <w:proofErr w:type="gramEnd"/>
      <w:r w:rsidRPr="00404763">
        <w:rPr>
          <w:vertAlign w:val="superscript"/>
        </w:rPr>
        <w:t>a)(b)</w:t>
      </w:r>
    </w:p>
    <w:tbl>
      <w:tblPr>
        <w:tblW w:w="20989" w:type="dxa"/>
        <w:tblInd w:w="98" w:type="dxa"/>
        <w:tblLook w:val="04A0" w:firstRow="1" w:lastRow="0" w:firstColumn="1" w:lastColumn="0" w:noHBand="0" w:noVBand="1"/>
      </w:tblPr>
      <w:tblGrid>
        <w:gridCol w:w="5680"/>
        <w:gridCol w:w="1177"/>
        <w:gridCol w:w="1178"/>
        <w:gridCol w:w="1177"/>
        <w:gridCol w:w="1178"/>
        <w:gridCol w:w="1178"/>
        <w:gridCol w:w="1177"/>
        <w:gridCol w:w="1178"/>
        <w:gridCol w:w="1177"/>
        <w:gridCol w:w="1178"/>
        <w:gridCol w:w="1178"/>
        <w:gridCol w:w="1177"/>
        <w:gridCol w:w="1178"/>
        <w:gridCol w:w="1178"/>
      </w:tblGrid>
      <w:tr w:rsidR="00E63CF2" w:rsidRPr="00E63CF2" w:rsidTr="00E63CF2">
        <w:trPr>
          <w:trHeight w:val="525"/>
        </w:trPr>
        <w:tc>
          <w:tcPr>
            <w:tcW w:w="5680" w:type="dxa"/>
            <w:tcBorders>
              <w:top w:val="single" w:sz="8" w:space="0" w:color="788184"/>
              <w:left w:val="single" w:sz="8" w:space="0" w:color="788184"/>
              <w:bottom w:val="single" w:sz="8" w:space="0" w:color="788184"/>
              <w:right w:val="single" w:sz="8" w:space="0" w:color="788184"/>
            </w:tcBorders>
            <w:shd w:val="clear" w:color="000000" w:fill="D7DDE9"/>
            <w:vAlign w:val="center"/>
            <w:hideMark/>
          </w:tcPr>
          <w:p w:rsidR="00E63CF2" w:rsidRPr="00E63CF2" w:rsidRDefault="00E63CF2" w:rsidP="00E63CF2">
            <w:pPr>
              <w:spacing w:before="70" w:after="70" w:line="240" w:lineRule="auto"/>
              <w:ind w:left="57" w:right="57"/>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($m)</w:t>
            </w:r>
          </w:p>
        </w:tc>
        <w:tc>
          <w:tcPr>
            <w:tcW w:w="1177"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2016–17</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2017–18</w:t>
            </w:r>
          </w:p>
        </w:tc>
        <w:tc>
          <w:tcPr>
            <w:tcW w:w="1177"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2018–19</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2019–20</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Total to 2019–20</w:t>
            </w:r>
          </w:p>
        </w:tc>
        <w:tc>
          <w:tcPr>
            <w:tcW w:w="1177"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2020–21</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2021–22</w:t>
            </w:r>
          </w:p>
        </w:tc>
        <w:tc>
          <w:tcPr>
            <w:tcW w:w="1177"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2022–23</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2023–24</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2024–25</w:t>
            </w:r>
          </w:p>
        </w:tc>
        <w:tc>
          <w:tcPr>
            <w:tcW w:w="1177"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2025–26</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2026–27</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Total to 2026–27</w:t>
            </w:r>
          </w:p>
        </w:tc>
      </w:tr>
      <w:tr w:rsidR="00E63CF2" w:rsidRPr="00E63CF2" w:rsidTr="00E63CF2">
        <w:trPr>
          <w:trHeight w:val="270"/>
        </w:trPr>
        <w:tc>
          <w:tcPr>
            <w:tcW w:w="5680" w:type="dxa"/>
            <w:tcBorders>
              <w:top w:val="nil"/>
              <w:left w:val="single" w:sz="8" w:space="0" w:color="788184"/>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Impact on fiscal balance</w:t>
            </w:r>
          </w:p>
        </w:tc>
        <w:tc>
          <w:tcPr>
            <w:tcW w:w="1177"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8"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7"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8"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8"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7"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8"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7"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8"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8"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7"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8"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8" w:type="dxa"/>
            <w:tcBorders>
              <w:top w:val="nil"/>
              <w:left w:val="nil"/>
              <w:bottom w:val="single" w:sz="8" w:space="0" w:color="788184"/>
              <w:right w:val="single" w:sz="8" w:space="0" w:color="788184"/>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r>
      <w:tr w:rsidR="00E63CF2" w:rsidRPr="00E63CF2" w:rsidTr="00E63CF2">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Department of Education and Training Outcome 2</w:t>
            </w:r>
          </w:p>
        </w:tc>
        <w:tc>
          <w:tcPr>
            <w:tcW w:w="1177"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7"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b/>
                <w:bCs/>
                <w:i/>
                <w:iCs/>
                <w:color w:val="000000"/>
                <w:sz w:val="20"/>
                <w:szCs w:val="20"/>
                <w:lang w:eastAsia="en-AU"/>
              </w:rPr>
            </w:pPr>
            <w:r w:rsidRPr="00E63CF2">
              <w:rPr>
                <w:rFonts w:ascii="Calibri" w:eastAsia="Times New Roman" w:hAnsi="Calibri" w:cs="Times New Roman"/>
                <w:b/>
                <w:bCs/>
                <w:i/>
                <w:iCs/>
                <w:color w:val="000000"/>
                <w:sz w:val="20"/>
                <w:szCs w:val="20"/>
                <w:lang w:eastAsia="en-AU"/>
              </w:rPr>
              <w:t> </w:t>
            </w:r>
          </w:p>
        </w:tc>
        <w:tc>
          <w:tcPr>
            <w:tcW w:w="1177"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7"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7"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b/>
                <w:bCs/>
                <w:i/>
                <w:iCs/>
                <w:color w:val="000000"/>
                <w:sz w:val="20"/>
                <w:szCs w:val="20"/>
                <w:lang w:eastAsia="en-AU"/>
              </w:rPr>
            </w:pPr>
            <w:r w:rsidRPr="00E63CF2">
              <w:rPr>
                <w:rFonts w:ascii="Calibri" w:eastAsia="Times New Roman" w:hAnsi="Calibri" w:cs="Times New Roman"/>
                <w:b/>
                <w:bCs/>
                <w:i/>
                <w:iCs/>
                <w:color w:val="000000"/>
                <w:sz w:val="20"/>
                <w:szCs w:val="20"/>
                <w:lang w:eastAsia="en-AU"/>
              </w:rPr>
              <w:t> </w:t>
            </w:r>
          </w:p>
        </w:tc>
      </w:tr>
      <w:tr w:rsidR="00D01467" w:rsidRPr="00E63CF2" w:rsidTr="00E63CF2">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01467" w:rsidRPr="00E63CF2" w:rsidRDefault="00D01467" w:rsidP="00E63CF2">
            <w:pPr>
              <w:spacing w:before="70" w:after="70" w:line="240" w:lineRule="auto"/>
              <w:ind w:left="57" w:right="57" w:firstLineChars="100" w:firstLine="200"/>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Program 2.1 Commonwealth Grant Scheme</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6,810</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6,566</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6,752</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20,128</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6,971</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7,266</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7,574</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7,895</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8,229</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8,577</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8,941</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75,581</w:t>
            </w:r>
          </w:p>
        </w:tc>
      </w:tr>
      <w:tr w:rsidR="00D01467" w:rsidRPr="00E63CF2" w:rsidTr="00E63CF2">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01467" w:rsidRPr="00E63CF2" w:rsidRDefault="00D01467" w:rsidP="00E63CF2">
            <w:pPr>
              <w:spacing w:before="70" w:after="70" w:line="240" w:lineRule="auto"/>
              <w:ind w:left="57" w:right="57" w:firstLineChars="100" w:firstLine="200"/>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Program 2.3 Higher Education Support</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440</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461</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401</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1,301</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484</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506</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530</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555</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581</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608</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636</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5,201</w:t>
            </w:r>
          </w:p>
        </w:tc>
      </w:tr>
      <w:tr w:rsidR="00D01467" w:rsidRPr="00E63CF2" w:rsidTr="00E63CF2">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01467" w:rsidRPr="00E63CF2" w:rsidRDefault="00D01467" w:rsidP="00E63CF2">
            <w:pPr>
              <w:spacing w:before="70" w:after="70" w:line="240" w:lineRule="auto"/>
              <w:ind w:left="57" w:right="57" w:firstLineChars="100" w:firstLine="200"/>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Program 2.5 Investment in Higher Education Research</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1,922</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1,890</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1,940</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5,752</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2,019</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2,106</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2,158</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2,212</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2,268</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2,324</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2,383</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21,223</w:t>
            </w:r>
          </w:p>
        </w:tc>
      </w:tr>
      <w:tr w:rsidR="00D01467" w:rsidRPr="00E63CF2" w:rsidTr="00E63CF2">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01467" w:rsidRPr="00E63CF2" w:rsidRDefault="00D01467" w:rsidP="00E63CF2">
            <w:pPr>
              <w:spacing w:before="70" w:after="70" w:line="240" w:lineRule="auto"/>
              <w:ind w:left="57" w:right="57" w:firstLineChars="100" w:firstLine="200"/>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Program 2.6 Research Capacity</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178</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181</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185</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544</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188</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192</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196</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201</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205</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209</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214</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1,950</w:t>
            </w:r>
          </w:p>
        </w:tc>
      </w:tr>
      <w:tr w:rsidR="00D01467" w:rsidRPr="00E63CF2" w:rsidTr="00E63CF2">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01467" w:rsidRPr="00E63CF2" w:rsidRDefault="00D01467" w:rsidP="00E63CF2">
            <w:pPr>
              <w:spacing w:before="70" w:after="70" w:line="240" w:lineRule="auto"/>
              <w:ind w:left="57" w:right="57" w:firstLineChars="100" w:firstLine="200"/>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Program 2.8 Building Skills and Capability</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1,216</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1,215</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1,214</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3,645</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1,207</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1,208</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1,209</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1,209</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1,212</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1,221</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1,235</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12,145</w:t>
            </w:r>
          </w:p>
        </w:tc>
      </w:tr>
      <w:tr w:rsidR="00D01467" w:rsidRPr="00E63CF2" w:rsidTr="00E63CF2">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01467" w:rsidRPr="00E63CF2" w:rsidRDefault="00D01467" w:rsidP="00E63CF2">
            <w:pPr>
              <w:spacing w:before="70" w:after="70" w:line="240" w:lineRule="auto"/>
              <w:ind w:left="57" w:right="57" w:firstLineChars="100" w:firstLine="200"/>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Departmental</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208</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204</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205</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617</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205</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207</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209</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210</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212</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214</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215</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2,090</w:t>
            </w:r>
          </w:p>
        </w:tc>
      </w:tr>
      <w:tr w:rsidR="00D01467" w:rsidRPr="00E63CF2" w:rsidTr="00E63CF2">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01467" w:rsidRPr="00E63CF2" w:rsidRDefault="00D01467" w:rsidP="00E63CF2">
            <w:pPr>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National Agreement for Skills and Workforce Development</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1,494</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1,516</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1,537</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4,547</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1,560</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1,582</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1,605</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1,628</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1,651</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1,675</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1,699</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15,946</w:t>
            </w:r>
          </w:p>
        </w:tc>
      </w:tr>
      <w:tr w:rsidR="00D01467" w:rsidRPr="00E63CF2" w:rsidTr="00E63CF2">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01467" w:rsidRPr="00E63CF2" w:rsidRDefault="00D01467" w:rsidP="00E63CF2">
            <w:pPr>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Public Debt Interest</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167</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506</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859</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1,532</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1,299</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1,877</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2,577</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3,391</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4,312</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5,340</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6,475</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26,803</w:t>
            </w:r>
          </w:p>
        </w:tc>
      </w:tr>
      <w:tr w:rsidR="00D01467" w:rsidRPr="00E63CF2" w:rsidTr="00E63CF2">
        <w:trPr>
          <w:trHeight w:val="270"/>
        </w:trPr>
        <w:tc>
          <w:tcPr>
            <w:tcW w:w="5680" w:type="dxa"/>
            <w:tcBorders>
              <w:top w:val="nil"/>
              <w:left w:val="single" w:sz="8" w:space="0" w:color="788184"/>
              <w:bottom w:val="single" w:sz="8" w:space="0" w:color="788184"/>
              <w:right w:val="single" w:sz="8" w:space="0" w:color="788184"/>
            </w:tcBorders>
            <w:shd w:val="clear" w:color="000000" w:fill="D7DDE9"/>
            <w:vAlign w:val="center"/>
            <w:hideMark/>
          </w:tcPr>
          <w:p w:rsidR="00D01467" w:rsidRPr="00E63CF2" w:rsidRDefault="00D01467"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Total</w:t>
            </w:r>
          </w:p>
        </w:tc>
        <w:tc>
          <w:tcPr>
            <w:tcW w:w="1177"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w:t>
            </w:r>
          </w:p>
        </w:tc>
        <w:tc>
          <w:tcPr>
            <w:tcW w:w="1178"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12,435</w:t>
            </w:r>
          </w:p>
        </w:tc>
        <w:tc>
          <w:tcPr>
            <w:tcW w:w="1177"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12,538</w:t>
            </w:r>
          </w:p>
        </w:tc>
        <w:tc>
          <w:tcPr>
            <w:tcW w:w="1178"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13,094</w:t>
            </w:r>
          </w:p>
        </w:tc>
        <w:tc>
          <w:tcPr>
            <w:tcW w:w="1178"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38,066</w:t>
            </w:r>
          </w:p>
        </w:tc>
        <w:tc>
          <w:tcPr>
            <w:tcW w:w="1177"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13,935</w:t>
            </w:r>
          </w:p>
        </w:tc>
        <w:tc>
          <w:tcPr>
            <w:tcW w:w="1178"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14,945</w:t>
            </w:r>
          </w:p>
        </w:tc>
        <w:tc>
          <w:tcPr>
            <w:tcW w:w="1177"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16,058</w:t>
            </w:r>
          </w:p>
        </w:tc>
        <w:tc>
          <w:tcPr>
            <w:tcW w:w="1178"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17,301</w:t>
            </w:r>
          </w:p>
        </w:tc>
        <w:tc>
          <w:tcPr>
            <w:tcW w:w="1178"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18,670</w:t>
            </w:r>
          </w:p>
        </w:tc>
        <w:tc>
          <w:tcPr>
            <w:tcW w:w="1177"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20,168</w:t>
            </w:r>
          </w:p>
        </w:tc>
        <w:tc>
          <w:tcPr>
            <w:tcW w:w="1178"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21,796</w:t>
            </w:r>
          </w:p>
        </w:tc>
        <w:tc>
          <w:tcPr>
            <w:tcW w:w="1178"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160,940</w:t>
            </w:r>
          </w:p>
        </w:tc>
      </w:tr>
    </w:tbl>
    <w:p w:rsidR="00E63CF2" w:rsidRDefault="00E63CF2" w:rsidP="00E63CF2">
      <w:pPr>
        <w:pStyle w:val="TableFootnotes"/>
        <w:numPr>
          <w:ilvl w:val="0"/>
          <w:numId w:val="15"/>
        </w:numPr>
        <w:ind w:left="284" w:hanging="284"/>
      </w:pPr>
      <w:r w:rsidRPr="00C676BA">
        <w:t>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w:t>
      </w:r>
    </w:p>
    <w:p w:rsidR="00E63CF2" w:rsidRDefault="00E63CF2" w:rsidP="00E63CF2">
      <w:pPr>
        <w:pStyle w:val="TableFootnotes"/>
        <w:numPr>
          <w:ilvl w:val="0"/>
          <w:numId w:val="13"/>
        </w:numPr>
        <w:ind w:left="284" w:hanging="284"/>
      </w:pPr>
      <w:r w:rsidRPr="00C676BA">
        <w:t>Figures may not sum to totals due to rounding</w:t>
      </w:r>
      <w:r>
        <w:t>.</w:t>
      </w:r>
    </w:p>
    <w:p w:rsidR="00E63CF2" w:rsidRDefault="00E63CF2" w:rsidP="00E63CF2">
      <w:pPr>
        <w:pStyle w:val="TableFootnotes"/>
        <w:keepLines w:val="0"/>
        <w:numPr>
          <w:ilvl w:val="0"/>
          <w:numId w:val="11"/>
        </w:numPr>
        <w:ind w:left="284" w:hanging="284"/>
      </w:pPr>
      <w:r>
        <w:t>Indicates nil.</w:t>
      </w:r>
    </w:p>
    <w:p w:rsidR="00E63CF2" w:rsidRPr="00E63CF2" w:rsidRDefault="00E63CF2" w:rsidP="00E63CF2">
      <w:pPr>
        <w:pStyle w:val="Caption"/>
        <w:rPr>
          <w:vertAlign w:val="superscript"/>
        </w:rPr>
      </w:pPr>
      <w:r w:rsidRPr="00404763">
        <w:t>Table A</w:t>
      </w:r>
      <w:r>
        <w:t>4</w:t>
      </w:r>
      <w:r w:rsidRPr="00404763">
        <w:t xml:space="preserve">: </w:t>
      </w:r>
      <w:r w:rsidRPr="00E63CF2">
        <w:t>Abolition of higher education and vocational education and training subsidies</w:t>
      </w:r>
      <w:r w:rsidRPr="00404763">
        <w:t>—</w:t>
      </w:r>
      <w:r>
        <w:t>Impact on underlying cash balance</w:t>
      </w:r>
      <w:r w:rsidRPr="00404763">
        <w:t xml:space="preserve"> (outturn prices</w:t>
      </w:r>
      <w:proofErr w:type="gramStart"/>
      <w:r w:rsidRPr="00404763">
        <w:t>)</w:t>
      </w:r>
      <w:r w:rsidRPr="00404763">
        <w:rPr>
          <w:vertAlign w:val="superscript"/>
        </w:rPr>
        <w:t>(</w:t>
      </w:r>
      <w:proofErr w:type="gramEnd"/>
      <w:r w:rsidRPr="00404763">
        <w:rPr>
          <w:vertAlign w:val="superscript"/>
        </w:rPr>
        <w:t>a)(b)</w:t>
      </w:r>
    </w:p>
    <w:tbl>
      <w:tblPr>
        <w:tblW w:w="20989" w:type="dxa"/>
        <w:tblInd w:w="98" w:type="dxa"/>
        <w:tblLook w:val="04A0" w:firstRow="1" w:lastRow="0" w:firstColumn="1" w:lastColumn="0" w:noHBand="0" w:noVBand="1"/>
      </w:tblPr>
      <w:tblGrid>
        <w:gridCol w:w="5680"/>
        <w:gridCol w:w="1177"/>
        <w:gridCol w:w="1178"/>
        <w:gridCol w:w="1177"/>
        <w:gridCol w:w="1178"/>
        <w:gridCol w:w="1178"/>
        <w:gridCol w:w="1177"/>
        <w:gridCol w:w="1178"/>
        <w:gridCol w:w="1177"/>
        <w:gridCol w:w="1178"/>
        <w:gridCol w:w="1178"/>
        <w:gridCol w:w="1177"/>
        <w:gridCol w:w="1178"/>
        <w:gridCol w:w="1178"/>
      </w:tblGrid>
      <w:tr w:rsidR="00E63CF2" w:rsidRPr="00E63CF2" w:rsidTr="00AE7322">
        <w:trPr>
          <w:trHeight w:val="525"/>
        </w:trPr>
        <w:tc>
          <w:tcPr>
            <w:tcW w:w="5680" w:type="dxa"/>
            <w:tcBorders>
              <w:top w:val="single" w:sz="8" w:space="0" w:color="788184"/>
              <w:left w:val="single" w:sz="8" w:space="0" w:color="788184"/>
              <w:bottom w:val="single" w:sz="8" w:space="0" w:color="788184"/>
              <w:right w:val="single" w:sz="8" w:space="0" w:color="788184"/>
            </w:tcBorders>
            <w:shd w:val="clear" w:color="000000" w:fill="D7DDE9"/>
            <w:vAlign w:val="center"/>
            <w:hideMark/>
          </w:tcPr>
          <w:p w:rsidR="00E63CF2" w:rsidRPr="00E63CF2" w:rsidRDefault="00E63CF2" w:rsidP="00AE7322">
            <w:pPr>
              <w:spacing w:before="70" w:after="70" w:line="240" w:lineRule="auto"/>
              <w:ind w:left="57" w:right="57"/>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($m)</w:t>
            </w:r>
          </w:p>
        </w:tc>
        <w:tc>
          <w:tcPr>
            <w:tcW w:w="1177"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AE732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2016–17</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AE732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2017–18</w:t>
            </w:r>
          </w:p>
        </w:tc>
        <w:tc>
          <w:tcPr>
            <w:tcW w:w="1177"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AE732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2018–19</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AE732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2019–20</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AE7322">
            <w:pPr>
              <w:spacing w:before="70" w:after="70" w:line="240" w:lineRule="auto"/>
              <w:ind w:left="57" w:right="57"/>
              <w:jc w:val="right"/>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Total to 2019–20</w:t>
            </w:r>
          </w:p>
        </w:tc>
        <w:tc>
          <w:tcPr>
            <w:tcW w:w="1177"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AE732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2020–21</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AE732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2021–22</w:t>
            </w:r>
          </w:p>
        </w:tc>
        <w:tc>
          <w:tcPr>
            <w:tcW w:w="1177"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AE732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2022–23</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AE732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2023–24</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AE732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2024–25</w:t>
            </w:r>
          </w:p>
        </w:tc>
        <w:tc>
          <w:tcPr>
            <w:tcW w:w="1177"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AE732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2025–26</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AE732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2026–27</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AE7322">
            <w:pPr>
              <w:spacing w:before="70" w:after="70" w:line="240" w:lineRule="auto"/>
              <w:ind w:left="57" w:right="57"/>
              <w:jc w:val="right"/>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Total to 2026–27</w:t>
            </w:r>
          </w:p>
        </w:tc>
      </w:tr>
      <w:tr w:rsidR="00E63CF2" w:rsidRPr="00E63CF2" w:rsidTr="00E63CF2">
        <w:trPr>
          <w:trHeight w:val="270"/>
        </w:trPr>
        <w:tc>
          <w:tcPr>
            <w:tcW w:w="5680" w:type="dxa"/>
            <w:tcBorders>
              <w:top w:val="nil"/>
              <w:left w:val="single" w:sz="8" w:space="0" w:color="788184"/>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Impact on underlying cash balance</w:t>
            </w:r>
          </w:p>
        </w:tc>
        <w:tc>
          <w:tcPr>
            <w:tcW w:w="1177"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8"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7"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8"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8"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7"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8"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7"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8"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8"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7"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8"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8" w:type="dxa"/>
            <w:tcBorders>
              <w:top w:val="nil"/>
              <w:left w:val="nil"/>
              <w:bottom w:val="single" w:sz="8" w:space="0" w:color="788184"/>
              <w:right w:val="single" w:sz="8" w:space="0" w:color="788184"/>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r>
      <w:tr w:rsidR="00E63CF2" w:rsidRPr="00E63CF2" w:rsidTr="00E63CF2">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Department of Education and Training Outcome 2</w:t>
            </w:r>
          </w:p>
        </w:tc>
        <w:tc>
          <w:tcPr>
            <w:tcW w:w="1177"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7"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b/>
                <w:bCs/>
                <w:i/>
                <w:iCs/>
                <w:color w:val="000000"/>
                <w:sz w:val="20"/>
                <w:szCs w:val="20"/>
                <w:lang w:eastAsia="en-AU"/>
              </w:rPr>
            </w:pPr>
            <w:r w:rsidRPr="00E63CF2">
              <w:rPr>
                <w:rFonts w:ascii="Calibri" w:eastAsia="Times New Roman" w:hAnsi="Calibri" w:cs="Times New Roman"/>
                <w:b/>
                <w:bCs/>
                <w:i/>
                <w:iCs/>
                <w:color w:val="000000"/>
                <w:sz w:val="20"/>
                <w:szCs w:val="20"/>
                <w:lang w:eastAsia="en-AU"/>
              </w:rPr>
              <w:t> </w:t>
            </w:r>
          </w:p>
        </w:tc>
        <w:tc>
          <w:tcPr>
            <w:tcW w:w="1177"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7"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7"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b/>
                <w:bCs/>
                <w:i/>
                <w:iCs/>
                <w:color w:val="000000"/>
                <w:sz w:val="20"/>
                <w:szCs w:val="20"/>
                <w:lang w:eastAsia="en-AU"/>
              </w:rPr>
            </w:pPr>
            <w:r w:rsidRPr="00E63CF2">
              <w:rPr>
                <w:rFonts w:ascii="Calibri" w:eastAsia="Times New Roman" w:hAnsi="Calibri" w:cs="Times New Roman"/>
                <w:b/>
                <w:bCs/>
                <w:i/>
                <w:iCs/>
                <w:color w:val="000000"/>
                <w:sz w:val="20"/>
                <w:szCs w:val="20"/>
                <w:lang w:eastAsia="en-AU"/>
              </w:rPr>
              <w:t> </w:t>
            </w:r>
          </w:p>
        </w:tc>
      </w:tr>
      <w:tr w:rsidR="00D01467" w:rsidRPr="00E63CF2" w:rsidTr="00E63CF2">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01467" w:rsidRPr="00E63CF2" w:rsidRDefault="00D01467" w:rsidP="00E63CF2">
            <w:pPr>
              <w:spacing w:before="70" w:after="70" w:line="240" w:lineRule="auto"/>
              <w:ind w:left="57" w:right="57" w:firstLineChars="100" w:firstLine="200"/>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Program 2.1 Commonwealth Grant Scheme</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6,810</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6,566</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6,752</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20,128</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6,971</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7,266</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7,574</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7,895</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8,229</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8,577</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8,941</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75,581</w:t>
            </w:r>
          </w:p>
        </w:tc>
      </w:tr>
      <w:tr w:rsidR="00D01467" w:rsidRPr="00E63CF2" w:rsidTr="00E63CF2">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01467" w:rsidRPr="00E63CF2" w:rsidRDefault="00D01467" w:rsidP="00E63CF2">
            <w:pPr>
              <w:spacing w:before="70" w:after="70" w:line="240" w:lineRule="auto"/>
              <w:ind w:left="57" w:right="57" w:firstLineChars="100" w:firstLine="200"/>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Program 2.3 Higher Education Support</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440</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461</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401</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1,301</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484</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506</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530</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555</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581</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608</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636</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5,201</w:t>
            </w:r>
          </w:p>
        </w:tc>
      </w:tr>
      <w:tr w:rsidR="00D01467" w:rsidRPr="00E63CF2" w:rsidTr="00E63CF2">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01467" w:rsidRPr="00E63CF2" w:rsidRDefault="00D01467" w:rsidP="00E63CF2">
            <w:pPr>
              <w:spacing w:before="70" w:after="70" w:line="240" w:lineRule="auto"/>
              <w:ind w:left="57" w:right="57" w:firstLineChars="100" w:firstLine="200"/>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Program 2.5 Investment in Higher Education Research</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1,922</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1,890</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1,940</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5,752</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2,019</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2,106</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2,158</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2,212</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2,268</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2,324</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2,383</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21,223</w:t>
            </w:r>
          </w:p>
        </w:tc>
      </w:tr>
      <w:tr w:rsidR="00D01467" w:rsidRPr="00E63CF2" w:rsidTr="00E63CF2">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01467" w:rsidRPr="00E63CF2" w:rsidRDefault="00D01467" w:rsidP="00E63CF2">
            <w:pPr>
              <w:spacing w:before="70" w:after="70" w:line="240" w:lineRule="auto"/>
              <w:ind w:left="57" w:right="57" w:firstLineChars="100" w:firstLine="200"/>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Program 2.6 Research Capacity</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178</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181</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185</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544</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189</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192</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197</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201</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205</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209</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214</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1,951</w:t>
            </w:r>
          </w:p>
        </w:tc>
      </w:tr>
      <w:tr w:rsidR="00D01467" w:rsidRPr="00E63CF2" w:rsidTr="00E63CF2">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01467" w:rsidRPr="00E63CF2" w:rsidRDefault="00D01467" w:rsidP="00E63CF2">
            <w:pPr>
              <w:spacing w:before="70" w:after="70" w:line="240" w:lineRule="auto"/>
              <w:ind w:left="57" w:right="57" w:firstLineChars="100" w:firstLine="200"/>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Program 2.8 Building Skills and Capability</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1,391</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1,392</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1,393</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4,175</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1,387</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1,202</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1,221</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1,238</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1,253</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1,265</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1,276</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13,017</w:t>
            </w:r>
          </w:p>
        </w:tc>
      </w:tr>
      <w:tr w:rsidR="00D01467" w:rsidRPr="00E63CF2" w:rsidTr="00E63CF2">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01467" w:rsidRPr="00E63CF2" w:rsidRDefault="00D01467" w:rsidP="00E63CF2">
            <w:pPr>
              <w:spacing w:before="70" w:after="70" w:line="240" w:lineRule="auto"/>
              <w:ind w:left="57" w:right="57" w:firstLineChars="100" w:firstLine="200"/>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Departmental</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185</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177</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176</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538</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177</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178</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179</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181</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182</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184</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185</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1,803</w:t>
            </w:r>
          </w:p>
        </w:tc>
      </w:tr>
      <w:tr w:rsidR="00D01467" w:rsidRPr="00E63CF2" w:rsidTr="00E63CF2">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01467" w:rsidRPr="00E63CF2" w:rsidRDefault="00D01467" w:rsidP="00E63CF2">
            <w:pPr>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National Agreement for Skills and Workforce Development</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1,494</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1,516</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1,537</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4,547</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1,560</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1,582</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1,605</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1,628</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1,651</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1,675</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1,699</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15,946</w:t>
            </w:r>
          </w:p>
        </w:tc>
      </w:tr>
      <w:tr w:rsidR="00D01467" w:rsidRPr="00E63CF2" w:rsidTr="00E63CF2">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01467" w:rsidRPr="00E63CF2" w:rsidRDefault="00D01467" w:rsidP="00E63CF2">
            <w:pPr>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Public Debt Interest</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155</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482</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835</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1,472</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1,269</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1,836</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2,528</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3,334</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4,248</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5,268</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6,395</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26,350</w:t>
            </w:r>
          </w:p>
        </w:tc>
      </w:tr>
      <w:tr w:rsidR="00D01467" w:rsidRPr="00E63CF2" w:rsidTr="00E63CF2">
        <w:trPr>
          <w:trHeight w:val="270"/>
        </w:trPr>
        <w:tc>
          <w:tcPr>
            <w:tcW w:w="5680" w:type="dxa"/>
            <w:tcBorders>
              <w:top w:val="nil"/>
              <w:left w:val="single" w:sz="8" w:space="0" w:color="788184"/>
              <w:bottom w:val="single" w:sz="8" w:space="0" w:color="788184"/>
              <w:right w:val="single" w:sz="8" w:space="0" w:color="788184"/>
            </w:tcBorders>
            <w:shd w:val="clear" w:color="000000" w:fill="D7DDE9"/>
            <w:vAlign w:val="center"/>
            <w:hideMark/>
          </w:tcPr>
          <w:p w:rsidR="00D01467" w:rsidRPr="00E63CF2" w:rsidRDefault="00D01467"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Total</w:t>
            </w:r>
          </w:p>
        </w:tc>
        <w:tc>
          <w:tcPr>
            <w:tcW w:w="1177"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w:t>
            </w:r>
          </w:p>
        </w:tc>
        <w:tc>
          <w:tcPr>
            <w:tcW w:w="1178"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12,575</w:t>
            </w:r>
          </w:p>
        </w:tc>
        <w:tc>
          <w:tcPr>
            <w:tcW w:w="1177"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12,664</w:t>
            </w:r>
          </w:p>
        </w:tc>
        <w:tc>
          <w:tcPr>
            <w:tcW w:w="1178"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13,218</w:t>
            </w:r>
          </w:p>
        </w:tc>
        <w:tc>
          <w:tcPr>
            <w:tcW w:w="1178"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38,457</w:t>
            </w:r>
          </w:p>
        </w:tc>
        <w:tc>
          <w:tcPr>
            <w:tcW w:w="1177"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14,055</w:t>
            </w:r>
          </w:p>
        </w:tc>
        <w:tc>
          <w:tcPr>
            <w:tcW w:w="1178"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14,870</w:t>
            </w:r>
          </w:p>
        </w:tc>
        <w:tc>
          <w:tcPr>
            <w:tcW w:w="1177"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15,992</w:t>
            </w:r>
          </w:p>
        </w:tc>
        <w:tc>
          <w:tcPr>
            <w:tcW w:w="1178"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17,243</w:t>
            </w:r>
          </w:p>
        </w:tc>
        <w:tc>
          <w:tcPr>
            <w:tcW w:w="1178"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18,616</w:t>
            </w:r>
          </w:p>
        </w:tc>
        <w:tc>
          <w:tcPr>
            <w:tcW w:w="1177"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20,111</w:t>
            </w:r>
          </w:p>
        </w:tc>
        <w:tc>
          <w:tcPr>
            <w:tcW w:w="1178"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21,728</w:t>
            </w:r>
          </w:p>
        </w:tc>
        <w:tc>
          <w:tcPr>
            <w:tcW w:w="1178"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161,073</w:t>
            </w:r>
          </w:p>
        </w:tc>
      </w:tr>
    </w:tbl>
    <w:p w:rsidR="00E63CF2" w:rsidRDefault="00E63CF2" w:rsidP="005D1A04">
      <w:pPr>
        <w:pStyle w:val="TableFootnotes"/>
        <w:numPr>
          <w:ilvl w:val="0"/>
          <w:numId w:val="16"/>
        </w:numPr>
        <w:ind w:left="284" w:hanging="284"/>
      </w:pPr>
      <w:r w:rsidRPr="00E63CF2">
        <w:t>A positive number for the underlying cash balance indicates an increase in receipts or a decrease in outlays or net capital investment in cash terms.  A negative number for the underlying cash balance indicates a decrease in receipts or an increase in outlays or net capital investment in cash terms.</w:t>
      </w:r>
    </w:p>
    <w:p w:rsidR="00E63CF2" w:rsidRDefault="00E63CF2" w:rsidP="00E63CF2">
      <w:pPr>
        <w:pStyle w:val="TableFootnotes"/>
        <w:numPr>
          <w:ilvl w:val="0"/>
          <w:numId w:val="13"/>
        </w:numPr>
        <w:ind w:left="284" w:hanging="284"/>
      </w:pPr>
      <w:r w:rsidRPr="00C676BA">
        <w:t>Figures may not sum to totals due to rounding</w:t>
      </w:r>
      <w:r>
        <w:t>.</w:t>
      </w:r>
    </w:p>
    <w:p w:rsidR="00E63CF2" w:rsidRDefault="00E63CF2" w:rsidP="00E63CF2">
      <w:pPr>
        <w:pStyle w:val="TableFootnotes"/>
        <w:keepLines w:val="0"/>
        <w:numPr>
          <w:ilvl w:val="0"/>
          <w:numId w:val="11"/>
        </w:numPr>
        <w:ind w:left="284" w:hanging="284"/>
      </w:pPr>
      <w:r>
        <w:t>Indicates nil.</w:t>
      </w:r>
    </w:p>
    <w:p w:rsidR="00E63CF2" w:rsidRPr="00E63CF2" w:rsidRDefault="00E63CF2" w:rsidP="00E63CF2">
      <w:pPr>
        <w:pStyle w:val="Caption"/>
        <w:rPr>
          <w:vertAlign w:val="superscript"/>
        </w:rPr>
      </w:pPr>
      <w:r w:rsidRPr="00404763">
        <w:lastRenderedPageBreak/>
        <w:t>Table A</w:t>
      </w:r>
      <w:r>
        <w:t>5</w:t>
      </w:r>
      <w:r w:rsidRPr="00404763">
        <w:t xml:space="preserve">: </w:t>
      </w:r>
      <w:r w:rsidRPr="00E63CF2">
        <w:t>Abolition of higher education and vocational education and training subsidies</w:t>
      </w:r>
      <w:r w:rsidRPr="00404763">
        <w:t>—</w:t>
      </w:r>
      <w:r>
        <w:t>Impact on headline cash balance</w:t>
      </w:r>
      <w:r w:rsidRPr="00404763">
        <w:t xml:space="preserve"> (outturn prices</w:t>
      </w:r>
      <w:proofErr w:type="gramStart"/>
      <w:r w:rsidRPr="00404763">
        <w:t>)</w:t>
      </w:r>
      <w:r w:rsidRPr="00404763">
        <w:rPr>
          <w:vertAlign w:val="superscript"/>
        </w:rPr>
        <w:t>(</w:t>
      </w:r>
      <w:proofErr w:type="gramEnd"/>
      <w:r w:rsidRPr="00404763">
        <w:rPr>
          <w:vertAlign w:val="superscript"/>
        </w:rPr>
        <w:t>a)(b)</w:t>
      </w:r>
    </w:p>
    <w:tbl>
      <w:tblPr>
        <w:tblW w:w="20989" w:type="dxa"/>
        <w:tblInd w:w="98" w:type="dxa"/>
        <w:tblLook w:val="04A0" w:firstRow="1" w:lastRow="0" w:firstColumn="1" w:lastColumn="0" w:noHBand="0" w:noVBand="1"/>
      </w:tblPr>
      <w:tblGrid>
        <w:gridCol w:w="5680"/>
        <w:gridCol w:w="1177"/>
        <w:gridCol w:w="1178"/>
        <w:gridCol w:w="1177"/>
        <w:gridCol w:w="1178"/>
        <w:gridCol w:w="1178"/>
        <w:gridCol w:w="1177"/>
        <w:gridCol w:w="1178"/>
        <w:gridCol w:w="1177"/>
        <w:gridCol w:w="1178"/>
        <w:gridCol w:w="1178"/>
        <w:gridCol w:w="1177"/>
        <w:gridCol w:w="1178"/>
        <w:gridCol w:w="1178"/>
      </w:tblGrid>
      <w:tr w:rsidR="00E63CF2" w:rsidRPr="00E63CF2" w:rsidTr="00AE7322">
        <w:trPr>
          <w:trHeight w:val="525"/>
        </w:trPr>
        <w:tc>
          <w:tcPr>
            <w:tcW w:w="5680" w:type="dxa"/>
            <w:tcBorders>
              <w:top w:val="single" w:sz="8" w:space="0" w:color="788184"/>
              <w:left w:val="single" w:sz="8" w:space="0" w:color="788184"/>
              <w:bottom w:val="single" w:sz="8" w:space="0" w:color="788184"/>
              <w:right w:val="single" w:sz="8" w:space="0" w:color="788184"/>
            </w:tcBorders>
            <w:shd w:val="clear" w:color="000000" w:fill="D7DDE9"/>
            <w:vAlign w:val="center"/>
            <w:hideMark/>
          </w:tcPr>
          <w:p w:rsidR="00E63CF2" w:rsidRPr="00E63CF2" w:rsidRDefault="00E63CF2" w:rsidP="00AE7322">
            <w:pPr>
              <w:spacing w:before="70" w:after="70" w:line="240" w:lineRule="auto"/>
              <w:ind w:left="57" w:right="57"/>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($m)</w:t>
            </w:r>
          </w:p>
        </w:tc>
        <w:tc>
          <w:tcPr>
            <w:tcW w:w="1177"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AE732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2016–17</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AE732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2017–18</w:t>
            </w:r>
          </w:p>
        </w:tc>
        <w:tc>
          <w:tcPr>
            <w:tcW w:w="1177"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AE732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2018–19</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AE732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2019–20</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AE7322">
            <w:pPr>
              <w:spacing w:before="70" w:after="70" w:line="240" w:lineRule="auto"/>
              <w:ind w:left="57" w:right="57"/>
              <w:jc w:val="right"/>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Total to 2019–20</w:t>
            </w:r>
          </w:p>
        </w:tc>
        <w:tc>
          <w:tcPr>
            <w:tcW w:w="1177"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AE732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2020–21</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AE732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2021–22</w:t>
            </w:r>
          </w:p>
        </w:tc>
        <w:tc>
          <w:tcPr>
            <w:tcW w:w="1177"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AE732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2022–23</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AE732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2023–24</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AE732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2024–25</w:t>
            </w:r>
          </w:p>
        </w:tc>
        <w:tc>
          <w:tcPr>
            <w:tcW w:w="1177"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AE732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2025–26</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AE7322">
            <w:pPr>
              <w:spacing w:before="70" w:after="70" w:line="240" w:lineRule="auto"/>
              <w:ind w:left="57" w:right="57"/>
              <w:jc w:val="right"/>
              <w:rPr>
                <w:rFonts w:ascii="Calibri" w:eastAsia="Times New Roman" w:hAnsi="Calibri" w:cs="Times New Roman"/>
                <w:bCs/>
                <w:color w:val="000000"/>
                <w:sz w:val="20"/>
                <w:szCs w:val="20"/>
                <w:lang w:eastAsia="en-AU"/>
              </w:rPr>
            </w:pPr>
            <w:r w:rsidRPr="00E63CF2">
              <w:rPr>
                <w:rFonts w:ascii="Calibri" w:eastAsia="Times New Roman" w:hAnsi="Calibri" w:cs="Times New Roman"/>
                <w:bCs/>
                <w:color w:val="000000"/>
                <w:sz w:val="20"/>
                <w:szCs w:val="20"/>
                <w:lang w:eastAsia="en-AU"/>
              </w:rPr>
              <w:t>2026–27</w:t>
            </w:r>
          </w:p>
        </w:tc>
        <w:tc>
          <w:tcPr>
            <w:tcW w:w="1178" w:type="dxa"/>
            <w:tcBorders>
              <w:top w:val="single" w:sz="8" w:space="0" w:color="788184"/>
              <w:left w:val="nil"/>
              <w:bottom w:val="single" w:sz="8" w:space="0" w:color="788184"/>
              <w:right w:val="single" w:sz="8" w:space="0" w:color="788184"/>
            </w:tcBorders>
            <w:shd w:val="clear" w:color="000000" w:fill="D7DDE9"/>
            <w:vAlign w:val="center"/>
            <w:hideMark/>
          </w:tcPr>
          <w:p w:rsidR="00E63CF2" w:rsidRPr="00E63CF2" w:rsidRDefault="00E63CF2" w:rsidP="00AE7322">
            <w:pPr>
              <w:spacing w:before="70" w:after="70" w:line="240" w:lineRule="auto"/>
              <w:ind w:left="57" w:right="57"/>
              <w:jc w:val="right"/>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Total to 2026–27</w:t>
            </w:r>
          </w:p>
        </w:tc>
      </w:tr>
      <w:tr w:rsidR="00E63CF2" w:rsidRPr="00E63CF2" w:rsidTr="00E63CF2">
        <w:trPr>
          <w:trHeight w:val="270"/>
        </w:trPr>
        <w:tc>
          <w:tcPr>
            <w:tcW w:w="5680" w:type="dxa"/>
            <w:tcBorders>
              <w:top w:val="nil"/>
              <w:left w:val="single" w:sz="8" w:space="0" w:color="788184"/>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Impact on headline cash balance</w:t>
            </w:r>
          </w:p>
        </w:tc>
        <w:tc>
          <w:tcPr>
            <w:tcW w:w="1177"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8"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7"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8"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8"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7"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8"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7"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8"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8"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7"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8" w:type="dxa"/>
            <w:tcBorders>
              <w:top w:val="nil"/>
              <w:left w:val="nil"/>
              <w:bottom w:val="single" w:sz="8" w:space="0" w:color="788184"/>
              <w:right w:val="nil"/>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c>
          <w:tcPr>
            <w:tcW w:w="1178" w:type="dxa"/>
            <w:tcBorders>
              <w:top w:val="nil"/>
              <w:left w:val="nil"/>
              <w:bottom w:val="single" w:sz="8" w:space="0" w:color="788184"/>
              <w:right w:val="single" w:sz="8" w:space="0" w:color="788184"/>
            </w:tcBorders>
            <w:shd w:val="clear" w:color="000000" w:fill="E9ECF3"/>
            <w:vAlign w:val="center"/>
            <w:hideMark/>
          </w:tcPr>
          <w:p w:rsidR="00E63CF2" w:rsidRPr="00E63CF2" w:rsidRDefault="00E63CF2"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 </w:t>
            </w:r>
          </w:p>
        </w:tc>
      </w:tr>
      <w:tr w:rsidR="00E63CF2" w:rsidRPr="00E63CF2" w:rsidTr="00E63CF2">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Department of Education and Training Outcome 2</w:t>
            </w:r>
          </w:p>
        </w:tc>
        <w:tc>
          <w:tcPr>
            <w:tcW w:w="1177"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7"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b/>
                <w:bCs/>
                <w:i/>
                <w:iCs/>
                <w:color w:val="000000"/>
                <w:sz w:val="20"/>
                <w:szCs w:val="20"/>
                <w:lang w:eastAsia="en-AU"/>
              </w:rPr>
            </w:pPr>
            <w:r w:rsidRPr="00E63CF2">
              <w:rPr>
                <w:rFonts w:ascii="Calibri" w:eastAsia="Times New Roman" w:hAnsi="Calibri" w:cs="Times New Roman"/>
                <w:b/>
                <w:bCs/>
                <w:i/>
                <w:iCs/>
                <w:color w:val="000000"/>
                <w:sz w:val="20"/>
                <w:szCs w:val="20"/>
                <w:lang w:eastAsia="en-AU"/>
              </w:rPr>
              <w:t> </w:t>
            </w:r>
          </w:p>
        </w:tc>
        <w:tc>
          <w:tcPr>
            <w:tcW w:w="1177"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7"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7"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i/>
                <w:iCs/>
                <w:color w:val="000000"/>
                <w:sz w:val="20"/>
                <w:szCs w:val="20"/>
                <w:lang w:eastAsia="en-AU"/>
              </w:rPr>
            </w:pPr>
            <w:r w:rsidRPr="00E63CF2">
              <w:rPr>
                <w:rFonts w:ascii="Calibri" w:eastAsia="Times New Roman" w:hAnsi="Calibri" w:cs="Times New Roman"/>
                <w:i/>
                <w:iCs/>
                <w:color w:val="000000"/>
                <w:sz w:val="20"/>
                <w:szCs w:val="20"/>
                <w:lang w:eastAsia="en-AU"/>
              </w:rPr>
              <w:t> </w:t>
            </w:r>
          </w:p>
        </w:tc>
        <w:tc>
          <w:tcPr>
            <w:tcW w:w="1178" w:type="dxa"/>
            <w:tcBorders>
              <w:top w:val="nil"/>
              <w:left w:val="nil"/>
              <w:bottom w:val="single" w:sz="8" w:space="0" w:color="788184"/>
              <w:right w:val="single" w:sz="8" w:space="0" w:color="788184"/>
            </w:tcBorders>
            <w:shd w:val="clear" w:color="auto" w:fill="auto"/>
            <w:vAlign w:val="center"/>
            <w:hideMark/>
          </w:tcPr>
          <w:p w:rsidR="00E63CF2" w:rsidRPr="00E63CF2" w:rsidRDefault="00E63CF2" w:rsidP="00E63CF2">
            <w:pPr>
              <w:spacing w:before="70" w:after="70" w:line="240" w:lineRule="auto"/>
              <w:ind w:left="57" w:right="57"/>
              <w:jc w:val="right"/>
              <w:rPr>
                <w:rFonts w:ascii="Calibri" w:eastAsia="Times New Roman" w:hAnsi="Calibri" w:cs="Times New Roman"/>
                <w:b/>
                <w:bCs/>
                <w:i/>
                <w:iCs/>
                <w:color w:val="000000"/>
                <w:sz w:val="20"/>
                <w:szCs w:val="20"/>
                <w:lang w:eastAsia="en-AU"/>
              </w:rPr>
            </w:pPr>
            <w:r w:rsidRPr="00E63CF2">
              <w:rPr>
                <w:rFonts w:ascii="Calibri" w:eastAsia="Times New Roman" w:hAnsi="Calibri" w:cs="Times New Roman"/>
                <w:b/>
                <w:bCs/>
                <w:i/>
                <w:iCs/>
                <w:color w:val="000000"/>
                <w:sz w:val="20"/>
                <w:szCs w:val="20"/>
                <w:lang w:eastAsia="en-AU"/>
              </w:rPr>
              <w:t> </w:t>
            </w:r>
          </w:p>
        </w:tc>
      </w:tr>
      <w:tr w:rsidR="00D01467" w:rsidRPr="00E63CF2" w:rsidTr="00E63CF2">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01467" w:rsidRPr="00E63CF2" w:rsidRDefault="00D01467" w:rsidP="00E63CF2">
            <w:pPr>
              <w:spacing w:before="70" w:after="70" w:line="240" w:lineRule="auto"/>
              <w:ind w:left="57" w:right="57" w:firstLineChars="100" w:firstLine="200"/>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Program 2.1 Commonwealth Grant Scheme</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6,810</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6,566</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6,752</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20,128</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6,971</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7,266</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7,574</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7,895</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8,229</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8,577</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8,941</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75,581</w:t>
            </w:r>
          </w:p>
        </w:tc>
      </w:tr>
      <w:tr w:rsidR="00D01467" w:rsidRPr="00E63CF2" w:rsidTr="00E63CF2">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01467" w:rsidRPr="00E63CF2" w:rsidRDefault="00D01467" w:rsidP="00E63CF2">
            <w:pPr>
              <w:spacing w:before="70" w:after="70" w:line="240" w:lineRule="auto"/>
              <w:ind w:left="57" w:right="57" w:firstLineChars="100" w:firstLine="200"/>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Program 2.3 Higher Education Support</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440</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461</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401</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1,301</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484</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506</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530</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555</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581</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608</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636</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5,201</w:t>
            </w:r>
          </w:p>
        </w:tc>
      </w:tr>
      <w:tr w:rsidR="00D01467" w:rsidRPr="00E63CF2" w:rsidTr="00E63CF2">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01467" w:rsidRPr="00E63CF2" w:rsidRDefault="00D01467" w:rsidP="00E63CF2">
            <w:pPr>
              <w:spacing w:before="70" w:after="70" w:line="240" w:lineRule="auto"/>
              <w:ind w:left="57" w:right="57" w:firstLineChars="100" w:firstLine="200"/>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Program 2.5 Investment in Higher Education Research</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1,922</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1,890</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1,940</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5,752</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2,019</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2,106</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2,158</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2,212</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2,268</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2,324</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2,383</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21,223</w:t>
            </w:r>
          </w:p>
        </w:tc>
      </w:tr>
      <w:tr w:rsidR="00D01467" w:rsidRPr="00E63CF2" w:rsidTr="00E63CF2">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01467" w:rsidRPr="00E63CF2" w:rsidRDefault="00D01467" w:rsidP="00E63CF2">
            <w:pPr>
              <w:spacing w:before="70" w:after="70" w:line="240" w:lineRule="auto"/>
              <w:ind w:left="57" w:right="57" w:firstLineChars="100" w:firstLine="200"/>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Program 2.6 Research Capacity</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178</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181</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185</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544</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189</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192</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197</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201</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205</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209</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214</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1,951</w:t>
            </w:r>
          </w:p>
        </w:tc>
      </w:tr>
      <w:tr w:rsidR="00D01467" w:rsidRPr="00E63CF2" w:rsidTr="00E63CF2">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01467" w:rsidRPr="00E63CF2" w:rsidRDefault="00D01467" w:rsidP="00E63CF2">
            <w:pPr>
              <w:spacing w:before="70" w:after="70" w:line="240" w:lineRule="auto"/>
              <w:ind w:left="57" w:right="57" w:firstLineChars="100" w:firstLine="200"/>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Program 2.8 Building Skills and Capability</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1,713</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1,728</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1,749</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5,190</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1,764</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1,788</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1,812</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1,701</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1,585</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1,464</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1,339</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16,643</w:t>
            </w:r>
          </w:p>
        </w:tc>
      </w:tr>
      <w:tr w:rsidR="00D01467" w:rsidRPr="00E63CF2" w:rsidTr="00E63CF2">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01467" w:rsidRPr="00E63CF2" w:rsidRDefault="00D01467" w:rsidP="00E63CF2">
            <w:pPr>
              <w:spacing w:before="70" w:after="70" w:line="240" w:lineRule="auto"/>
              <w:ind w:left="57" w:right="57" w:firstLineChars="100" w:firstLine="200"/>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Departmental</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185</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177</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176</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538</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177</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178</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179</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181</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182</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184</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185</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1,803</w:t>
            </w:r>
          </w:p>
        </w:tc>
      </w:tr>
      <w:tr w:rsidR="00D01467" w:rsidRPr="00E63CF2" w:rsidTr="00E63CF2">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01467" w:rsidRPr="00E63CF2" w:rsidRDefault="00D01467" w:rsidP="00E63CF2">
            <w:pPr>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National Agreement for Skills and Workforce Development</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1,494</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1,516</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1,537</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4,547</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1,560</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1,582</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1,605</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1,628</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1,651</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1,675</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1,699</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15,946</w:t>
            </w:r>
          </w:p>
        </w:tc>
      </w:tr>
      <w:tr w:rsidR="00D01467" w:rsidRPr="00E63CF2" w:rsidTr="00E63CF2">
        <w:trPr>
          <w:trHeight w:val="270"/>
        </w:trPr>
        <w:tc>
          <w:tcPr>
            <w:tcW w:w="5680" w:type="dxa"/>
            <w:tcBorders>
              <w:top w:val="nil"/>
              <w:left w:val="single" w:sz="8" w:space="0" w:color="788184"/>
              <w:bottom w:val="single" w:sz="8" w:space="0" w:color="788184"/>
              <w:right w:val="single" w:sz="8" w:space="0" w:color="788184"/>
            </w:tcBorders>
            <w:shd w:val="clear" w:color="auto" w:fill="auto"/>
            <w:vAlign w:val="center"/>
            <w:hideMark/>
          </w:tcPr>
          <w:p w:rsidR="00D01467" w:rsidRPr="00E63CF2" w:rsidRDefault="00D01467" w:rsidP="00E63CF2">
            <w:pPr>
              <w:spacing w:before="70" w:after="70" w:line="240" w:lineRule="auto"/>
              <w:ind w:left="57" w:right="57"/>
              <w:rPr>
                <w:rFonts w:ascii="Calibri" w:eastAsia="Times New Roman" w:hAnsi="Calibri" w:cs="Times New Roman"/>
                <w:color w:val="000000"/>
                <w:sz w:val="20"/>
                <w:szCs w:val="20"/>
                <w:lang w:eastAsia="en-AU"/>
              </w:rPr>
            </w:pPr>
            <w:r w:rsidRPr="00E63CF2">
              <w:rPr>
                <w:rFonts w:ascii="Calibri" w:eastAsia="Times New Roman" w:hAnsi="Calibri" w:cs="Times New Roman"/>
                <w:color w:val="000000"/>
                <w:sz w:val="20"/>
                <w:szCs w:val="20"/>
                <w:lang w:eastAsia="en-AU"/>
              </w:rPr>
              <w:t>Public Debt Interest</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155</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482</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835</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1,472</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1,269</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1,836</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2,528</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3,334</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4,248</w:t>
            </w:r>
          </w:p>
        </w:tc>
        <w:tc>
          <w:tcPr>
            <w:tcW w:w="1177"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5,268</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i/>
                <w:iCs/>
                <w:color w:val="000000"/>
                <w:sz w:val="20"/>
                <w:szCs w:val="20"/>
              </w:rPr>
            </w:pPr>
            <w:r>
              <w:rPr>
                <w:rFonts w:ascii="Calibri" w:hAnsi="Calibri"/>
                <w:i/>
                <w:iCs/>
                <w:color w:val="000000"/>
                <w:sz w:val="20"/>
                <w:szCs w:val="20"/>
              </w:rPr>
              <w:t>6,395</w:t>
            </w:r>
          </w:p>
        </w:tc>
        <w:tc>
          <w:tcPr>
            <w:tcW w:w="1178" w:type="dxa"/>
            <w:tcBorders>
              <w:top w:val="nil"/>
              <w:left w:val="nil"/>
              <w:bottom w:val="single" w:sz="8" w:space="0" w:color="788184"/>
              <w:right w:val="single" w:sz="8" w:space="0" w:color="788184"/>
            </w:tcBorders>
            <w:shd w:val="clear" w:color="auto" w:fill="auto"/>
            <w:vAlign w:val="center"/>
            <w:hideMark/>
          </w:tcPr>
          <w:p w:rsidR="00D01467" w:rsidRDefault="00D01467" w:rsidP="00D01467">
            <w:pPr>
              <w:spacing w:before="70" w:after="70" w:line="240" w:lineRule="auto"/>
              <w:ind w:left="57" w:right="57"/>
              <w:jc w:val="right"/>
              <w:rPr>
                <w:rFonts w:ascii="Calibri" w:hAnsi="Calibri"/>
                <w:b/>
                <w:bCs/>
                <w:i/>
                <w:iCs/>
                <w:color w:val="000000"/>
                <w:sz w:val="20"/>
                <w:szCs w:val="20"/>
              </w:rPr>
            </w:pPr>
            <w:r>
              <w:rPr>
                <w:rFonts w:ascii="Calibri" w:hAnsi="Calibri"/>
                <w:b/>
                <w:bCs/>
                <w:i/>
                <w:iCs/>
                <w:color w:val="000000"/>
                <w:sz w:val="20"/>
                <w:szCs w:val="20"/>
              </w:rPr>
              <w:t>26,350</w:t>
            </w:r>
          </w:p>
        </w:tc>
      </w:tr>
      <w:tr w:rsidR="00D01467" w:rsidRPr="00E63CF2" w:rsidTr="00E63CF2">
        <w:trPr>
          <w:trHeight w:val="270"/>
        </w:trPr>
        <w:tc>
          <w:tcPr>
            <w:tcW w:w="5680" w:type="dxa"/>
            <w:tcBorders>
              <w:top w:val="nil"/>
              <w:left w:val="single" w:sz="8" w:space="0" w:color="788184"/>
              <w:bottom w:val="single" w:sz="8" w:space="0" w:color="788184"/>
              <w:right w:val="single" w:sz="8" w:space="0" w:color="788184"/>
            </w:tcBorders>
            <w:shd w:val="clear" w:color="000000" w:fill="D7DDE9"/>
            <w:vAlign w:val="center"/>
            <w:hideMark/>
          </w:tcPr>
          <w:p w:rsidR="00D01467" w:rsidRPr="00E63CF2" w:rsidRDefault="00D01467" w:rsidP="00E63CF2">
            <w:pPr>
              <w:spacing w:before="70" w:after="70" w:line="240" w:lineRule="auto"/>
              <w:ind w:left="57" w:right="57"/>
              <w:rPr>
                <w:rFonts w:ascii="Calibri" w:eastAsia="Times New Roman" w:hAnsi="Calibri" w:cs="Times New Roman"/>
                <w:b/>
                <w:bCs/>
                <w:color w:val="000000"/>
                <w:sz w:val="20"/>
                <w:szCs w:val="20"/>
                <w:lang w:eastAsia="en-AU"/>
              </w:rPr>
            </w:pPr>
            <w:r w:rsidRPr="00E63CF2">
              <w:rPr>
                <w:rFonts w:ascii="Calibri" w:eastAsia="Times New Roman" w:hAnsi="Calibri" w:cs="Times New Roman"/>
                <w:b/>
                <w:bCs/>
                <w:color w:val="000000"/>
                <w:sz w:val="20"/>
                <w:szCs w:val="20"/>
                <w:lang w:eastAsia="en-AU"/>
              </w:rPr>
              <w:t>Total</w:t>
            </w:r>
          </w:p>
        </w:tc>
        <w:tc>
          <w:tcPr>
            <w:tcW w:w="1177"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w:t>
            </w:r>
          </w:p>
        </w:tc>
        <w:tc>
          <w:tcPr>
            <w:tcW w:w="1178"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12,898</w:t>
            </w:r>
          </w:p>
        </w:tc>
        <w:tc>
          <w:tcPr>
            <w:tcW w:w="1177"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13,000</w:t>
            </w:r>
          </w:p>
        </w:tc>
        <w:tc>
          <w:tcPr>
            <w:tcW w:w="1178"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13,575</w:t>
            </w:r>
          </w:p>
        </w:tc>
        <w:tc>
          <w:tcPr>
            <w:tcW w:w="1178"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39,472</w:t>
            </w:r>
          </w:p>
        </w:tc>
        <w:tc>
          <w:tcPr>
            <w:tcW w:w="1177"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14,432</w:t>
            </w:r>
          </w:p>
        </w:tc>
        <w:tc>
          <w:tcPr>
            <w:tcW w:w="1178"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15,456</w:t>
            </w:r>
          </w:p>
        </w:tc>
        <w:tc>
          <w:tcPr>
            <w:tcW w:w="1177"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16,584</w:t>
            </w:r>
          </w:p>
        </w:tc>
        <w:tc>
          <w:tcPr>
            <w:tcW w:w="1178"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17,706</w:t>
            </w:r>
          </w:p>
        </w:tc>
        <w:tc>
          <w:tcPr>
            <w:tcW w:w="1178"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18,948</w:t>
            </w:r>
          </w:p>
        </w:tc>
        <w:tc>
          <w:tcPr>
            <w:tcW w:w="1177"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20,310</w:t>
            </w:r>
          </w:p>
        </w:tc>
        <w:tc>
          <w:tcPr>
            <w:tcW w:w="1178"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21,791</w:t>
            </w:r>
          </w:p>
        </w:tc>
        <w:tc>
          <w:tcPr>
            <w:tcW w:w="1178" w:type="dxa"/>
            <w:tcBorders>
              <w:top w:val="nil"/>
              <w:left w:val="nil"/>
              <w:bottom w:val="single" w:sz="8" w:space="0" w:color="788184"/>
              <w:right w:val="single" w:sz="8" w:space="0" w:color="788184"/>
            </w:tcBorders>
            <w:shd w:val="clear" w:color="000000" w:fill="D7DDE9"/>
            <w:vAlign w:val="center"/>
            <w:hideMark/>
          </w:tcPr>
          <w:p w:rsidR="00D01467" w:rsidRDefault="00D01467" w:rsidP="00D01467">
            <w:pPr>
              <w:spacing w:before="70" w:after="70" w:line="240" w:lineRule="auto"/>
              <w:ind w:left="57" w:right="57"/>
              <w:jc w:val="right"/>
              <w:rPr>
                <w:rFonts w:ascii="Calibri" w:hAnsi="Calibri"/>
                <w:b/>
                <w:bCs/>
                <w:color w:val="000000"/>
                <w:sz w:val="20"/>
                <w:szCs w:val="20"/>
              </w:rPr>
            </w:pPr>
            <w:r>
              <w:rPr>
                <w:rFonts w:ascii="Calibri" w:hAnsi="Calibri"/>
                <w:b/>
                <w:bCs/>
                <w:color w:val="000000"/>
                <w:sz w:val="20"/>
                <w:szCs w:val="20"/>
              </w:rPr>
              <w:t>164,699</w:t>
            </w:r>
          </w:p>
        </w:tc>
      </w:tr>
    </w:tbl>
    <w:p w:rsidR="00E63CF2" w:rsidRDefault="00E63CF2" w:rsidP="00E63CF2">
      <w:pPr>
        <w:pStyle w:val="TableFootnotes"/>
        <w:numPr>
          <w:ilvl w:val="0"/>
          <w:numId w:val="17"/>
        </w:numPr>
        <w:ind w:left="284" w:hanging="284"/>
      </w:pPr>
      <w:r>
        <w:t xml:space="preserve">A positive number for the headline cash balance indicates an increase in </w:t>
      </w:r>
      <w:proofErr w:type="spellStart"/>
      <w:r>
        <w:t>cashflow</w:t>
      </w:r>
      <w:proofErr w:type="spellEnd"/>
      <w:r>
        <w:t xml:space="preserve">.  A negative number for the headline cash balance indicates a decrease in </w:t>
      </w:r>
      <w:proofErr w:type="spellStart"/>
      <w:r>
        <w:t>cashflow</w:t>
      </w:r>
      <w:proofErr w:type="spellEnd"/>
      <w:r>
        <w:t>.</w:t>
      </w:r>
    </w:p>
    <w:p w:rsidR="00E63CF2" w:rsidRDefault="00E63CF2" w:rsidP="00E63CF2">
      <w:pPr>
        <w:pStyle w:val="TableFootnotes"/>
        <w:numPr>
          <w:ilvl w:val="0"/>
          <w:numId w:val="13"/>
        </w:numPr>
        <w:ind w:left="284" w:hanging="284"/>
      </w:pPr>
      <w:r w:rsidRPr="00C676BA">
        <w:t>Figures may not sum to totals due to rounding</w:t>
      </w:r>
      <w:r>
        <w:t>.</w:t>
      </w:r>
    </w:p>
    <w:p w:rsidR="00E63CF2" w:rsidRDefault="00E63CF2" w:rsidP="00E63CF2">
      <w:pPr>
        <w:pStyle w:val="TableFootnotes"/>
        <w:keepLines w:val="0"/>
        <w:numPr>
          <w:ilvl w:val="0"/>
          <w:numId w:val="11"/>
        </w:numPr>
        <w:ind w:left="284" w:hanging="284"/>
      </w:pPr>
      <w:r>
        <w:t>Indicates nil.</w:t>
      </w:r>
    </w:p>
    <w:p w:rsidR="005D1A04" w:rsidRDefault="005D1A04" w:rsidP="00E63CF2">
      <w:pPr>
        <w:pStyle w:val="BodyText"/>
        <w:sectPr w:rsidR="005D1A04" w:rsidSect="00A07C71">
          <w:pgSz w:w="23814" w:h="16840" w:orient="landscape" w:code="8"/>
          <w:pgMar w:top="1559" w:right="1361" w:bottom="1559" w:left="1474" w:header="284" w:footer="454" w:gutter="0"/>
          <w:cols w:space="708"/>
          <w:docGrid w:linePitch="360"/>
        </w:sectPr>
      </w:pPr>
    </w:p>
    <w:p w:rsidR="005D1A04" w:rsidRDefault="005D1A04" w:rsidP="005D1A04">
      <w:pPr>
        <w:pStyle w:val="Heading8"/>
      </w:pPr>
      <w:r>
        <w:lastRenderedPageBreak/>
        <w:t xml:space="preserve">– </w:t>
      </w:r>
      <w:r w:rsidRPr="00E651A0">
        <w:t>Accounting Treatment of Income Contingent Loans</w:t>
      </w:r>
    </w:p>
    <w:p w:rsidR="005D1A04" w:rsidRDefault="005D1A04" w:rsidP="005D1A04">
      <w:pPr>
        <w:pStyle w:val="BodyText"/>
      </w:pPr>
      <w:r>
        <w:t xml:space="preserve">In accordance with PBO Guidance 02/2015 and the </w:t>
      </w:r>
      <w:r w:rsidRPr="007368A6">
        <w:rPr>
          <w:i/>
        </w:rPr>
        <w:t>Charter of Budget Honesty Policy Costing Guidelines</w:t>
      </w:r>
      <w:r>
        <w:t>, proposals that “involve transactions of financial assets” would need to take into account the impact of Public Debt Interest (PDI) payments.  When estimating the proposal’s impact on PDI payments, the net headline cash balance impact is used.  The net headline cash balance impact includes not only the income contingent loan component of the proposal, but all associated components that are considered integral to the overall proposal.  The most widely known example of an income contingent loan is a loan under the Higher Education Loan Program (HELP).</w:t>
      </w:r>
    </w:p>
    <w:p w:rsidR="005D1A04" w:rsidRDefault="005D1A04" w:rsidP="005D1A04">
      <w:pPr>
        <w:pStyle w:val="BodyText"/>
      </w:pPr>
      <w:r>
        <w:t xml:space="preserve">The issuing of income contingent loans and repayments of principal themselves </w:t>
      </w:r>
      <w:proofErr w:type="gramStart"/>
      <w:r>
        <w:t>do</w:t>
      </w:r>
      <w:proofErr w:type="gramEnd"/>
      <w:r>
        <w:t xml:space="preserve"> not have an impact on </w:t>
      </w:r>
      <w:r w:rsidRPr="00E651A0">
        <w:t>the underlying cash or fiscal balance</w:t>
      </w:r>
      <w:r>
        <w:t>s</w:t>
      </w:r>
      <w:r w:rsidRPr="00E651A0">
        <w:t xml:space="preserve"> as they are treated as investments</w:t>
      </w:r>
      <w:r>
        <w:t>.  However, the associated PDI payments impact on all three budget balances.  The PDI impact is a result of the change in the Government’s borrowing requirements to fund these loans.</w:t>
      </w:r>
    </w:p>
    <w:p w:rsidR="005D1A04" w:rsidRDefault="005D1A04" w:rsidP="005D1A04">
      <w:pPr>
        <w:pStyle w:val="ListBullet"/>
      </w:pPr>
      <w:r>
        <w:t>T</w:t>
      </w:r>
      <w:r w:rsidRPr="00E651A0">
        <w:t xml:space="preserve">he component of repayments that is considered interest is included as revenue in underlying cash balance terms.  </w:t>
      </w:r>
    </w:p>
    <w:p w:rsidR="005D1A04" w:rsidRDefault="005D1A04" w:rsidP="005D1A04">
      <w:pPr>
        <w:pStyle w:val="ListBullet2"/>
        <w:ind w:left="907" w:hanging="453"/>
      </w:pPr>
      <w:r w:rsidRPr="00E651A0">
        <w:t xml:space="preserve">As repayment amounts are linked to income levels, it is difficult to separate interest repayments from principal repayments.  </w:t>
      </w:r>
    </w:p>
    <w:p w:rsidR="005D1A04" w:rsidRDefault="005D1A04" w:rsidP="005D1A04">
      <w:pPr>
        <w:pStyle w:val="ListBullet2"/>
      </w:pPr>
      <w:r w:rsidRPr="00E651A0">
        <w:t xml:space="preserve">In the forward estimates, a fixed proportion of all repayments </w:t>
      </w:r>
      <w:proofErr w:type="gramStart"/>
      <w:r w:rsidRPr="00E651A0">
        <w:t>is</w:t>
      </w:r>
      <w:proofErr w:type="gramEnd"/>
      <w:r w:rsidRPr="00E651A0">
        <w:t xml:space="preserve"> taken to be interest repayments. </w:t>
      </w:r>
      <w:r>
        <w:t xml:space="preserve"> </w:t>
      </w:r>
      <w:r w:rsidRPr="00E651A0">
        <w:t xml:space="preserve">This is based on the average amount of interest paid over the life of </w:t>
      </w:r>
      <w:r>
        <w:t>the</w:t>
      </w:r>
      <w:r w:rsidRPr="00E651A0">
        <w:t xml:space="preserve"> loan</w:t>
      </w:r>
      <w:r>
        <w:t>, and is based on the approach used for</w:t>
      </w:r>
      <w:r w:rsidRPr="00E651A0">
        <w:t xml:space="preserve"> HELP</w:t>
      </w:r>
      <w:r>
        <w:t xml:space="preserve"> loans</w:t>
      </w:r>
      <w:r w:rsidRPr="00E651A0">
        <w:t>.</w:t>
      </w:r>
    </w:p>
    <w:p w:rsidR="005D1A04" w:rsidRDefault="005D1A04" w:rsidP="005D1A04">
      <w:pPr>
        <w:pStyle w:val="ListBullet"/>
      </w:pPr>
      <w:r w:rsidRPr="00E651A0">
        <w:t xml:space="preserve">Interest is accounted for in fiscal balance terms.  This is the increase in the value of the debt due to </w:t>
      </w:r>
      <w:r>
        <w:t>the debiting of the interest on the outstanding balance of the loan</w:t>
      </w:r>
      <w:r w:rsidRPr="00E651A0">
        <w:t xml:space="preserve"> each financial year.  </w:t>
      </w:r>
    </w:p>
    <w:p w:rsidR="005D1A04" w:rsidRDefault="005D1A04" w:rsidP="005D1A04">
      <w:pPr>
        <w:pStyle w:val="ListBullet2"/>
        <w:ind w:left="907" w:hanging="453"/>
      </w:pPr>
      <w:r w:rsidRPr="00E651A0">
        <w:t xml:space="preserve">Fiscal balance interest income is assessed on the “fair value” of the debt, consistent with relevant accounting standards, as it is unreasonable to claim interest income on a debt that is not expected to be repaid. </w:t>
      </w:r>
      <w:r>
        <w:t xml:space="preserve"> For HELP loans, the interest rate of the loan is the rate of the increase in the Consumer Price Index (CPI).</w:t>
      </w:r>
    </w:p>
    <w:p w:rsidR="005D1A04" w:rsidRDefault="005D1A04" w:rsidP="005D1A04">
      <w:pPr>
        <w:pStyle w:val="ListBullet"/>
      </w:pPr>
      <w:r>
        <w:t xml:space="preserve">Income contingent loans may be concessional to the extent that the interest rate on the loan is less than the market interest rate that would be charged to the borrowers.  </w:t>
      </w:r>
    </w:p>
    <w:p w:rsidR="005D1A04" w:rsidRDefault="005D1A04" w:rsidP="005D1A04">
      <w:pPr>
        <w:pStyle w:val="ListBullet2"/>
        <w:ind w:left="907" w:hanging="453"/>
      </w:pPr>
      <w:r>
        <w:t xml:space="preserve">For budget purposes in HELP, the concession is estimated based on the difference between the Government bond rate and the interest rate on the concession loan.  </w:t>
      </w:r>
    </w:p>
    <w:p w:rsidR="005D1A04" w:rsidRDefault="005D1A04" w:rsidP="005D1A04">
      <w:pPr>
        <w:pStyle w:val="ListBullet2"/>
        <w:ind w:left="907" w:hanging="453"/>
      </w:pPr>
      <w:r w:rsidRPr="00E651A0">
        <w:t xml:space="preserve">The Budget accounts for </w:t>
      </w:r>
      <w:r>
        <w:t>the net present value of this concession</w:t>
      </w:r>
      <w:r w:rsidRPr="00E651A0">
        <w:t xml:space="preserve"> as an expense in fiscal balance terms.  As loans are repaid, the amount of foregone interest income reduces, so this expense is “unwound”, having a positive impact on the fiscal balance.  </w:t>
      </w:r>
      <w:r>
        <w:t xml:space="preserve">For example, HELP </w:t>
      </w:r>
      <w:r w:rsidRPr="00E651A0">
        <w:t>loans are concessional as they are indexed to</w:t>
      </w:r>
      <w:r>
        <w:t xml:space="preserve"> CPI</w:t>
      </w:r>
      <w:r w:rsidRPr="00E651A0">
        <w:t xml:space="preserve">.  </w:t>
      </w:r>
    </w:p>
    <w:p w:rsidR="005D1A04" w:rsidRDefault="005D1A04" w:rsidP="005D1A04">
      <w:pPr>
        <w:pStyle w:val="ListBullet"/>
        <w:keepNext/>
      </w:pPr>
      <w:r w:rsidRPr="00E651A0">
        <w:lastRenderedPageBreak/>
        <w:t xml:space="preserve">When the Commonwealth agrees to forgo the repayment of some or all of a debtor’s debt, this also has a negative impact on Budget aggregates.  </w:t>
      </w:r>
    </w:p>
    <w:p w:rsidR="005D1A04" w:rsidRDefault="005D1A04" w:rsidP="005D1A04">
      <w:pPr>
        <w:pStyle w:val="ListBullet2"/>
        <w:ind w:left="907" w:hanging="453"/>
      </w:pPr>
      <w:r w:rsidRPr="00E651A0">
        <w:t xml:space="preserve">Mutually agreed </w:t>
      </w:r>
      <w:proofErr w:type="spellStart"/>
      <w:r w:rsidRPr="00E651A0">
        <w:t>writedowns</w:t>
      </w:r>
      <w:proofErr w:type="spellEnd"/>
      <w:r w:rsidRPr="00E651A0">
        <w:t xml:space="preserve"> or write-offs (for example in the case of </w:t>
      </w:r>
      <w:r>
        <w:t xml:space="preserve">the </w:t>
      </w:r>
      <w:r w:rsidRPr="00E651A0">
        <w:t>death of the borrower) have no impact on the underlying cash balance, but are an expense in fiscal balance terms.</w:t>
      </w:r>
    </w:p>
    <w:p w:rsidR="005D1A04" w:rsidRDefault="005D1A04" w:rsidP="005D1A04">
      <w:pPr>
        <w:pStyle w:val="ListBullet"/>
      </w:pPr>
      <w:r w:rsidRPr="00E651A0">
        <w:t>The headline cash balance is tracked in Budget papers, and is normally reported in policy costings when it differs from the underlying cash balance.</w:t>
      </w:r>
      <w:r>
        <w:t xml:space="preserve">  </w:t>
      </w:r>
      <w:r w:rsidRPr="00E651A0">
        <w:t>The fair value of the debt is a positive contributor to the Government’s net financial worth.</w:t>
      </w:r>
    </w:p>
    <w:p w:rsidR="00E63CF2" w:rsidRPr="00E63CF2" w:rsidRDefault="00E63CF2" w:rsidP="00E63CF2">
      <w:pPr>
        <w:pStyle w:val="BodyText"/>
      </w:pPr>
    </w:p>
    <w:p w:rsidR="00C676BA" w:rsidRDefault="00C676BA" w:rsidP="00E63CF2">
      <w:pPr>
        <w:pStyle w:val="TableFootnotes"/>
        <w:keepLines w:val="0"/>
        <w:numPr>
          <w:ilvl w:val="0"/>
          <w:numId w:val="0"/>
        </w:numPr>
        <w:ind w:left="284" w:hanging="284"/>
      </w:pPr>
    </w:p>
    <w:p w:rsidR="00C676BA" w:rsidRPr="00C676BA" w:rsidRDefault="00C676BA" w:rsidP="00C676BA">
      <w:pPr>
        <w:pStyle w:val="BodyText"/>
      </w:pPr>
    </w:p>
    <w:p w:rsidR="00C676BA" w:rsidRDefault="00C676BA" w:rsidP="00C676BA">
      <w:pPr>
        <w:pStyle w:val="TableFootnotes"/>
        <w:keepLines w:val="0"/>
        <w:numPr>
          <w:ilvl w:val="0"/>
          <w:numId w:val="0"/>
        </w:numPr>
        <w:ind w:left="284" w:hanging="284"/>
      </w:pPr>
    </w:p>
    <w:p w:rsidR="00C676BA" w:rsidRPr="00C676BA" w:rsidRDefault="00C676BA" w:rsidP="00C676BA">
      <w:pPr>
        <w:pStyle w:val="TableFootnotes"/>
        <w:numPr>
          <w:ilvl w:val="0"/>
          <w:numId w:val="0"/>
        </w:numPr>
      </w:pPr>
    </w:p>
    <w:sectPr w:rsidR="00C676BA" w:rsidRPr="00C676BA" w:rsidSect="007C2F0D">
      <w:pgSz w:w="11907" w:h="16839" w:code="9"/>
      <w:pgMar w:top="1361" w:right="1797" w:bottom="1474" w:left="1797" w:header="28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964" w:rsidRDefault="002B7964" w:rsidP="00A20802">
      <w:pPr>
        <w:spacing w:line="240" w:lineRule="auto"/>
      </w:pPr>
      <w:r>
        <w:separator/>
      </w:r>
    </w:p>
    <w:p w:rsidR="002B7964" w:rsidRDefault="002B7964"/>
  </w:endnote>
  <w:endnote w:type="continuationSeparator" w:id="0">
    <w:p w:rsidR="002B7964" w:rsidRDefault="002B7964" w:rsidP="00A20802">
      <w:pPr>
        <w:spacing w:line="240" w:lineRule="auto"/>
      </w:pPr>
      <w:r>
        <w:continuationSeparator/>
      </w:r>
    </w:p>
    <w:p w:rsidR="002B7964" w:rsidRDefault="002B79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700" w:rsidRDefault="00743700" w:rsidP="002C4DA6">
    <w:pPr>
      <w:pStyle w:val="Footer"/>
      <w:ind w:left="7286" w:hanging="3714"/>
      <w:jc w:val="right"/>
      <w:rPr>
        <w:rStyle w:val="FooterChar"/>
        <w:b/>
      </w:rPr>
    </w:pP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5C1DA5">
      <w:rPr>
        <w:rStyle w:val="FooterChar"/>
        <w:b/>
        <w:noProof/>
      </w:rPr>
      <w:t>2</w:t>
    </w:r>
    <w:r w:rsidRPr="002C4DA6">
      <w:rPr>
        <w:rStyle w:val="FooterChar"/>
        <w:b/>
      </w:rPr>
      <w:fldChar w:fldCharType="end"/>
    </w:r>
    <w:r w:rsidRPr="002C4DA6">
      <w:rPr>
        <w:rStyle w:val="FooterChar"/>
        <w:b/>
      </w:rPr>
      <w:t xml:space="preserve"> of </w:t>
    </w:r>
    <w:r>
      <w:rPr>
        <w:rStyle w:val="FooterChar"/>
        <w:b/>
      </w:rPr>
      <w:t>12</w:t>
    </w:r>
  </w:p>
  <w:p w:rsidR="00743700" w:rsidRPr="005C1DA5" w:rsidRDefault="00743700" w:rsidP="0000071C">
    <w:pPr>
      <w:pStyle w:val="Footer"/>
      <w:ind w:left="3714" w:hanging="3714"/>
      <w:jc w:val="center"/>
      <w:rPr>
        <w:rFonts w:ascii="Calibri" w:hAnsi="Calibri" w:cs="Arial"/>
        <w:strike/>
        <w:color w:val="FF0000"/>
        <w:sz w:val="40"/>
        <w:szCs w:val="40"/>
      </w:rPr>
    </w:pPr>
    <w:r w:rsidRPr="005C1DA5">
      <w:rPr>
        <w:rStyle w:val="FooterChar"/>
        <w:rFonts w:ascii="Calibri" w:hAnsi="Calibri" w:cs="Arial"/>
        <w:b/>
        <w:strike/>
        <w:color w:val="FF0000"/>
        <w:sz w:val="40"/>
        <w:szCs w:val="40"/>
      </w:rPr>
      <w:t>Sensitive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964" w:rsidRDefault="002B7964" w:rsidP="00476133">
    <w:pPr>
      <w:pStyle w:val="Footer"/>
      <w:ind w:left="7286" w:hanging="3714"/>
      <w:jc w:val="right"/>
      <w:rPr>
        <w:rStyle w:val="FooterChar"/>
        <w:b/>
      </w:rPr>
    </w:pP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5C1DA5">
      <w:rPr>
        <w:rStyle w:val="FooterChar"/>
        <w:b/>
        <w:noProof/>
      </w:rPr>
      <w:t>1</w:t>
    </w:r>
    <w:r w:rsidRPr="002C4DA6">
      <w:rPr>
        <w:rStyle w:val="FooterChar"/>
        <w:b/>
      </w:rPr>
      <w:fldChar w:fldCharType="end"/>
    </w:r>
    <w:r w:rsidRPr="002C4DA6">
      <w:rPr>
        <w:rStyle w:val="FooterChar"/>
        <w:b/>
      </w:rPr>
      <w:t xml:space="preserve"> of </w:t>
    </w:r>
    <w:r w:rsidR="00F06116">
      <w:rPr>
        <w:rStyle w:val="FooterChar"/>
        <w:b/>
      </w:rPr>
      <w:t>12</w:t>
    </w:r>
  </w:p>
  <w:p w:rsidR="002B7964" w:rsidRPr="005C1DA5" w:rsidRDefault="002B7964" w:rsidP="00EF0A00">
    <w:pPr>
      <w:pStyle w:val="Footer"/>
      <w:ind w:left="3714" w:hanging="3714"/>
      <w:jc w:val="center"/>
      <w:rPr>
        <w:rFonts w:ascii="Calibri" w:hAnsi="Calibri" w:cs="Arial"/>
        <w:strike/>
        <w:color w:val="FF0000"/>
        <w:sz w:val="40"/>
        <w:szCs w:val="40"/>
      </w:rPr>
    </w:pPr>
    <w:r w:rsidRPr="005C1DA5">
      <w:rPr>
        <w:rStyle w:val="FooterChar"/>
        <w:rFonts w:ascii="Calibri" w:hAnsi="Calibri" w:cs="Arial"/>
        <w:b/>
        <w:strike/>
        <w:color w:val="FF0000"/>
        <w:sz w:val="40"/>
        <w:szCs w:val="40"/>
      </w:rPr>
      <w:t>Sensitive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964" w:rsidRPr="000557A7" w:rsidRDefault="002B7964" w:rsidP="008D5A11">
      <w:pPr>
        <w:pBdr>
          <w:top w:val="single" w:sz="4" w:space="1" w:color="auto"/>
        </w:pBdr>
        <w:spacing w:before="240" w:line="60" w:lineRule="exact"/>
        <w:rPr>
          <w:sz w:val="16"/>
          <w:szCs w:val="16"/>
        </w:rPr>
      </w:pPr>
    </w:p>
  </w:footnote>
  <w:footnote w:type="continuationSeparator" w:id="0">
    <w:p w:rsidR="002B7964" w:rsidRDefault="002B7964" w:rsidP="00A20802">
      <w:pPr>
        <w:spacing w:line="240" w:lineRule="auto"/>
      </w:pPr>
      <w:r>
        <w:continuationSeparator/>
      </w:r>
    </w:p>
    <w:p w:rsidR="002B7964" w:rsidRDefault="002B79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700" w:rsidRPr="005C1DA5" w:rsidRDefault="00743700" w:rsidP="002C4DA6">
    <w:pPr>
      <w:pStyle w:val="Header"/>
      <w:jc w:val="center"/>
      <w:rPr>
        <w:b/>
        <w:strike/>
        <w:color w:val="FF0000"/>
        <w:sz w:val="40"/>
        <w:szCs w:val="40"/>
      </w:rPr>
    </w:pPr>
    <w:r w:rsidRPr="005C1DA5">
      <w:rPr>
        <w:b/>
        <w:strike/>
        <w:color w:val="FF0000"/>
        <w:sz w:val="40"/>
        <w:szCs w:val="40"/>
      </w:rPr>
      <w:t>Sensitive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964" w:rsidRPr="005C1DA5" w:rsidRDefault="002B7964" w:rsidP="002C4DA6">
    <w:pPr>
      <w:pStyle w:val="Header"/>
      <w:jc w:val="center"/>
      <w:rPr>
        <w:rFonts w:ascii="Calibri" w:hAnsi="Calibri"/>
        <w:b/>
        <w:strike/>
        <w:color w:val="FF0000"/>
        <w:sz w:val="40"/>
        <w:szCs w:val="40"/>
      </w:rPr>
    </w:pPr>
    <w:r w:rsidRPr="005C1DA5">
      <w:rPr>
        <w:rFonts w:ascii="Calibri" w:hAnsi="Calibri"/>
        <w:b/>
        <w:strike/>
        <w:color w:val="FF0000"/>
        <w:sz w:val="40"/>
        <w:szCs w:val="40"/>
      </w:rPr>
      <w:t>Sensitive</w:t>
    </w:r>
  </w:p>
  <w:p w:rsidR="002B7964" w:rsidRPr="0046444F" w:rsidRDefault="002B7964" w:rsidP="0046444F">
    <w:pPr>
      <w:pStyle w:val="Header"/>
    </w:pPr>
    <w:r>
      <w:rPr>
        <w:noProof/>
        <w:lang w:eastAsia="en-AU"/>
      </w:rPr>
      <w:drawing>
        <wp:inline distT="0" distB="0" distL="0" distR="0" wp14:anchorId="7BF2B199" wp14:editId="28943ADC">
          <wp:extent cx="2696845" cy="572135"/>
          <wp:effectExtent l="0" t="0" r="8255" b="0"/>
          <wp:docPr id="14" name="Picture 14" title="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37FE"/>
    <w:multiLevelType w:val="multilevel"/>
    <w:tmpl w:val="D1A2BED4"/>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
    <w:nsid w:val="0D745448"/>
    <w:multiLevelType w:val="multilevel"/>
    <w:tmpl w:val="CE3A3256"/>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2">
    <w:nsid w:val="0FB2573F"/>
    <w:multiLevelType w:val="multilevel"/>
    <w:tmpl w:val="E0A6CF32"/>
    <w:name w:val="TableFootnotes"/>
    <w:lvl w:ilvl="0">
      <w:start w:val="1"/>
      <w:numFmt w:val="lowerLetter"/>
      <w:pStyle w:val="TableFootnotes"/>
      <w:lvlText w:val="(%1)"/>
      <w:lvlJc w:val="left"/>
      <w:pPr>
        <w:ind w:left="360" w:hanging="360"/>
      </w:pPr>
      <w:rPr>
        <w:rFonts w:hint="default"/>
        <w:color w:val="auto"/>
        <w:spacing w:val="0"/>
        <w:sz w:val="20"/>
        <w:vertAlign w:val="baseline"/>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3">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4">
    <w:nsid w:val="1D975442"/>
    <w:multiLevelType w:val="hybridMultilevel"/>
    <w:tmpl w:val="7E50674C"/>
    <w:lvl w:ilvl="0" w:tplc="535C608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nsid w:val="58044C98"/>
    <w:multiLevelType w:val="hybridMultilevel"/>
    <w:tmpl w:val="E3749454"/>
    <w:lvl w:ilvl="0" w:tplc="D1AEAEB2">
      <w:start w:val="1"/>
      <w:numFmt w:val="bullet"/>
      <w:pStyle w:val="Letter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D0540A9"/>
    <w:multiLevelType w:val="multilevel"/>
    <w:tmpl w:val="E4D434E6"/>
    <w:name w:val="AppendicesNumbering"/>
    <w:lvl w:ilvl="0">
      <w:start w:val="1"/>
      <w:numFmt w:val="upperLetter"/>
      <w:lvlRestart w:val="0"/>
      <w:pStyle w:val="Heading8"/>
      <w:suff w:val="space"/>
      <w:lvlText w:val="Attachment %1"/>
      <w:lvlJc w:val="left"/>
      <w:pPr>
        <w:ind w:left="0" w:firstLine="0"/>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9"/>
      <w:suff w:val="nothing"/>
      <w:lvlText w:val=""/>
      <w:lvlJc w:val="left"/>
      <w:pPr>
        <w:tabs>
          <w:tab w:val="num" w:pos="0"/>
        </w:tabs>
        <w:ind w:left="0" w:firstLine="0"/>
      </w:pPr>
      <w:rPr>
        <w:rFonts w:hint="default"/>
        <w:sz w:val="26"/>
      </w:rPr>
    </w:lvl>
    <w:lvl w:ilvl="2">
      <w:start w:val="1"/>
      <w:numFmt w:val="none"/>
      <w:pStyle w:val="AttachmentHeading2"/>
      <w:suff w:val="nothing"/>
      <w:lvlText w:val=""/>
      <w:lvlJc w:val="left"/>
      <w:pPr>
        <w:tabs>
          <w:tab w:val="num" w:pos="0"/>
        </w:tabs>
        <w:ind w:left="0" w:firstLine="0"/>
      </w:pPr>
      <w:rPr>
        <w:rFonts w:hint="default"/>
      </w:rPr>
    </w:lvl>
    <w:lvl w:ilvl="3">
      <w:start w:val="1"/>
      <w:numFmt w:val="none"/>
      <w:lvlRestart w:val="2"/>
      <w:pStyle w:val="AttachmentHeading3"/>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9">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1">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8"/>
  </w:num>
  <w:num w:numId="2">
    <w:abstractNumId w:val="0"/>
  </w:num>
  <w:num w:numId="3">
    <w:abstractNumId w:val="11"/>
  </w:num>
  <w:num w:numId="4">
    <w:abstractNumId w:val="6"/>
  </w:num>
  <w:num w:numId="5">
    <w:abstractNumId w:val="5"/>
  </w:num>
  <w:num w:numId="6">
    <w:abstractNumId w:val="10"/>
  </w:num>
  <w:num w:numId="7">
    <w:abstractNumId w:val="2"/>
  </w:num>
  <w:num w:numId="8">
    <w:abstractNumId w:val="3"/>
  </w:num>
  <w:num w:numId="9">
    <w:abstractNumId w:val="9"/>
  </w:num>
  <w:num w:numId="10">
    <w:abstractNumId w:val="1"/>
  </w:num>
  <w:num w:numId="11">
    <w:abstractNumId w:val="4"/>
  </w:num>
  <w:num w:numId="12">
    <w:abstractNumId w:val="7"/>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True"/>
    <w:docVar w:name="AppendixName" w:val="Attachment"/>
    <w:docVar w:name="Disclaimer" w:val="False"/>
    <w:docVar w:name="Foreword" w:val="Tru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True"/>
    <w:docVar w:name="TOCNew" w:val="True"/>
    <w:docVar w:name="Version" w:val="Version 1"/>
  </w:docVars>
  <w:rsids>
    <w:rsidRoot w:val="00496DCF"/>
    <w:rsid w:val="0000071C"/>
    <w:rsid w:val="0000322C"/>
    <w:rsid w:val="00003CDD"/>
    <w:rsid w:val="0001406F"/>
    <w:rsid w:val="00016693"/>
    <w:rsid w:val="000168A7"/>
    <w:rsid w:val="00016D53"/>
    <w:rsid w:val="000278D0"/>
    <w:rsid w:val="00027E62"/>
    <w:rsid w:val="000307C8"/>
    <w:rsid w:val="00030F73"/>
    <w:rsid w:val="00035ADE"/>
    <w:rsid w:val="0004224B"/>
    <w:rsid w:val="00046226"/>
    <w:rsid w:val="0005330D"/>
    <w:rsid w:val="000557A7"/>
    <w:rsid w:val="00055805"/>
    <w:rsid w:val="00056CB3"/>
    <w:rsid w:val="00056CBC"/>
    <w:rsid w:val="00066D54"/>
    <w:rsid w:val="00067A28"/>
    <w:rsid w:val="0007260F"/>
    <w:rsid w:val="000805D5"/>
    <w:rsid w:val="0008103B"/>
    <w:rsid w:val="000853B9"/>
    <w:rsid w:val="00085F97"/>
    <w:rsid w:val="00087D29"/>
    <w:rsid w:val="00092A33"/>
    <w:rsid w:val="000973F9"/>
    <w:rsid w:val="000A2FEC"/>
    <w:rsid w:val="000A348F"/>
    <w:rsid w:val="000B5FBD"/>
    <w:rsid w:val="000B6942"/>
    <w:rsid w:val="000C09FA"/>
    <w:rsid w:val="000C37A9"/>
    <w:rsid w:val="000C38BA"/>
    <w:rsid w:val="000C6728"/>
    <w:rsid w:val="000C702E"/>
    <w:rsid w:val="000D15E9"/>
    <w:rsid w:val="000D3182"/>
    <w:rsid w:val="000D45C4"/>
    <w:rsid w:val="000E18F3"/>
    <w:rsid w:val="000E266E"/>
    <w:rsid w:val="000F1515"/>
    <w:rsid w:val="000F16B5"/>
    <w:rsid w:val="000F5CD9"/>
    <w:rsid w:val="000F616E"/>
    <w:rsid w:val="00103997"/>
    <w:rsid w:val="00110D43"/>
    <w:rsid w:val="00112F1F"/>
    <w:rsid w:val="001159EA"/>
    <w:rsid w:val="001177F4"/>
    <w:rsid w:val="00120A75"/>
    <w:rsid w:val="00125410"/>
    <w:rsid w:val="00130858"/>
    <w:rsid w:val="00133E32"/>
    <w:rsid w:val="00136C26"/>
    <w:rsid w:val="0014059F"/>
    <w:rsid w:val="00141551"/>
    <w:rsid w:val="001417CE"/>
    <w:rsid w:val="0014479F"/>
    <w:rsid w:val="00146EAD"/>
    <w:rsid w:val="00154DC5"/>
    <w:rsid w:val="00160C8D"/>
    <w:rsid w:val="001629C0"/>
    <w:rsid w:val="00165122"/>
    <w:rsid w:val="00165854"/>
    <w:rsid w:val="001738DB"/>
    <w:rsid w:val="00173DFD"/>
    <w:rsid w:val="00180FF9"/>
    <w:rsid w:val="00181E32"/>
    <w:rsid w:val="00194E61"/>
    <w:rsid w:val="00195228"/>
    <w:rsid w:val="00195696"/>
    <w:rsid w:val="00196532"/>
    <w:rsid w:val="001A1EFC"/>
    <w:rsid w:val="001A48EF"/>
    <w:rsid w:val="001A49CC"/>
    <w:rsid w:val="001A5553"/>
    <w:rsid w:val="001A716E"/>
    <w:rsid w:val="001B2C65"/>
    <w:rsid w:val="001B4255"/>
    <w:rsid w:val="001B7058"/>
    <w:rsid w:val="001C3A4F"/>
    <w:rsid w:val="001C4121"/>
    <w:rsid w:val="001C48DE"/>
    <w:rsid w:val="001D30C1"/>
    <w:rsid w:val="001D52E3"/>
    <w:rsid w:val="001D576F"/>
    <w:rsid w:val="001D7C29"/>
    <w:rsid w:val="001E0475"/>
    <w:rsid w:val="001E33C2"/>
    <w:rsid w:val="001F5C90"/>
    <w:rsid w:val="001F767C"/>
    <w:rsid w:val="00210FCF"/>
    <w:rsid w:val="00211323"/>
    <w:rsid w:val="00222EFF"/>
    <w:rsid w:val="002240D5"/>
    <w:rsid w:val="002261A7"/>
    <w:rsid w:val="00226AEC"/>
    <w:rsid w:val="00230148"/>
    <w:rsid w:val="002545F3"/>
    <w:rsid w:val="0026344F"/>
    <w:rsid w:val="00266A17"/>
    <w:rsid w:val="00270372"/>
    <w:rsid w:val="00275534"/>
    <w:rsid w:val="00277075"/>
    <w:rsid w:val="00277313"/>
    <w:rsid w:val="002775D2"/>
    <w:rsid w:val="00281ADD"/>
    <w:rsid w:val="0028563E"/>
    <w:rsid w:val="00293E0D"/>
    <w:rsid w:val="00293E80"/>
    <w:rsid w:val="002973B0"/>
    <w:rsid w:val="00297C14"/>
    <w:rsid w:val="002A220F"/>
    <w:rsid w:val="002A24F1"/>
    <w:rsid w:val="002A5778"/>
    <w:rsid w:val="002A6E3B"/>
    <w:rsid w:val="002B1E84"/>
    <w:rsid w:val="002B2085"/>
    <w:rsid w:val="002B3EC4"/>
    <w:rsid w:val="002B7964"/>
    <w:rsid w:val="002C37D5"/>
    <w:rsid w:val="002C4DA6"/>
    <w:rsid w:val="002D239A"/>
    <w:rsid w:val="002D3419"/>
    <w:rsid w:val="002D34DB"/>
    <w:rsid w:val="002D4B11"/>
    <w:rsid w:val="002E5633"/>
    <w:rsid w:val="002E6B61"/>
    <w:rsid w:val="002F1963"/>
    <w:rsid w:val="002F5B6E"/>
    <w:rsid w:val="002F61B5"/>
    <w:rsid w:val="00300066"/>
    <w:rsid w:val="0030209B"/>
    <w:rsid w:val="00311E34"/>
    <w:rsid w:val="003127E4"/>
    <w:rsid w:val="00313215"/>
    <w:rsid w:val="003174C3"/>
    <w:rsid w:val="0032557A"/>
    <w:rsid w:val="00340778"/>
    <w:rsid w:val="00344D2C"/>
    <w:rsid w:val="003458CE"/>
    <w:rsid w:val="00345A57"/>
    <w:rsid w:val="00346D90"/>
    <w:rsid w:val="00351F62"/>
    <w:rsid w:val="003601F4"/>
    <w:rsid w:val="003671E2"/>
    <w:rsid w:val="00372AE6"/>
    <w:rsid w:val="00376C3A"/>
    <w:rsid w:val="003837E1"/>
    <w:rsid w:val="0038584D"/>
    <w:rsid w:val="0039257F"/>
    <w:rsid w:val="003931DE"/>
    <w:rsid w:val="00397D1A"/>
    <w:rsid w:val="003A0AE3"/>
    <w:rsid w:val="003A163C"/>
    <w:rsid w:val="003A2B4E"/>
    <w:rsid w:val="003A2FBB"/>
    <w:rsid w:val="003A3799"/>
    <w:rsid w:val="003A4913"/>
    <w:rsid w:val="003A54A9"/>
    <w:rsid w:val="003A7083"/>
    <w:rsid w:val="003B141D"/>
    <w:rsid w:val="003B1FEE"/>
    <w:rsid w:val="003B3103"/>
    <w:rsid w:val="003B38B3"/>
    <w:rsid w:val="003B3A97"/>
    <w:rsid w:val="003B3D44"/>
    <w:rsid w:val="003B47BC"/>
    <w:rsid w:val="003B56C4"/>
    <w:rsid w:val="003C266C"/>
    <w:rsid w:val="003C6BB5"/>
    <w:rsid w:val="003C7CC2"/>
    <w:rsid w:val="003D3D4A"/>
    <w:rsid w:val="003D50B3"/>
    <w:rsid w:val="003D50B6"/>
    <w:rsid w:val="003E05DF"/>
    <w:rsid w:val="003E1562"/>
    <w:rsid w:val="003E4F66"/>
    <w:rsid w:val="003E6085"/>
    <w:rsid w:val="003E6CA3"/>
    <w:rsid w:val="003F4C96"/>
    <w:rsid w:val="00401C49"/>
    <w:rsid w:val="00404763"/>
    <w:rsid w:val="00406002"/>
    <w:rsid w:val="00406AD3"/>
    <w:rsid w:val="00412E42"/>
    <w:rsid w:val="00425C05"/>
    <w:rsid w:val="00426356"/>
    <w:rsid w:val="00426929"/>
    <w:rsid w:val="0043669D"/>
    <w:rsid w:val="00442C16"/>
    <w:rsid w:val="00445410"/>
    <w:rsid w:val="00446439"/>
    <w:rsid w:val="00450BDA"/>
    <w:rsid w:val="00453A3E"/>
    <w:rsid w:val="0045452F"/>
    <w:rsid w:val="00456EC2"/>
    <w:rsid w:val="0045766B"/>
    <w:rsid w:val="0046444F"/>
    <w:rsid w:val="00474BB7"/>
    <w:rsid w:val="00476133"/>
    <w:rsid w:val="00476AB9"/>
    <w:rsid w:val="004816D7"/>
    <w:rsid w:val="0048342E"/>
    <w:rsid w:val="00487478"/>
    <w:rsid w:val="0048782D"/>
    <w:rsid w:val="00494DC1"/>
    <w:rsid w:val="00496DCF"/>
    <w:rsid w:val="004A3F56"/>
    <w:rsid w:val="004A5E21"/>
    <w:rsid w:val="004A666A"/>
    <w:rsid w:val="004B143F"/>
    <w:rsid w:val="004B3022"/>
    <w:rsid w:val="004B49A0"/>
    <w:rsid w:val="004C6306"/>
    <w:rsid w:val="004C6F5E"/>
    <w:rsid w:val="004C7E94"/>
    <w:rsid w:val="004D4874"/>
    <w:rsid w:val="004D7CF8"/>
    <w:rsid w:val="004D7EDA"/>
    <w:rsid w:val="004E07E4"/>
    <w:rsid w:val="004E0E49"/>
    <w:rsid w:val="004E197A"/>
    <w:rsid w:val="004E5D52"/>
    <w:rsid w:val="004F07D7"/>
    <w:rsid w:val="004F1297"/>
    <w:rsid w:val="004F16DB"/>
    <w:rsid w:val="004F4D7E"/>
    <w:rsid w:val="004F5B16"/>
    <w:rsid w:val="004F5D9D"/>
    <w:rsid w:val="004F68E5"/>
    <w:rsid w:val="004F7037"/>
    <w:rsid w:val="004F741B"/>
    <w:rsid w:val="00503253"/>
    <w:rsid w:val="00503BB0"/>
    <w:rsid w:val="00503E03"/>
    <w:rsid w:val="00512226"/>
    <w:rsid w:val="005147C6"/>
    <w:rsid w:val="005159B1"/>
    <w:rsid w:val="00522502"/>
    <w:rsid w:val="005255A1"/>
    <w:rsid w:val="00525825"/>
    <w:rsid w:val="0052641C"/>
    <w:rsid w:val="0053795D"/>
    <w:rsid w:val="00544522"/>
    <w:rsid w:val="005468AB"/>
    <w:rsid w:val="005501A0"/>
    <w:rsid w:val="00550831"/>
    <w:rsid w:val="00554273"/>
    <w:rsid w:val="0056001A"/>
    <w:rsid w:val="005642B6"/>
    <w:rsid w:val="00571D5E"/>
    <w:rsid w:val="005823D0"/>
    <w:rsid w:val="005835D5"/>
    <w:rsid w:val="005A2748"/>
    <w:rsid w:val="005A443F"/>
    <w:rsid w:val="005A7C26"/>
    <w:rsid w:val="005B0970"/>
    <w:rsid w:val="005B58D4"/>
    <w:rsid w:val="005C0528"/>
    <w:rsid w:val="005C07B3"/>
    <w:rsid w:val="005C1DA5"/>
    <w:rsid w:val="005C284E"/>
    <w:rsid w:val="005C47D4"/>
    <w:rsid w:val="005C6627"/>
    <w:rsid w:val="005C6AFD"/>
    <w:rsid w:val="005D1A04"/>
    <w:rsid w:val="005D51D0"/>
    <w:rsid w:val="005D6F83"/>
    <w:rsid w:val="005D7877"/>
    <w:rsid w:val="005D7CCF"/>
    <w:rsid w:val="005E04CF"/>
    <w:rsid w:val="005E58C4"/>
    <w:rsid w:val="005E5D8F"/>
    <w:rsid w:val="005F5A5C"/>
    <w:rsid w:val="005F5CD9"/>
    <w:rsid w:val="0061135C"/>
    <w:rsid w:val="006136DD"/>
    <w:rsid w:val="006149F0"/>
    <w:rsid w:val="006220A5"/>
    <w:rsid w:val="00622CEB"/>
    <w:rsid w:val="00622D86"/>
    <w:rsid w:val="00624AC8"/>
    <w:rsid w:val="00625F18"/>
    <w:rsid w:val="00633812"/>
    <w:rsid w:val="00633C60"/>
    <w:rsid w:val="0064126D"/>
    <w:rsid w:val="006451B8"/>
    <w:rsid w:val="00645722"/>
    <w:rsid w:val="00652432"/>
    <w:rsid w:val="00657840"/>
    <w:rsid w:val="0066003C"/>
    <w:rsid w:val="0066041E"/>
    <w:rsid w:val="00665B34"/>
    <w:rsid w:val="00673CCC"/>
    <w:rsid w:val="00675C98"/>
    <w:rsid w:val="0069026B"/>
    <w:rsid w:val="006956EA"/>
    <w:rsid w:val="006A490C"/>
    <w:rsid w:val="006A7467"/>
    <w:rsid w:val="006B4F7D"/>
    <w:rsid w:val="006C114C"/>
    <w:rsid w:val="006C3668"/>
    <w:rsid w:val="006C3864"/>
    <w:rsid w:val="006C5383"/>
    <w:rsid w:val="006C58D9"/>
    <w:rsid w:val="006C5E72"/>
    <w:rsid w:val="006D2AEC"/>
    <w:rsid w:val="006D4C8E"/>
    <w:rsid w:val="006D4E71"/>
    <w:rsid w:val="006E19D1"/>
    <w:rsid w:val="006E1CBB"/>
    <w:rsid w:val="006F100B"/>
    <w:rsid w:val="006F239A"/>
    <w:rsid w:val="006F2C9D"/>
    <w:rsid w:val="006F6B51"/>
    <w:rsid w:val="0070637D"/>
    <w:rsid w:val="007071DD"/>
    <w:rsid w:val="0070771F"/>
    <w:rsid w:val="00712A14"/>
    <w:rsid w:val="00716C04"/>
    <w:rsid w:val="00717180"/>
    <w:rsid w:val="007179D2"/>
    <w:rsid w:val="00720750"/>
    <w:rsid w:val="00723064"/>
    <w:rsid w:val="0072549C"/>
    <w:rsid w:val="00725A80"/>
    <w:rsid w:val="00733970"/>
    <w:rsid w:val="00741D0B"/>
    <w:rsid w:val="00743700"/>
    <w:rsid w:val="00754C58"/>
    <w:rsid w:val="00776E78"/>
    <w:rsid w:val="0078138A"/>
    <w:rsid w:val="00783014"/>
    <w:rsid w:val="007834DC"/>
    <w:rsid w:val="007920ED"/>
    <w:rsid w:val="00795970"/>
    <w:rsid w:val="007959D8"/>
    <w:rsid w:val="0079630F"/>
    <w:rsid w:val="007A04C2"/>
    <w:rsid w:val="007B146A"/>
    <w:rsid w:val="007B57C9"/>
    <w:rsid w:val="007C0E7C"/>
    <w:rsid w:val="007C0EAA"/>
    <w:rsid w:val="007C19C3"/>
    <w:rsid w:val="007C2F0D"/>
    <w:rsid w:val="007C44B2"/>
    <w:rsid w:val="007C6496"/>
    <w:rsid w:val="007C73B5"/>
    <w:rsid w:val="007C745E"/>
    <w:rsid w:val="007D0ABE"/>
    <w:rsid w:val="007E356F"/>
    <w:rsid w:val="007E3F8C"/>
    <w:rsid w:val="007F2058"/>
    <w:rsid w:val="007F7685"/>
    <w:rsid w:val="0080011D"/>
    <w:rsid w:val="00800EA5"/>
    <w:rsid w:val="00801C01"/>
    <w:rsid w:val="008112CC"/>
    <w:rsid w:val="008130BB"/>
    <w:rsid w:val="00817406"/>
    <w:rsid w:val="008237FA"/>
    <w:rsid w:val="00825D37"/>
    <w:rsid w:val="00833E21"/>
    <w:rsid w:val="008369B0"/>
    <w:rsid w:val="008372D1"/>
    <w:rsid w:val="00837CE0"/>
    <w:rsid w:val="0085732C"/>
    <w:rsid w:val="008574A4"/>
    <w:rsid w:val="00860B45"/>
    <w:rsid w:val="008617E5"/>
    <w:rsid w:val="00863860"/>
    <w:rsid w:val="008638B5"/>
    <w:rsid w:val="008734DB"/>
    <w:rsid w:val="0087390B"/>
    <w:rsid w:val="008745A1"/>
    <w:rsid w:val="008768E9"/>
    <w:rsid w:val="0087751B"/>
    <w:rsid w:val="00890995"/>
    <w:rsid w:val="008914FB"/>
    <w:rsid w:val="0089737A"/>
    <w:rsid w:val="00897E99"/>
    <w:rsid w:val="008A4829"/>
    <w:rsid w:val="008B2384"/>
    <w:rsid w:val="008B3514"/>
    <w:rsid w:val="008B38D6"/>
    <w:rsid w:val="008B4802"/>
    <w:rsid w:val="008B69E3"/>
    <w:rsid w:val="008C1D6E"/>
    <w:rsid w:val="008C1FD1"/>
    <w:rsid w:val="008C24A8"/>
    <w:rsid w:val="008C35EF"/>
    <w:rsid w:val="008C5996"/>
    <w:rsid w:val="008D5A11"/>
    <w:rsid w:val="008D5E23"/>
    <w:rsid w:val="008D77AF"/>
    <w:rsid w:val="008E6D59"/>
    <w:rsid w:val="008F30C7"/>
    <w:rsid w:val="008F435A"/>
    <w:rsid w:val="008F5D66"/>
    <w:rsid w:val="009028AA"/>
    <w:rsid w:val="00903E3F"/>
    <w:rsid w:val="009049C3"/>
    <w:rsid w:val="009057D9"/>
    <w:rsid w:val="0090774A"/>
    <w:rsid w:val="0091043B"/>
    <w:rsid w:val="00910D07"/>
    <w:rsid w:val="00912EA3"/>
    <w:rsid w:val="00914B2F"/>
    <w:rsid w:val="009150E6"/>
    <w:rsid w:val="00917F89"/>
    <w:rsid w:val="00924E28"/>
    <w:rsid w:val="009255EE"/>
    <w:rsid w:val="00925603"/>
    <w:rsid w:val="00925F76"/>
    <w:rsid w:val="00932E89"/>
    <w:rsid w:val="0093359D"/>
    <w:rsid w:val="00933F2B"/>
    <w:rsid w:val="00941DDB"/>
    <w:rsid w:val="00942EEB"/>
    <w:rsid w:val="0094468E"/>
    <w:rsid w:val="00945261"/>
    <w:rsid w:val="009506A5"/>
    <w:rsid w:val="009541CC"/>
    <w:rsid w:val="00956564"/>
    <w:rsid w:val="009567A6"/>
    <w:rsid w:val="00956D5A"/>
    <w:rsid w:val="00961B2C"/>
    <w:rsid w:val="00961DBB"/>
    <w:rsid w:val="0096618E"/>
    <w:rsid w:val="00981433"/>
    <w:rsid w:val="0098222F"/>
    <w:rsid w:val="00983570"/>
    <w:rsid w:val="00985C07"/>
    <w:rsid w:val="00991CEE"/>
    <w:rsid w:val="00995B4F"/>
    <w:rsid w:val="00997582"/>
    <w:rsid w:val="009A2C21"/>
    <w:rsid w:val="009A3E58"/>
    <w:rsid w:val="009A5F02"/>
    <w:rsid w:val="009A7AB1"/>
    <w:rsid w:val="009C6DAA"/>
    <w:rsid w:val="009D0E74"/>
    <w:rsid w:val="009D1A96"/>
    <w:rsid w:val="009D370B"/>
    <w:rsid w:val="009E2087"/>
    <w:rsid w:val="009E252B"/>
    <w:rsid w:val="009E3265"/>
    <w:rsid w:val="009E3353"/>
    <w:rsid w:val="009E446D"/>
    <w:rsid w:val="009E7C09"/>
    <w:rsid w:val="009F146D"/>
    <w:rsid w:val="009F4F1E"/>
    <w:rsid w:val="00A015E4"/>
    <w:rsid w:val="00A075BC"/>
    <w:rsid w:val="00A07C71"/>
    <w:rsid w:val="00A11222"/>
    <w:rsid w:val="00A12C39"/>
    <w:rsid w:val="00A134FB"/>
    <w:rsid w:val="00A136F8"/>
    <w:rsid w:val="00A20802"/>
    <w:rsid w:val="00A25B4F"/>
    <w:rsid w:val="00A27E8B"/>
    <w:rsid w:val="00A442BF"/>
    <w:rsid w:val="00A517D0"/>
    <w:rsid w:val="00A53716"/>
    <w:rsid w:val="00A5629E"/>
    <w:rsid w:val="00A64832"/>
    <w:rsid w:val="00A732DB"/>
    <w:rsid w:val="00A838D2"/>
    <w:rsid w:val="00A86F04"/>
    <w:rsid w:val="00A946C4"/>
    <w:rsid w:val="00AA08F3"/>
    <w:rsid w:val="00AC01F8"/>
    <w:rsid w:val="00AC059A"/>
    <w:rsid w:val="00AC41CF"/>
    <w:rsid w:val="00AC45D9"/>
    <w:rsid w:val="00AD0308"/>
    <w:rsid w:val="00AD377A"/>
    <w:rsid w:val="00AD67BB"/>
    <w:rsid w:val="00AE1CC1"/>
    <w:rsid w:val="00AE3D75"/>
    <w:rsid w:val="00AE3EA4"/>
    <w:rsid w:val="00AE7322"/>
    <w:rsid w:val="00AF1B02"/>
    <w:rsid w:val="00AF41E4"/>
    <w:rsid w:val="00AF568A"/>
    <w:rsid w:val="00B002A4"/>
    <w:rsid w:val="00B0239A"/>
    <w:rsid w:val="00B041D5"/>
    <w:rsid w:val="00B06A75"/>
    <w:rsid w:val="00B06BC3"/>
    <w:rsid w:val="00B134E4"/>
    <w:rsid w:val="00B15A0F"/>
    <w:rsid w:val="00B20236"/>
    <w:rsid w:val="00B20937"/>
    <w:rsid w:val="00B220A0"/>
    <w:rsid w:val="00B22B64"/>
    <w:rsid w:val="00B22FEA"/>
    <w:rsid w:val="00B24321"/>
    <w:rsid w:val="00B30FEB"/>
    <w:rsid w:val="00B311BA"/>
    <w:rsid w:val="00B35B47"/>
    <w:rsid w:val="00B40AA3"/>
    <w:rsid w:val="00B41668"/>
    <w:rsid w:val="00B44478"/>
    <w:rsid w:val="00B4609C"/>
    <w:rsid w:val="00B6002C"/>
    <w:rsid w:val="00B620EE"/>
    <w:rsid w:val="00B73A06"/>
    <w:rsid w:val="00B81789"/>
    <w:rsid w:val="00B85366"/>
    <w:rsid w:val="00B87F60"/>
    <w:rsid w:val="00B93D3D"/>
    <w:rsid w:val="00BA471F"/>
    <w:rsid w:val="00BB5013"/>
    <w:rsid w:val="00BB528E"/>
    <w:rsid w:val="00BB615A"/>
    <w:rsid w:val="00BC2600"/>
    <w:rsid w:val="00BC36F0"/>
    <w:rsid w:val="00BC3E99"/>
    <w:rsid w:val="00BC4FA7"/>
    <w:rsid w:val="00BC5E30"/>
    <w:rsid w:val="00BD02C5"/>
    <w:rsid w:val="00BD068D"/>
    <w:rsid w:val="00BE0D9A"/>
    <w:rsid w:val="00BE1A50"/>
    <w:rsid w:val="00BE2F0D"/>
    <w:rsid w:val="00BF0BD5"/>
    <w:rsid w:val="00BF301F"/>
    <w:rsid w:val="00BF55F8"/>
    <w:rsid w:val="00C051FD"/>
    <w:rsid w:val="00C20C7D"/>
    <w:rsid w:val="00C20DEF"/>
    <w:rsid w:val="00C21170"/>
    <w:rsid w:val="00C24B25"/>
    <w:rsid w:val="00C24E89"/>
    <w:rsid w:val="00C253F3"/>
    <w:rsid w:val="00C32C2F"/>
    <w:rsid w:val="00C3738A"/>
    <w:rsid w:val="00C4315A"/>
    <w:rsid w:val="00C43F5E"/>
    <w:rsid w:val="00C44074"/>
    <w:rsid w:val="00C4651F"/>
    <w:rsid w:val="00C51D0B"/>
    <w:rsid w:val="00C52207"/>
    <w:rsid w:val="00C52A50"/>
    <w:rsid w:val="00C55250"/>
    <w:rsid w:val="00C642D4"/>
    <w:rsid w:val="00C676BA"/>
    <w:rsid w:val="00C730F4"/>
    <w:rsid w:val="00C80200"/>
    <w:rsid w:val="00C80E0A"/>
    <w:rsid w:val="00C8270B"/>
    <w:rsid w:val="00C841A9"/>
    <w:rsid w:val="00C847F2"/>
    <w:rsid w:val="00C8728F"/>
    <w:rsid w:val="00C97FBC"/>
    <w:rsid w:val="00CA06C8"/>
    <w:rsid w:val="00CA0B7E"/>
    <w:rsid w:val="00CA4C28"/>
    <w:rsid w:val="00CA5598"/>
    <w:rsid w:val="00CA5EF8"/>
    <w:rsid w:val="00CB126E"/>
    <w:rsid w:val="00CB28A3"/>
    <w:rsid w:val="00CB5A4C"/>
    <w:rsid w:val="00CC00A0"/>
    <w:rsid w:val="00CC0FED"/>
    <w:rsid w:val="00CC3C34"/>
    <w:rsid w:val="00CC5455"/>
    <w:rsid w:val="00CC6C06"/>
    <w:rsid w:val="00CD1526"/>
    <w:rsid w:val="00CD2324"/>
    <w:rsid w:val="00CD33AE"/>
    <w:rsid w:val="00CD5509"/>
    <w:rsid w:val="00CE1EB0"/>
    <w:rsid w:val="00CE3DF2"/>
    <w:rsid w:val="00CF0C0F"/>
    <w:rsid w:val="00CF1690"/>
    <w:rsid w:val="00CF1F2A"/>
    <w:rsid w:val="00CF5CE3"/>
    <w:rsid w:val="00CF7412"/>
    <w:rsid w:val="00D01467"/>
    <w:rsid w:val="00D030F8"/>
    <w:rsid w:val="00D077B7"/>
    <w:rsid w:val="00D20297"/>
    <w:rsid w:val="00D21E6B"/>
    <w:rsid w:val="00D2336A"/>
    <w:rsid w:val="00D23634"/>
    <w:rsid w:val="00D32E8D"/>
    <w:rsid w:val="00D34551"/>
    <w:rsid w:val="00D36A3E"/>
    <w:rsid w:val="00D36A53"/>
    <w:rsid w:val="00D457D6"/>
    <w:rsid w:val="00D63C27"/>
    <w:rsid w:val="00D644CF"/>
    <w:rsid w:val="00D64CE2"/>
    <w:rsid w:val="00D7751B"/>
    <w:rsid w:val="00D815DC"/>
    <w:rsid w:val="00D822B5"/>
    <w:rsid w:val="00D83D3C"/>
    <w:rsid w:val="00D867AE"/>
    <w:rsid w:val="00D87BBB"/>
    <w:rsid w:val="00D87C87"/>
    <w:rsid w:val="00D921C4"/>
    <w:rsid w:val="00D9296A"/>
    <w:rsid w:val="00D93C23"/>
    <w:rsid w:val="00D95638"/>
    <w:rsid w:val="00D9584C"/>
    <w:rsid w:val="00DA14D9"/>
    <w:rsid w:val="00DB13AD"/>
    <w:rsid w:val="00DB23F9"/>
    <w:rsid w:val="00DB58BE"/>
    <w:rsid w:val="00DB6176"/>
    <w:rsid w:val="00DB6AA0"/>
    <w:rsid w:val="00DB7C3A"/>
    <w:rsid w:val="00DC3EDA"/>
    <w:rsid w:val="00DD32AB"/>
    <w:rsid w:val="00DD5BF6"/>
    <w:rsid w:val="00DD73E2"/>
    <w:rsid w:val="00DE1865"/>
    <w:rsid w:val="00DE1B0B"/>
    <w:rsid w:val="00DE6CEF"/>
    <w:rsid w:val="00DF11C2"/>
    <w:rsid w:val="00DF2134"/>
    <w:rsid w:val="00DF4593"/>
    <w:rsid w:val="00E07036"/>
    <w:rsid w:val="00E10D05"/>
    <w:rsid w:val="00E2223E"/>
    <w:rsid w:val="00E22D98"/>
    <w:rsid w:val="00E24623"/>
    <w:rsid w:val="00E252E3"/>
    <w:rsid w:val="00E40505"/>
    <w:rsid w:val="00E42A41"/>
    <w:rsid w:val="00E45766"/>
    <w:rsid w:val="00E567E5"/>
    <w:rsid w:val="00E63CF2"/>
    <w:rsid w:val="00E64480"/>
    <w:rsid w:val="00E6708B"/>
    <w:rsid w:val="00E73A8C"/>
    <w:rsid w:val="00E75050"/>
    <w:rsid w:val="00E76F42"/>
    <w:rsid w:val="00E77BE7"/>
    <w:rsid w:val="00E77D6D"/>
    <w:rsid w:val="00E915E6"/>
    <w:rsid w:val="00EA3E11"/>
    <w:rsid w:val="00EA6EB3"/>
    <w:rsid w:val="00EB4A8E"/>
    <w:rsid w:val="00EB5EF3"/>
    <w:rsid w:val="00EB695D"/>
    <w:rsid w:val="00EC38F3"/>
    <w:rsid w:val="00ED39CE"/>
    <w:rsid w:val="00ED4134"/>
    <w:rsid w:val="00EE05F1"/>
    <w:rsid w:val="00EE471A"/>
    <w:rsid w:val="00EE5492"/>
    <w:rsid w:val="00EF0A00"/>
    <w:rsid w:val="00EF7F1D"/>
    <w:rsid w:val="00F06116"/>
    <w:rsid w:val="00F07BD5"/>
    <w:rsid w:val="00F122D6"/>
    <w:rsid w:val="00F15BF4"/>
    <w:rsid w:val="00F17940"/>
    <w:rsid w:val="00F17C57"/>
    <w:rsid w:val="00F17DC0"/>
    <w:rsid w:val="00F2046C"/>
    <w:rsid w:val="00F20647"/>
    <w:rsid w:val="00F31392"/>
    <w:rsid w:val="00F348B5"/>
    <w:rsid w:val="00F3652B"/>
    <w:rsid w:val="00F377B9"/>
    <w:rsid w:val="00F40C77"/>
    <w:rsid w:val="00F45442"/>
    <w:rsid w:val="00F5145E"/>
    <w:rsid w:val="00F558EA"/>
    <w:rsid w:val="00F613CB"/>
    <w:rsid w:val="00F61F79"/>
    <w:rsid w:val="00F656A4"/>
    <w:rsid w:val="00F6665E"/>
    <w:rsid w:val="00F7075F"/>
    <w:rsid w:val="00F71D76"/>
    <w:rsid w:val="00F8349F"/>
    <w:rsid w:val="00F83FB7"/>
    <w:rsid w:val="00F85935"/>
    <w:rsid w:val="00F85D29"/>
    <w:rsid w:val="00F969D3"/>
    <w:rsid w:val="00FA190E"/>
    <w:rsid w:val="00FA54D8"/>
    <w:rsid w:val="00FB7CCE"/>
    <w:rsid w:val="00FC43FD"/>
    <w:rsid w:val="00FC4FB7"/>
    <w:rsid w:val="00FD1EE0"/>
    <w:rsid w:val="00FD357B"/>
    <w:rsid w:val="00FD38FC"/>
    <w:rsid w:val="00FD6119"/>
    <w:rsid w:val="00FD688E"/>
    <w:rsid w:val="00FD7C0C"/>
    <w:rsid w:val="00FE045C"/>
    <w:rsid w:val="00FE0C52"/>
    <w:rsid w:val="00FE1692"/>
    <w:rsid w:val="00FE3B13"/>
    <w:rsid w:val="00FF0566"/>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qFormat="1"/>
    <w:lsdException w:name="heading 3" w:qFormat="1"/>
    <w:lsdException w:name="heading 4" w:qFormat="1"/>
    <w:lsdException w:name="heading 7" w:qFormat="1"/>
    <w:lsdException w:name="heading 8" w:uiPriority="31" w:qFormat="1"/>
    <w:lsdException w:name="heading 9" w:uiPriority="32"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112F1F"/>
  </w:style>
  <w:style w:type="paragraph" w:styleId="Heading1">
    <w:name w:val="heading 1"/>
    <w:basedOn w:val="Normal"/>
    <w:next w:val="BodyText"/>
    <w:link w:val="Heading1Char"/>
    <w:uiPriority w:val="9"/>
    <w:qFormat/>
    <w:rsid w:val="0046444F"/>
    <w:pPr>
      <w:keepNext/>
      <w:keepLines/>
      <w:numPr>
        <w:numId w:val="10"/>
      </w:numPr>
      <w:tabs>
        <w:tab w:val="right" w:pos="1418"/>
        <w:tab w:val="right" w:pos="1701"/>
        <w:tab w:val="right" w:pos="1985"/>
      </w:tabs>
      <w:spacing w:before="470" w:after="228"/>
      <w:outlineLvl w:val="0"/>
    </w:pPr>
    <w:rPr>
      <w:rFonts w:asciiTheme="majorHAnsi" w:hAnsiTheme="majorHAnsi"/>
      <w:bCs/>
      <w:color w:val="2B3B5F" w:themeColor="text2"/>
      <w:spacing w:val="-6"/>
      <w:kern w:val="32"/>
      <w:sz w:val="32"/>
      <w:szCs w:val="32"/>
    </w:rPr>
  </w:style>
  <w:style w:type="paragraph" w:styleId="Heading2">
    <w:name w:val="heading 2"/>
    <w:basedOn w:val="Normal"/>
    <w:next w:val="BodyText"/>
    <w:link w:val="Heading2Char"/>
    <w:uiPriority w:val="2"/>
    <w:qFormat/>
    <w:rsid w:val="00CA06C8"/>
    <w:pPr>
      <w:keepNext/>
      <w:keepLines/>
      <w:numPr>
        <w:ilvl w:val="1"/>
        <w:numId w:val="10"/>
      </w:numPr>
      <w:tabs>
        <w:tab w:val="left" w:pos="1418"/>
        <w:tab w:val="left" w:pos="1701"/>
        <w:tab w:val="left" w:pos="1985"/>
      </w:tabs>
      <w:spacing w:before="470" w:after="227"/>
      <w:outlineLvl w:val="1"/>
    </w:pPr>
    <w:rPr>
      <w:rFonts w:ascii="Calibri" w:hAnsi="Calibri"/>
      <w:b/>
      <w:bCs/>
      <w:iCs/>
      <w:color w:val="2B3B5F" w:themeColor="text2"/>
      <w:kern w:val="20"/>
      <w:sz w:val="24"/>
      <w:szCs w:val="28"/>
    </w:rPr>
  </w:style>
  <w:style w:type="paragraph" w:styleId="Heading3">
    <w:name w:val="heading 3"/>
    <w:basedOn w:val="Normal"/>
    <w:next w:val="BodyText"/>
    <w:link w:val="Heading3Char"/>
    <w:uiPriority w:val="3"/>
    <w:qFormat/>
    <w:rsid w:val="00CA06C8"/>
    <w:pPr>
      <w:keepNext/>
      <w:keepLines/>
      <w:numPr>
        <w:ilvl w:val="2"/>
        <w:numId w:val="10"/>
      </w:numPr>
      <w:tabs>
        <w:tab w:val="left" w:pos="1418"/>
        <w:tab w:val="left" w:pos="1701"/>
        <w:tab w:val="left" w:pos="1985"/>
      </w:tabs>
      <w:spacing w:before="470" w:after="227"/>
      <w:outlineLvl w:val="2"/>
    </w:pPr>
    <w:rPr>
      <w:i/>
      <w:color w:val="2B3B5F" w:themeColor="text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788184"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2D239A"/>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32"/>
    </w:rPr>
  </w:style>
  <w:style w:type="paragraph" w:styleId="Heading9">
    <w:name w:val="heading 9"/>
    <w:aliases w:val="Attachment Heading 1"/>
    <w:basedOn w:val="Normal"/>
    <w:next w:val="BodyText"/>
    <w:link w:val="Heading9Char"/>
    <w:uiPriority w:val="32"/>
    <w:qFormat/>
    <w:rsid w:val="002D239A"/>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7C19C3"/>
    <w:pPr>
      <w:spacing w:before="113" w:after="113"/>
    </w:pPr>
    <w:rPr>
      <w:rFonts w:cs="Times New Roman"/>
      <w:spacing w:val="-1"/>
    </w:rPr>
  </w:style>
  <w:style w:type="character" w:customStyle="1" w:styleId="BodyTextChar">
    <w:name w:val="Body Text Char"/>
    <w:basedOn w:val="DefaultParagraphFont"/>
    <w:link w:val="BodyText"/>
    <w:uiPriority w:val="5"/>
    <w:rsid w:val="00AC41CF"/>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9"/>
    <w:rsid w:val="00112F1F"/>
    <w:rPr>
      <w:rFonts w:asciiTheme="majorHAnsi" w:hAnsiTheme="majorHAnsi"/>
      <w:bCs/>
      <w:color w:val="2B3B5F" w:themeColor="text2"/>
      <w:spacing w:val="-6"/>
      <w:kern w:val="32"/>
      <w:sz w:val="32"/>
      <w:szCs w:val="32"/>
    </w:rPr>
  </w:style>
  <w:style w:type="character" w:customStyle="1" w:styleId="Heading2Char">
    <w:name w:val="Heading 2 Char"/>
    <w:basedOn w:val="DefaultParagraphFont"/>
    <w:link w:val="Heading2"/>
    <w:uiPriority w:val="2"/>
    <w:rsid w:val="00112F1F"/>
    <w:rPr>
      <w:rFonts w:ascii="Calibri" w:hAnsi="Calibri"/>
      <w:b/>
      <w:bCs/>
      <w:iCs/>
      <w:color w:val="2B3B5F" w:themeColor="text2"/>
      <w:kern w:val="20"/>
      <w:sz w:val="24"/>
      <w:szCs w:val="28"/>
    </w:rPr>
  </w:style>
  <w:style w:type="character" w:customStyle="1" w:styleId="Heading3Char">
    <w:name w:val="Heading 3 Char"/>
    <w:basedOn w:val="DefaultParagraphFont"/>
    <w:link w:val="Heading3"/>
    <w:uiPriority w:val="3"/>
    <w:rsid w:val="00AC41CF"/>
    <w:rPr>
      <w:i/>
      <w:color w:val="2B3B5F" w:themeColor="text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788184"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89737A"/>
    <w:rPr>
      <w:rFonts w:asciiTheme="majorHAnsi" w:eastAsiaTheme="majorEastAsia" w:hAnsiTheme="majorHAnsi" w:cstheme="majorBidi"/>
      <w:color w:val="2B3B5F" w:themeColor="text2"/>
      <w:sz w:val="32"/>
    </w:rPr>
  </w:style>
  <w:style w:type="character" w:customStyle="1" w:styleId="Heading9Char">
    <w:name w:val="Heading 9 Char"/>
    <w:aliases w:val="Attachment Heading 1 Char"/>
    <w:basedOn w:val="DefaultParagraphFont"/>
    <w:link w:val="Heading9"/>
    <w:uiPriority w:val="32"/>
    <w:rsid w:val="0089737A"/>
    <w:rPr>
      <w:rFonts w:asciiTheme="majorHAnsi" w:hAnsiTheme="majorHAnsi"/>
      <w:color w:val="2B3B5F" w:themeColor="text2"/>
      <w:sz w:val="28"/>
    </w:rPr>
  </w:style>
  <w:style w:type="paragraph" w:customStyle="1" w:styleId="AttachmentHeading2">
    <w:name w:val="Attachment Heading 2"/>
    <w:basedOn w:val="Normal"/>
    <w:next w:val="BodyText"/>
    <w:uiPriority w:val="33"/>
    <w:qFormat/>
    <w:rsid w:val="008C1D6E"/>
    <w:pPr>
      <w:keepNext/>
      <w:keepLines/>
      <w:numPr>
        <w:ilvl w:val="2"/>
        <w:numId w:val="1"/>
      </w:numPr>
      <w:tabs>
        <w:tab w:val="left" w:pos="1559"/>
        <w:tab w:val="left" w:pos="1843"/>
        <w:tab w:val="left" w:pos="2126"/>
        <w:tab w:val="left" w:pos="2410"/>
      </w:tabs>
      <w:spacing w:before="470" w:after="227"/>
    </w:pPr>
    <w:rPr>
      <w:rFonts w:ascii="Calibri" w:hAnsi="Calibri"/>
      <w:b/>
      <w:color w:val="2B3B5F" w:themeColor="text2"/>
      <w:sz w:val="24"/>
    </w:rPr>
  </w:style>
  <w:style w:type="paragraph" w:customStyle="1" w:styleId="AttachmentHeading3">
    <w:name w:val="Attachment Heading 3"/>
    <w:basedOn w:val="Normal"/>
    <w:next w:val="BodyText"/>
    <w:uiPriority w:val="34"/>
    <w:qFormat/>
    <w:rsid w:val="008C1D6E"/>
    <w:pPr>
      <w:keepNext/>
      <w:keepLines/>
      <w:numPr>
        <w:ilvl w:val="3"/>
        <w:numId w:val="1"/>
      </w:numPr>
      <w:tabs>
        <w:tab w:val="left" w:pos="1559"/>
        <w:tab w:val="left" w:pos="1843"/>
        <w:tab w:val="left" w:pos="2126"/>
        <w:tab w:val="left" w:pos="2410"/>
        <w:tab w:val="left" w:pos="6804"/>
      </w:tabs>
      <w:spacing w:before="227" w:after="113"/>
    </w:pPr>
    <w:rPr>
      <w:i/>
      <w:color w:val="2B3B5F" w:themeColor="text2"/>
      <w:sz w:val="24"/>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961DBB"/>
    <w:pPr>
      <w:keepNext/>
      <w:spacing w:before="340" w:after="114"/>
    </w:pPr>
    <w:rPr>
      <w:b/>
      <w:bCs/>
      <w:color w:val="2B3B5F" w:themeColor="text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2B3B5F" w:themeColor="text2"/>
      <w:spacing w:val="-1"/>
    </w:rPr>
  </w:style>
  <w:style w:type="paragraph" w:customStyle="1" w:styleId="Introduction">
    <w:name w:val="Introduction"/>
    <w:basedOn w:val="Normal"/>
    <w:next w:val="BodyText"/>
    <w:uiPriority w:val="39"/>
    <w:rsid w:val="00961DBB"/>
    <w:pPr>
      <w:spacing w:after="180" w:line="360" w:lineRule="atLeast"/>
    </w:pPr>
    <w:rPr>
      <w:color w:val="2B3B5F" w:themeColor="text2"/>
      <w:spacing w:val="-2"/>
      <w:sz w:val="30"/>
    </w:rPr>
  </w:style>
  <w:style w:type="character" w:customStyle="1" w:styleId="Italics">
    <w:name w:val="Italics"/>
    <w:uiPriority w:val="39"/>
    <w:rsid w:val="00961DBB"/>
    <w:rPr>
      <w:i/>
    </w:rPr>
  </w:style>
  <w:style w:type="paragraph" w:styleId="ListBullet">
    <w:name w:val="List Bullet"/>
    <w:basedOn w:val="Normal"/>
    <w:qFormat/>
    <w:rsid w:val="00476133"/>
    <w:pPr>
      <w:keepLines/>
      <w:numPr>
        <w:numId w:val="2"/>
      </w:numPr>
      <w:spacing w:after="120"/>
    </w:pPr>
    <w:rPr>
      <w:spacing w:val="-1"/>
    </w:rPr>
  </w:style>
  <w:style w:type="paragraph" w:styleId="ListBullet2">
    <w:name w:val="List Bullet 2"/>
    <w:basedOn w:val="ListBullet"/>
    <w:qFormat/>
    <w:rsid w:val="00476133"/>
    <w:pPr>
      <w:numPr>
        <w:ilvl w:val="1"/>
      </w:numPr>
      <w:ind w:left="908" w:hanging="454"/>
    </w:pPr>
  </w:style>
  <w:style w:type="paragraph" w:styleId="ListBullet3">
    <w:name w:val="List Bullet 3"/>
    <w:basedOn w:val="ListBullet2"/>
    <w:qFormat/>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uiPriority w:val="24"/>
    <w:qFormat/>
    <w:rsid w:val="00476133"/>
    <w:pPr>
      <w:spacing w:before="120" w:after="120"/>
      <w:ind w:left="57" w:right="57"/>
    </w:pPr>
    <w:rPr>
      <w:spacing w:val="-1"/>
    </w:rPr>
  </w:style>
  <w:style w:type="paragraph" w:customStyle="1" w:styleId="PullOutBoxBullet">
    <w:name w:val="Pull Out Box Bullet"/>
    <w:basedOn w:val="PullOutBoxBodyText"/>
    <w:uiPriority w:val="25"/>
    <w:qFormat/>
    <w:rsid w:val="002B7964"/>
    <w:pPr>
      <w:numPr>
        <w:numId w:val="4"/>
      </w:numPr>
      <w:ind w:left="397"/>
    </w:pPr>
  </w:style>
  <w:style w:type="paragraph" w:customStyle="1" w:styleId="PullOutBoxBullet2">
    <w:name w:val="Pull Out Box Bullet 2"/>
    <w:basedOn w:val="PullOutBoxBodyText"/>
    <w:uiPriority w:val="26"/>
    <w:qFormat/>
    <w:rsid w:val="008112CC"/>
    <w:pPr>
      <w:numPr>
        <w:ilvl w:val="1"/>
        <w:numId w:val="4"/>
      </w:numPr>
      <w:ind w:left="737"/>
    </w:pPr>
  </w:style>
  <w:style w:type="paragraph" w:customStyle="1" w:styleId="PullOutBoxBullet3">
    <w:name w:val="Pull Out Box Bullet 3"/>
    <w:basedOn w:val="PullOutBoxBodyText"/>
    <w:uiPriority w:val="27"/>
    <w:qFormat/>
    <w:rsid w:val="00476133"/>
    <w:pPr>
      <w:numPr>
        <w:ilvl w:val="2"/>
        <w:numId w:val="4"/>
      </w:numPr>
      <w:ind w:left="1077"/>
    </w:pPr>
  </w:style>
  <w:style w:type="paragraph" w:customStyle="1" w:styleId="PullOutBoxHeading">
    <w:name w:val="Pull Out Box Heading"/>
    <w:basedOn w:val="PullOutBoxBodyText"/>
    <w:uiPriority w:val="23"/>
    <w:qFormat/>
    <w:rsid w:val="00476133"/>
    <w:pPr>
      <w:keepNext/>
      <w:keepLines/>
    </w:pPr>
    <w:rPr>
      <w:b/>
    </w:rPr>
  </w:style>
  <w:style w:type="paragraph" w:customStyle="1" w:styleId="PullOutBoxNumber">
    <w:name w:val="Pull Out Box Number"/>
    <w:basedOn w:val="PullOutBoxBodyText"/>
    <w:uiPriority w:val="28"/>
    <w:qFormat/>
    <w:rsid w:val="00476133"/>
    <w:pPr>
      <w:numPr>
        <w:numId w:val="5"/>
      </w:numPr>
      <w:ind w:left="397"/>
    </w:pPr>
  </w:style>
  <w:style w:type="paragraph" w:customStyle="1" w:styleId="PullOutBoxNumber2">
    <w:name w:val="Pull Out Box Number 2"/>
    <w:basedOn w:val="PullOutBoxBodyText"/>
    <w:uiPriority w:val="29"/>
    <w:qFormat/>
    <w:rsid w:val="008112CC"/>
    <w:pPr>
      <w:numPr>
        <w:ilvl w:val="1"/>
        <w:numId w:val="5"/>
      </w:numPr>
      <w:ind w:left="737"/>
    </w:pPr>
  </w:style>
  <w:style w:type="paragraph" w:customStyle="1" w:styleId="PullOutBoxNumber3">
    <w:name w:val="Pull Out Box Number 3"/>
    <w:basedOn w:val="PullOutBoxBodyText"/>
    <w:uiPriority w:val="30"/>
    <w:qFormat/>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uiPriority w:val="39"/>
    <w:rsid w:val="00E45766"/>
    <w:rPr>
      <w:color w:val="751D71"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56001A"/>
    <w:pPr>
      <w:keepLines/>
      <w:numPr>
        <w:numId w:val="7"/>
      </w:numPr>
      <w:spacing w:after="50" w:line="260" w:lineRule="atLeast"/>
      <w:ind w:left="284" w:hanging="284"/>
      <w:contextualSpacing/>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2B3B5F"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2B3B5F"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2B3B5F"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181E32"/>
    <w:pPr>
      <w:spacing w:line="240" w:lineRule="auto"/>
    </w:pPr>
    <w:rPr>
      <w:sz w:val="20"/>
    </w:rPr>
    <w:tblPr>
      <w:tblStyleRowBandSize w:val="1"/>
      <w:tblStyleColBandSize w:val="1"/>
      <w:tblBorders>
        <w:top w:val="single" w:sz="4" w:space="0" w:color="788184" w:themeColor="accent6"/>
        <w:left w:val="single" w:sz="4" w:space="0" w:color="788184" w:themeColor="accent6"/>
        <w:bottom w:val="single" w:sz="4" w:space="0" w:color="788184" w:themeColor="accent6"/>
        <w:right w:val="single" w:sz="4" w:space="0" w:color="788184" w:themeColor="accent6"/>
        <w:insideH w:val="single" w:sz="4" w:space="0" w:color="788184" w:themeColor="accent6"/>
        <w:insideV w:val="single" w:sz="4" w:space="0" w:color="788184" w:themeColor="accent6"/>
      </w:tblBorders>
    </w:tblPr>
    <w:tblStylePr w:type="firstRow">
      <w:pPr>
        <w:spacing w:before="0" w:after="0" w:line="240" w:lineRule="auto"/>
        <w:jc w:val="right"/>
      </w:pPr>
      <w:rPr>
        <w:rFonts w:ascii="Calibri" w:eastAsiaTheme="majorEastAsia" w:hAnsi="Calibri" w:cstheme="majorBidi"/>
        <w:b w:val="0"/>
        <w:bCs/>
        <w:sz w:val="20"/>
      </w:rPr>
      <w:tblPr/>
      <w:tcPr>
        <w:shd w:val="clear" w:color="auto" w:fill="D7DDE9" w:themeFill="accent3"/>
      </w:tcPr>
    </w:tblStylePr>
    <w:tblStylePr w:type="lastRow">
      <w:pPr>
        <w:spacing w:before="0" w:after="0" w:line="240" w:lineRule="auto"/>
      </w:pPr>
      <w:rPr>
        <w:rFonts w:ascii="Calibri" w:eastAsiaTheme="majorEastAsia" w:hAnsi="Calibri" w:cstheme="majorBidi"/>
        <w:b/>
        <w:bCs/>
        <w:sz w:val="20"/>
      </w:rPr>
      <w:tblPr/>
      <w:tcPr>
        <w:shd w:val="clear" w:color="auto" w:fill="D7DDE9" w:themeFill="accent3"/>
      </w:tcPr>
    </w:tblStylePr>
    <w:tblStylePr w:type="firstCol">
      <w:pPr>
        <w:jc w:val="left"/>
      </w:pPr>
      <w:rPr>
        <w:rFonts w:ascii="Calibri" w:eastAsiaTheme="majorEastAsia" w:hAnsi="Calibri" w:cstheme="majorBidi"/>
        <w:b w:val="0"/>
        <w:bCs/>
        <w:sz w:val="20"/>
      </w:rPr>
      <w:tblPr/>
      <w:tcPr>
        <w:tcBorders>
          <w:top w:val="single" w:sz="4" w:space="0" w:color="788184" w:themeColor="accent6"/>
          <w:left w:val="single" w:sz="4" w:space="0" w:color="788184" w:themeColor="accent6"/>
          <w:bottom w:val="single" w:sz="4" w:space="0" w:color="788184" w:themeColor="accent6"/>
          <w:right w:val="single" w:sz="4" w:space="0" w:color="788184" w:themeColor="accent6"/>
          <w:insideH w:val="single" w:sz="4" w:space="0" w:color="788184" w:themeColor="accent6"/>
          <w:insideV w:val="single" w:sz="4" w:space="0" w:color="788184" w:themeColor="accent6"/>
        </w:tcBorders>
        <w:vAlign w:val="center"/>
      </w:tcPr>
    </w:tblStylePr>
    <w:tblStylePr w:type="lastCol">
      <w:pPr>
        <w:jc w:val="right"/>
      </w:pPr>
      <w:rPr>
        <w:rFonts w:ascii="Calibri" w:eastAsiaTheme="majorEastAsia" w:hAnsi="Calibri" w:cstheme="majorBidi"/>
        <w:b/>
        <w:bCs/>
        <w:sz w:val="20"/>
      </w:rPr>
      <w:tblPr/>
      <w:tcPr>
        <w:tcBorders>
          <w:top w:val="single" w:sz="4" w:space="0" w:color="788184" w:themeColor="accent6"/>
          <w:left w:val="single" w:sz="4" w:space="0" w:color="788184" w:themeColor="accent6"/>
          <w:bottom w:val="single" w:sz="4" w:space="0" w:color="788184" w:themeColor="accent6"/>
          <w:right w:val="single" w:sz="4" w:space="0" w:color="788184" w:themeColor="accent6"/>
          <w:insideH w:val="single" w:sz="4" w:space="0" w:color="788184" w:themeColor="accent6"/>
          <w:insideV w:val="single" w:sz="4" w:space="0" w:color="788184" w:themeColor="accent6"/>
        </w:tcBorders>
        <w:vAlign w:val="center"/>
      </w:tcPr>
    </w:tblStylePr>
    <w:tblStylePr w:type="band1Vert">
      <w:pPr>
        <w:jc w:val="right"/>
      </w:pPr>
      <w:rPr>
        <w:rFonts w:ascii="Calibri" w:hAnsi="Calibri"/>
        <w:sz w:val="20"/>
      </w:rPr>
      <w:tblPr/>
      <w:tcPr>
        <w:vAlign w:val="center"/>
      </w:tcPr>
    </w:tblStylePr>
    <w:tblStylePr w:type="band2Vert">
      <w:pPr>
        <w:jc w:val="right"/>
      </w:pPr>
      <w:tblPr/>
      <w:tcPr>
        <w:vAlign w:val="center"/>
      </w:tcPr>
    </w:tblStylePr>
    <w:tblStylePr w:type="band1Horz">
      <w:pPr>
        <w:jc w:val="right"/>
      </w:pPr>
      <w:rPr>
        <w:rFonts w:ascii="Calibri" w:hAnsi="Calibri"/>
        <w:sz w:val="20"/>
      </w:rPr>
      <w:tblPr/>
      <w:tcPr>
        <w:vAlign w:val="center"/>
      </w:tcPr>
    </w:tblStylePr>
    <w:tblStylePr w:type="band2Horz">
      <w:pPr>
        <w:jc w:val="right"/>
      </w:pPr>
      <w:rPr>
        <w:rFonts w:ascii="Calibri" w:hAnsi="Calibri"/>
        <w:sz w:val="20"/>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vAlign w:val="center"/>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D7DDE9" w:themeColor="accent3"/>
        <w:left w:val="single" w:sz="8" w:space="0" w:color="D7DDE9" w:themeColor="accent3"/>
        <w:bottom w:val="single" w:sz="8" w:space="0" w:color="D7DDE9" w:themeColor="accent3"/>
        <w:right w:val="single" w:sz="8" w:space="0" w:color="D7DDE9" w:themeColor="accent3"/>
        <w:insideH w:val="single" w:sz="8" w:space="0" w:color="D7DDE9" w:themeColor="accent3"/>
        <w:insideV w:val="single" w:sz="8" w:space="0" w:color="D7DDE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18" w:space="0" w:color="D7DDE9" w:themeColor="accent3"/>
          <w:right w:val="single" w:sz="8" w:space="0" w:color="D7DDE9" w:themeColor="accent3"/>
          <w:insideH w:val="nil"/>
          <w:insideV w:val="single" w:sz="8" w:space="0" w:color="D7DDE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DE9" w:themeColor="accent3"/>
          <w:left w:val="single" w:sz="8" w:space="0" w:color="D7DDE9" w:themeColor="accent3"/>
          <w:bottom w:val="single" w:sz="8" w:space="0" w:color="D7DDE9" w:themeColor="accent3"/>
          <w:right w:val="single" w:sz="8" w:space="0" w:color="D7DDE9" w:themeColor="accent3"/>
          <w:insideH w:val="nil"/>
          <w:insideV w:val="single" w:sz="8" w:space="0" w:color="D7DDE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tcPr>
    </w:tblStylePr>
    <w:tblStylePr w:type="band1Vert">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shd w:val="clear" w:color="auto" w:fill="F5F6F9" w:themeFill="accent3" w:themeFillTint="3F"/>
      </w:tcPr>
    </w:tblStylePr>
    <w:tblStylePr w:type="band1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shd w:val="clear" w:color="auto" w:fill="F5F6F9" w:themeFill="accent3" w:themeFillTint="3F"/>
      </w:tcPr>
    </w:tblStylePr>
    <w:tblStylePr w:type="band2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tcPr>
    </w:tblStylePr>
  </w:style>
  <w:style w:type="paragraph" w:customStyle="1" w:styleId="Lettertext">
    <w:name w:val="Letter text"/>
    <w:basedOn w:val="BodyText"/>
    <w:qFormat/>
    <w:rsid w:val="00E64480"/>
    <w:pPr>
      <w:spacing w:before="240" w:after="0"/>
    </w:pPr>
    <w:rPr>
      <w:rFonts w:ascii="Times New Roman" w:hAnsi="Times New Roman"/>
      <w:spacing w:val="0"/>
      <w:sz w:val="24"/>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000000"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Letterbullet">
    <w:name w:val="Letter bullet"/>
    <w:basedOn w:val="Lettertext"/>
    <w:uiPriority w:val="1"/>
    <w:qFormat/>
    <w:rsid w:val="00112F1F"/>
    <w:pPr>
      <w:numPr>
        <w:numId w:val="12"/>
      </w:numPr>
      <w:ind w:left="284" w:hanging="284"/>
    </w:pPr>
  </w:style>
  <w:style w:type="table" w:styleId="MediumShading1-Accent3">
    <w:name w:val="Medium Shading 1 Accent 3"/>
    <w:basedOn w:val="TableNormal"/>
    <w:uiPriority w:val="63"/>
    <w:rsid w:val="005C0528"/>
    <w:pPr>
      <w:spacing w:line="240" w:lineRule="auto"/>
      <w:jc w:val="right"/>
    </w:pPr>
    <w:tblPr>
      <w:tblStyleRowBandSize w:val="1"/>
      <w:tblStyleColBandSize w:val="1"/>
      <w:tblBorders>
        <w:top w:val="single" w:sz="4" w:space="0" w:color="788184" w:themeColor="accent6"/>
        <w:left w:val="single" w:sz="4" w:space="0" w:color="788184" w:themeColor="accent6"/>
        <w:bottom w:val="single" w:sz="4" w:space="0" w:color="788184" w:themeColor="accent6"/>
        <w:right w:val="single" w:sz="4" w:space="0" w:color="788184" w:themeColor="accent6"/>
        <w:insideH w:val="single" w:sz="4" w:space="0" w:color="788184" w:themeColor="accent6"/>
        <w:insideV w:val="single" w:sz="4" w:space="0" w:color="788184" w:themeColor="accent6"/>
      </w:tblBorders>
    </w:tblPr>
    <w:tcPr>
      <w:vAlign w:val="center"/>
    </w:tcPr>
    <w:tblStylePr w:type="firstRow">
      <w:pPr>
        <w:spacing w:before="0" w:after="0" w:line="240" w:lineRule="auto"/>
      </w:pPr>
      <w:rPr>
        <w:rFonts w:ascii="Calibri" w:hAnsi="Calibri"/>
        <w:b/>
        <w:bCs/>
        <w:color w:val="000000" w:themeColor="text1"/>
        <w:sz w:val="20"/>
      </w:rPr>
      <w:tblPr/>
      <w:tcPr>
        <w:tcBorders>
          <w:top w:val="single" w:sz="8" w:space="0" w:color="E0E5EE" w:themeColor="accent3" w:themeTint="BF"/>
          <w:left w:val="single" w:sz="8" w:space="0" w:color="E0E5EE" w:themeColor="accent3" w:themeTint="BF"/>
          <w:bottom w:val="single" w:sz="8" w:space="0" w:color="E0E5EE" w:themeColor="accent3" w:themeTint="BF"/>
          <w:right w:val="single" w:sz="8" w:space="0" w:color="E0E5EE" w:themeColor="accent3" w:themeTint="BF"/>
          <w:insideH w:val="nil"/>
          <w:insideV w:val="nil"/>
        </w:tcBorders>
        <w:shd w:val="clear" w:color="auto" w:fill="D7DDE9" w:themeFill="accent3"/>
      </w:tcPr>
    </w:tblStylePr>
    <w:tblStylePr w:type="lastRow">
      <w:pPr>
        <w:spacing w:before="0" w:after="0" w:line="240" w:lineRule="auto"/>
      </w:pPr>
      <w:rPr>
        <w:rFonts w:ascii="Calibri" w:hAnsi="Calibri"/>
        <w:b/>
        <w:bCs/>
        <w:sz w:val="20"/>
      </w:rPr>
    </w:tblStylePr>
    <w:tblStylePr w:type="firstCol">
      <w:pPr>
        <w:jc w:val="left"/>
      </w:pPr>
      <w:rPr>
        <w:rFonts w:ascii="Calibri" w:hAnsi="Calibri"/>
        <w:b/>
        <w:bCs/>
        <w:sz w:val="20"/>
      </w:rPr>
    </w:tblStylePr>
    <w:tblStylePr w:type="lastCol">
      <w:pPr>
        <w:jc w:val="right"/>
      </w:pPr>
      <w:rPr>
        <w:rFonts w:ascii="Calibri" w:hAnsi="Calibri"/>
        <w:b/>
        <w:bCs/>
        <w:sz w:val="20"/>
      </w:rPr>
    </w:tblStylePr>
    <w:tblStylePr w:type="band1Vert">
      <w:rPr>
        <w:rFonts w:ascii="Calibri" w:hAnsi="Calibri"/>
        <w:sz w:val="20"/>
      </w:rPr>
    </w:tblStylePr>
    <w:tblStylePr w:type="band1Horz">
      <w:rPr>
        <w:rFonts w:ascii="Calibri" w:hAnsi="Calibri"/>
        <w:sz w:val="20"/>
      </w:rPr>
    </w:tblStylePr>
    <w:tblStylePr w:type="band2Horz">
      <w:rPr>
        <w:rFonts w:ascii="Calibri" w:hAnsi="Calibri"/>
        <w:sz w:val="20"/>
      </w:rPr>
      <w:tblPr/>
      <w:tcPr>
        <w:tcBorders>
          <w:insideH w:val="nil"/>
          <w:insideV w:val="nil"/>
        </w:tcBorders>
      </w:tcPr>
    </w:tblStylePr>
  </w:style>
  <w:style w:type="table" w:styleId="LightGrid-Accent1">
    <w:name w:val="Light Grid Accent 1"/>
    <w:basedOn w:val="TableNormal"/>
    <w:uiPriority w:val="62"/>
    <w:rsid w:val="005C0528"/>
    <w:pPr>
      <w:spacing w:line="240" w:lineRule="auto"/>
    </w:pPr>
    <w:tblPr>
      <w:tblStyleRowBandSize w:val="1"/>
      <w:tblStyleColBandSize w:val="1"/>
      <w:tblBorders>
        <w:top w:val="single" w:sz="8" w:space="0" w:color="2B3B5F" w:themeColor="accent1"/>
        <w:left w:val="single" w:sz="8" w:space="0" w:color="2B3B5F" w:themeColor="accent1"/>
        <w:bottom w:val="single" w:sz="8" w:space="0" w:color="2B3B5F" w:themeColor="accent1"/>
        <w:right w:val="single" w:sz="8" w:space="0" w:color="2B3B5F" w:themeColor="accent1"/>
        <w:insideH w:val="single" w:sz="8" w:space="0" w:color="2B3B5F" w:themeColor="accent1"/>
        <w:insideV w:val="single" w:sz="8" w:space="0" w:color="2B3B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3B5F" w:themeColor="accent1"/>
          <w:left w:val="single" w:sz="8" w:space="0" w:color="2B3B5F" w:themeColor="accent1"/>
          <w:bottom w:val="single" w:sz="18" w:space="0" w:color="2B3B5F" w:themeColor="accent1"/>
          <w:right w:val="single" w:sz="8" w:space="0" w:color="2B3B5F" w:themeColor="accent1"/>
          <w:insideH w:val="nil"/>
          <w:insideV w:val="single" w:sz="8" w:space="0" w:color="2B3B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3B5F" w:themeColor="accent1"/>
          <w:left w:val="single" w:sz="8" w:space="0" w:color="2B3B5F" w:themeColor="accent1"/>
          <w:bottom w:val="single" w:sz="8" w:space="0" w:color="2B3B5F" w:themeColor="accent1"/>
          <w:right w:val="single" w:sz="8" w:space="0" w:color="2B3B5F" w:themeColor="accent1"/>
          <w:insideH w:val="nil"/>
          <w:insideV w:val="single" w:sz="8" w:space="0" w:color="2B3B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3B5F" w:themeColor="accent1"/>
          <w:left w:val="single" w:sz="8" w:space="0" w:color="2B3B5F" w:themeColor="accent1"/>
          <w:bottom w:val="single" w:sz="8" w:space="0" w:color="2B3B5F" w:themeColor="accent1"/>
          <w:right w:val="single" w:sz="8" w:space="0" w:color="2B3B5F" w:themeColor="accent1"/>
        </w:tcBorders>
      </w:tcPr>
    </w:tblStylePr>
    <w:tblStylePr w:type="band1Vert">
      <w:tblPr/>
      <w:tcPr>
        <w:tcBorders>
          <w:top w:val="single" w:sz="8" w:space="0" w:color="2B3B5F" w:themeColor="accent1"/>
          <w:left w:val="single" w:sz="8" w:space="0" w:color="2B3B5F" w:themeColor="accent1"/>
          <w:bottom w:val="single" w:sz="8" w:space="0" w:color="2B3B5F" w:themeColor="accent1"/>
          <w:right w:val="single" w:sz="8" w:space="0" w:color="2B3B5F" w:themeColor="accent1"/>
        </w:tcBorders>
        <w:shd w:val="clear" w:color="auto" w:fill="BFCAE2" w:themeFill="accent1" w:themeFillTint="3F"/>
      </w:tcPr>
    </w:tblStylePr>
    <w:tblStylePr w:type="band1Horz">
      <w:tblPr/>
      <w:tcPr>
        <w:tcBorders>
          <w:top w:val="single" w:sz="8" w:space="0" w:color="2B3B5F" w:themeColor="accent1"/>
          <w:left w:val="single" w:sz="8" w:space="0" w:color="2B3B5F" w:themeColor="accent1"/>
          <w:bottom w:val="single" w:sz="8" w:space="0" w:color="2B3B5F" w:themeColor="accent1"/>
          <w:right w:val="single" w:sz="8" w:space="0" w:color="2B3B5F" w:themeColor="accent1"/>
          <w:insideV w:val="single" w:sz="8" w:space="0" w:color="2B3B5F" w:themeColor="accent1"/>
        </w:tcBorders>
        <w:shd w:val="clear" w:color="auto" w:fill="BFCAE2" w:themeFill="accent1" w:themeFillTint="3F"/>
      </w:tcPr>
    </w:tblStylePr>
    <w:tblStylePr w:type="band2Horz">
      <w:tblPr/>
      <w:tcPr>
        <w:tcBorders>
          <w:top w:val="single" w:sz="8" w:space="0" w:color="2B3B5F" w:themeColor="accent1"/>
          <w:left w:val="single" w:sz="8" w:space="0" w:color="2B3B5F" w:themeColor="accent1"/>
          <w:bottom w:val="single" w:sz="8" w:space="0" w:color="2B3B5F" w:themeColor="accent1"/>
          <w:right w:val="single" w:sz="8" w:space="0" w:color="2B3B5F" w:themeColor="accent1"/>
          <w:insideV w:val="single" w:sz="8" w:space="0" w:color="2B3B5F" w:themeColor="accent1"/>
        </w:tcBorders>
      </w:tcPr>
    </w:tblStylePr>
  </w:style>
  <w:style w:type="table" w:styleId="LightShading">
    <w:name w:val="Light Shading"/>
    <w:basedOn w:val="TableNormal"/>
    <w:uiPriority w:val="60"/>
    <w:rsid w:val="005C052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C0528"/>
    <w:pPr>
      <w:spacing w:line="240" w:lineRule="auto"/>
    </w:pPr>
    <w:rPr>
      <w:color w:val="202C47" w:themeColor="accent1" w:themeShade="BF"/>
    </w:rPr>
    <w:tblPr>
      <w:tblStyleRowBandSize w:val="1"/>
      <w:tblStyleColBandSize w:val="1"/>
      <w:tblBorders>
        <w:top w:val="single" w:sz="8" w:space="0" w:color="2B3B5F" w:themeColor="accent1"/>
        <w:bottom w:val="single" w:sz="8" w:space="0" w:color="2B3B5F" w:themeColor="accent1"/>
      </w:tblBorders>
    </w:tblPr>
    <w:tblStylePr w:type="firstRow">
      <w:pPr>
        <w:spacing w:before="0" w:after="0" w:line="240" w:lineRule="auto"/>
      </w:pPr>
      <w:rPr>
        <w:b/>
        <w:bCs/>
      </w:rPr>
      <w:tblPr/>
      <w:tcPr>
        <w:tcBorders>
          <w:top w:val="single" w:sz="8" w:space="0" w:color="2B3B5F" w:themeColor="accent1"/>
          <w:left w:val="nil"/>
          <w:bottom w:val="single" w:sz="8" w:space="0" w:color="2B3B5F" w:themeColor="accent1"/>
          <w:right w:val="nil"/>
          <w:insideH w:val="nil"/>
          <w:insideV w:val="nil"/>
        </w:tcBorders>
      </w:tcPr>
    </w:tblStylePr>
    <w:tblStylePr w:type="lastRow">
      <w:pPr>
        <w:spacing w:before="0" w:after="0" w:line="240" w:lineRule="auto"/>
      </w:pPr>
      <w:rPr>
        <w:b/>
        <w:bCs/>
      </w:rPr>
      <w:tblPr/>
      <w:tcPr>
        <w:tcBorders>
          <w:top w:val="single" w:sz="8" w:space="0" w:color="2B3B5F" w:themeColor="accent1"/>
          <w:left w:val="nil"/>
          <w:bottom w:val="single" w:sz="8" w:space="0" w:color="2B3B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AE2" w:themeFill="accent1" w:themeFillTint="3F"/>
      </w:tcPr>
    </w:tblStylePr>
    <w:tblStylePr w:type="band1Horz">
      <w:tblPr/>
      <w:tcPr>
        <w:tcBorders>
          <w:left w:val="nil"/>
          <w:right w:val="nil"/>
          <w:insideH w:val="nil"/>
          <w:insideV w:val="nil"/>
        </w:tcBorders>
        <w:shd w:val="clear" w:color="auto" w:fill="BFCAE2" w:themeFill="accent1" w:themeFillTint="3F"/>
      </w:tcPr>
    </w:tblStylePr>
  </w:style>
  <w:style w:type="table" w:styleId="LightShading-Accent2">
    <w:name w:val="Light Shading Accent 2"/>
    <w:basedOn w:val="TableNormal"/>
    <w:uiPriority w:val="60"/>
    <w:rsid w:val="005C0528"/>
    <w:pPr>
      <w:spacing w:line="240" w:lineRule="auto"/>
    </w:pPr>
    <w:rPr>
      <w:color w:val="5C73A7" w:themeColor="accent2" w:themeShade="BF"/>
    </w:rPr>
    <w:tblPr>
      <w:tblStyleRowBandSize w:val="1"/>
      <w:tblStyleColBandSize w:val="1"/>
      <w:tblBorders>
        <w:top w:val="single" w:sz="8" w:space="0" w:color="95A4C6" w:themeColor="accent2"/>
        <w:bottom w:val="single" w:sz="8" w:space="0" w:color="95A4C6" w:themeColor="accent2"/>
      </w:tblBorders>
    </w:tblPr>
    <w:tblStylePr w:type="firstRow">
      <w:pPr>
        <w:spacing w:before="0" w:after="0" w:line="240" w:lineRule="auto"/>
      </w:pPr>
      <w:rPr>
        <w:b/>
        <w:bCs/>
      </w:rPr>
      <w:tblPr/>
      <w:tcPr>
        <w:tcBorders>
          <w:top w:val="single" w:sz="8" w:space="0" w:color="95A4C6" w:themeColor="accent2"/>
          <w:left w:val="nil"/>
          <w:bottom w:val="single" w:sz="8" w:space="0" w:color="95A4C6" w:themeColor="accent2"/>
          <w:right w:val="nil"/>
          <w:insideH w:val="nil"/>
          <w:insideV w:val="nil"/>
        </w:tcBorders>
      </w:tcPr>
    </w:tblStylePr>
    <w:tblStylePr w:type="lastRow">
      <w:pPr>
        <w:spacing w:before="0" w:after="0" w:line="240" w:lineRule="auto"/>
      </w:pPr>
      <w:rPr>
        <w:b/>
        <w:bCs/>
      </w:rPr>
      <w:tblPr/>
      <w:tcPr>
        <w:tcBorders>
          <w:top w:val="single" w:sz="8" w:space="0" w:color="95A4C6" w:themeColor="accent2"/>
          <w:left w:val="nil"/>
          <w:bottom w:val="single" w:sz="8" w:space="0" w:color="95A4C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8F1" w:themeFill="accent2" w:themeFillTint="3F"/>
      </w:tcPr>
    </w:tblStylePr>
    <w:tblStylePr w:type="band1Horz">
      <w:tblPr/>
      <w:tcPr>
        <w:tcBorders>
          <w:left w:val="nil"/>
          <w:right w:val="nil"/>
          <w:insideH w:val="nil"/>
          <w:insideV w:val="nil"/>
        </w:tcBorders>
        <w:shd w:val="clear" w:color="auto" w:fill="E4E8F1" w:themeFill="accent2" w:themeFillTint="3F"/>
      </w:tcPr>
    </w:tblStylePr>
  </w:style>
  <w:style w:type="table" w:styleId="LightGrid">
    <w:name w:val="Light Grid"/>
    <w:basedOn w:val="TableNormal"/>
    <w:uiPriority w:val="62"/>
    <w:rsid w:val="005C052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5C0528"/>
    <w:pPr>
      <w:spacing w:line="240" w:lineRule="auto"/>
    </w:pPr>
    <w:tblPr>
      <w:tblStyleRowBandSize w:val="1"/>
      <w:tblStyleColBandSize w:val="1"/>
      <w:tblBorders>
        <w:top w:val="single" w:sz="8" w:space="0" w:color="95A4C6" w:themeColor="accent2"/>
        <w:left w:val="single" w:sz="8" w:space="0" w:color="95A4C6" w:themeColor="accent2"/>
        <w:bottom w:val="single" w:sz="8" w:space="0" w:color="95A4C6" w:themeColor="accent2"/>
        <w:right w:val="single" w:sz="8" w:space="0" w:color="95A4C6" w:themeColor="accent2"/>
        <w:insideH w:val="single" w:sz="8" w:space="0" w:color="95A4C6" w:themeColor="accent2"/>
        <w:insideV w:val="single" w:sz="8" w:space="0" w:color="95A4C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A4C6" w:themeColor="accent2"/>
          <w:left w:val="single" w:sz="8" w:space="0" w:color="95A4C6" w:themeColor="accent2"/>
          <w:bottom w:val="single" w:sz="18" w:space="0" w:color="95A4C6" w:themeColor="accent2"/>
          <w:right w:val="single" w:sz="8" w:space="0" w:color="95A4C6" w:themeColor="accent2"/>
          <w:insideH w:val="nil"/>
          <w:insideV w:val="single" w:sz="8" w:space="0" w:color="95A4C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A4C6" w:themeColor="accent2"/>
          <w:left w:val="single" w:sz="8" w:space="0" w:color="95A4C6" w:themeColor="accent2"/>
          <w:bottom w:val="single" w:sz="8" w:space="0" w:color="95A4C6" w:themeColor="accent2"/>
          <w:right w:val="single" w:sz="8" w:space="0" w:color="95A4C6" w:themeColor="accent2"/>
          <w:insideH w:val="nil"/>
          <w:insideV w:val="single" w:sz="8" w:space="0" w:color="95A4C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A4C6" w:themeColor="accent2"/>
          <w:left w:val="single" w:sz="8" w:space="0" w:color="95A4C6" w:themeColor="accent2"/>
          <w:bottom w:val="single" w:sz="8" w:space="0" w:color="95A4C6" w:themeColor="accent2"/>
          <w:right w:val="single" w:sz="8" w:space="0" w:color="95A4C6" w:themeColor="accent2"/>
        </w:tcBorders>
      </w:tcPr>
    </w:tblStylePr>
    <w:tblStylePr w:type="band1Vert">
      <w:tblPr/>
      <w:tcPr>
        <w:tcBorders>
          <w:top w:val="single" w:sz="8" w:space="0" w:color="95A4C6" w:themeColor="accent2"/>
          <w:left w:val="single" w:sz="8" w:space="0" w:color="95A4C6" w:themeColor="accent2"/>
          <w:bottom w:val="single" w:sz="8" w:space="0" w:color="95A4C6" w:themeColor="accent2"/>
          <w:right w:val="single" w:sz="8" w:space="0" w:color="95A4C6" w:themeColor="accent2"/>
        </w:tcBorders>
        <w:shd w:val="clear" w:color="auto" w:fill="E4E8F1" w:themeFill="accent2" w:themeFillTint="3F"/>
      </w:tcPr>
    </w:tblStylePr>
    <w:tblStylePr w:type="band1Horz">
      <w:tblPr/>
      <w:tcPr>
        <w:tcBorders>
          <w:top w:val="single" w:sz="8" w:space="0" w:color="95A4C6" w:themeColor="accent2"/>
          <w:left w:val="single" w:sz="8" w:space="0" w:color="95A4C6" w:themeColor="accent2"/>
          <w:bottom w:val="single" w:sz="8" w:space="0" w:color="95A4C6" w:themeColor="accent2"/>
          <w:right w:val="single" w:sz="8" w:space="0" w:color="95A4C6" w:themeColor="accent2"/>
          <w:insideV w:val="single" w:sz="8" w:space="0" w:color="95A4C6" w:themeColor="accent2"/>
        </w:tcBorders>
        <w:shd w:val="clear" w:color="auto" w:fill="E4E8F1" w:themeFill="accent2" w:themeFillTint="3F"/>
      </w:tcPr>
    </w:tblStylePr>
    <w:tblStylePr w:type="band2Horz">
      <w:tblPr/>
      <w:tcPr>
        <w:tcBorders>
          <w:top w:val="single" w:sz="8" w:space="0" w:color="95A4C6" w:themeColor="accent2"/>
          <w:left w:val="single" w:sz="8" w:space="0" w:color="95A4C6" w:themeColor="accent2"/>
          <w:bottom w:val="single" w:sz="8" w:space="0" w:color="95A4C6" w:themeColor="accent2"/>
          <w:right w:val="single" w:sz="8" w:space="0" w:color="95A4C6" w:themeColor="accent2"/>
          <w:insideV w:val="single" w:sz="8" w:space="0" w:color="95A4C6" w:themeColor="accent2"/>
        </w:tcBorders>
      </w:tcPr>
    </w:tblStylePr>
  </w:style>
  <w:style w:type="character" w:styleId="CommentReference">
    <w:name w:val="annotation reference"/>
    <w:basedOn w:val="DefaultParagraphFont"/>
    <w:semiHidden/>
    <w:unhideWhenUsed/>
    <w:rsid w:val="00FB7CCE"/>
    <w:rPr>
      <w:sz w:val="16"/>
      <w:szCs w:val="16"/>
    </w:rPr>
  </w:style>
  <w:style w:type="paragraph" w:styleId="CommentText">
    <w:name w:val="annotation text"/>
    <w:basedOn w:val="Normal"/>
    <w:link w:val="CommentTextChar"/>
    <w:semiHidden/>
    <w:unhideWhenUsed/>
    <w:rsid w:val="00FB7CCE"/>
    <w:pPr>
      <w:spacing w:line="240" w:lineRule="auto"/>
    </w:pPr>
    <w:rPr>
      <w:sz w:val="20"/>
      <w:szCs w:val="20"/>
    </w:rPr>
  </w:style>
  <w:style w:type="character" w:customStyle="1" w:styleId="CommentTextChar">
    <w:name w:val="Comment Text Char"/>
    <w:basedOn w:val="DefaultParagraphFont"/>
    <w:link w:val="CommentText"/>
    <w:semiHidden/>
    <w:rsid w:val="00FB7CCE"/>
    <w:rPr>
      <w:sz w:val="20"/>
      <w:szCs w:val="20"/>
    </w:rPr>
  </w:style>
  <w:style w:type="paragraph" w:styleId="CommentSubject">
    <w:name w:val="annotation subject"/>
    <w:basedOn w:val="CommentText"/>
    <w:next w:val="CommentText"/>
    <w:link w:val="CommentSubjectChar"/>
    <w:semiHidden/>
    <w:unhideWhenUsed/>
    <w:rsid w:val="00FB7CCE"/>
    <w:rPr>
      <w:b/>
      <w:bCs/>
    </w:rPr>
  </w:style>
  <w:style w:type="character" w:customStyle="1" w:styleId="CommentSubjectChar">
    <w:name w:val="Comment Subject Char"/>
    <w:basedOn w:val="CommentTextChar"/>
    <w:link w:val="CommentSubject"/>
    <w:semiHidden/>
    <w:rsid w:val="00FB7CC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qFormat="1"/>
    <w:lsdException w:name="heading 3" w:qFormat="1"/>
    <w:lsdException w:name="heading 4" w:qFormat="1"/>
    <w:lsdException w:name="heading 7" w:qFormat="1"/>
    <w:lsdException w:name="heading 8" w:uiPriority="31" w:qFormat="1"/>
    <w:lsdException w:name="heading 9" w:uiPriority="32"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112F1F"/>
  </w:style>
  <w:style w:type="paragraph" w:styleId="Heading1">
    <w:name w:val="heading 1"/>
    <w:basedOn w:val="Normal"/>
    <w:next w:val="BodyText"/>
    <w:link w:val="Heading1Char"/>
    <w:uiPriority w:val="9"/>
    <w:qFormat/>
    <w:rsid w:val="0046444F"/>
    <w:pPr>
      <w:keepNext/>
      <w:keepLines/>
      <w:numPr>
        <w:numId w:val="10"/>
      </w:numPr>
      <w:tabs>
        <w:tab w:val="right" w:pos="1418"/>
        <w:tab w:val="right" w:pos="1701"/>
        <w:tab w:val="right" w:pos="1985"/>
      </w:tabs>
      <w:spacing w:before="470" w:after="228"/>
      <w:outlineLvl w:val="0"/>
    </w:pPr>
    <w:rPr>
      <w:rFonts w:asciiTheme="majorHAnsi" w:hAnsiTheme="majorHAnsi"/>
      <w:bCs/>
      <w:color w:val="2B3B5F" w:themeColor="text2"/>
      <w:spacing w:val="-6"/>
      <w:kern w:val="32"/>
      <w:sz w:val="32"/>
      <w:szCs w:val="32"/>
    </w:rPr>
  </w:style>
  <w:style w:type="paragraph" w:styleId="Heading2">
    <w:name w:val="heading 2"/>
    <w:basedOn w:val="Normal"/>
    <w:next w:val="BodyText"/>
    <w:link w:val="Heading2Char"/>
    <w:uiPriority w:val="2"/>
    <w:qFormat/>
    <w:rsid w:val="00CA06C8"/>
    <w:pPr>
      <w:keepNext/>
      <w:keepLines/>
      <w:numPr>
        <w:ilvl w:val="1"/>
        <w:numId w:val="10"/>
      </w:numPr>
      <w:tabs>
        <w:tab w:val="left" w:pos="1418"/>
        <w:tab w:val="left" w:pos="1701"/>
        <w:tab w:val="left" w:pos="1985"/>
      </w:tabs>
      <w:spacing w:before="470" w:after="227"/>
      <w:outlineLvl w:val="1"/>
    </w:pPr>
    <w:rPr>
      <w:rFonts w:ascii="Calibri" w:hAnsi="Calibri"/>
      <w:b/>
      <w:bCs/>
      <w:iCs/>
      <w:color w:val="2B3B5F" w:themeColor="text2"/>
      <w:kern w:val="20"/>
      <w:sz w:val="24"/>
      <w:szCs w:val="28"/>
    </w:rPr>
  </w:style>
  <w:style w:type="paragraph" w:styleId="Heading3">
    <w:name w:val="heading 3"/>
    <w:basedOn w:val="Normal"/>
    <w:next w:val="BodyText"/>
    <w:link w:val="Heading3Char"/>
    <w:uiPriority w:val="3"/>
    <w:qFormat/>
    <w:rsid w:val="00CA06C8"/>
    <w:pPr>
      <w:keepNext/>
      <w:keepLines/>
      <w:numPr>
        <w:ilvl w:val="2"/>
        <w:numId w:val="10"/>
      </w:numPr>
      <w:tabs>
        <w:tab w:val="left" w:pos="1418"/>
        <w:tab w:val="left" w:pos="1701"/>
        <w:tab w:val="left" w:pos="1985"/>
      </w:tabs>
      <w:spacing w:before="470" w:after="227"/>
      <w:outlineLvl w:val="2"/>
    </w:pPr>
    <w:rPr>
      <w:i/>
      <w:color w:val="2B3B5F" w:themeColor="text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788184"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2D239A"/>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32"/>
    </w:rPr>
  </w:style>
  <w:style w:type="paragraph" w:styleId="Heading9">
    <w:name w:val="heading 9"/>
    <w:aliases w:val="Attachment Heading 1"/>
    <w:basedOn w:val="Normal"/>
    <w:next w:val="BodyText"/>
    <w:link w:val="Heading9Char"/>
    <w:uiPriority w:val="32"/>
    <w:qFormat/>
    <w:rsid w:val="002D239A"/>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7C19C3"/>
    <w:pPr>
      <w:spacing w:before="113" w:after="113"/>
    </w:pPr>
    <w:rPr>
      <w:rFonts w:cs="Times New Roman"/>
      <w:spacing w:val="-1"/>
    </w:rPr>
  </w:style>
  <w:style w:type="character" w:customStyle="1" w:styleId="BodyTextChar">
    <w:name w:val="Body Text Char"/>
    <w:basedOn w:val="DefaultParagraphFont"/>
    <w:link w:val="BodyText"/>
    <w:uiPriority w:val="5"/>
    <w:rsid w:val="00AC41CF"/>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9"/>
    <w:rsid w:val="00112F1F"/>
    <w:rPr>
      <w:rFonts w:asciiTheme="majorHAnsi" w:hAnsiTheme="majorHAnsi"/>
      <w:bCs/>
      <w:color w:val="2B3B5F" w:themeColor="text2"/>
      <w:spacing w:val="-6"/>
      <w:kern w:val="32"/>
      <w:sz w:val="32"/>
      <w:szCs w:val="32"/>
    </w:rPr>
  </w:style>
  <w:style w:type="character" w:customStyle="1" w:styleId="Heading2Char">
    <w:name w:val="Heading 2 Char"/>
    <w:basedOn w:val="DefaultParagraphFont"/>
    <w:link w:val="Heading2"/>
    <w:uiPriority w:val="2"/>
    <w:rsid w:val="00112F1F"/>
    <w:rPr>
      <w:rFonts w:ascii="Calibri" w:hAnsi="Calibri"/>
      <w:b/>
      <w:bCs/>
      <w:iCs/>
      <w:color w:val="2B3B5F" w:themeColor="text2"/>
      <w:kern w:val="20"/>
      <w:sz w:val="24"/>
      <w:szCs w:val="28"/>
    </w:rPr>
  </w:style>
  <w:style w:type="character" w:customStyle="1" w:styleId="Heading3Char">
    <w:name w:val="Heading 3 Char"/>
    <w:basedOn w:val="DefaultParagraphFont"/>
    <w:link w:val="Heading3"/>
    <w:uiPriority w:val="3"/>
    <w:rsid w:val="00AC41CF"/>
    <w:rPr>
      <w:i/>
      <w:color w:val="2B3B5F" w:themeColor="text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788184"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89737A"/>
    <w:rPr>
      <w:rFonts w:asciiTheme="majorHAnsi" w:eastAsiaTheme="majorEastAsia" w:hAnsiTheme="majorHAnsi" w:cstheme="majorBidi"/>
      <w:color w:val="2B3B5F" w:themeColor="text2"/>
      <w:sz w:val="32"/>
    </w:rPr>
  </w:style>
  <w:style w:type="character" w:customStyle="1" w:styleId="Heading9Char">
    <w:name w:val="Heading 9 Char"/>
    <w:aliases w:val="Attachment Heading 1 Char"/>
    <w:basedOn w:val="DefaultParagraphFont"/>
    <w:link w:val="Heading9"/>
    <w:uiPriority w:val="32"/>
    <w:rsid w:val="0089737A"/>
    <w:rPr>
      <w:rFonts w:asciiTheme="majorHAnsi" w:hAnsiTheme="majorHAnsi"/>
      <w:color w:val="2B3B5F" w:themeColor="text2"/>
      <w:sz w:val="28"/>
    </w:rPr>
  </w:style>
  <w:style w:type="paragraph" w:customStyle="1" w:styleId="AttachmentHeading2">
    <w:name w:val="Attachment Heading 2"/>
    <w:basedOn w:val="Normal"/>
    <w:next w:val="BodyText"/>
    <w:uiPriority w:val="33"/>
    <w:qFormat/>
    <w:rsid w:val="008C1D6E"/>
    <w:pPr>
      <w:keepNext/>
      <w:keepLines/>
      <w:numPr>
        <w:ilvl w:val="2"/>
        <w:numId w:val="1"/>
      </w:numPr>
      <w:tabs>
        <w:tab w:val="left" w:pos="1559"/>
        <w:tab w:val="left" w:pos="1843"/>
        <w:tab w:val="left" w:pos="2126"/>
        <w:tab w:val="left" w:pos="2410"/>
      </w:tabs>
      <w:spacing w:before="470" w:after="227"/>
    </w:pPr>
    <w:rPr>
      <w:rFonts w:ascii="Calibri" w:hAnsi="Calibri"/>
      <w:b/>
      <w:color w:val="2B3B5F" w:themeColor="text2"/>
      <w:sz w:val="24"/>
    </w:rPr>
  </w:style>
  <w:style w:type="paragraph" w:customStyle="1" w:styleId="AttachmentHeading3">
    <w:name w:val="Attachment Heading 3"/>
    <w:basedOn w:val="Normal"/>
    <w:next w:val="BodyText"/>
    <w:uiPriority w:val="34"/>
    <w:qFormat/>
    <w:rsid w:val="008C1D6E"/>
    <w:pPr>
      <w:keepNext/>
      <w:keepLines/>
      <w:numPr>
        <w:ilvl w:val="3"/>
        <w:numId w:val="1"/>
      </w:numPr>
      <w:tabs>
        <w:tab w:val="left" w:pos="1559"/>
        <w:tab w:val="left" w:pos="1843"/>
        <w:tab w:val="left" w:pos="2126"/>
        <w:tab w:val="left" w:pos="2410"/>
        <w:tab w:val="left" w:pos="6804"/>
      </w:tabs>
      <w:spacing w:before="227" w:after="113"/>
    </w:pPr>
    <w:rPr>
      <w:i/>
      <w:color w:val="2B3B5F" w:themeColor="text2"/>
      <w:sz w:val="24"/>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961DBB"/>
    <w:pPr>
      <w:keepNext/>
      <w:spacing w:before="340" w:after="114"/>
    </w:pPr>
    <w:rPr>
      <w:b/>
      <w:bCs/>
      <w:color w:val="2B3B5F" w:themeColor="text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2B3B5F" w:themeColor="text2"/>
      <w:spacing w:val="-1"/>
    </w:rPr>
  </w:style>
  <w:style w:type="paragraph" w:customStyle="1" w:styleId="Introduction">
    <w:name w:val="Introduction"/>
    <w:basedOn w:val="Normal"/>
    <w:next w:val="BodyText"/>
    <w:uiPriority w:val="39"/>
    <w:rsid w:val="00961DBB"/>
    <w:pPr>
      <w:spacing w:after="180" w:line="360" w:lineRule="atLeast"/>
    </w:pPr>
    <w:rPr>
      <w:color w:val="2B3B5F" w:themeColor="text2"/>
      <w:spacing w:val="-2"/>
      <w:sz w:val="30"/>
    </w:rPr>
  </w:style>
  <w:style w:type="character" w:customStyle="1" w:styleId="Italics">
    <w:name w:val="Italics"/>
    <w:uiPriority w:val="39"/>
    <w:rsid w:val="00961DBB"/>
    <w:rPr>
      <w:i/>
    </w:rPr>
  </w:style>
  <w:style w:type="paragraph" w:styleId="ListBullet">
    <w:name w:val="List Bullet"/>
    <w:basedOn w:val="Normal"/>
    <w:qFormat/>
    <w:rsid w:val="00476133"/>
    <w:pPr>
      <w:keepLines/>
      <w:numPr>
        <w:numId w:val="2"/>
      </w:numPr>
      <w:spacing w:after="120"/>
    </w:pPr>
    <w:rPr>
      <w:spacing w:val="-1"/>
    </w:rPr>
  </w:style>
  <w:style w:type="paragraph" w:styleId="ListBullet2">
    <w:name w:val="List Bullet 2"/>
    <w:basedOn w:val="ListBullet"/>
    <w:qFormat/>
    <w:rsid w:val="00476133"/>
    <w:pPr>
      <w:numPr>
        <w:ilvl w:val="1"/>
      </w:numPr>
      <w:ind w:left="908" w:hanging="454"/>
    </w:pPr>
  </w:style>
  <w:style w:type="paragraph" w:styleId="ListBullet3">
    <w:name w:val="List Bullet 3"/>
    <w:basedOn w:val="ListBullet2"/>
    <w:qFormat/>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uiPriority w:val="24"/>
    <w:qFormat/>
    <w:rsid w:val="00476133"/>
    <w:pPr>
      <w:spacing w:before="120" w:after="120"/>
      <w:ind w:left="57" w:right="57"/>
    </w:pPr>
    <w:rPr>
      <w:spacing w:val="-1"/>
    </w:rPr>
  </w:style>
  <w:style w:type="paragraph" w:customStyle="1" w:styleId="PullOutBoxBullet">
    <w:name w:val="Pull Out Box Bullet"/>
    <w:basedOn w:val="PullOutBoxBodyText"/>
    <w:uiPriority w:val="25"/>
    <w:qFormat/>
    <w:rsid w:val="002B7964"/>
    <w:pPr>
      <w:numPr>
        <w:numId w:val="4"/>
      </w:numPr>
      <w:ind w:left="397"/>
    </w:pPr>
  </w:style>
  <w:style w:type="paragraph" w:customStyle="1" w:styleId="PullOutBoxBullet2">
    <w:name w:val="Pull Out Box Bullet 2"/>
    <w:basedOn w:val="PullOutBoxBodyText"/>
    <w:uiPriority w:val="26"/>
    <w:qFormat/>
    <w:rsid w:val="008112CC"/>
    <w:pPr>
      <w:numPr>
        <w:ilvl w:val="1"/>
        <w:numId w:val="4"/>
      </w:numPr>
      <w:ind w:left="737"/>
    </w:pPr>
  </w:style>
  <w:style w:type="paragraph" w:customStyle="1" w:styleId="PullOutBoxBullet3">
    <w:name w:val="Pull Out Box Bullet 3"/>
    <w:basedOn w:val="PullOutBoxBodyText"/>
    <w:uiPriority w:val="27"/>
    <w:qFormat/>
    <w:rsid w:val="00476133"/>
    <w:pPr>
      <w:numPr>
        <w:ilvl w:val="2"/>
        <w:numId w:val="4"/>
      </w:numPr>
      <w:ind w:left="1077"/>
    </w:pPr>
  </w:style>
  <w:style w:type="paragraph" w:customStyle="1" w:styleId="PullOutBoxHeading">
    <w:name w:val="Pull Out Box Heading"/>
    <w:basedOn w:val="PullOutBoxBodyText"/>
    <w:uiPriority w:val="23"/>
    <w:qFormat/>
    <w:rsid w:val="00476133"/>
    <w:pPr>
      <w:keepNext/>
      <w:keepLines/>
    </w:pPr>
    <w:rPr>
      <w:b/>
    </w:rPr>
  </w:style>
  <w:style w:type="paragraph" w:customStyle="1" w:styleId="PullOutBoxNumber">
    <w:name w:val="Pull Out Box Number"/>
    <w:basedOn w:val="PullOutBoxBodyText"/>
    <w:uiPriority w:val="28"/>
    <w:qFormat/>
    <w:rsid w:val="00476133"/>
    <w:pPr>
      <w:numPr>
        <w:numId w:val="5"/>
      </w:numPr>
      <w:ind w:left="397"/>
    </w:pPr>
  </w:style>
  <w:style w:type="paragraph" w:customStyle="1" w:styleId="PullOutBoxNumber2">
    <w:name w:val="Pull Out Box Number 2"/>
    <w:basedOn w:val="PullOutBoxBodyText"/>
    <w:uiPriority w:val="29"/>
    <w:qFormat/>
    <w:rsid w:val="008112CC"/>
    <w:pPr>
      <w:numPr>
        <w:ilvl w:val="1"/>
        <w:numId w:val="5"/>
      </w:numPr>
      <w:ind w:left="737"/>
    </w:pPr>
  </w:style>
  <w:style w:type="paragraph" w:customStyle="1" w:styleId="PullOutBoxNumber3">
    <w:name w:val="Pull Out Box Number 3"/>
    <w:basedOn w:val="PullOutBoxBodyText"/>
    <w:uiPriority w:val="30"/>
    <w:qFormat/>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uiPriority w:val="39"/>
    <w:rsid w:val="00E45766"/>
    <w:rPr>
      <w:color w:val="751D71"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56001A"/>
    <w:pPr>
      <w:keepLines/>
      <w:numPr>
        <w:numId w:val="7"/>
      </w:numPr>
      <w:spacing w:after="50" w:line="260" w:lineRule="atLeast"/>
      <w:ind w:left="284" w:hanging="284"/>
      <w:contextualSpacing/>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2B3B5F"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2B3B5F"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2B3B5F"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181E32"/>
    <w:pPr>
      <w:spacing w:line="240" w:lineRule="auto"/>
    </w:pPr>
    <w:rPr>
      <w:sz w:val="20"/>
    </w:rPr>
    <w:tblPr>
      <w:tblStyleRowBandSize w:val="1"/>
      <w:tblStyleColBandSize w:val="1"/>
      <w:tblBorders>
        <w:top w:val="single" w:sz="4" w:space="0" w:color="788184" w:themeColor="accent6"/>
        <w:left w:val="single" w:sz="4" w:space="0" w:color="788184" w:themeColor="accent6"/>
        <w:bottom w:val="single" w:sz="4" w:space="0" w:color="788184" w:themeColor="accent6"/>
        <w:right w:val="single" w:sz="4" w:space="0" w:color="788184" w:themeColor="accent6"/>
        <w:insideH w:val="single" w:sz="4" w:space="0" w:color="788184" w:themeColor="accent6"/>
        <w:insideV w:val="single" w:sz="4" w:space="0" w:color="788184" w:themeColor="accent6"/>
      </w:tblBorders>
    </w:tblPr>
    <w:tblStylePr w:type="firstRow">
      <w:pPr>
        <w:spacing w:before="0" w:after="0" w:line="240" w:lineRule="auto"/>
        <w:jc w:val="right"/>
      </w:pPr>
      <w:rPr>
        <w:rFonts w:ascii="Calibri" w:eastAsiaTheme="majorEastAsia" w:hAnsi="Calibri" w:cstheme="majorBidi"/>
        <w:b w:val="0"/>
        <w:bCs/>
        <w:sz w:val="20"/>
      </w:rPr>
      <w:tblPr/>
      <w:tcPr>
        <w:shd w:val="clear" w:color="auto" w:fill="D7DDE9" w:themeFill="accent3"/>
      </w:tcPr>
    </w:tblStylePr>
    <w:tblStylePr w:type="lastRow">
      <w:pPr>
        <w:spacing w:before="0" w:after="0" w:line="240" w:lineRule="auto"/>
      </w:pPr>
      <w:rPr>
        <w:rFonts w:ascii="Calibri" w:eastAsiaTheme="majorEastAsia" w:hAnsi="Calibri" w:cstheme="majorBidi"/>
        <w:b/>
        <w:bCs/>
        <w:sz w:val="20"/>
      </w:rPr>
      <w:tblPr/>
      <w:tcPr>
        <w:shd w:val="clear" w:color="auto" w:fill="D7DDE9" w:themeFill="accent3"/>
      </w:tcPr>
    </w:tblStylePr>
    <w:tblStylePr w:type="firstCol">
      <w:pPr>
        <w:jc w:val="left"/>
      </w:pPr>
      <w:rPr>
        <w:rFonts w:ascii="Calibri" w:eastAsiaTheme="majorEastAsia" w:hAnsi="Calibri" w:cstheme="majorBidi"/>
        <w:b w:val="0"/>
        <w:bCs/>
        <w:sz w:val="20"/>
      </w:rPr>
      <w:tblPr/>
      <w:tcPr>
        <w:tcBorders>
          <w:top w:val="single" w:sz="4" w:space="0" w:color="788184" w:themeColor="accent6"/>
          <w:left w:val="single" w:sz="4" w:space="0" w:color="788184" w:themeColor="accent6"/>
          <w:bottom w:val="single" w:sz="4" w:space="0" w:color="788184" w:themeColor="accent6"/>
          <w:right w:val="single" w:sz="4" w:space="0" w:color="788184" w:themeColor="accent6"/>
          <w:insideH w:val="single" w:sz="4" w:space="0" w:color="788184" w:themeColor="accent6"/>
          <w:insideV w:val="single" w:sz="4" w:space="0" w:color="788184" w:themeColor="accent6"/>
        </w:tcBorders>
        <w:vAlign w:val="center"/>
      </w:tcPr>
    </w:tblStylePr>
    <w:tblStylePr w:type="lastCol">
      <w:pPr>
        <w:jc w:val="right"/>
      </w:pPr>
      <w:rPr>
        <w:rFonts w:ascii="Calibri" w:eastAsiaTheme="majorEastAsia" w:hAnsi="Calibri" w:cstheme="majorBidi"/>
        <w:b/>
        <w:bCs/>
        <w:sz w:val="20"/>
      </w:rPr>
      <w:tblPr/>
      <w:tcPr>
        <w:tcBorders>
          <w:top w:val="single" w:sz="4" w:space="0" w:color="788184" w:themeColor="accent6"/>
          <w:left w:val="single" w:sz="4" w:space="0" w:color="788184" w:themeColor="accent6"/>
          <w:bottom w:val="single" w:sz="4" w:space="0" w:color="788184" w:themeColor="accent6"/>
          <w:right w:val="single" w:sz="4" w:space="0" w:color="788184" w:themeColor="accent6"/>
          <w:insideH w:val="single" w:sz="4" w:space="0" w:color="788184" w:themeColor="accent6"/>
          <w:insideV w:val="single" w:sz="4" w:space="0" w:color="788184" w:themeColor="accent6"/>
        </w:tcBorders>
        <w:vAlign w:val="center"/>
      </w:tcPr>
    </w:tblStylePr>
    <w:tblStylePr w:type="band1Vert">
      <w:pPr>
        <w:jc w:val="right"/>
      </w:pPr>
      <w:rPr>
        <w:rFonts w:ascii="Calibri" w:hAnsi="Calibri"/>
        <w:sz w:val="20"/>
      </w:rPr>
      <w:tblPr/>
      <w:tcPr>
        <w:vAlign w:val="center"/>
      </w:tcPr>
    </w:tblStylePr>
    <w:tblStylePr w:type="band2Vert">
      <w:pPr>
        <w:jc w:val="right"/>
      </w:pPr>
      <w:tblPr/>
      <w:tcPr>
        <w:vAlign w:val="center"/>
      </w:tcPr>
    </w:tblStylePr>
    <w:tblStylePr w:type="band1Horz">
      <w:pPr>
        <w:jc w:val="right"/>
      </w:pPr>
      <w:rPr>
        <w:rFonts w:ascii="Calibri" w:hAnsi="Calibri"/>
        <w:sz w:val="20"/>
      </w:rPr>
      <w:tblPr/>
      <w:tcPr>
        <w:vAlign w:val="center"/>
      </w:tcPr>
    </w:tblStylePr>
    <w:tblStylePr w:type="band2Horz">
      <w:pPr>
        <w:jc w:val="right"/>
      </w:pPr>
      <w:rPr>
        <w:rFonts w:ascii="Calibri" w:hAnsi="Calibri"/>
        <w:sz w:val="20"/>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vAlign w:val="center"/>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D7DDE9" w:themeColor="accent3"/>
        <w:left w:val="single" w:sz="8" w:space="0" w:color="D7DDE9" w:themeColor="accent3"/>
        <w:bottom w:val="single" w:sz="8" w:space="0" w:color="D7DDE9" w:themeColor="accent3"/>
        <w:right w:val="single" w:sz="8" w:space="0" w:color="D7DDE9" w:themeColor="accent3"/>
        <w:insideH w:val="single" w:sz="8" w:space="0" w:color="D7DDE9" w:themeColor="accent3"/>
        <w:insideV w:val="single" w:sz="8" w:space="0" w:color="D7DDE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18" w:space="0" w:color="D7DDE9" w:themeColor="accent3"/>
          <w:right w:val="single" w:sz="8" w:space="0" w:color="D7DDE9" w:themeColor="accent3"/>
          <w:insideH w:val="nil"/>
          <w:insideV w:val="single" w:sz="8" w:space="0" w:color="D7DDE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DE9" w:themeColor="accent3"/>
          <w:left w:val="single" w:sz="8" w:space="0" w:color="D7DDE9" w:themeColor="accent3"/>
          <w:bottom w:val="single" w:sz="8" w:space="0" w:color="D7DDE9" w:themeColor="accent3"/>
          <w:right w:val="single" w:sz="8" w:space="0" w:color="D7DDE9" w:themeColor="accent3"/>
          <w:insideH w:val="nil"/>
          <w:insideV w:val="single" w:sz="8" w:space="0" w:color="D7DDE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tcPr>
    </w:tblStylePr>
    <w:tblStylePr w:type="band1Vert">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shd w:val="clear" w:color="auto" w:fill="F5F6F9" w:themeFill="accent3" w:themeFillTint="3F"/>
      </w:tcPr>
    </w:tblStylePr>
    <w:tblStylePr w:type="band1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shd w:val="clear" w:color="auto" w:fill="F5F6F9" w:themeFill="accent3" w:themeFillTint="3F"/>
      </w:tcPr>
    </w:tblStylePr>
    <w:tblStylePr w:type="band2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tcPr>
    </w:tblStylePr>
  </w:style>
  <w:style w:type="paragraph" w:customStyle="1" w:styleId="Lettertext">
    <w:name w:val="Letter text"/>
    <w:basedOn w:val="BodyText"/>
    <w:qFormat/>
    <w:rsid w:val="00E64480"/>
    <w:pPr>
      <w:spacing w:before="240" w:after="0"/>
    </w:pPr>
    <w:rPr>
      <w:rFonts w:ascii="Times New Roman" w:hAnsi="Times New Roman"/>
      <w:spacing w:val="0"/>
      <w:sz w:val="24"/>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000000"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Letterbullet">
    <w:name w:val="Letter bullet"/>
    <w:basedOn w:val="Lettertext"/>
    <w:uiPriority w:val="1"/>
    <w:qFormat/>
    <w:rsid w:val="00112F1F"/>
    <w:pPr>
      <w:numPr>
        <w:numId w:val="12"/>
      </w:numPr>
      <w:ind w:left="284" w:hanging="284"/>
    </w:pPr>
  </w:style>
  <w:style w:type="table" w:styleId="MediumShading1-Accent3">
    <w:name w:val="Medium Shading 1 Accent 3"/>
    <w:basedOn w:val="TableNormal"/>
    <w:uiPriority w:val="63"/>
    <w:rsid w:val="005C0528"/>
    <w:pPr>
      <w:spacing w:line="240" w:lineRule="auto"/>
      <w:jc w:val="right"/>
    </w:pPr>
    <w:tblPr>
      <w:tblStyleRowBandSize w:val="1"/>
      <w:tblStyleColBandSize w:val="1"/>
      <w:tblBorders>
        <w:top w:val="single" w:sz="4" w:space="0" w:color="788184" w:themeColor="accent6"/>
        <w:left w:val="single" w:sz="4" w:space="0" w:color="788184" w:themeColor="accent6"/>
        <w:bottom w:val="single" w:sz="4" w:space="0" w:color="788184" w:themeColor="accent6"/>
        <w:right w:val="single" w:sz="4" w:space="0" w:color="788184" w:themeColor="accent6"/>
        <w:insideH w:val="single" w:sz="4" w:space="0" w:color="788184" w:themeColor="accent6"/>
        <w:insideV w:val="single" w:sz="4" w:space="0" w:color="788184" w:themeColor="accent6"/>
      </w:tblBorders>
    </w:tblPr>
    <w:tcPr>
      <w:vAlign w:val="center"/>
    </w:tcPr>
    <w:tblStylePr w:type="firstRow">
      <w:pPr>
        <w:spacing w:before="0" w:after="0" w:line="240" w:lineRule="auto"/>
      </w:pPr>
      <w:rPr>
        <w:rFonts w:ascii="Calibri" w:hAnsi="Calibri"/>
        <w:b/>
        <w:bCs/>
        <w:color w:val="000000" w:themeColor="text1"/>
        <w:sz w:val="20"/>
      </w:rPr>
      <w:tblPr/>
      <w:tcPr>
        <w:tcBorders>
          <w:top w:val="single" w:sz="8" w:space="0" w:color="E0E5EE" w:themeColor="accent3" w:themeTint="BF"/>
          <w:left w:val="single" w:sz="8" w:space="0" w:color="E0E5EE" w:themeColor="accent3" w:themeTint="BF"/>
          <w:bottom w:val="single" w:sz="8" w:space="0" w:color="E0E5EE" w:themeColor="accent3" w:themeTint="BF"/>
          <w:right w:val="single" w:sz="8" w:space="0" w:color="E0E5EE" w:themeColor="accent3" w:themeTint="BF"/>
          <w:insideH w:val="nil"/>
          <w:insideV w:val="nil"/>
        </w:tcBorders>
        <w:shd w:val="clear" w:color="auto" w:fill="D7DDE9" w:themeFill="accent3"/>
      </w:tcPr>
    </w:tblStylePr>
    <w:tblStylePr w:type="lastRow">
      <w:pPr>
        <w:spacing w:before="0" w:after="0" w:line="240" w:lineRule="auto"/>
      </w:pPr>
      <w:rPr>
        <w:rFonts w:ascii="Calibri" w:hAnsi="Calibri"/>
        <w:b/>
        <w:bCs/>
        <w:sz w:val="20"/>
      </w:rPr>
    </w:tblStylePr>
    <w:tblStylePr w:type="firstCol">
      <w:pPr>
        <w:jc w:val="left"/>
      </w:pPr>
      <w:rPr>
        <w:rFonts w:ascii="Calibri" w:hAnsi="Calibri"/>
        <w:b/>
        <w:bCs/>
        <w:sz w:val="20"/>
      </w:rPr>
    </w:tblStylePr>
    <w:tblStylePr w:type="lastCol">
      <w:pPr>
        <w:jc w:val="right"/>
      </w:pPr>
      <w:rPr>
        <w:rFonts w:ascii="Calibri" w:hAnsi="Calibri"/>
        <w:b/>
        <w:bCs/>
        <w:sz w:val="20"/>
      </w:rPr>
    </w:tblStylePr>
    <w:tblStylePr w:type="band1Vert">
      <w:rPr>
        <w:rFonts w:ascii="Calibri" w:hAnsi="Calibri"/>
        <w:sz w:val="20"/>
      </w:rPr>
    </w:tblStylePr>
    <w:tblStylePr w:type="band1Horz">
      <w:rPr>
        <w:rFonts w:ascii="Calibri" w:hAnsi="Calibri"/>
        <w:sz w:val="20"/>
      </w:rPr>
    </w:tblStylePr>
    <w:tblStylePr w:type="band2Horz">
      <w:rPr>
        <w:rFonts w:ascii="Calibri" w:hAnsi="Calibri"/>
        <w:sz w:val="20"/>
      </w:rPr>
      <w:tblPr/>
      <w:tcPr>
        <w:tcBorders>
          <w:insideH w:val="nil"/>
          <w:insideV w:val="nil"/>
        </w:tcBorders>
      </w:tcPr>
    </w:tblStylePr>
  </w:style>
  <w:style w:type="table" w:styleId="LightGrid-Accent1">
    <w:name w:val="Light Grid Accent 1"/>
    <w:basedOn w:val="TableNormal"/>
    <w:uiPriority w:val="62"/>
    <w:rsid w:val="005C0528"/>
    <w:pPr>
      <w:spacing w:line="240" w:lineRule="auto"/>
    </w:pPr>
    <w:tblPr>
      <w:tblStyleRowBandSize w:val="1"/>
      <w:tblStyleColBandSize w:val="1"/>
      <w:tblBorders>
        <w:top w:val="single" w:sz="8" w:space="0" w:color="2B3B5F" w:themeColor="accent1"/>
        <w:left w:val="single" w:sz="8" w:space="0" w:color="2B3B5F" w:themeColor="accent1"/>
        <w:bottom w:val="single" w:sz="8" w:space="0" w:color="2B3B5F" w:themeColor="accent1"/>
        <w:right w:val="single" w:sz="8" w:space="0" w:color="2B3B5F" w:themeColor="accent1"/>
        <w:insideH w:val="single" w:sz="8" w:space="0" w:color="2B3B5F" w:themeColor="accent1"/>
        <w:insideV w:val="single" w:sz="8" w:space="0" w:color="2B3B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3B5F" w:themeColor="accent1"/>
          <w:left w:val="single" w:sz="8" w:space="0" w:color="2B3B5F" w:themeColor="accent1"/>
          <w:bottom w:val="single" w:sz="18" w:space="0" w:color="2B3B5F" w:themeColor="accent1"/>
          <w:right w:val="single" w:sz="8" w:space="0" w:color="2B3B5F" w:themeColor="accent1"/>
          <w:insideH w:val="nil"/>
          <w:insideV w:val="single" w:sz="8" w:space="0" w:color="2B3B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3B5F" w:themeColor="accent1"/>
          <w:left w:val="single" w:sz="8" w:space="0" w:color="2B3B5F" w:themeColor="accent1"/>
          <w:bottom w:val="single" w:sz="8" w:space="0" w:color="2B3B5F" w:themeColor="accent1"/>
          <w:right w:val="single" w:sz="8" w:space="0" w:color="2B3B5F" w:themeColor="accent1"/>
          <w:insideH w:val="nil"/>
          <w:insideV w:val="single" w:sz="8" w:space="0" w:color="2B3B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3B5F" w:themeColor="accent1"/>
          <w:left w:val="single" w:sz="8" w:space="0" w:color="2B3B5F" w:themeColor="accent1"/>
          <w:bottom w:val="single" w:sz="8" w:space="0" w:color="2B3B5F" w:themeColor="accent1"/>
          <w:right w:val="single" w:sz="8" w:space="0" w:color="2B3B5F" w:themeColor="accent1"/>
        </w:tcBorders>
      </w:tcPr>
    </w:tblStylePr>
    <w:tblStylePr w:type="band1Vert">
      <w:tblPr/>
      <w:tcPr>
        <w:tcBorders>
          <w:top w:val="single" w:sz="8" w:space="0" w:color="2B3B5F" w:themeColor="accent1"/>
          <w:left w:val="single" w:sz="8" w:space="0" w:color="2B3B5F" w:themeColor="accent1"/>
          <w:bottom w:val="single" w:sz="8" w:space="0" w:color="2B3B5F" w:themeColor="accent1"/>
          <w:right w:val="single" w:sz="8" w:space="0" w:color="2B3B5F" w:themeColor="accent1"/>
        </w:tcBorders>
        <w:shd w:val="clear" w:color="auto" w:fill="BFCAE2" w:themeFill="accent1" w:themeFillTint="3F"/>
      </w:tcPr>
    </w:tblStylePr>
    <w:tblStylePr w:type="band1Horz">
      <w:tblPr/>
      <w:tcPr>
        <w:tcBorders>
          <w:top w:val="single" w:sz="8" w:space="0" w:color="2B3B5F" w:themeColor="accent1"/>
          <w:left w:val="single" w:sz="8" w:space="0" w:color="2B3B5F" w:themeColor="accent1"/>
          <w:bottom w:val="single" w:sz="8" w:space="0" w:color="2B3B5F" w:themeColor="accent1"/>
          <w:right w:val="single" w:sz="8" w:space="0" w:color="2B3B5F" w:themeColor="accent1"/>
          <w:insideV w:val="single" w:sz="8" w:space="0" w:color="2B3B5F" w:themeColor="accent1"/>
        </w:tcBorders>
        <w:shd w:val="clear" w:color="auto" w:fill="BFCAE2" w:themeFill="accent1" w:themeFillTint="3F"/>
      </w:tcPr>
    </w:tblStylePr>
    <w:tblStylePr w:type="band2Horz">
      <w:tblPr/>
      <w:tcPr>
        <w:tcBorders>
          <w:top w:val="single" w:sz="8" w:space="0" w:color="2B3B5F" w:themeColor="accent1"/>
          <w:left w:val="single" w:sz="8" w:space="0" w:color="2B3B5F" w:themeColor="accent1"/>
          <w:bottom w:val="single" w:sz="8" w:space="0" w:color="2B3B5F" w:themeColor="accent1"/>
          <w:right w:val="single" w:sz="8" w:space="0" w:color="2B3B5F" w:themeColor="accent1"/>
          <w:insideV w:val="single" w:sz="8" w:space="0" w:color="2B3B5F" w:themeColor="accent1"/>
        </w:tcBorders>
      </w:tcPr>
    </w:tblStylePr>
  </w:style>
  <w:style w:type="table" w:styleId="LightShading">
    <w:name w:val="Light Shading"/>
    <w:basedOn w:val="TableNormal"/>
    <w:uiPriority w:val="60"/>
    <w:rsid w:val="005C052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C0528"/>
    <w:pPr>
      <w:spacing w:line="240" w:lineRule="auto"/>
    </w:pPr>
    <w:rPr>
      <w:color w:val="202C47" w:themeColor="accent1" w:themeShade="BF"/>
    </w:rPr>
    <w:tblPr>
      <w:tblStyleRowBandSize w:val="1"/>
      <w:tblStyleColBandSize w:val="1"/>
      <w:tblBorders>
        <w:top w:val="single" w:sz="8" w:space="0" w:color="2B3B5F" w:themeColor="accent1"/>
        <w:bottom w:val="single" w:sz="8" w:space="0" w:color="2B3B5F" w:themeColor="accent1"/>
      </w:tblBorders>
    </w:tblPr>
    <w:tblStylePr w:type="firstRow">
      <w:pPr>
        <w:spacing w:before="0" w:after="0" w:line="240" w:lineRule="auto"/>
      </w:pPr>
      <w:rPr>
        <w:b/>
        <w:bCs/>
      </w:rPr>
      <w:tblPr/>
      <w:tcPr>
        <w:tcBorders>
          <w:top w:val="single" w:sz="8" w:space="0" w:color="2B3B5F" w:themeColor="accent1"/>
          <w:left w:val="nil"/>
          <w:bottom w:val="single" w:sz="8" w:space="0" w:color="2B3B5F" w:themeColor="accent1"/>
          <w:right w:val="nil"/>
          <w:insideH w:val="nil"/>
          <w:insideV w:val="nil"/>
        </w:tcBorders>
      </w:tcPr>
    </w:tblStylePr>
    <w:tblStylePr w:type="lastRow">
      <w:pPr>
        <w:spacing w:before="0" w:after="0" w:line="240" w:lineRule="auto"/>
      </w:pPr>
      <w:rPr>
        <w:b/>
        <w:bCs/>
      </w:rPr>
      <w:tblPr/>
      <w:tcPr>
        <w:tcBorders>
          <w:top w:val="single" w:sz="8" w:space="0" w:color="2B3B5F" w:themeColor="accent1"/>
          <w:left w:val="nil"/>
          <w:bottom w:val="single" w:sz="8" w:space="0" w:color="2B3B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AE2" w:themeFill="accent1" w:themeFillTint="3F"/>
      </w:tcPr>
    </w:tblStylePr>
    <w:tblStylePr w:type="band1Horz">
      <w:tblPr/>
      <w:tcPr>
        <w:tcBorders>
          <w:left w:val="nil"/>
          <w:right w:val="nil"/>
          <w:insideH w:val="nil"/>
          <w:insideV w:val="nil"/>
        </w:tcBorders>
        <w:shd w:val="clear" w:color="auto" w:fill="BFCAE2" w:themeFill="accent1" w:themeFillTint="3F"/>
      </w:tcPr>
    </w:tblStylePr>
  </w:style>
  <w:style w:type="table" w:styleId="LightShading-Accent2">
    <w:name w:val="Light Shading Accent 2"/>
    <w:basedOn w:val="TableNormal"/>
    <w:uiPriority w:val="60"/>
    <w:rsid w:val="005C0528"/>
    <w:pPr>
      <w:spacing w:line="240" w:lineRule="auto"/>
    </w:pPr>
    <w:rPr>
      <w:color w:val="5C73A7" w:themeColor="accent2" w:themeShade="BF"/>
    </w:rPr>
    <w:tblPr>
      <w:tblStyleRowBandSize w:val="1"/>
      <w:tblStyleColBandSize w:val="1"/>
      <w:tblBorders>
        <w:top w:val="single" w:sz="8" w:space="0" w:color="95A4C6" w:themeColor="accent2"/>
        <w:bottom w:val="single" w:sz="8" w:space="0" w:color="95A4C6" w:themeColor="accent2"/>
      </w:tblBorders>
    </w:tblPr>
    <w:tblStylePr w:type="firstRow">
      <w:pPr>
        <w:spacing w:before="0" w:after="0" w:line="240" w:lineRule="auto"/>
      </w:pPr>
      <w:rPr>
        <w:b/>
        <w:bCs/>
      </w:rPr>
      <w:tblPr/>
      <w:tcPr>
        <w:tcBorders>
          <w:top w:val="single" w:sz="8" w:space="0" w:color="95A4C6" w:themeColor="accent2"/>
          <w:left w:val="nil"/>
          <w:bottom w:val="single" w:sz="8" w:space="0" w:color="95A4C6" w:themeColor="accent2"/>
          <w:right w:val="nil"/>
          <w:insideH w:val="nil"/>
          <w:insideV w:val="nil"/>
        </w:tcBorders>
      </w:tcPr>
    </w:tblStylePr>
    <w:tblStylePr w:type="lastRow">
      <w:pPr>
        <w:spacing w:before="0" w:after="0" w:line="240" w:lineRule="auto"/>
      </w:pPr>
      <w:rPr>
        <w:b/>
        <w:bCs/>
      </w:rPr>
      <w:tblPr/>
      <w:tcPr>
        <w:tcBorders>
          <w:top w:val="single" w:sz="8" w:space="0" w:color="95A4C6" w:themeColor="accent2"/>
          <w:left w:val="nil"/>
          <w:bottom w:val="single" w:sz="8" w:space="0" w:color="95A4C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8F1" w:themeFill="accent2" w:themeFillTint="3F"/>
      </w:tcPr>
    </w:tblStylePr>
    <w:tblStylePr w:type="band1Horz">
      <w:tblPr/>
      <w:tcPr>
        <w:tcBorders>
          <w:left w:val="nil"/>
          <w:right w:val="nil"/>
          <w:insideH w:val="nil"/>
          <w:insideV w:val="nil"/>
        </w:tcBorders>
        <w:shd w:val="clear" w:color="auto" w:fill="E4E8F1" w:themeFill="accent2" w:themeFillTint="3F"/>
      </w:tcPr>
    </w:tblStylePr>
  </w:style>
  <w:style w:type="table" w:styleId="LightGrid">
    <w:name w:val="Light Grid"/>
    <w:basedOn w:val="TableNormal"/>
    <w:uiPriority w:val="62"/>
    <w:rsid w:val="005C052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5C0528"/>
    <w:pPr>
      <w:spacing w:line="240" w:lineRule="auto"/>
    </w:pPr>
    <w:tblPr>
      <w:tblStyleRowBandSize w:val="1"/>
      <w:tblStyleColBandSize w:val="1"/>
      <w:tblBorders>
        <w:top w:val="single" w:sz="8" w:space="0" w:color="95A4C6" w:themeColor="accent2"/>
        <w:left w:val="single" w:sz="8" w:space="0" w:color="95A4C6" w:themeColor="accent2"/>
        <w:bottom w:val="single" w:sz="8" w:space="0" w:color="95A4C6" w:themeColor="accent2"/>
        <w:right w:val="single" w:sz="8" w:space="0" w:color="95A4C6" w:themeColor="accent2"/>
        <w:insideH w:val="single" w:sz="8" w:space="0" w:color="95A4C6" w:themeColor="accent2"/>
        <w:insideV w:val="single" w:sz="8" w:space="0" w:color="95A4C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A4C6" w:themeColor="accent2"/>
          <w:left w:val="single" w:sz="8" w:space="0" w:color="95A4C6" w:themeColor="accent2"/>
          <w:bottom w:val="single" w:sz="18" w:space="0" w:color="95A4C6" w:themeColor="accent2"/>
          <w:right w:val="single" w:sz="8" w:space="0" w:color="95A4C6" w:themeColor="accent2"/>
          <w:insideH w:val="nil"/>
          <w:insideV w:val="single" w:sz="8" w:space="0" w:color="95A4C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A4C6" w:themeColor="accent2"/>
          <w:left w:val="single" w:sz="8" w:space="0" w:color="95A4C6" w:themeColor="accent2"/>
          <w:bottom w:val="single" w:sz="8" w:space="0" w:color="95A4C6" w:themeColor="accent2"/>
          <w:right w:val="single" w:sz="8" w:space="0" w:color="95A4C6" w:themeColor="accent2"/>
          <w:insideH w:val="nil"/>
          <w:insideV w:val="single" w:sz="8" w:space="0" w:color="95A4C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A4C6" w:themeColor="accent2"/>
          <w:left w:val="single" w:sz="8" w:space="0" w:color="95A4C6" w:themeColor="accent2"/>
          <w:bottom w:val="single" w:sz="8" w:space="0" w:color="95A4C6" w:themeColor="accent2"/>
          <w:right w:val="single" w:sz="8" w:space="0" w:color="95A4C6" w:themeColor="accent2"/>
        </w:tcBorders>
      </w:tcPr>
    </w:tblStylePr>
    <w:tblStylePr w:type="band1Vert">
      <w:tblPr/>
      <w:tcPr>
        <w:tcBorders>
          <w:top w:val="single" w:sz="8" w:space="0" w:color="95A4C6" w:themeColor="accent2"/>
          <w:left w:val="single" w:sz="8" w:space="0" w:color="95A4C6" w:themeColor="accent2"/>
          <w:bottom w:val="single" w:sz="8" w:space="0" w:color="95A4C6" w:themeColor="accent2"/>
          <w:right w:val="single" w:sz="8" w:space="0" w:color="95A4C6" w:themeColor="accent2"/>
        </w:tcBorders>
        <w:shd w:val="clear" w:color="auto" w:fill="E4E8F1" w:themeFill="accent2" w:themeFillTint="3F"/>
      </w:tcPr>
    </w:tblStylePr>
    <w:tblStylePr w:type="band1Horz">
      <w:tblPr/>
      <w:tcPr>
        <w:tcBorders>
          <w:top w:val="single" w:sz="8" w:space="0" w:color="95A4C6" w:themeColor="accent2"/>
          <w:left w:val="single" w:sz="8" w:space="0" w:color="95A4C6" w:themeColor="accent2"/>
          <w:bottom w:val="single" w:sz="8" w:space="0" w:color="95A4C6" w:themeColor="accent2"/>
          <w:right w:val="single" w:sz="8" w:space="0" w:color="95A4C6" w:themeColor="accent2"/>
          <w:insideV w:val="single" w:sz="8" w:space="0" w:color="95A4C6" w:themeColor="accent2"/>
        </w:tcBorders>
        <w:shd w:val="clear" w:color="auto" w:fill="E4E8F1" w:themeFill="accent2" w:themeFillTint="3F"/>
      </w:tcPr>
    </w:tblStylePr>
    <w:tblStylePr w:type="band2Horz">
      <w:tblPr/>
      <w:tcPr>
        <w:tcBorders>
          <w:top w:val="single" w:sz="8" w:space="0" w:color="95A4C6" w:themeColor="accent2"/>
          <w:left w:val="single" w:sz="8" w:space="0" w:color="95A4C6" w:themeColor="accent2"/>
          <w:bottom w:val="single" w:sz="8" w:space="0" w:color="95A4C6" w:themeColor="accent2"/>
          <w:right w:val="single" w:sz="8" w:space="0" w:color="95A4C6" w:themeColor="accent2"/>
          <w:insideV w:val="single" w:sz="8" w:space="0" w:color="95A4C6" w:themeColor="accent2"/>
        </w:tcBorders>
      </w:tcPr>
    </w:tblStylePr>
  </w:style>
  <w:style w:type="character" w:styleId="CommentReference">
    <w:name w:val="annotation reference"/>
    <w:basedOn w:val="DefaultParagraphFont"/>
    <w:semiHidden/>
    <w:unhideWhenUsed/>
    <w:rsid w:val="00FB7CCE"/>
    <w:rPr>
      <w:sz w:val="16"/>
      <w:szCs w:val="16"/>
    </w:rPr>
  </w:style>
  <w:style w:type="paragraph" w:styleId="CommentText">
    <w:name w:val="annotation text"/>
    <w:basedOn w:val="Normal"/>
    <w:link w:val="CommentTextChar"/>
    <w:semiHidden/>
    <w:unhideWhenUsed/>
    <w:rsid w:val="00FB7CCE"/>
    <w:pPr>
      <w:spacing w:line="240" w:lineRule="auto"/>
    </w:pPr>
    <w:rPr>
      <w:sz w:val="20"/>
      <w:szCs w:val="20"/>
    </w:rPr>
  </w:style>
  <w:style w:type="character" w:customStyle="1" w:styleId="CommentTextChar">
    <w:name w:val="Comment Text Char"/>
    <w:basedOn w:val="DefaultParagraphFont"/>
    <w:link w:val="CommentText"/>
    <w:semiHidden/>
    <w:rsid w:val="00FB7CCE"/>
    <w:rPr>
      <w:sz w:val="20"/>
      <w:szCs w:val="20"/>
    </w:rPr>
  </w:style>
  <w:style w:type="paragraph" w:styleId="CommentSubject">
    <w:name w:val="annotation subject"/>
    <w:basedOn w:val="CommentText"/>
    <w:next w:val="CommentText"/>
    <w:link w:val="CommentSubjectChar"/>
    <w:semiHidden/>
    <w:unhideWhenUsed/>
    <w:rsid w:val="00FB7CCE"/>
    <w:rPr>
      <w:b/>
      <w:bCs/>
    </w:rPr>
  </w:style>
  <w:style w:type="character" w:customStyle="1" w:styleId="CommentSubjectChar">
    <w:name w:val="Comment Subject Char"/>
    <w:basedOn w:val="CommentTextChar"/>
    <w:link w:val="CommentSubject"/>
    <w:semiHidden/>
    <w:rsid w:val="00FB7C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02094">
      <w:bodyDiv w:val="1"/>
      <w:marLeft w:val="0"/>
      <w:marRight w:val="0"/>
      <w:marTop w:val="0"/>
      <w:marBottom w:val="0"/>
      <w:divBdr>
        <w:top w:val="none" w:sz="0" w:space="0" w:color="auto"/>
        <w:left w:val="none" w:sz="0" w:space="0" w:color="auto"/>
        <w:bottom w:val="none" w:sz="0" w:space="0" w:color="auto"/>
        <w:right w:val="none" w:sz="0" w:space="0" w:color="auto"/>
      </w:divBdr>
    </w:div>
    <w:div w:id="136918165">
      <w:bodyDiv w:val="1"/>
      <w:marLeft w:val="0"/>
      <w:marRight w:val="0"/>
      <w:marTop w:val="0"/>
      <w:marBottom w:val="0"/>
      <w:divBdr>
        <w:top w:val="none" w:sz="0" w:space="0" w:color="auto"/>
        <w:left w:val="none" w:sz="0" w:space="0" w:color="auto"/>
        <w:bottom w:val="none" w:sz="0" w:space="0" w:color="auto"/>
        <w:right w:val="none" w:sz="0" w:space="0" w:color="auto"/>
      </w:divBdr>
    </w:div>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333843871">
      <w:bodyDiv w:val="1"/>
      <w:marLeft w:val="0"/>
      <w:marRight w:val="0"/>
      <w:marTop w:val="0"/>
      <w:marBottom w:val="0"/>
      <w:divBdr>
        <w:top w:val="none" w:sz="0" w:space="0" w:color="auto"/>
        <w:left w:val="none" w:sz="0" w:space="0" w:color="auto"/>
        <w:bottom w:val="none" w:sz="0" w:space="0" w:color="auto"/>
        <w:right w:val="none" w:sz="0" w:space="0" w:color="auto"/>
      </w:divBdr>
    </w:div>
    <w:div w:id="485702659">
      <w:bodyDiv w:val="1"/>
      <w:marLeft w:val="0"/>
      <w:marRight w:val="0"/>
      <w:marTop w:val="0"/>
      <w:marBottom w:val="0"/>
      <w:divBdr>
        <w:top w:val="none" w:sz="0" w:space="0" w:color="auto"/>
        <w:left w:val="none" w:sz="0" w:space="0" w:color="auto"/>
        <w:bottom w:val="none" w:sz="0" w:space="0" w:color="auto"/>
        <w:right w:val="none" w:sz="0" w:space="0" w:color="auto"/>
      </w:divBdr>
    </w:div>
    <w:div w:id="786704577">
      <w:bodyDiv w:val="1"/>
      <w:marLeft w:val="0"/>
      <w:marRight w:val="0"/>
      <w:marTop w:val="0"/>
      <w:marBottom w:val="0"/>
      <w:divBdr>
        <w:top w:val="none" w:sz="0" w:space="0" w:color="auto"/>
        <w:left w:val="none" w:sz="0" w:space="0" w:color="auto"/>
        <w:bottom w:val="none" w:sz="0" w:space="0" w:color="auto"/>
        <w:right w:val="none" w:sz="0" w:space="0" w:color="auto"/>
      </w:divBdr>
    </w:div>
    <w:div w:id="1148404244">
      <w:bodyDiv w:val="1"/>
      <w:marLeft w:val="0"/>
      <w:marRight w:val="0"/>
      <w:marTop w:val="0"/>
      <w:marBottom w:val="0"/>
      <w:divBdr>
        <w:top w:val="none" w:sz="0" w:space="0" w:color="auto"/>
        <w:left w:val="none" w:sz="0" w:space="0" w:color="auto"/>
        <w:bottom w:val="none" w:sz="0" w:space="0" w:color="auto"/>
        <w:right w:val="none" w:sz="0" w:space="0" w:color="auto"/>
      </w:divBdr>
    </w:div>
    <w:div w:id="1205022084">
      <w:bodyDiv w:val="1"/>
      <w:marLeft w:val="0"/>
      <w:marRight w:val="0"/>
      <w:marTop w:val="0"/>
      <w:marBottom w:val="0"/>
      <w:divBdr>
        <w:top w:val="none" w:sz="0" w:space="0" w:color="auto"/>
        <w:left w:val="none" w:sz="0" w:space="0" w:color="auto"/>
        <w:bottom w:val="none" w:sz="0" w:space="0" w:color="auto"/>
        <w:right w:val="none" w:sz="0" w:space="0" w:color="auto"/>
      </w:divBdr>
    </w:div>
    <w:div w:id="180180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Aus13</b:Tag>
    <b:SourceType>ElectronicSource</b:SourceType>
    <b:Guid>{B19FB9E6-C72B-4E16-8560-51A541A4510C}</b:Guid>
    <b:Author>
      <b:Author>
        <b:Corporate>Australian Taxation Office</b:Corporate>
      </b:Author>
    </b:Author>
    <b:Title>Income tax unit records</b:Title>
    <b:City>Canberra</b:City>
    <b:Year>2012-13</b:Year>
    <b:Publisher>Australian Taxation Office</b:Publisher>
    <b:RefOrder>1</b:RefOrder>
  </b:Source>
  <b:Source>
    <b:Tag>Res16</b:Tag>
    <b:SourceType>DocumentFromInternetSite</b:SourceType>
    <b:Guid>{D71B8F2E-21D0-4D17-9CBC-E50E625ADD79}</b:Guid>
    <b:Title>Indicative Mid Rates of Australian Government Securities – F16</b:Title>
    <b:Year>2016</b:Year>
    <b:Author>
      <b:Author>
        <b:Corporate>Reserve Bank of Australia</b:Corporate>
      </b:Author>
    </b:Author>
    <b:YearAccessed>2016</b:YearAccessed>
    <b:MonthAccessed>11</b:MonthAccessed>
    <b:DayAccessed>25</b:DayAccessed>
    <b:URL>http://www.rba.gov.au/statistics/tables/xls/f16.xls</b:URL>
    <b:Month>11</b:Month>
    <b:Day>24</b:Day>
    <b:RefOrder>2</b:RefOrder>
  </b:Source>
  <b:Source>
    <b:Tag>Res161</b:Tag>
    <b:SourceType>DocumentFromInternetSite</b:SourceType>
    <b:Guid>{3FC077A6-0FDE-40F7-9F79-50801F9AC0A4}</b:Guid>
    <b:Author>
      <b:Author>
        <b:Corporate>Reserve Bank of Australia</b:Corporate>
      </b:Author>
    </b:Author>
    <b:Title>Indicator Lending Rates – F5</b:Title>
    <b:Year>2016</b:Year>
    <b:Month>11</b:Month>
    <b:Day>2</b:Day>
    <b:YearAccessed>2016</b:YearAccessed>
    <b:MonthAccessed>11</b:MonthAccessed>
    <b:DayAccessed>25</b:DayAccessed>
    <b:URL>http://www.rba.gov.au/statistics/tables/xls/f05hist.xls</b:URL>
    <b:RefOrder>3</b:RefOrder>
  </b:Source>
  <b:Source>
    <b:Tag>Dep16</b:Tag>
    <b:SourceType>ElectronicSource</b:SourceType>
    <b:Guid>{517F891F-3095-4B04-AA6A-932E3BF228C2}</b:Guid>
    <b:Title>Higher Education Loan Program Forward Estimates Model, 2016-17 Budget</b:Title>
    <b:Year>2016</b:Year>
    <b:City>Canberra</b:City>
    <b:Publisher>Department of Education and Training</b:Publisher>
    <b:Author>
      <b:Author>
        <b:Corporate>Department of Education and Training</b:Corporate>
      </b:Author>
    </b:Author>
    <b:RefOrder>4</b:RefOrder>
  </b:Source>
  <b:Source>
    <b:Tag>Depet</b:Tag>
    <b:SourceType>ElectronicSource</b:SourceType>
    <b:Guid>{44753EA6-8213-451C-A1DB-0E74C0E55822}</b:Guid>
    <b:Author>
      <b:Author>
        <b:Corporate>Department of Finance</b:Corporate>
      </b:Author>
    </b:Author>
    <b:Title>Central Budget Management System estimates</b:Title>
    <b:Year>2016-17 Budget</b:Year>
    <b:City>Canberra</b:City>
    <b:RefOrder>5</b:RefOrder>
  </b:Source>
  <b:Source>
    <b:Tag>Aus15</b:Tag>
    <b:SourceType>ElectronicSource</b:SourceType>
    <b:Guid>{C110E102-D625-4301-A5A5-13421E05D8AE}</b:Guid>
    <b:Author>
      <b:Author>
        <b:Corporate>Australian Bureau of Statistics</b:Corporate>
      </b:Author>
    </b:Author>
    <b:Title>6553.0 - Survey of Income and Housing 2012-13</b:Title>
    <b:City>Canberra</b:City>
    <b:Publisher>Australian Bureau of Statistics</b:Publisher>
    <b:Year>2015</b:Year>
    <b:RefOrder>6</b:RefOrder>
  </b:Source>
  <b:Source>
    <b:Tag>Aus16</b:Tag>
    <b:SourceType>ElectronicSource</b:SourceType>
    <b:Guid>{451ABFEC-75FE-4968-BA62-10211F91D0B6}</b:Guid>
    <b:Author>
      <b:Author>
        <b:Corporate>Australian Taxation Office</b:Corporate>
      </b:Author>
    </b:Author>
    <b:Title>HELP writedowns unit record between 2012-13 and 2014-15</b:Title>
    <b:City>Canberra</b:City>
    <b:Publisher>Australian Taxation Office</b:Publisher>
    <b:Year>2016</b:Year>
    <b:RefOrder>7</b:RefOrder>
  </b:Source>
</b:Sources>
</file>

<file path=customXml/itemProps1.xml><?xml version="1.0" encoding="utf-8"?>
<ds:datastoreItem xmlns:ds="http://schemas.openxmlformats.org/officeDocument/2006/customXml" ds:itemID="{B36E3D64-3876-4FE9-9297-CD2B23339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3797</Words>
  <Characters>20999</Characters>
  <Application>Microsoft Office Word</Application>
  <DocSecurity>0</DocSecurity>
  <Lines>807</Lines>
  <Paragraphs>652</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24144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and vocational education and training </dc:title>
  <dc:creator>Parliamentary Budget Office</dc:creator>
  <cp:lastModifiedBy>Pratley, Lauren (PBO)</cp:lastModifiedBy>
  <cp:revision>4</cp:revision>
  <cp:lastPrinted>2017-01-11T04:13:00Z</cp:lastPrinted>
  <dcterms:created xsi:type="dcterms:W3CDTF">2017-08-25T00:14:00Z</dcterms:created>
  <dcterms:modified xsi:type="dcterms:W3CDTF">2017-09-01T05:27:00Z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Attachment</vt:lpwstr>
  </property>
  <property fmtid="{D5CDD505-2E9C-101B-9397-08002B2CF9AE}" pid="12" name="_MarkAsFinal">
    <vt:bool>true</vt:bool>
  </property>
</Properties>
</file>