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4F" w:rsidRDefault="0046444F" w:rsidP="0046444F">
      <w:pPr>
        <w:pStyle w:val="Title"/>
      </w:pPr>
      <w:r w:rsidRPr="008D77AF">
        <w:t>Policy costing—outside the caretaker period</w:t>
      </w:r>
    </w:p>
    <w:tbl>
      <w:tblPr>
        <w:tblStyle w:val="LightGrid-Accent6"/>
        <w:tblW w:w="5000" w:type="pct"/>
        <w:tblLook w:val="0600" w:firstRow="0" w:lastRow="0" w:firstColumn="0" w:lastColumn="0" w:noHBand="1" w:noVBand="1"/>
      </w:tblPr>
      <w:tblGrid>
        <w:gridCol w:w="3085"/>
        <w:gridCol w:w="1276"/>
        <w:gridCol w:w="4167"/>
      </w:tblGrid>
      <w:tr w:rsidR="0098222F" w:rsidRPr="008D77AF" w:rsidTr="008112CC">
        <w:tc>
          <w:tcPr>
            <w:tcW w:w="1809" w:type="pct"/>
            <w:shd w:val="clear" w:color="auto" w:fill="D7DDE9" w:themeFill="accent3"/>
          </w:tcPr>
          <w:p w:rsidR="0098222F" w:rsidRPr="008D77AF" w:rsidRDefault="0098222F" w:rsidP="0098222F">
            <w:pPr>
              <w:pStyle w:val="PullOutBoxHeading"/>
            </w:pPr>
            <w:r w:rsidRPr="008D77AF">
              <w:t>Name of proposal:</w:t>
            </w:r>
          </w:p>
        </w:tc>
        <w:tc>
          <w:tcPr>
            <w:tcW w:w="3191" w:type="pct"/>
            <w:gridSpan w:val="2"/>
            <w:shd w:val="clear" w:color="auto" w:fill="D7DDE9" w:themeFill="accent3"/>
          </w:tcPr>
          <w:p w:rsidR="004B3022" w:rsidRPr="008D77AF" w:rsidRDefault="00AD7E3B" w:rsidP="00B71F63">
            <w:pPr>
              <w:pStyle w:val="PullOutBoxHeading"/>
            </w:pPr>
            <w:bookmarkStart w:id="0" w:name="_GoBack"/>
            <w:r>
              <w:t>Health</w:t>
            </w:r>
            <w:bookmarkEnd w:id="0"/>
          </w:p>
        </w:tc>
      </w:tr>
      <w:tr w:rsidR="0098222F" w:rsidRPr="008D77AF" w:rsidTr="008112CC">
        <w:tc>
          <w:tcPr>
            <w:tcW w:w="1809" w:type="pct"/>
          </w:tcPr>
          <w:p w:rsidR="0098222F" w:rsidRPr="008D77AF" w:rsidRDefault="0098222F" w:rsidP="0098222F">
            <w:pPr>
              <w:pStyle w:val="PullOutBoxBodyText"/>
            </w:pPr>
            <w:r w:rsidRPr="008D77AF">
              <w:t>Summary of proposal:</w:t>
            </w:r>
          </w:p>
        </w:tc>
        <w:tc>
          <w:tcPr>
            <w:tcW w:w="3191" w:type="pct"/>
            <w:gridSpan w:val="2"/>
          </w:tcPr>
          <w:p w:rsidR="008112CC" w:rsidRDefault="00103810" w:rsidP="0089737A">
            <w:pPr>
              <w:pStyle w:val="PullOutBoxBodyText"/>
            </w:pPr>
            <w:r>
              <w:t>The proposal would:</w:t>
            </w:r>
          </w:p>
          <w:p w:rsidR="00103810" w:rsidRDefault="00227896" w:rsidP="00227896">
            <w:pPr>
              <w:pStyle w:val="PullOutBoxBodyText"/>
            </w:pPr>
            <w:r>
              <w:rPr>
                <w:u w:val="single"/>
              </w:rPr>
              <w:t>Option 1:</w:t>
            </w:r>
            <w:r>
              <w:t xml:space="preserve"> </w:t>
            </w:r>
            <w:r w:rsidR="004D5564" w:rsidRPr="004D5564">
              <w:t xml:space="preserve">Abolish Medicare, the Pharmaceutical Benefits Scheme, Commonwealth health-related grants to </w:t>
            </w:r>
            <w:r w:rsidR="00441086">
              <w:t>s</w:t>
            </w:r>
            <w:r w:rsidR="004D5564" w:rsidRPr="004D5564">
              <w:t>tate and local governments (including fund</w:t>
            </w:r>
            <w:r w:rsidR="00441086">
              <w:t>ing for public hospitals), the Private Health I</w:t>
            </w:r>
            <w:r w:rsidR="004D5564" w:rsidRPr="004D5564">
              <w:t>nsura</w:t>
            </w:r>
            <w:r w:rsidR="00441086">
              <w:t>nce R</w:t>
            </w:r>
            <w:r w:rsidR="004D5564" w:rsidRPr="004D5564">
              <w:t xml:space="preserve">ebate, </w:t>
            </w:r>
            <w:r w:rsidR="00441086">
              <w:t xml:space="preserve">federal </w:t>
            </w:r>
            <w:r w:rsidR="004D5564" w:rsidRPr="004D5564">
              <w:t xml:space="preserve">government involvement in the delivery of health services, </w:t>
            </w:r>
            <w:r w:rsidR="00441086">
              <w:t xml:space="preserve">federal </w:t>
            </w:r>
            <w:r w:rsidR="004D5564" w:rsidRPr="004D5564">
              <w:t xml:space="preserve">government prevention services other than for infectious diseases, and </w:t>
            </w:r>
            <w:r w:rsidR="00441086">
              <w:t xml:space="preserve">federal </w:t>
            </w:r>
            <w:r w:rsidR="004D5564" w:rsidRPr="004D5564">
              <w:t>government funding of health research.</w:t>
            </w:r>
            <w:r w:rsidR="00671523">
              <w:t xml:space="preserve">  Commonwealth involvement in the management of infectious diseases, health service standards, health statistics, and radiation protection would continue.</w:t>
            </w:r>
          </w:p>
          <w:p w:rsidR="00671523" w:rsidRDefault="00671523" w:rsidP="00227896">
            <w:pPr>
              <w:pStyle w:val="PullOutBoxBodyText"/>
            </w:pPr>
            <w:r>
              <w:rPr>
                <w:u w:val="single"/>
              </w:rPr>
              <w:t>Option 2:</w:t>
            </w:r>
            <w:r w:rsidR="00BA1CBA">
              <w:t xml:space="preserve"> as per Option 1, but use half of the savings to fund a medical expenses subsidy, means tested according to the following formula:</w:t>
            </w:r>
          </w:p>
          <w:p w:rsidR="00671523" w:rsidRPr="006F4DF7" w:rsidRDefault="002F6D97" w:rsidP="00BA1CBA">
            <w:pPr>
              <w:pStyle w:val="PullOutBoxBodyText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cGp m:val="8"/>
                        <m:mcs>
                          <m:mc>
                            <m:mcPr>
                              <m:count m:val="2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when b≥i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when i≥h+c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c(1-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i-b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h+c-b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when b&lt;i&lt;h+c</m:t>
                          </m:r>
                        </m:e>
                      </m:mr>
                    </m:m>
                  </m:e>
                </m:d>
              </m:oMath>
            </m:oMathPara>
          </w:p>
          <w:p w:rsidR="006F4DF7" w:rsidRDefault="006F4DF7" w:rsidP="006F4DF7">
            <w:pPr>
              <w:pStyle w:val="PullOutBoxBody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Where </w:t>
            </w:r>
            <w:r w:rsidRPr="006F4DF7">
              <w:rPr>
                <w:rFonts w:eastAsiaTheme="minorEastAsia"/>
                <w:i/>
              </w:rPr>
              <w:t>s</w:t>
            </w:r>
            <w:r>
              <w:rPr>
                <w:rFonts w:eastAsiaTheme="minorEastAsia"/>
                <w:i/>
              </w:rPr>
              <w:t xml:space="preserve"> </w:t>
            </w:r>
            <w:r>
              <w:rPr>
                <w:rFonts w:eastAsiaTheme="minorEastAsia"/>
              </w:rPr>
              <w:t xml:space="preserve">is the government subsidy for an individual, </w:t>
            </w:r>
            <w:r w:rsidRPr="006F4DF7">
              <w:rPr>
                <w:rFonts w:eastAsiaTheme="minorEastAsia"/>
                <w:i/>
              </w:rPr>
              <w:t>c</w:t>
            </w:r>
            <w:r>
              <w:rPr>
                <w:rFonts w:eastAsiaTheme="minorEastAsia"/>
                <w:i/>
              </w:rPr>
              <w:t xml:space="preserve"> </w:t>
            </w:r>
            <w:r>
              <w:rPr>
                <w:rFonts w:eastAsiaTheme="minorEastAsia"/>
              </w:rPr>
              <w:t xml:space="preserve">is the individual’s spending on currently subsidised medical goods and services including health insurance </w:t>
            </w:r>
            <w:proofErr w:type="spellStart"/>
            <w:r>
              <w:rPr>
                <w:rFonts w:eastAsiaTheme="minorEastAsia"/>
              </w:rPr>
              <w:t>premia</w:t>
            </w:r>
            <w:proofErr w:type="spellEnd"/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  <w:i/>
              </w:rPr>
              <w:t>i</w:t>
            </w:r>
            <w:proofErr w:type="spellEnd"/>
            <w:r>
              <w:rPr>
                <w:rFonts w:eastAsiaTheme="minorEastAsia"/>
                <w:i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is</w:t>
            </w:r>
            <w:proofErr w:type="gramEnd"/>
            <w:r>
              <w:rPr>
                <w:rFonts w:eastAsiaTheme="minorEastAsia"/>
              </w:rPr>
              <w:t xml:space="preserve"> the individual’s annual income, </w:t>
            </w:r>
            <w:r w:rsidRPr="006F4DF7">
              <w:rPr>
                <w:rFonts w:eastAsiaTheme="minorEastAsia"/>
                <w:i/>
              </w:rPr>
              <w:t>b</w:t>
            </w:r>
            <w:r>
              <w:rPr>
                <w:rFonts w:eastAsiaTheme="minorEastAsia"/>
                <w:i/>
              </w:rPr>
              <w:t xml:space="preserve"> </w:t>
            </w:r>
            <w:r>
              <w:rPr>
                <w:rFonts w:eastAsiaTheme="minorEastAsia"/>
              </w:rPr>
              <w:t xml:space="preserve">is a low income threshold and </w:t>
            </w:r>
            <w:r w:rsidRPr="006F4DF7">
              <w:rPr>
                <w:rFonts w:eastAsiaTheme="minorEastAsia"/>
                <w:i/>
              </w:rPr>
              <w:t>h</w:t>
            </w:r>
            <w:r>
              <w:rPr>
                <w:rFonts w:eastAsiaTheme="minorEastAsia"/>
                <w:i/>
              </w:rPr>
              <w:t xml:space="preserve"> </w:t>
            </w:r>
            <w:r>
              <w:rPr>
                <w:rFonts w:eastAsiaTheme="minorEastAsia"/>
              </w:rPr>
              <w:t xml:space="preserve">is a high income threshold.  The subsidy would be available through the year based on the individual’s </w:t>
            </w:r>
            <w:r w:rsidR="00515188">
              <w:rPr>
                <w:rFonts w:eastAsiaTheme="minorEastAsia"/>
              </w:rPr>
              <w:t>estimated income and medical costs. Instances of over subsidy would be reconciled through reduced subsidies in later years.</w:t>
            </w:r>
          </w:p>
          <w:p w:rsidR="00515188" w:rsidRPr="006F4DF7" w:rsidRDefault="00515188" w:rsidP="006F4DF7">
            <w:pPr>
              <w:pStyle w:val="PullOutBoxBodyText"/>
            </w:pPr>
            <w:r>
              <w:rPr>
                <w:rFonts w:eastAsiaTheme="minorEastAsia"/>
              </w:rPr>
              <w:t>The proposal would have effect from 1 July 2017.</w:t>
            </w:r>
            <w:r w:rsidR="00AA4436">
              <w:rPr>
                <w:rFonts w:eastAsiaTheme="minorEastAsia"/>
              </w:rPr>
              <w:t xml:space="preserve"> </w:t>
            </w:r>
          </w:p>
        </w:tc>
      </w:tr>
      <w:tr w:rsidR="0098222F" w:rsidRPr="008D77AF" w:rsidTr="008112CC">
        <w:tc>
          <w:tcPr>
            <w:tcW w:w="1809" w:type="pct"/>
          </w:tcPr>
          <w:p w:rsidR="0098222F" w:rsidRPr="008D77AF" w:rsidRDefault="0098222F" w:rsidP="0098222F">
            <w:pPr>
              <w:pStyle w:val="PullOutBoxBodyText"/>
            </w:pPr>
            <w:r w:rsidRPr="008D77AF">
              <w:t>Person/party requesting the costing:</w:t>
            </w:r>
          </w:p>
        </w:tc>
        <w:tc>
          <w:tcPr>
            <w:tcW w:w="3191" w:type="pct"/>
            <w:gridSpan w:val="2"/>
          </w:tcPr>
          <w:p w:rsidR="0098222F" w:rsidRPr="008D77AF" w:rsidRDefault="00F370C6" w:rsidP="00FD1EE0">
            <w:pPr>
              <w:pStyle w:val="PullOutBoxBodyText"/>
            </w:pPr>
            <w:r>
              <w:t>Senator David Leyonhjelm, Liberal Democratic Party</w:t>
            </w:r>
          </w:p>
        </w:tc>
      </w:tr>
      <w:tr w:rsidR="008112CC" w:rsidRPr="008D77AF" w:rsidTr="008112CC">
        <w:tc>
          <w:tcPr>
            <w:tcW w:w="1809" w:type="pct"/>
          </w:tcPr>
          <w:p w:rsidR="008112CC" w:rsidRPr="008D77AF" w:rsidRDefault="008112CC" w:rsidP="0056001A">
            <w:pPr>
              <w:pStyle w:val="PullOutBoxBodyText"/>
            </w:pPr>
            <w:r w:rsidRPr="008D77AF">
              <w:t>Did the applicant request the costing be confidential:</w:t>
            </w:r>
          </w:p>
        </w:tc>
        <w:tc>
          <w:tcPr>
            <w:tcW w:w="748" w:type="pct"/>
            <w:tcBorders>
              <w:right w:val="nil"/>
            </w:tcBorders>
          </w:tcPr>
          <w:p w:rsidR="008112CC" w:rsidRPr="008D77AF" w:rsidRDefault="004D787D" w:rsidP="0056001A">
            <w:pPr>
              <w:pStyle w:val="PullOutBoxBodyText"/>
            </w:pPr>
            <w:sdt>
              <w:sdtPr>
                <w:id w:val="33003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2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112CC" w:rsidRPr="008D77AF">
              <w:t xml:space="preserve"> Yes</w:t>
            </w:r>
          </w:p>
        </w:tc>
        <w:tc>
          <w:tcPr>
            <w:tcW w:w="2443" w:type="pct"/>
            <w:tcBorders>
              <w:left w:val="nil"/>
              <w:right w:val="single" w:sz="4" w:space="0" w:color="auto"/>
            </w:tcBorders>
          </w:tcPr>
          <w:p w:rsidR="008112CC" w:rsidRPr="008D77AF" w:rsidRDefault="004D787D" w:rsidP="0056001A">
            <w:pPr>
              <w:pStyle w:val="PullOutBoxBodyText"/>
            </w:pPr>
            <w:sdt>
              <w:sdtPr>
                <w:id w:val="-8641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CC" w:rsidRPr="008D7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12CC" w:rsidRPr="008D77AF">
              <w:t xml:space="preserve"> No</w:t>
            </w:r>
          </w:p>
        </w:tc>
      </w:tr>
      <w:tr w:rsidR="008112CC" w:rsidRPr="008D77AF" w:rsidTr="0056001A">
        <w:tc>
          <w:tcPr>
            <w:tcW w:w="1809" w:type="pct"/>
          </w:tcPr>
          <w:p w:rsidR="008112CC" w:rsidRPr="008D77AF" w:rsidRDefault="008112CC" w:rsidP="0056001A">
            <w:pPr>
              <w:pStyle w:val="PullOutBoxBodyText"/>
            </w:pPr>
            <w:r w:rsidRPr="008D77AF">
              <w:t>Date costing request received:</w:t>
            </w:r>
          </w:p>
        </w:tc>
        <w:tc>
          <w:tcPr>
            <w:tcW w:w="3191" w:type="pct"/>
            <w:gridSpan w:val="2"/>
          </w:tcPr>
          <w:p w:rsidR="008112CC" w:rsidRPr="008D77AF" w:rsidRDefault="0076625B" w:rsidP="0056001A">
            <w:pPr>
              <w:pStyle w:val="PullOutBoxBodyText"/>
            </w:pPr>
            <w:r>
              <w:t>9 August 2016</w:t>
            </w:r>
          </w:p>
        </w:tc>
      </w:tr>
      <w:tr w:rsidR="00CB6423" w:rsidRPr="008D77AF" w:rsidTr="0056001A">
        <w:tc>
          <w:tcPr>
            <w:tcW w:w="1809" w:type="pct"/>
          </w:tcPr>
          <w:p w:rsidR="00CB6423" w:rsidRPr="008D77AF" w:rsidRDefault="00CB6423" w:rsidP="00441086">
            <w:pPr>
              <w:pStyle w:val="PullOutBoxBodyText"/>
              <w:pageBreakBefore/>
            </w:pPr>
            <w:r w:rsidRPr="00CB6423">
              <w:lastRenderedPageBreak/>
              <w:t>Additional information requested (including date):</w:t>
            </w:r>
          </w:p>
        </w:tc>
        <w:tc>
          <w:tcPr>
            <w:tcW w:w="3191" w:type="pct"/>
            <w:gridSpan w:val="2"/>
          </w:tcPr>
          <w:p w:rsidR="00CB6423" w:rsidRDefault="00CB6423" w:rsidP="00441086">
            <w:pPr>
              <w:pStyle w:val="PullOutBoxBodyText"/>
              <w:pageBreakBefore/>
            </w:pPr>
            <w:r>
              <w:t xml:space="preserve">On 1 December 2016 the </w:t>
            </w:r>
            <w:r w:rsidR="005D793A">
              <w:t xml:space="preserve">Parliamentary Budget Office </w:t>
            </w:r>
            <w:r>
              <w:t>sought information on how t</w:t>
            </w:r>
            <w:r w:rsidR="00441086">
              <w:t>he proposed arrangements under O</w:t>
            </w:r>
            <w:r>
              <w:t>ption 2 would operate.</w:t>
            </w:r>
          </w:p>
        </w:tc>
      </w:tr>
      <w:tr w:rsidR="00CB6423" w:rsidRPr="008D77AF" w:rsidTr="0056001A">
        <w:tc>
          <w:tcPr>
            <w:tcW w:w="1809" w:type="pct"/>
          </w:tcPr>
          <w:p w:rsidR="00CB6423" w:rsidRPr="008D77AF" w:rsidRDefault="00CB6423" w:rsidP="0056001A">
            <w:pPr>
              <w:pStyle w:val="PullOutBoxBodyText"/>
            </w:pPr>
            <w:r w:rsidRPr="00CB6423">
              <w:t>Additional information received (including date):</w:t>
            </w:r>
          </w:p>
        </w:tc>
        <w:tc>
          <w:tcPr>
            <w:tcW w:w="3191" w:type="pct"/>
            <w:gridSpan w:val="2"/>
          </w:tcPr>
          <w:p w:rsidR="00CB6423" w:rsidRDefault="00CB6423" w:rsidP="00FC2185">
            <w:pPr>
              <w:pStyle w:val="PullOutBoxBodyText"/>
            </w:pPr>
            <w:r>
              <w:t>On 1</w:t>
            </w:r>
            <w:r w:rsidR="00FC2185">
              <w:t xml:space="preserve"> December 2016, Senator </w:t>
            </w:r>
            <w:proofErr w:type="spellStart"/>
            <w:r w:rsidR="00FC2185">
              <w:t>Leyonhjelm’s</w:t>
            </w:r>
            <w:proofErr w:type="spellEnd"/>
            <w:r w:rsidR="00FC2185">
              <w:t xml:space="preserve"> nominated contact officer </w:t>
            </w:r>
            <w:r w:rsidR="00441086">
              <w:t>advised that the subsidy under O</w:t>
            </w:r>
            <w:r w:rsidR="00FC2185">
              <w:t>ption 2 would be set such that the departmental and administered savings from the option would be half the total savings under Option 1</w:t>
            </w:r>
            <w:r w:rsidR="00441086">
              <w:t>.</w:t>
            </w:r>
          </w:p>
        </w:tc>
      </w:tr>
      <w:tr w:rsidR="008112CC" w:rsidRPr="008D77AF" w:rsidTr="008112CC">
        <w:tc>
          <w:tcPr>
            <w:tcW w:w="1809" w:type="pct"/>
          </w:tcPr>
          <w:p w:rsidR="008112CC" w:rsidRPr="008D77AF" w:rsidRDefault="008112CC" w:rsidP="0098222F">
            <w:pPr>
              <w:pStyle w:val="PullOutBoxBodyText"/>
            </w:pPr>
            <w:r w:rsidRPr="008D77AF">
              <w:t>Date costing completed:</w:t>
            </w:r>
          </w:p>
        </w:tc>
        <w:tc>
          <w:tcPr>
            <w:tcW w:w="3191" w:type="pct"/>
            <w:gridSpan w:val="2"/>
          </w:tcPr>
          <w:p w:rsidR="008112CC" w:rsidRPr="008D77AF" w:rsidRDefault="009A3AA6" w:rsidP="00202AB3">
            <w:pPr>
              <w:pStyle w:val="PullOutBoxBodyText"/>
            </w:pPr>
            <w:r>
              <w:t xml:space="preserve">6 </w:t>
            </w:r>
            <w:r w:rsidR="00202AB3">
              <w:t>December</w:t>
            </w:r>
            <w:r w:rsidR="00F370C6">
              <w:t xml:space="preserve"> 2016</w:t>
            </w:r>
          </w:p>
        </w:tc>
      </w:tr>
      <w:tr w:rsidR="008112CC" w:rsidRPr="008D77AF" w:rsidTr="008112CC">
        <w:tc>
          <w:tcPr>
            <w:tcW w:w="1809" w:type="pct"/>
          </w:tcPr>
          <w:p w:rsidR="008112CC" w:rsidRPr="008D77AF" w:rsidRDefault="008112CC" w:rsidP="0098222F">
            <w:pPr>
              <w:pStyle w:val="PullOutBoxBodyText"/>
            </w:pPr>
            <w:r w:rsidRPr="008D77AF">
              <w:t>Expiry date of the costing:</w:t>
            </w:r>
          </w:p>
        </w:tc>
        <w:tc>
          <w:tcPr>
            <w:tcW w:w="3191" w:type="pct"/>
            <w:gridSpan w:val="2"/>
          </w:tcPr>
          <w:p w:rsidR="008112CC" w:rsidRPr="008D77AF" w:rsidRDefault="008112CC" w:rsidP="0098222F">
            <w:pPr>
              <w:pStyle w:val="PullOutBoxBodyText"/>
            </w:pPr>
            <w:r w:rsidRPr="008D77AF">
              <w:t>Release of the next economic and fiscal outlook report.</w:t>
            </w:r>
          </w:p>
        </w:tc>
      </w:tr>
    </w:tbl>
    <w:p w:rsidR="0046444F" w:rsidRPr="008D77AF" w:rsidRDefault="0046444F" w:rsidP="0046444F">
      <w:pPr>
        <w:pStyle w:val="Heading1"/>
      </w:pPr>
      <w:r w:rsidRPr="008D77AF">
        <w:t>Costing overview</w:t>
      </w:r>
    </w:p>
    <w:p w:rsidR="006C3668" w:rsidRDefault="009E0125" w:rsidP="009E0125">
      <w:pPr>
        <w:pStyle w:val="Heading2"/>
      </w:pPr>
      <w:r>
        <w:t>Option 1: Abolish health</w:t>
      </w:r>
      <w:r w:rsidR="0002210A">
        <w:t xml:space="preserve"> related</w:t>
      </w:r>
      <w:r>
        <w:t xml:space="preserve"> funding with exceptions</w:t>
      </w:r>
    </w:p>
    <w:p w:rsidR="007F0051" w:rsidRPr="00002D5D" w:rsidRDefault="007F0051" w:rsidP="006C3668">
      <w:pPr>
        <w:pStyle w:val="BodyText"/>
      </w:pPr>
      <w:r>
        <w:t>This option would be expected to increase both the fiscal and underlying cash balances by $2</w:t>
      </w:r>
      <w:r w:rsidR="00847544">
        <w:t>65</w:t>
      </w:r>
      <w:r w:rsidR="00613F65">
        <w:t>,</w:t>
      </w:r>
      <w:r w:rsidR="004136FD">
        <w:t>780 </w:t>
      </w:r>
      <w:r>
        <w:t>million over the 2016-17 Budget forward estimates period.  This impact is due to a decrease in administered expenditure of $2</w:t>
      </w:r>
      <w:r w:rsidR="00847544">
        <w:t>62</w:t>
      </w:r>
      <w:r>
        <w:t>,</w:t>
      </w:r>
      <w:r w:rsidR="00847544">
        <w:t>000</w:t>
      </w:r>
      <w:r w:rsidR="00CA26AA">
        <w:t> </w:t>
      </w:r>
      <w:r>
        <w:t>million and a decrease of $</w:t>
      </w:r>
      <w:r w:rsidR="009E0125">
        <w:t>3</w:t>
      </w:r>
      <w:r>
        <w:t>,</w:t>
      </w:r>
      <w:r w:rsidR="004136FD">
        <w:t>780 </w:t>
      </w:r>
      <w:r>
        <w:t>million in departmental expenditure.</w:t>
      </w:r>
    </w:p>
    <w:p w:rsidR="0046444F" w:rsidRPr="005B0970" w:rsidRDefault="008112CC" w:rsidP="008112CC">
      <w:pPr>
        <w:pStyle w:val="Caption"/>
      </w:pPr>
      <w:r w:rsidRPr="008112CC">
        <w:t xml:space="preserve">Table </w:t>
      </w:r>
      <w:r w:rsidR="004D787D">
        <w:fldChar w:fldCharType="begin"/>
      </w:r>
      <w:r w:rsidR="004D787D">
        <w:instrText xml:space="preserve"> SEQ Table \* ARABIC \s 1 </w:instrText>
      </w:r>
      <w:r w:rsidR="004D787D">
        <w:fldChar w:fldCharType="separate"/>
      </w:r>
      <w:r w:rsidR="00EC7763">
        <w:rPr>
          <w:noProof/>
        </w:rPr>
        <w:t>1</w:t>
      </w:r>
      <w:r w:rsidR="004D787D">
        <w:rPr>
          <w:noProof/>
        </w:rPr>
        <w:fldChar w:fldCharType="end"/>
      </w:r>
      <w:r w:rsidRPr="008112CC">
        <w:t xml:space="preserve">: </w:t>
      </w:r>
      <w:r>
        <w:t>Financial implications (outturn prices</w:t>
      </w:r>
      <w:proofErr w:type="gramStart"/>
      <w:r>
        <w:t>)</w:t>
      </w:r>
      <w:r w:rsidRPr="008112CC">
        <w:rPr>
          <w:vertAlign w:val="superscript"/>
        </w:rPr>
        <w:t>(</w:t>
      </w:r>
      <w:proofErr w:type="gramEnd"/>
      <w:r w:rsidRPr="008112CC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518"/>
        <w:gridCol w:w="1203"/>
        <w:gridCol w:w="1202"/>
        <w:gridCol w:w="1202"/>
        <w:gridCol w:w="1202"/>
        <w:gridCol w:w="1201"/>
      </w:tblGrid>
      <w:tr w:rsidR="005B0970" w:rsidTr="005B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"/>
            </w:pPr>
            <w:r w:rsidRPr="005B0970">
              <w:t>Impact on ($m)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2016–17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2017–18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2018–19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2019–20</w:t>
            </w:r>
          </w:p>
        </w:tc>
        <w:tc>
          <w:tcPr>
            <w:tcW w:w="704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970">
              <w:t>Total to 2019–20</w:t>
            </w:r>
          </w:p>
        </w:tc>
      </w:tr>
      <w:tr w:rsidR="004136FD" w:rsidTr="00064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4136FD" w:rsidRPr="004C3A8F" w:rsidRDefault="004136FD" w:rsidP="004C3A8F">
            <w:pPr>
              <w:pStyle w:val="TableText"/>
              <w:rPr>
                <w:rFonts w:asciiTheme="majorHAnsi" w:hAnsiTheme="majorHAnsi"/>
                <w:b w:val="0"/>
              </w:rPr>
            </w:pPr>
            <w:r w:rsidRPr="004C3A8F">
              <w:rPr>
                <w:b w:val="0"/>
              </w:rPr>
              <w:t>Fiscal balance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-  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84,230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88,600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92,950 </w:t>
            </w:r>
          </w:p>
        </w:tc>
        <w:tc>
          <w:tcPr>
            <w:tcW w:w="704" w:type="pct"/>
          </w:tcPr>
          <w:p w:rsidR="004136FD" w:rsidRPr="005F7174" w:rsidRDefault="004136FD" w:rsidP="004C3A8F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265,780 </w:t>
            </w:r>
          </w:p>
        </w:tc>
      </w:tr>
      <w:tr w:rsidR="004136FD" w:rsidTr="00064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4136FD" w:rsidRPr="004C3A8F" w:rsidRDefault="004136FD" w:rsidP="004C3A8F">
            <w:pPr>
              <w:pStyle w:val="TableText"/>
              <w:rPr>
                <w:b w:val="0"/>
              </w:rPr>
            </w:pPr>
            <w:r w:rsidRPr="004C3A8F">
              <w:rPr>
                <w:b w:val="0"/>
              </w:rPr>
              <w:t>Underlying cash balance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-  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84,230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88,600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92,950 </w:t>
            </w:r>
          </w:p>
        </w:tc>
        <w:tc>
          <w:tcPr>
            <w:tcW w:w="704" w:type="pct"/>
          </w:tcPr>
          <w:p w:rsidR="004136FD" w:rsidRPr="005F7174" w:rsidRDefault="004136FD" w:rsidP="004C3A8F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265,780 </w:t>
            </w:r>
          </w:p>
        </w:tc>
      </w:tr>
    </w:tbl>
    <w:p w:rsidR="008112CC" w:rsidRDefault="005B0970" w:rsidP="00FE3B13">
      <w:pPr>
        <w:pStyle w:val="TableFootnotes"/>
      </w:pPr>
      <w:r>
        <w:t xml:space="preserve">A positive number represents an increase in the relevant budget </w:t>
      </w:r>
      <w:proofErr w:type="gramStart"/>
      <w:r>
        <w:t>balance,</w:t>
      </w:r>
      <w:proofErr w:type="gramEnd"/>
      <w:r>
        <w:t xml:space="preserve"> a negative number represents a decrease.</w:t>
      </w:r>
    </w:p>
    <w:p w:rsidR="005B0970" w:rsidRDefault="005B0970" w:rsidP="00FE3B13">
      <w:pPr>
        <w:pStyle w:val="TableFootnotes"/>
      </w:pPr>
      <w:r>
        <w:t>Figures may not sum to totals due to rounding.</w:t>
      </w:r>
    </w:p>
    <w:p w:rsidR="005B0970" w:rsidRDefault="005B0970" w:rsidP="002D16D2">
      <w:pPr>
        <w:pStyle w:val="TableFootnotes"/>
        <w:keepNext/>
        <w:numPr>
          <w:ilvl w:val="0"/>
          <w:numId w:val="11"/>
        </w:numPr>
        <w:ind w:left="284" w:hanging="284"/>
      </w:pPr>
      <w:r>
        <w:t>Indicates nil.</w:t>
      </w:r>
    </w:p>
    <w:p w:rsidR="009E0125" w:rsidRDefault="009E0125" w:rsidP="009E0125">
      <w:pPr>
        <w:pStyle w:val="Heading2"/>
      </w:pPr>
      <w:r>
        <w:t>Option 2: Abolish health</w:t>
      </w:r>
      <w:r w:rsidR="0002210A">
        <w:t xml:space="preserve"> related</w:t>
      </w:r>
      <w:r>
        <w:t xml:space="preserve"> funding with exceptions, and use half of the savings to fund a medical expenses subsidy</w:t>
      </w:r>
    </w:p>
    <w:p w:rsidR="009E0125" w:rsidRPr="00002D5D" w:rsidRDefault="009E0125" w:rsidP="009E0125">
      <w:pPr>
        <w:pStyle w:val="BodyText"/>
      </w:pPr>
      <w:r>
        <w:t>This option would be expected to increase both the fiscal and underlying cash balances by $1</w:t>
      </w:r>
      <w:r w:rsidR="00847544">
        <w:t>3</w:t>
      </w:r>
      <w:r>
        <w:t>2,</w:t>
      </w:r>
      <w:r w:rsidR="004136FD">
        <w:t>890 </w:t>
      </w:r>
      <w:r>
        <w:t>million over the 2016-17 Budget forward estimates period.  This impact is due to a decrease in administered expenditure of $</w:t>
      </w:r>
      <w:r w:rsidR="004136FD">
        <w:t>132</w:t>
      </w:r>
      <w:r>
        <w:t>,</w:t>
      </w:r>
      <w:r w:rsidR="004136FD">
        <w:t>300 </w:t>
      </w:r>
      <w:r>
        <w:t>million and a decrease of $</w:t>
      </w:r>
      <w:r w:rsidR="004136FD">
        <w:t>590</w:t>
      </w:r>
      <w:r w:rsidR="009B5015">
        <w:t> </w:t>
      </w:r>
      <w:r>
        <w:t>million in departmental expenditure.</w:t>
      </w:r>
    </w:p>
    <w:p w:rsidR="009E0125" w:rsidRPr="005B0970" w:rsidRDefault="009E0125" w:rsidP="009E0125">
      <w:pPr>
        <w:pStyle w:val="Caption"/>
      </w:pPr>
      <w:r w:rsidRPr="008112CC">
        <w:lastRenderedPageBreak/>
        <w:t xml:space="preserve">Table </w:t>
      </w:r>
      <w:r w:rsidR="004D787D">
        <w:fldChar w:fldCharType="begin"/>
      </w:r>
      <w:r w:rsidR="004D787D">
        <w:instrText xml:space="preserve"> SEQ Table \* ARABIC \s 1 </w:instrText>
      </w:r>
      <w:r w:rsidR="004D787D">
        <w:fldChar w:fldCharType="separate"/>
      </w:r>
      <w:r w:rsidR="00EC7763">
        <w:rPr>
          <w:noProof/>
        </w:rPr>
        <w:t>2</w:t>
      </w:r>
      <w:r w:rsidR="004D787D">
        <w:rPr>
          <w:noProof/>
        </w:rPr>
        <w:fldChar w:fldCharType="end"/>
      </w:r>
      <w:r w:rsidRPr="008112CC">
        <w:t xml:space="preserve">: </w:t>
      </w:r>
      <w:r>
        <w:t>Financial implications (outturn prices</w:t>
      </w:r>
      <w:proofErr w:type="gramStart"/>
      <w:r>
        <w:t>)</w:t>
      </w:r>
      <w:r w:rsidRPr="008112CC">
        <w:rPr>
          <w:vertAlign w:val="superscript"/>
        </w:rPr>
        <w:t>(</w:t>
      </w:r>
      <w:proofErr w:type="gramEnd"/>
      <w:r w:rsidRPr="008112CC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518"/>
        <w:gridCol w:w="1203"/>
        <w:gridCol w:w="1202"/>
        <w:gridCol w:w="1202"/>
        <w:gridCol w:w="1202"/>
        <w:gridCol w:w="1201"/>
      </w:tblGrid>
      <w:tr w:rsidR="009E0125" w:rsidTr="00962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D7DDE9" w:themeFill="accent3"/>
            <w:vAlign w:val="center"/>
          </w:tcPr>
          <w:p w:rsidR="009E0125" w:rsidRPr="005B0970" w:rsidRDefault="009E0125" w:rsidP="00962674">
            <w:pPr>
              <w:pStyle w:val="TableHeading"/>
            </w:pPr>
            <w:r w:rsidRPr="005B0970">
              <w:t>Impact on ($m)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9E0125" w:rsidRPr="005B0970" w:rsidRDefault="009E0125" w:rsidP="00962674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2016–17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9E0125" w:rsidRPr="005B0970" w:rsidRDefault="009E0125" w:rsidP="00962674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2017–18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9E0125" w:rsidRPr="005B0970" w:rsidRDefault="009E0125" w:rsidP="00962674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2018–19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9E0125" w:rsidRPr="005B0970" w:rsidRDefault="009E0125" w:rsidP="00962674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2019–20</w:t>
            </w:r>
          </w:p>
        </w:tc>
        <w:tc>
          <w:tcPr>
            <w:tcW w:w="704" w:type="pct"/>
            <w:shd w:val="clear" w:color="auto" w:fill="D7DDE9" w:themeFill="accent3"/>
            <w:vAlign w:val="center"/>
          </w:tcPr>
          <w:p w:rsidR="009E0125" w:rsidRPr="005B0970" w:rsidRDefault="009E0125" w:rsidP="00962674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970">
              <w:t>Total to 2019–20</w:t>
            </w:r>
          </w:p>
        </w:tc>
      </w:tr>
      <w:tr w:rsidR="004136FD" w:rsidTr="00962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4136FD" w:rsidRPr="005B0970" w:rsidRDefault="004136FD" w:rsidP="00962674">
            <w:pPr>
              <w:pStyle w:val="TableHeading"/>
              <w:rPr>
                <w:rFonts w:asciiTheme="majorHAnsi" w:hAnsiTheme="majorHAnsi"/>
              </w:rPr>
            </w:pPr>
            <w:r w:rsidRPr="005B0970">
              <w:t>Fiscal balance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-  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42,120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44,300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46,480 </w:t>
            </w:r>
          </w:p>
        </w:tc>
        <w:tc>
          <w:tcPr>
            <w:tcW w:w="704" w:type="pct"/>
          </w:tcPr>
          <w:p w:rsidR="004136FD" w:rsidRPr="005F7174" w:rsidRDefault="004136FD" w:rsidP="004C3A8F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132,890 </w:t>
            </w:r>
          </w:p>
        </w:tc>
      </w:tr>
      <w:tr w:rsidR="004136FD" w:rsidTr="00962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4136FD" w:rsidRPr="005B0970" w:rsidRDefault="004136FD" w:rsidP="00962674">
            <w:pPr>
              <w:pStyle w:val="TableHeading"/>
            </w:pPr>
            <w:r w:rsidRPr="005B0970">
              <w:t>Underlying cash balance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-  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42,120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44,300 </w:t>
            </w:r>
          </w:p>
        </w:tc>
        <w:tc>
          <w:tcPr>
            <w:tcW w:w="705" w:type="pct"/>
          </w:tcPr>
          <w:p w:rsidR="004136FD" w:rsidRPr="005F7174" w:rsidRDefault="004136FD" w:rsidP="004C3A8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46,480 </w:t>
            </w:r>
          </w:p>
        </w:tc>
        <w:tc>
          <w:tcPr>
            <w:tcW w:w="704" w:type="pct"/>
          </w:tcPr>
          <w:p w:rsidR="004136FD" w:rsidRPr="005F7174" w:rsidRDefault="004136FD" w:rsidP="004C3A8F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174">
              <w:t xml:space="preserve"> 132,890 </w:t>
            </w:r>
          </w:p>
        </w:tc>
      </w:tr>
    </w:tbl>
    <w:p w:rsidR="009E0125" w:rsidRDefault="009E0125" w:rsidP="002D16D2">
      <w:pPr>
        <w:pStyle w:val="TableFootnotes"/>
        <w:numPr>
          <w:ilvl w:val="0"/>
          <w:numId w:val="13"/>
        </w:numPr>
      </w:pPr>
      <w:r>
        <w:t xml:space="preserve">A positive number represents an increase in the relevant budget </w:t>
      </w:r>
      <w:proofErr w:type="gramStart"/>
      <w:r>
        <w:t>balance,</w:t>
      </w:r>
      <w:proofErr w:type="gramEnd"/>
      <w:r>
        <w:t xml:space="preserve"> a negative number represents a decrease.</w:t>
      </w:r>
    </w:p>
    <w:p w:rsidR="009E0125" w:rsidRDefault="009E0125" w:rsidP="009E0125">
      <w:pPr>
        <w:pStyle w:val="TableFootnotes"/>
      </w:pPr>
      <w:r>
        <w:t>Figures may not sum to totals due to rounding.</w:t>
      </w:r>
    </w:p>
    <w:p w:rsidR="00F65FE0" w:rsidRPr="00F65FE0" w:rsidRDefault="009E0125" w:rsidP="002D16D2">
      <w:pPr>
        <w:pStyle w:val="TableFootnotes"/>
        <w:keepNext/>
        <w:numPr>
          <w:ilvl w:val="0"/>
          <w:numId w:val="11"/>
        </w:numPr>
        <w:ind w:left="284" w:hanging="284"/>
      </w:pPr>
      <w:r>
        <w:t>Indicates nil.</w:t>
      </w:r>
    </w:p>
    <w:p w:rsidR="00F65FE0" w:rsidRPr="00F65FE0" w:rsidRDefault="00F65FE0" w:rsidP="007F0051">
      <w:pPr>
        <w:pStyle w:val="BodyText"/>
      </w:pPr>
      <w:r w:rsidRPr="00F65FE0">
        <w:t>B</w:t>
      </w:r>
      <w:r>
        <w:t xml:space="preserve">oth options would be expected to have an ongoing impact beyond the forward estimates and, as requested, impacts over 2016-17 to 2026-27 are provided at </w:t>
      </w:r>
      <w:r w:rsidRPr="00F65FE0">
        <w:rPr>
          <w:u w:val="single"/>
        </w:rPr>
        <w:t>Attachment A</w:t>
      </w:r>
      <w:r>
        <w:t>.</w:t>
      </w:r>
    </w:p>
    <w:p w:rsidR="00D90202" w:rsidRDefault="00D90202" w:rsidP="00D90202">
      <w:pPr>
        <w:pStyle w:val="BodyText"/>
        <w:keepNext/>
        <w:keepLines/>
      </w:pPr>
      <w:r w:rsidRPr="000A00FC">
        <w:t xml:space="preserve">The financial implications for both options are considered to be of a </w:t>
      </w:r>
      <w:r>
        <w:t>very low</w:t>
      </w:r>
      <w:r w:rsidRPr="000A00FC">
        <w:t xml:space="preserve"> reliability. </w:t>
      </w:r>
      <w:r w:rsidR="007C6B23">
        <w:t xml:space="preserve"> </w:t>
      </w:r>
      <w:r w:rsidRPr="000A00FC">
        <w:t>While estimates are</w:t>
      </w:r>
      <w:r w:rsidR="003B59DD">
        <w:t xml:space="preserve"> mainly</w:t>
      </w:r>
      <w:r w:rsidRPr="000A00FC">
        <w:t xml:space="preserve"> based on </w:t>
      </w:r>
      <w:r w:rsidR="007C6B23">
        <w:t xml:space="preserve">the </w:t>
      </w:r>
      <w:r w:rsidRPr="000A00FC">
        <w:t xml:space="preserve">Department of Finance aggregate expenditure estimates, given the magnitude of the change in Commonwealth policy it is difficult to estimate the impact with any certainty. </w:t>
      </w:r>
      <w:r>
        <w:t xml:space="preserve"> </w:t>
      </w:r>
    </w:p>
    <w:p w:rsidR="00D90202" w:rsidRDefault="00D90202" w:rsidP="007F0051">
      <w:pPr>
        <w:pStyle w:val="BodyText"/>
        <w:rPr>
          <w:highlight w:val="yellow"/>
        </w:rPr>
      </w:pPr>
      <w:r>
        <w:t xml:space="preserve">No assessment of the feasibility of each option has been undertaken or whether either option could be implemented from the specified commencement date of 1 July 2017.  </w:t>
      </w:r>
    </w:p>
    <w:p w:rsidR="00FE3B13" w:rsidRDefault="00FE3B13" w:rsidP="00CA06C8">
      <w:pPr>
        <w:pStyle w:val="Heading1"/>
      </w:pPr>
      <w:r w:rsidRPr="00CA06C8">
        <w:t>Key assumptions</w:t>
      </w:r>
    </w:p>
    <w:p w:rsidR="00D90202" w:rsidRDefault="00D90202" w:rsidP="00D90202">
      <w:pPr>
        <w:pStyle w:val="BodyText"/>
      </w:pPr>
      <w:r>
        <w:t>In costing this proposal, it has been assumed that:</w:t>
      </w:r>
    </w:p>
    <w:p w:rsidR="005D0B71" w:rsidRPr="005F7174" w:rsidRDefault="00441086" w:rsidP="00D90202">
      <w:pPr>
        <w:pStyle w:val="BodyText"/>
        <w:rPr>
          <w:u w:val="single"/>
        </w:rPr>
      </w:pPr>
      <w:r>
        <w:rPr>
          <w:u w:val="single"/>
        </w:rPr>
        <w:t>Both o</w:t>
      </w:r>
      <w:r w:rsidR="00117309">
        <w:rPr>
          <w:u w:val="single"/>
        </w:rPr>
        <w:t>ptions</w:t>
      </w:r>
    </w:p>
    <w:p w:rsidR="00D90202" w:rsidRDefault="003F466B" w:rsidP="007C6B23">
      <w:pPr>
        <w:pStyle w:val="ListBullet"/>
      </w:pPr>
      <w:r>
        <w:t xml:space="preserve">This </w:t>
      </w:r>
      <w:r w:rsidR="00117309">
        <w:t>proposal</w:t>
      </w:r>
      <w:r w:rsidR="005D0B71">
        <w:t xml:space="preserve"> </w:t>
      </w:r>
      <w:r>
        <w:t>would abolish all programs and related departmental expenditure for Department of Health’s Outcome 1: Health System Policy, Design and Innovation, Outcome 2: Health Access and Support Services, Outcome 3: Sports and Recreation, Outcome 4: Individual Health Benefits and Outcome 6: Ageing and Aged Care.</w:t>
      </w:r>
    </w:p>
    <w:p w:rsidR="00DE121E" w:rsidRDefault="00DE121E" w:rsidP="007105C0">
      <w:pPr>
        <w:pStyle w:val="ListBullet"/>
      </w:pPr>
      <w:r>
        <w:t xml:space="preserve">This </w:t>
      </w:r>
      <w:r w:rsidR="00117309">
        <w:t>proposal</w:t>
      </w:r>
      <w:r>
        <w:t xml:space="preserve"> would abolish the Independent Hospital Pricing Authority and the National Health Funding Body. </w:t>
      </w:r>
    </w:p>
    <w:p w:rsidR="003F466B" w:rsidRDefault="009E07D2" w:rsidP="007105C0">
      <w:pPr>
        <w:pStyle w:val="ListBullet"/>
      </w:pPr>
      <w:r>
        <w:t xml:space="preserve">This </w:t>
      </w:r>
      <w:r w:rsidR="00117309">
        <w:t>proposal</w:t>
      </w:r>
      <w:r>
        <w:t xml:space="preserve"> would also abolish Program 1.2: Services to the Community – Health for Department of Human Services with the function for “Immunisation” retained.</w:t>
      </w:r>
    </w:p>
    <w:p w:rsidR="009E07D2" w:rsidRDefault="009E07D2" w:rsidP="007105C0">
      <w:pPr>
        <w:pStyle w:val="ListBullet"/>
      </w:pPr>
      <w:r>
        <w:t xml:space="preserve">In addition, this </w:t>
      </w:r>
      <w:r w:rsidR="00117309">
        <w:t>proposal</w:t>
      </w:r>
      <w:r w:rsidR="00441086">
        <w:t xml:space="preserve"> would also abolish</w:t>
      </w:r>
      <w:r>
        <w:t xml:space="preserve"> departmental expenditure relating to administering the Private Health Insurance Rebate </w:t>
      </w:r>
      <w:r w:rsidR="003F37F1">
        <w:t xml:space="preserve">(PHIR) </w:t>
      </w:r>
      <w:r>
        <w:t>for the Australian Taxation Office</w:t>
      </w:r>
      <w:r w:rsidR="00C95E06">
        <w:t xml:space="preserve"> (ATO)</w:t>
      </w:r>
      <w:r>
        <w:t>.</w:t>
      </w:r>
    </w:p>
    <w:p w:rsidR="00117309" w:rsidRDefault="00117309" w:rsidP="00117309">
      <w:pPr>
        <w:pStyle w:val="ListBullet"/>
      </w:pPr>
      <w:r>
        <w:t>This proposal would have no material impact on department</w:t>
      </w:r>
      <w:r w:rsidR="00441086">
        <w:t>al</w:t>
      </w:r>
      <w:r>
        <w:t xml:space="preserve"> expenditure relating to administering health funding for the Department of </w:t>
      </w:r>
      <w:r w:rsidR="00441086">
        <w:t xml:space="preserve">the </w:t>
      </w:r>
      <w:r>
        <w:t>Treasury.</w:t>
      </w:r>
    </w:p>
    <w:p w:rsidR="005D0B71" w:rsidRDefault="005D0B71" w:rsidP="005F7174">
      <w:pPr>
        <w:pStyle w:val="ListBullet"/>
        <w:numPr>
          <w:ilvl w:val="0"/>
          <w:numId w:val="0"/>
        </w:numPr>
        <w:rPr>
          <w:u w:val="single"/>
        </w:rPr>
      </w:pPr>
      <w:r w:rsidRPr="005F7174">
        <w:rPr>
          <w:u w:val="single"/>
        </w:rPr>
        <w:t>Option 2</w:t>
      </w:r>
    </w:p>
    <w:p w:rsidR="005D0B71" w:rsidRDefault="005D0B71">
      <w:pPr>
        <w:pStyle w:val="ListBullet"/>
      </w:pPr>
      <w:r>
        <w:t>75 per cent of departmental expenditure from the Health portfolio would be re</w:t>
      </w:r>
      <w:r w:rsidR="002251CA">
        <w:t>tained</w:t>
      </w:r>
      <w:r>
        <w:t xml:space="preserve"> to administer the proposed medical expenses subsidy.</w:t>
      </w:r>
    </w:p>
    <w:p w:rsidR="005D0B71" w:rsidRDefault="005D0B71">
      <w:pPr>
        <w:pStyle w:val="ListBullet"/>
      </w:pPr>
      <w:r>
        <w:t xml:space="preserve">All departmental expenditure from Department of Human Services would be </w:t>
      </w:r>
      <w:r w:rsidR="002251CA">
        <w:t>retained</w:t>
      </w:r>
      <w:r>
        <w:t xml:space="preserve"> to administer the proposed medical expenses subsidy.</w:t>
      </w:r>
    </w:p>
    <w:p w:rsidR="005D0B71" w:rsidRDefault="005D0B71" w:rsidP="005D0B71">
      <w:pPr>
        <w:pStyle w:val="ListBullet"/>
      </w:pPr>
      <w:r>
        <w:lastRenderedPageBreak/>
        <w:t xml:space="preserve">Half of departmental expenditure relating to administering the </w:t>
      </w:r>
      <w:r w:rsidR="00441086">
        <w:t>PHIR</w:t>
      </w:r>
      <w:r>
        <w:t xml:space="preserve"> for the ATO would be re</w:t>
      </w:r>
      <w:r w:rsidR="002251CA">
        <w:t>tai</w:t>
      </w:r>
      <w:r>
        <w:t>ned.</w:t>
      </w:r>
    </w:p>
    <w:p w:rsidR="00FE3B13" w:rsidRDefault="00FE3B13" w:rsidP="0056001A">
      <w:pPr>
        <w:pStyle w:val="Heading1"/>
      </w:pPr>
      <w:r>
        <w:t>Methodology</w:t>
      </w:r>
    </w:p>
    <w:p w:rsidR="0080773B" w:rsidRPr="00B70DEC" w:rsidRDefault="0080773B" w:rsidP="0080773B">
      <w:pPr>
        <w:pStyle w:val="Heading2"/>
      </w:pPr>
      <w:r w:rsidRPr="00B70DEC">
        <w:t>Option 1</w:t>
      </w:r>
    </w:p>
    <w:p w:rsidR="0080773B" w:rsidRDefault="0080773B" w:rsidP="0080773B">
      <w:pPr>
        <w:pStyle w:val="BodyText"/>
      </w:pPr>
      <w:r>
        <w:t>The impact of this option was derived by reducing administered and departmental expenditure estimates for the specified programs, less expected redundancy payments.</w:t>
      </w:r>
    </w:p>
    <w:p w:rsidR="0080773B" w:rsidRDefault="0080773B" w:rsidP="0080773B">
      <w:pPr>
        <w:pStyle w:val="BodyText"/>
      </w:pPr>
      <w:r>
        <w:t xml:space="preserve">Administered and departmental expenditure estimates over </w:t>
      </w:r>
      <w:r w:rsidR="001D7FDF">
        <w:t xml:space="preserve">the </w:t>
      </w:r>
      <w:r>
        <w:t>2016-17 Budget and forward estimates period for the specified programs were taken from within the Department of Health</w:t>
      </w:r>
      <w:r w:rsidR="00C706C2">
        <w:t>, Department of Human Services and Department of the Treasury</w:t>
      </w:r>
      <w:r>
        <w:t>, obtained from the Department of Finance 2016-17</w:t>
      </w:r>
      <w:r w:rsidR="00B72453">
        <w:t xml:space="preserve"> Budget and P</w:t>
      </w:r>
      <w:r w:rsidR="00441086">
        <w:t>re-</w:t>
      </w:r>
      <w:r w:rsidR="00B72453">
        <w:t>E</w:t>
      </w:r>
      <w:r w:rsidR="00441086">
        <w:t xml:space="preserve">lection Economic and </w:t>
      </w:r>
      <w:r w:rsidR="00B72453">
        <w:t>F</w:t>
      </w:r>
      <w:r w:rsidR="00441086">
        <w:t xml:space="preserve">iscal </w:t>
      </w:r>
      <w:r w:rsidR="00B72453">
        <w:t>O</w:t>
      </w:r>
      <w:r w:rsidR="00441086">
        <w:t>utlook</w:t>
      </w:r>
      <w:r w:rsidR="00B72453">
        <w:t xml:space="preserve"> budget management system</w:t>
      </w:r>
      <w:r w:rsidR="00851E10">
        <w:t xml:space="preserve">. </w:t>
      </w:r>
      <w:r>
        <w:t xml:space="preserve"> Administered and departmental expenditure estimates beyond 2019</w:t>
      </w:r>
      <w:r w:rsidR="00202B07">
        <w:noBreakHyphen/>
      </w:r>
      <w:r>
        <w:t xml:space="preserve">20 were </w:t>
      </w:r>
      <w:r w:rsidR="001D7FDF">
        <w:t xml:space="preserve">projected </w:t>
      </w:r>
      <w:r>
        <w:t>based on historical trend</w:t>
      </w:r>
      <w:r w:rsidR="00441086">
        <w:t>s</w:t>
      </w:r>
      <w:r>
        <w:t>.</w:t>
      </w:r>
    </w:p>
    <w:p w:rsidR="00C95E06" w:rsidRDefault="00C95E06" w:rsidP="00C95E06">
      <w:pPr>
        <w:pStyle w:val="BodyText"/>
      </w:pPr>
      <w:r>
        <w:t xml:space="preserve">Due to the magnitude of the decrease in departmental expenditure, a provision has been included for redundancies.  The number of required redundancies was derived as the estimated reduction in average staffing levels, minus natural attrition. </w:t>
      </w:r>
      <w:r w:rsidR="00441086">
        <w:t xml:space="preserve"> </w:t>
      </w:r>
      <w:r>
        <w:t>The average per person cost of a redundancy has been estimated at approximately $53,000.  This is based on aver</w:t>
      </w:r>
      <w:r w:rsidR="00441086">
        <w:t>age salary (excluding on-costs) and</w:t>
      </w:r>
      <w:r>
        <w:t xml:space="preserve"> average service length of 10.2 years (APS Statistical Bulletin 2014-15) with a payout equal to two weeks’ salary per year of service, pro-rated for months of service.  The impact of redundancy payments was calculated as the total number </w:t>
      </w:r>
      <w:r w:rsidRPr="00F511E7">
        <w:t>of redundancies multiplied by the average cost per person</w:t>
      </w:r>
      <w:r>
        <w:t>.</w:t>
      </w:r>
    </w:p>
    <w:p w:rsidR="00127D10" w:rsidRPr="00B70DEC" w:rsidRDefault="00127D10" w:rsidP="00127D10">
      <w:pPr>
        <w:pStyle w:val="Heading2"/>
      </w:pPr>
      <w:r>
        <w:t>Option 2</w:t>
      </w:r>
    </w:p>
    <w:p w:rsidR="00C369FB" w:rsidRDefault="002F01B7" w:rsidP="0080773B">
      <w:pPr>
        <w:pStyle w:val="BodyText"/>
      </w:pPr>
      <w:r>
        <w:t xml:space="preserve">The </w:t>
      </w:r>
      <w:r w:rsidR="00CB6423">
        <w:t xml:space="preserve">net </w:t>
      </w:r>
      <w:r>
        <w:t xml:space="preserve">financial impact of </w:t>
      </w:r>
      <w:r w:rsidR="00202B07">
        <w:t>O</w:t>
      </w:r>
      <w:r>
        <w:t>ption 2 has been est</w:t>
      </w:r>
      <w:r w:rsidR="00441086">
        <w:t>imated</w:t>
      </w:r>
      <w:r>
        <w:t xml:space="preserve"> </w:t>
      </w:r>
      <w:r w:rsidR="00CB6423">
        <w:t>based on</w:t>
      </w:r>
      <w:r>
        <w:t xml:space="preserve"> the policy specification that the proposed subsidy would be </w:t>
      </w:r>
      <w:r w:rsidR="003417B2">
        <w:t xml:space="preserve">set so that Option 2 has </w:t>
      </w:r>
      <w:r w:rsidR="00441086">
        <w:t>savings that are approximately</w:t>
      </w:r>
      <w:r w:rsidR="00CB6423">
        <w:t xml:space="preserve"> </w:t>
      </w:r>
      <w:r w:rsidR="00441086">
        <w:t>half the net savings under O</w:t>
      </w:r>
      <w:r>
        <w:t>ption 1.</w:t>
      </w:r>
      <w:r w:rsidR="00CB6423">
        <w:t xml:space="preserve">  </w:t>
      </w:r>
      <w:r w:rsidR="002251CA">
        <w:t>The impact on departmental expenditure is calculated by applying the same method as Option 1</w:t>
      </w:r>
      <w:r w:rsidR="00D01B01">
        <w:t xml:space="preserve"> using the assumptions as outlined for Option 2 above</w:t>
      </w:r>
      <w:r w:rsidR="002251CA">
        <w:t>.</w:t>
      </w:r>
      <w:r w:rsidR="00C369FB">
        <w:t xml:space="preserve">  </w:t>
      </w:r>
      <w:r w:rsidR="00CB6423">
        <w:t>The impact on administered expenses has been calculated as a residual after estimating the impact on departmental expenditure.</w:t>
      </w:r>
    </w:p>
    <w:p w:rsidR="00160EB7" w:rsidRPr="00002D5D" w:rsidRDefault="00160EB7" w:rsidP="0080773B">
      <w:pPr>
        <w:pStyle w:val="BodyText"/>
      </w:pPr>
      <w:r>
        <w:t>Estimate</w:t>
      </w:r>
      <w:r w:rsidRPr="00F511E7">
        <w:t>s for both options have been rounded to the nearest $</w:t>
      </w:r>
      <w:r>
        <w:t>1</w:t>
      </w:r>
      <w:r w:rsidRPr="00F511E7">
        <w:t>0 million.</w:t>
      </w:r>
    </w:p>
    <w:p w:rsidR="00FE3B13" w:rsidRDefault="00FE3B13" w:rsidP="00FE3B13">
      <w:pPr>
        <w:pStyle w:val="Heading1"/>
      </w:pPr>
      <w:r>
        <w:t>Data sources</w:t>
      </w:r>
    </w:p>
    <w:p w:rsidR="00C95E06" w:rsidRDefault="00C95E06" w:rsidP="00C95E06">
      <w:pPr>
        <w:pStyle w:val="BodyText"/>
      </w:pPr>
      <w:r w:rsidRPr="003B78FE">
        <w:t>The Department of Finance provided</w:t>
      </w:r>
      <w:r>
        <w:t xml:space="preserve"> </w:t>
      </w:r>
      <w:r w:rsidRPr="003B78FE">
        <w:t xml:space="preserve">2016-17 Budget and PEFO budget management system reports detailing </w:t>
      </w:r>
      <w:r>
        <w:t xml:space="preserve">administered and </w:t>
      </w:r>
      <w:r w:rsidRPr="003B78FE">
        <w:t>departmental spendin</w:t>
      </w:r>
      <w:r>
        <w:t>g estimates.</w:t>
      </w:r>
    </w:p>
    <w:p w:rsidR="00C95E06" w:rsidRPr="003B78FE" w:rsidRDefault="00C95E06" w:rsidP="00C95E06">
      <w:pPr>
        <w:pStyle w:val="BodyText"/>
      </w:pPr>
      <w:r>
        <w:t xml:space="preserve">ATO provided </w:t>
      </w:r>
      <w:r w:rsidR="003F37F1">
        <w:t xml:space="preserve">department expenditure and number of staff relating to administering PHIR. </w:t>
      </w:r>
    </w:p>
    <w:p w:rsidR="007D0ABE" w:rsidRPr="0046444F" w:rsidRDefault="007D0ABE" w:rsidP="00B311BA">
      <w:pPr>
        <w:pStyle w:val="BodyText"/>
      </w:pPr>
    </w:p>
    <w:p w:rsidR="0046444F" w:rsidRDefault="0046444F" w:rsidP="00B311BA">
      <w:pPr>
        <w:pStyle w:val="BodyText"/>
        <w:sectPr w:rsidR="0046444F" w:rsidSect="000F498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361" w:right="1797" w:bottom="1474" w:left="1797" w:header="284" w:footer="454" w:gutter="0"/>
          <w:pgNumType w:start="1"/>
          <w:cols w:space="708"/>
          <w:titlePg/>
          <w:docGrid w:linePitch="360"/>
        </w:sectPr>
      </w:pPr>
    </w:p>
    <w:p w:rsidR="00016D53" w:rsidRPr="002D239A" w:rsidRDefault="00016D53" w:rsidP="002D239A">
      <w:pPr>
        <w:pStyle w:val="Heading8"/>
      </w:pPr>
      <w:r w:rsidRPr="002D239A">
        <w:lastRenderedPageBreak/>
        <w:t xml:space="preserve">– </w:t>
      </w:r>
      <w:r w:rsidR="003F37F1">
        <w:t>Health</w:t>
      </w:r>
      <w:r w:rsidRPr="002D239A">
        <w:t>—financial implications</w:t>
      </w:r>
    </w:p>
    <w:p w:rsidR="003E1562" w:rsidRDefault="003E1562" w:rsidP="003E1562">
      <w:pPr>
        <w:pStyle w:val="Caption"/>
        <w:keepLines/>
        <w:rPr>
          <w:vertAlign w:val="superscript"/>
        </w:rPr>
      </w:pPr>
      <w:r w:rsidRPr="002D239A">
        <w:t xml:space="preserve">Table </w:t>
      </w:r>
      <w:r w:rsidR="004D787D">
        <w:fldChar w:fldCharType="begin"/>
      </w:r>
      <w:r w:rsidR="004D787D">
        <w:instrText xml:space="preserve"> STYLEREF 8 \s </w:instrText>
      </w:r>
      <w:r w:rsidR="004D787D">
        <w:fldChar w:fldCharType="separate"/>
      </w:r>
      <w:r w:rsidR="00EC7763">
        <w:rPr>
          <w:noProof/>
        </w:rPr>
        <w:t>A</w:t>
      </w:r>
      <w:r w:rsidR="004D787D">
        <w:rPr>
          <w:noProof/>
        </w:rPr>
        <w:fldChar w:fldCharType="end"/>
      </w:r>
      <w:r w:rsidR="003F37F1">
        <w:t>1</w:t>
      </w:r>
      <w:r w:rsidRPr="002D239A">
        <w:t xml:space="preserve">: </w:t>
      </w:r>
      <w:r w:rsidR="00EC730F">
        <w:t xml:space="preserve">Health - </w:t>
      </w:r>
      <w:r w:rsidR="003F37F1">
        <w:t>Option 1</w:t>
      </w:r>
      <w:r w:rsidR="00EC730F">
        <w:t xml:space="preserve">: Abolish health related funding with </w:t>
      </w:r>
      <w:proofErr w:type="gramStart"/>
      <w:r w:rsidR="00EC730F">
        <w:t>exceptions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243" w:type="pct"/>
        <w:tblLook w:val="0680" w:firstRow="0" w:lastRow="0" w:firstColumn="1" w:lastColumn="0" w:noHBand="1" w:noVBand="1"/>
      </w:tblPr>
      <w:tblGrid>
        <w:gridCol w:w="2497"/>
        <w:gridCol w:w="937"/>
        <w:gridCol w:w="937"/>
        <w:gridCol w:w="937"/>
        <w:gridCol w:w="939"/>
        <w:gridCol w:w="1050"/>
        <w:gridCol w:w="939"/>
        <w:gridCol w:w="939"/>
        <w:gridCol w:w="939"/>
        <w:gridCol w:w="939"/>
        <w:gridCol w:w="939"/>
        <w:gridCol w:w="939"/>
        <w:gridCol w:w="939"/>
        <w:gridCol w:w="1041"/>
      </w:tblGrid>
      <w:tr w:rsidR="005F7174" w:rsidTr="008C0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"/>
              <w:ind w:left="-57" w:right="-57"/>
            </w:pPr>
            <w:r>
              <w:t>($</w:t>
            </w:r>
            <w:r w:rsidR="00A838D2">
              <w:t>m</w:t>
            </w:r>
            <w:r>
              <w:t>)</w:t>
            </w:r>
          </w:p>
        </w:tc>
        <w:tc>
          <w:tcPr>
            <w:tcW w:w="314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2016–17</w:t>
            </w:r>
          </w:p>
        </w:tc>
        <w:tc>
          <w:tcPr>
            <w:tcW w:w="314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2017–18</w:t>
            </w:r>
          </w:p>
        </w:tc>
        <w:tc>
          <w:tcPr>
            <w:tcW w:w="314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2018–19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2019–20</w:t>
            </w:r>
          </w:p>
        </w:tc>
        <w:tc>
          <w:tcPr>
            <w:tcW w:w="352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2019–20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2020–21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2021–22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2022–23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2023–24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2024–25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2025–26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2026–27</w:t>
            </w:r>
          </w:p>
        </w:tc>
        <w:tc>
          <w:tcPr>
            <w:tcW w:w="349" w:type="pct"/>
            <w:shd w:val="clear" w:color="auto" w:fill="D7DDE9" w:themeFill="accent3"/>
            <w:vAlign w:val="center"/>
          </w:tcPr>
          <w:p w:rsidR="001E33C2" w:rsidRPr="002D239A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2026–27</w:t>
            </w:r>
          </w:p>
        </w:tc>
      </w:tr>
      <w:tr w:rsidR="008C0B26" w:rsidTr="008C0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:rsidR="008C0B26" w:rsidRPr="008C0B26" w:rsidRDefault="008C0B26" w:rsidP="00962674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 w:rsidRPr="008C0B26">
              <w:rPr>
                <w:b w:val="0"/>
              </w:rPr>
              <w:t>Administered</w:t>
            </w:r>
          </w:p>
        </w:tc>
        <w:tc>
          <w:tcPr>
            <w:tcW w:w="314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-   </w:t>
            </w:r>
          </w:p>
        </w:tc>
        <w:tc>
          <w:tcPr>
            <w:tcW w:w="314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83,150 </w:t>
            </w:r>
          </w:p>
        </w:tc>
        <w:tc>
          <w:tcPr>
            <w:tcW w:w="314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87,250 </w:t>
            </w:r>
          </w:p>
        </w:tc>
        <w:tc>
          <w:tcPr>
            <w:tcW w:w="315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91,600 </w:t>
            </w:r>
          </w:p>
        </w:tc>
        <w:tc>
          <w:tcPr>
            <w:tcW w:w="352" w:type="pct"/>
          </w:tcPr>
          <w:p w:rsidR="008C0B26" w:rsidRPr="00344F88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44F88">
              <w:rPr>
                <w:b/>
                <w:i/>
                <w:sz w:val="20"/>
                <w:szCs w:val="20"/>
              </w:rPr>
              <w:t xml:space="preserve"> 262,000 </w:t>
            </w:r>
          </w:p>
        </w:tc>
        <w:tc>
          <w:tcPr>
            <w:tcW w:w="315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96,170 </w:t>
            </w:r>
          </w:p>
        </w:tc>
        <w:tc>
          <w:tcPr>
            <w:tcW w:w="315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100,970 </w:t>
            </w:r>
          </w:p>
        </w:tc>
        <w:tc>
          <w:tcPr>
            <w:tcW w:w="315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106,010 </w:t>
            </w:r>
          </w:p>
        </w:tc>
        <w:tc>
          <w:tcPr>
            <w:tcW w:w="315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111,310 </w:t>
            </w:r>
          </w:p>
        </w:tc>
        <w:tc>
          <w:tcPr>
            <w:tcW w:w="315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116,860 </w:t>
            </w:r>
          </w:p>
        </w:tc>
        <w:tc>
          <w:tcPr>
            <w:tcW w:w="315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122,690 </w:t>
            </w:r>
          </w:p>
        </w:tc>
        <w:tc>
          <w:tcPr>
            <w:tcW w:w="315" w:type="pct"/>
          </w:tcPr>
          <w:p w:rsidR="008C0B26" w:rsidRPr="008C0B26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C0B26">
              <w:rPr>
                <w:i/>
                <w:sz w:val="20"/>
                <w:szCs w:val="20"/>
              </w:rPr>
              <w:t xml:space="preserve"> 128,820 </w:t>
            </w:r>
          </w:p>
        </w:tc>
        <w:tc>
          <w:tcPr>
            <w:tcW w:w="349" w:type="pct"/>
          </w:tcPr>
          <w:p w:rsidR="008C0B26" w:rsidRPr="00344F88" w:rsidRDefault="008C0B2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344F88">
              <w:rPr>
                <w:b/>
                <w:i/>
                <w:sz w:val="20"/>
                <w:szCs w:val="20"/>
              </w:rPr>
              <w:t xml:space="preserve">1,044,840 </w:t>
            </w:r>
          </w:p>
        </w:tc>
      </w:tr>
      <w:tr w:rsidR="00F1012B" w:rsidTr="008C0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:rsidR="00F1012B" w:rsidRPr="008C0B26" w:rsidRDefault="00F1012B" w:rsidP="007B57C9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 w:rsidRPr="008C0B26">
              <w:rPr>
                <w:b w:val="0"/>
              </w:rPr>
              <w:t>Departmental</w:t>
            </w:r>
          </w:p>
        </w:tc>
        <w:tc>
          <w:tcPr>
            <w:tcW w:w="314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-   </w:t>
            </w:r>
          </w:p>
        </w:tc>
        <w:tc>
          <w:tcPr>
            <w:tcW w:w="314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1,080 </w:t>
            </w:r>
          </w:p>
        </w:tc>
        <w:tc>
          <w:tcPr>
            <w:tcW w:w="314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1,350 </w:t>
            </w:r>
          </w:p>
        </w:tc>
        <w:tc>
          <w:tcPr>
            <w:tcW w:w="315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1,350 </w:t>
            </w:r>
          </w:p>
        </w:tc>
        <w:tc>
          <w:tcPr>
            <w:tcW w:w="352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5F7174">
              <w:rPr>
                <w:b/>
                <w:i/>
                <w:sz w:val="20"/>
                <w:szCs w:val="20"/>
              </w:rPr>
              <w:t xml:space="preserve"> 3,780 </w:t>
            </w:r>
          </w:p>
        </w:tc>
        <w:tc>
          <w:tcPr>
            <w:tcW w:w="315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1,360 </w:t>
            </w:r>
          </w:p>
        </w:tc>
        <w:tc>
          <w:tcPr>
            <w:tcW w:w="315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1,370 </w:t>
            </w:r>
          </w:p>
        </w:tc>
        <w:tc>
          <w:tcPr>
            <w:tcW w:w="315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1,380 </w:t>
            </w:r>
          </w:p>
        </w:tc>
        <w:tc>
          <w:tcPr>
            <w:tcW w:w="315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1,390 </w:t>
            </w:r>
          </w:p>
        </w:tc>
        <w:tc>
          <w:tcPr>
            <w:tcW w:w="315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1,400 </w:t>
            </w:r>
          </w:p>
        </w:tc>
        <w:tc>
          <w:tcPr>
            <w:tcW w:w="315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1,410 </w:t>
            </w:r>
          </w:p>
        </w:tc>
        <w:tc>
          <w:tcPr>
            <w:tcW w:w="315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1,420 </w:t>
            </w:r>
          </w:p>
        </w:tc>
        <w:tc>
          <w:tcPr>
            <w:tcW w:w="349" w:type="pct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5F7174">
              <w:rPr>
                <w:b/>
                <w:i/>
                <w:sz w:val="20"/>
                <w:szCs w:val="20"/>
              </w:rPr>
              <w:t xml:space="preserve"> 13,500 </w:t>
            </w:r>
          </w:p>
        </w:tc>
      </w:tr>
      <w:tr w:rsidR="005F7174" w:rsidTr="008C0B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shd w:val="clear" w:color="auto" w:fill="D7DDE9" w:themeFill="accent3"/>
            <w:vAlign w:val="center"/>
          </w:tcPr>
          <w:p w:rsidR="00F1012B" w:rsidRPr="002D239A" w:rsidRDefault="00F1012B" w:rsidP="007B57C9">
            <w:pPr>
              <w:pStyle w:val="TableText"/>
              <w:keepNext/>
              <w:keepLines/>
              <w:ind w:left="-57" w:right="-57"/>
            </w:pPr>
            <w:r>
              <w:t>Total</w:t>
            </w:r>
          </w:p>
        </w:tc>
        <w:tc>
          <w:tcPr>
            <w:tcW w:w="314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-   </w:t>
            </w:r>
          </w:p>
        </w:tc>
        <w:tc>
          <w:tcPr>
            <w:tcW w:w="314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84,230 </w:t>
            </w:r>
          </w:p>
        </w:tc>
        <w:tc>
          <w:tcPr>
            <w:tcW w:w="314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88,600 </w:t>
            </w:r>
          </w:p>
        </w:tc>
        <w:tc>
          <w:tcPr>
            <w:tcW w:w="315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92,950 </w:t>
            </w:r>
          </w:p>
        </w:tc>
        <w:tc>
          <w:tcPr>
            <w:tcW w:w="352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265,780 </w:t>
            </w:r>
          </w:p>
        </w:tc>
        <w:tc>
          <w:tcPr>
            <w:tcW w:w="315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97,530 </w:t>
            </w:r>
          </w:p>
        </w:tc>
        <w:tc>
          <w:tcPr>
            <w:tcW w:w="315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102,340 </w:t>
            </w:r>
          </w:p>
        </w:tc>
        <w:tc>
          <w:tcPr>
            <w:tcW w:w="315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107,390 </w:t>
            </w:r>
          </w:p>
        </w:tc>
        <w:tc>
          <w:tcPr>
            <w:tcW w:w="315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112,690 </w:t>
            </w:r>
          </w:p>
        </w:tc>
        <w:tc>
          <w:tcPr>
            <w:tcW w:w="315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118,260 </w:t>
            </w:r>
          </w:p>
        </w:tc>
        <w:tc>
          <w:tcPr>
            <w:tcW w:w="315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124,100 </w:t>
            </w:r>
          </w:p>
        </w:tc>
        <w:tc>
          <w:tcPr>
            <w:tcW w:w="315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130,240 </w:t>
            </w:r>
          </w:p>
        </w:tc>
        <w:tc>
          <w:tcPr>
            <w:tcW w:w="349" w:type="pct"/>
            <w:shd w:val="clear" w:color="auto" w:fill="D7DDE9" w:themeFill="accent3"/>
          </w:tcPr>
          <w:p w:rsidR="00F1012B" w:rsidRPr="00F1012B" w:rsidRDefault="00F1012B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1,058,340 </w:t>
            </w:r>
          </w:p>
        </w:tc>
      </w:tr>
    </w:tbl>
    <w:p w:rsidR="003E1562" w:rsidRDefault="008C0B26" w:rsidP="002D16D2">
      <w:pPr>
        <w:pStyle w:val="TableFootnotes"/>
        <w:keepNext/>
        <w:numPr>
          <w:ilvl w:val="0"/>
          <w:numId w:val="12"/>
        </w:numPr>
      </w:pPr>
      <w:r w:rsidRPr="000A00FC">
        <w:rPr>
          <w:szCs w:val="20"/>
        </w:rPr>
        <w:t xml:space="preserve">A positive number indicates an increase in revenue or decrease in expenses or net capital investment in accrual and cash terms.  A negative number indicates a decrease in revenue or an increase in expenses or net capital investment in accrual and cash </w:t>
      </w:r>
      <w:r>
        <w:rPr>
          <w:szCs w:val="20"/>
        </w:rPr>
        <w:t>terms.</w:t>
      </w:r>
    </w:p>
    <w:p w:rsidR="003E1562" w:rsidRPr="002D239A" w:rsidRDefault="003E1562" w:rsidP="003E1562">
      <w:pPr>
        <w:pStyle w:val="TableFootnotes"/>
        <w:keepNext/>
      </w:pPr>
      <w:r>
        <w:t>Figures may not sum to totals due to rounding.</w:t>
      </w:r>
    </w:p>
    <w:p w:rsidR="002D239A" w:rsidRDefault="003E1562" w:rsidP="002D16D2">
      <w:pPr>
        <w:pStyle w:val="TableFootnotes"/>
        <w:keepLines w:val="0"/>
        <w:numPr>
          <w:ilvl w:val="0"/>
          <w:numId w:val="11"/>
        </w:numPr>
        <w:ind w:left="284" w:hanging="284"/>
      </w:pPr>
      <w:r>
        <w:t>Indicates nil.</w:t>
      </w:r>
    </w:p>
    <w:p w:rsidR="008C0B26" w:rsidRDefault="008C0B26" w:rsidP="008C0B26">
      <w:pPr>
        <w:pStyle w:val="TableFootnotes"/>
        <w:keepLines w:val="0"/>
        <w:numPr>
          <w:ilvl w:val="0"/>
          <w:numId w:val="0"/>
        </w:numPr>
        <w:ind w:left="284" w:hanging="284"/>
        <w:sectPr w:rsidR="008C0B26" w:rsidSect="001E33C2">
          <w:headerReference w:type="even" r:id="rId13"/>
          <w:footerReference w:type="even" r:id="rId14"/>
          <w:headerReference w:type="first" r:id="rId15"/>
          <w:footerReference w:type="first" r:id="rId16"/>
          <w:pgSz w:w="16839" w:h="11907" w:orient="landscape" w:code="9"/>
          <w:pgMar w:top="1797" w:right="1361" w:bottom="1797" w:left="1474" w:header="283" w:footer="454" w:gutter="0"/>
          <w:cols w:space="708"/>
          <w:docGrid w:linePitch="360"/>
        </w:sectPr>
      </w:pPr>
    </w:p>
    <w:p w:rsidR="008C0B26" w:rsidRDefault="008C0B26" w:rsidP="008C0B26">
      <w:pPr>
        <w:pStyle w:val="Caption"/>
        <w:keepLines/>
        <w:rPr>
          <w:vertAlign w:val="superscript"/>
        </w:rPr>
      </w:pPr>
      <w:r w:rsidRPr="002D239A">
        <w:lastRenderedPageBreak/>
        <w:t xml:space="preserve">Table </w:t>
      </w:r>
      <w:r w:rsidR="004D787D">
        <w:fldChar w:fldCharType="begin"/>
      </w:r>
      <w:r w:rsidR="004D787D">
        <w:instrText xml:space="preserve"> STYLEREF 8 \s </w:instrText>
      </w:r>
      <w:r w:rsidR="004D787D">
        <w:fldChar w:fldCharType="separate"/>
      </w:r>
      <w:r w:rsidR="00EC7763">
        <w:rPr>
          <w:noProof/>
        </w:rPr>
        <w:t>A</w:t>
      </w:r>
      <w:r w:rsidR="004D787D">
        <w:rPr>
          <w:noProof/>
        </w:rPr>
        <w:fldChar w:fldCharType="end"/>
      </w:r>
      <w:r>
        <w:t>1</w:t>
      </w:r>
      <w:r w:rsidRPr="002D239A">
        <w:t>:</w:t>
      </w:r>
      <w:r w:rsidR="00EC730F" w:rsidRPr="00EC730F">
        <w:t xml:space="preserve"> Health - </w:t>
      </w:r>
      <w:r>
        <w:t xml:space="preserve">Option </w:t>
      </w:r>
      <w:proofErr w:type="gramStart"/>
      <w:r>
        <w:t>2</w:t>
      </w:r>
      <w:r w:rsidR="00EC730F">
        <w:t xml:space="preserve"> :</w:t>
      </w:r>
      <w:proofErr w:type="gramEnd"/>
      <w:r w:rsidR="00EC730F">
        <w:t xml:space="preserve"> Abolish health related funding with exceptions, and use half of the savings to fund a medical ex</w:t>
      </w:r>
      <w:r w:rsidR="00441086">
        <w:t>penses subsidy</w:t>
      </w:r>
      <w:r w:rsidRPr="002D239A">
        <w:rPr>
          <w:vertAlign w:val="superscript"/>
        </w:rPr>
        <w:t>(a)(b)</w:t>
      </w:r>
    </w:p>
    <w:tbl>
      <w:tblPr>
        <w:tblStyle w:val="LightGrid-Accent6"/>
        <w:tblW w:w="5243" w:type="pct"/>
        <w:tblLook w:val="0680" w:firstRow="0" w:lastRow="0" w:firstColumn="1" w:lastColumn="0" w:noHBand="1" w:noVBand="1"/>
      </w:tblPr>
      <w:tblGrid>
        <w:gridCol w:w="2497"/>
        <w:gridCol w:w="937"/>
        <w:gridCol w:w="937"/>
        <w:gridCol w:w="937"/>
        <w:gridCol w:w="939"/>
        <w:gridCol w:w="1050"/>
        <w:gridCol w:w="939"/>
        <w:gridCol w:w="939"/>
        <w:gridCol w:w="939"/>
        <w:gridCol w:w="939"/>
        <w:gridCol w:w="939"/>
        <w:gridCol w:w="939"/>
        <w:gridCol w:w="939"/>
        <w:gridCol w:w="1041"/>
      </w:tblGrid>
      <w:tr w:rsidR="005F7174" w:rsidTr="00962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shd w:val="clear" w:color="auto" w:fill="D7DDE9" w:themeFill="accent3"/>
            <w:vAlign w:val="center"/>
          </w:tcPr>
          <w:p w:rsidR="008C0B26" w:rsidRPr="002D239A" w:rsidRDefault="008C0B26" w:rsidP="00962674">
            <w:pPr>
              <w:pStyle w:val="TableHeading"/>
              <w:ind w:left="-57" w:right="-57"/>
            </w:pPr>
            <w:r>
              <w:t>($m)</w:t>
            </w:r>
          </w:p>
        </w:tc>
        <w:tc>
          <w:tcPr>
            <w:tcW w:w="314" w:type="pct"/>
            <w:shd w:val="clear" w:color="auto" w:fill="D7DDE9" w:themeFill="accent3"/>
            <w:vAlign w:val="center"/>
          </w:tcPr>
          <w:p w:rsidR="008C0B26" w:rsidRPr="002D239A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2016–17</w:t>
            </w:r>
          </w:p>
        </w:tc>
        <w:tc>
          <w:tcPr>
            <w:tcW w:w="314" w:type="pct"/>
            <w:shd w:val="clear" w:color="auto" w:fill="D7DDE9" w:themeFill="accent3"/>
            <w:vAlign w:val="center"/>
          </w:tcPr>
          <w:p w:rsidR="008C0B26" w:rsidRPr="002D239A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2017–18</w:t>
            </w:r>
          </w:p>
        </w:tc>
        <w:tc>
          <w:tcPr>
            <w:tcW w:w="314" w:type="pct"/>
            <w:shd w:val="clear" w:color="auto" w:fill="D7DDE9" w:themeFill="accent3"/>
            <w:vAlign w:val="center"/>
          </w:tcPr>
          <w:p w:rsidR="008C0B26" w:rsidRPr="002D239A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2018–19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8C0B26" w:rsidRPr="002D239A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2019–20</w:t>
            </w:r>
          </w:p>
        </w:tc>
        <w:tc>
          <w:tcPr>
            <w:tcW w:w="352" w:type="pct"/>
            <w:shd w:val="clear" w:color="auto" w:fill="D7DDE9" w:themeFill="accent3"/>
            <w:vAlign w:val="center"/>
          </w:tcPr>
          <w:p w:rsidR="008C0B26" w:rsidRPr="002D239A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2019–20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8C0B26" w:rsidRPr="007B57C9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2020–21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8C0B26" w:rsidRPr="007B57C9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2021–22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8C0B26" w:rsidRPr="007B57C9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2022–23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8C0B26" w:rsidRPr="007B57C9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2023–24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8C0B26" w:rsidRPr="007B57C9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2024–25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8C0B26" w:rsidRPr="007B57C9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2025–26</w:t>
            </w:r>
          </w:p>
        </w:tc>
        <w:tc>
          <w:tcPr>
            <w:tcW w:w="315" w:type="pct"/>
            <w:shd w:val="clear" w:color="auto" w:fill="D7DDE9" w:themeFill="accent3"/>
            <w:vAlign w:val="center"/>
          </w:tcPr>
          <w:p w:rsidR="008C0B26" w:rsidRPr="007B57C9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2026–27</w:t>
            </w:r>
          </w:p>
        </w:tc>
        <w:tc>
          <w:tcPr>
            <w:tcW w:w="349" w:type="pct"/>
            <w:shd w:val="clear" w:color="auto" w:fill="D7DDE9" w:themeFill="accent3"/>
            <w:vAlign w:val="center"/>
          </w:tcPr>
          <w:p w:rsidR="008C0B26" w:rsidRPr="002D239A" w:rsidRDefault="008C0B26" w:rsidP="00962674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2026–27</w:t>
            </w:r>
          </w:p>
        </w:tc>
      </w:tr>
      <w:tr w:rsidR="009401B6" w:rsidTr="00962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:rsidR="009401B6" w:rsidRPr="008C0B26" w:rsidRDefault="009401B6" w:rsidP="00962674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 w:rsidRPr="008C0B26">
              <w:rPr>
                <w:b w:val="0"/>
              </w:rPr>
              <w:t>Administered</w:t>
            </w:r>
          </w:p>
        </w:tc>
        <w:tc>
          <w:tcPr>
            <w:tcW w:w="314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-   </w:t>
            </w:r>
          </w:p>
        </w:tc>
        <w:tc>
          <w:tcPr>
            <w:tcW w:w="314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41,950 </w:t>
            </w:r>
          </w:p>
        </w:tc>
        <w:tc>
          <w:tcPr>
            <w:tcW w:w="314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44,080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46,260 </w:t>
            </w:r>
          </w:p>
        </w:tc>
        <w:tc>
          <w:tcPr>
            <w:tcW w:w="352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5F7174">
              <w:rPr>
                <w:b/>
                <w:i/>
                <w:sz w:val="20"/>
                <w:szCs w:val="20"/>
              </w:rPr>
              <w:t xml:space="preserve"> 132,300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48,550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50,950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53,480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56,130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58,910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61,830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64,890 </w:t>
            </w:r>
          </w:p>
        </w:tc>
        <w:tc>
          <w:tcPr>
            <w:tcW w:w="349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5F7174">
              <w:rPr>
                <w:b/>
                <w:i/>
                <w:sz w:val="20"/>
                <w:szCs w:val="20"/>
              </w:rPr>
              <w:t xml:space="preserve"> 527,040 </w:t>
            </w:r>
          </w:p>
        </w:tc>
      </w:tr>
      <w:tr w:rsidR="009401B6" w:rsidTr="00962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:rsidR="009401B6" w:rsidRPr="008C0B26" w:rsidRDefault="009401B6" w:rsidP="00962674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 w:rsidRPr="008C0B26">
              <w:rPr>
                <w:b w:val="0"/>
              </w:rPr>
              <w:t>Departmental</w:t>
            </w:r>
          </w:p>
        </w:tc>
        <w:tc>
          <w:tcPr>
            <w:tcW w:w="314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-   </w:t>
            </w:r>
          </w:p>
        </w:tc>
        <w:tc>
          <w:tcPr>
            <w:tcW w:w="314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160 </w:t>
            </w:r>
          </w:p>
        </w:tc>
        <w:tc>
          <w:tcPr>
            <w:tcW w:w="314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220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210 </w:t>
            </w:r>
          </w:p>
        </w:tc>
        <w:tc>
          <w:tcPr>
            <w:tcW w:w="352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5F7174">
              <w:rPr>
                <w:b/>
                <w:i/>
                <w:sz w:val="20"/>
                <w:szCs w:val="20"/>
              </w:rPr>
              <w:t xml:space="preserve"> 590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220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220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220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220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220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220 </w:t>
            </w:r>
          </w:p>
        </w:tc>
        <w:tc>
          <w:tcPr>
            <w:tcW w:w="315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5F7174">
              <w:rPr>
                <w:i/>
                <w:sz w:val="20"/>
                <w:szCs w:val="20"/>
              </w:rPr>
              <w:t xml:space="preserve"> 220 </w:t>
            </w:r>
          </w:p>
        </w:tc>
        <w:tc>
          <w:tcPr>
            <w:tcW w:w="349" w:type="pct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5F7174">
              <w:rPr>
                <w:b/>
                <w:i/>
                <w:sz w:val="20"/>
                <w:szCs w:val="20"/>
              </w:rPr>
              <w:t xml:space="preserve"> 2,130 </w:t>
            </w:r>
          </w:p>
        </w:tc>
      </w:tr>
      <w:tr w:rsidR="005F7174" w:rsidTr="00962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shd w:val="clear" w:color="auto" w:fill="D7DDE9" w:themeFill="accent3"/>
            <w:vAlign w:val="center"/>
          </w:tcPr>
          <w:p w:rsidR="009401B6" w:rsidRPr="002D239A" w:rsidRDefault="009401B6" w:rsidP="00962674">
            <w:pPr>
              <w:pStyle w:val="TableText"/>
              <w:keepNext/>
              <w:keepLines/>
              <w:ind w:left="-57" w:right="-57"/>
            </w:pPr>
            <w:r>
              <w:t>Total</w:t>
            </w:r>
          </w:p>
        </w:tc>
        <w:tc>
          <w:tcPr>
            <w:tcW w:w="314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-   </w:t>
            </w:r>
          </w:p>
        </w:tc>
        <w:tc>
          <w:tcPr>
            <w:tcW w:w="314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42,120 </w:t>
            </w:r>
          </w:p>
        </w:tc>
        <w:tc>
          <w:tcPr>
            <w:tcW w:w="314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44,300 </w:t>
            </w:r>
          </w:p>
        </w:tc>
        <w:tc>
          <w:tcPr>
            <w:tcW w:w="315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46,480 </w:t>
            </w:r>
          </w:p>
        </w:tc>
        <w:tc>
          <w:tcPr>
            <w:tcW w:w="352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132,890 </w:t>
            </w:r>
          </w:p>
        </w:tc>
        <w:tc>
          <w:tcPr>
            <w:tcW w:w="315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48,770 </w:t>
            </w:r>
          </w:p>
        </w:tc>
        <w:tc>
          <w:tcPr>
            <w:tcW w:w="315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51,170 </w:t>
            </w:r>
          </w:p>
        </w:tc>
        <w:tc>
          <w:tcPr>
            <w:tcW w:w="315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53,700 </w:t>
            </w:r>
          </w:p>
        </w:tc>
        <w:tc>
          <w:tcPr>
            <w:tcW w:w="315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56,350 </w:t>
            </w:r>
          </w:p>
        </w:tc>
        <w:tc>
          <w:tcPr>
            <w:tcW w:w="315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59,130 </w:t>
            </w:r>
          </w:p>
        </w:tc>
        <w:tc>
          <w:tcPr>
            <w:tcW w:w="315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62,050 </w:t>
            </w:r>
          </w:p>
        </w:tc>
        <w:tc>
          <w:tcPr>
            <w:tcW w:w="315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65,120 </w:t>
            </w:r>
          </w:p>
        </w:tc>
        <w:tc>
          <w:tcPr>
            <w:tcW w:w="349" w:type="pct"/>
            <w:shd w:val="clear" w:color="auto" w:fill="D7DDE9" w:themeFill="accent3"/>
          </w:tcPr>
          <w:p w:rsidR="009401B6" w:rsidRPr="009401B6" w:rsidRDefault="009401B6" w:rsidP="008C0B26">
            <w:pPr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F7174">
              <w:rPr>
                <w:b/>
                <w:sz w:val="20"/>
                <w:szCs w:val="20"/>
              </w:rPr>
              <w:t xml:space="preserve"> 529,170 </w:t>
            </w:r>
          </w:p>
        </w:tc>
      </w:tr>
    </w:tbl>
    <w:p w:rsidR="008C0B26" w:rsidRDefault="008C0B26" w:rsidP="002D16D2">
      <w:pPr>
        <w:pStyle w:val="TableFootnotes"/>
        <w:numPr>
          <w:ilvl w:val="0"/>
          <w:numId w:val="14"/>
        </w:numPr>
      </w:pPr>
      <w:r w:rsidRPr="008C0B26">
        <w:t>A positive number indicates an increase in revenue or decrease in expenses or net capital investment in accrual and cash terms.  A negative number indicates a decrease in revenue or an increase in expenses or net capital investment in accrual and cash terms.</w:t>
      </w:r>
    </w:p>
    <w:p w:rsidR="008C0B26" w:rsidRPr="002D239A" w:rsidRDefault="008C0B26" w:rsidP="008C0B26">
      <w:pPr>
        <w:pStyle w:val="TableFootnotes"/>
        <w:keepNext/>
      </w:pPr>
      <w:r>
        <w:t>Figures may not sum to totals due to rounding.</w:t>
      </w:r>
    </w:p>
    <w:p w:rsidR="008C0B26" w:rsidRDefault="008C0B26" w:rsidP="002D16D2">
      <w:pPr>
        <w:pStyle w:val="TableFootnotes"/>
        <w:keepLines w:val="0"/>
        <w:numPr>
          <w:ilvl w:val="0"/>
          <w:numId w:val="11"/>
        </w:numPr>
        <w:ind w:left="284" w:hanging="284"/>
      </w:pPr>
      <w:r>
        <w:t>Indicates nil.</w:t>
      </w:r>
    </w:p>
    <w:p w:rsidR="008C0B26" w:rsidRDefault="008C0B26" w:rsidP="008C0B26">
      <w:pPr>
        <w:pStyle w:val="TableFootnotes"/>
        <w:keepLines w:val="0"/>
        <w:numPr>
          <w:ilvl w:val="0"/>
          <w:numId w:val="0"/>
        </w:numPr>
        <w:ind w:left="284" w:hanging="284"/>
      </w:pPr>
    </w:p>
    <w:sectPr w:rsidR="008C0B26" w:rsidSect="001E33C2">
      <w:pgSz w:w="16839" w:h="11907" w:orient="landscape" w:code="9"/>
      <w:pgMar w:top="1797" w:right="1361" w:bottom="1797" w:left="147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E2" w:rsidRDefault="004235E2" w:rsidP="00A20802">
      <w:pPr>
        <w:spacing w:line="240" w:lineRule="auto"/>
      </w:pPr>
      <w:r>
        <w:separator/>
      </w:r>
    </w:p>
    <w:p w:rsidR="004235E2" w:rsidRDefault="004235E2"/>
  </w:endnote>
  <w:endnote w:type="continuationSeparator" w:id="0">
    <w:p w:rsidR="004235E2" w:rsidRDefault="004235E2" w:rsidP="00A20802">
      <w:pPr>
        <w:spacing w:line="240" w:lineRule="auto"/>
      </w:pPr>
      <w:r>
        <w:continuationSeparator/>
      </w:r>
    </w:p>
    <w:p w:rsidR="004235E2" w:rsidRDefault="00423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87" w:rsidRDefault="000F4987" w:rsidP="002C4DA6">
    <w:pPr>
      <w:pStyle w:val="Footer"/>
      <w:ind w:left="7286" w:hanging="3714"/>
      <w:jc w:val="right"/>
      <w:rPr>
        <w:rStyle w:val="FooterChar"/>
        <w:b/>
      </w:rPr>
    </w:pP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4D787D">
      <w:rPr>
        <w:rStyle w:val="FooterChar"/>
        <w:b/>
        <w:noProof/>
      </w:rPr>
      <w:t>2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>
      <w:rPr>
        <w:rStyle w:val="FooterChar"/>
        <w:b/>
      </w:rPr>
      <w:t>6</w:t>
    </w:r>
  </w:p>
  <w:p w:rsidR="000F4987" w:rsidRPr="004D787D" w:rsidRDefault="000F4987" w:rsidP="0000071C">
    <w:pPr>
      <w:pStyle w:val="Footer"/>
      <w:ind w:left="3714" w:hanging="3714"/>
      <w:jc w:val="center"/>
      <w:rPr>
        <w:rFonts w:ascii="Calibri" w:hAnsi="Calibri" w:cs="Arial"/>
        <w:strike/>
        <w:color w:val="FF0000"/>
        <w:sz w:val="40"/>
        <w:szCs w:val="40"/>
      </w:rPr>
    </w:pPr>
    <w:r w:rsidRPr="004D787D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E2" w:rsidRDefault="004235E2" w:rsidP="00476133">
    <w:pPr>
      <w:pStyle w:val="Footer"/>
      <w:ind w:left="7286" w:hanging="3714"/>
      <w:jc w:val="right"/>
      <w:rPr>
        <w:rStyle w:val="FooterChar"/>
        <w:b/>
      </w:rPr>
    </w:pP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4D787D">
      <w:rPr>
        <w:rStyle w:val="FooterChar"/>
        <w:b/>
        <w:noProof/>
      </w:rPr>
      <w:t>1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0F4987">
      <w:rPr>
        <w:rStyle w:val="FooterChar"/>
        <w:b/>
      </w:rPr>
      <w:t>6</w:t>
    </w:r>
  </w:p>
  <w:p w:rsidR="004235E2" w:rsidRPr="004D787D" w:rsidRDefault="004235E2" w:rsidP="00EF0A00">
    <w:pPr>
      <w:pStyle w:val="Footer"/>
      <w:ind w:left="3714" w:hanging="3714"/>
      <w:jc w:val="center"/>
      <w:rPr>
        <w:rFonts w:ascii="Calibri" w:hAnsi="Calibri" w:cs="Arial"/>
        <w:strike/>
        <w:color w:val="FF0000"/>
        <w:sz w:val="40"/>
        <w:szCs w:val="40"/>
      </w:rPr>
    </w:pPr>
    <w:r w:rsidRPr="004D787D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AsPlaceholder"/>
      <w:tblpPr w:bottomFromText="283" w:vertAnchor="page" w:horzAnchor="margin" w:tblpYSpec="bottom"/>
      <w:tblW w:w="8731" w:type="dxa"/>
      <w:tblLayout w:type="fixed"/>
      <w:tblCellMar>
        <w:top w:w="28" w:type="dxa"/>
      </w:tblCellMar>
      <w:tblLook w:val="04A0" w:firstRow="1" w:lastRow="0" w:firstColumn="1" w:lastColumn="0" w:noHBand="0" w:noVBand="1"/>
    </w:tblPr>
    <w:tblGrid>
      <w:gridCol w:w="567"/>
      <w:gridCol w:w="8164"/>
    </w:tblGrid>
    <w:tr w:rsidR="004235E2" w:rsidRPr="00EB388E" w:rsidTr="002D239A">
      <w:trPr>
        <w:trHeight w:val="340"/>
      </w:trPr>
      <w:tc>
        <w:tcPr>
          <w:tcW w:w="567" w:type="dxa"/>
          <w:tcBorders>
            <w:right w:val="single" w:sz="4" w:space="0" w:color="788184" w:themeColor="background2"/>
          </w:tcBorders>
          <w:vAlign w:val="center"/>
        </w:tcPr>
        <w:p w:rsidR="004235E2" w:rsidRPr="00CB70DF" w:rsidRDefault="004235E2" w:rsidP="002D239A">
          <w:pPr>
            <w:pStyle w:val="FooterLeftPageNumber"/>
            <w:framePr w:wrap="auto" w:vAnchor="margin" w:hAnchor="text" w:yAlign="inline"/>
          </w:pPr>
          <w:r w:rsidRPr="00EB388E">
            <w:fldChar w:fldCharType="begin"/>
          </w:r>
          <w:r w:rsidRPr="00EB388E">
            <w:instrText xml:space="preserve"> PAGE   \* MERGEFORMAT </w:instrText>
          </w:r>
          <w:r w:rsidRPr="00EB388E">
            <w:fldChar w:fldCharType="separate"/>
          </w:r>
          <w:r w:rsidR="00EC7763">
            <w:rPr>
              <w:noProof/>
            </w:rPr>
            <w:t>7</w:t>
          </w:r>
          <w:r w:rsidRPr="00EB388E">
            <w:fldChar w:fldCharType="end"/>
          </w:r>
        </w:p>
      </w:tc>
      <w:tc>
        <w:tcPr>
          <w:tcW w:w="8164" w:type="dxa"/>
          <w:tcBorders>
            <w:left w:val="single" w:sz="4" w:space="0" w:color="788184" w:themeColor="background2"/>
          </w:tcBorders>
          <w:vAlign w:val="center"/>
        </w:tcPr>
        <w:p w:rsidR="004235E2" w:rsidRPr="00CB70DF" w:rsidRDefault="00F07593" w:rsidP="002D239A">
          <w:pPr>
            <w:pStyle w:val="FooterLeft"/>
            <w:framePr w:wrap="auto" w:vAnchor="margin" w:hAnchor="text" w:yAlign="inline"/>
          </w:pPr>
          <w:fldSimple w:instr=" STYLEREF  Title  \* MERGEFORMAT ">
            <w:r w:rsidR="00EC7763">
              <w:rPr>
                <w:noProof/>
              </w:rPr>
              <w:t>Policy costing—outside the caretaker period</w:t>
            </w:r>
          </w:fldSimple>
        </w:p>
      </w:tc>
    </w:tr>
    <w:tr w:rsidR="004235E2" w:rsidRPr="00EB388E" w:rsidTr="002D239A">
      <w:trPr>
        <w:trHeight w:hRule="exact" w:val="403"/>
      </w:trPr>
      <w:tc>
        <w:tcPr>
          <w:tcW w:w="567" w:type="dxa"/>
          <w:tcMar>
            <w:bottom w:w="284" w:type="dxa"/>
          </w:tcMar>
        </w:tcPr>
        <w:p w:rsidR="004235E2" w:rsidRPr="00EB388E" w:rsidRDefault="004235E2" w:rsidP="002D239A">
          <w:pPr>
            <w:pStyle w:val="FooterRightPageNumber"/>
          </w:pPr>
        </w:p>
      </w:tc>
      <w:tc>
        <w:tcPr>
          <w:tcW w:w="8164" w:type="dxa"/>
          <w:tcMar>
            <w:bottom w:w="284" w:type="dxa"/>
          </w:tcMar>
        </w:tcPr>
        <w:p w:rsidR="004235E2" w:rsidRPr="00090E70" w:rsidRDefault="004235E2" w:rsidP="002D239A"/>
      </w:tc>
    </w:tr>
  </w:tbl>
  <w:p w:rsidR="004235E2" w:rsidRDefault="004235E2">
    <w:pPr>
      <w:pStyle w:val="Footer"/>
    </w:pPr>
  </w:p>
  <w:p w:rsidR="004235E2" w:rsidRPr="004816D7" w:rsidRDefault="004235E2" w:rsidP="0056001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E2" w:rsidRPr="0046444F" w:rsidRDefault="004235E2" w:rsidP="0046444F">
    <w:pPr>
      <w:pStyle w:val="Header"/>
      <w:spacing w:after="240"/>
      <w:ind w:left="7309" w:hanging="7309"/>
    </w:pPr>
    <w:r w:rsidRPr="0092572B">
      <w:rPr>
        <w:b/>
        <w:color w:val="FF0000"/>
        <w:sz w:val="28"/>
        <w:szCs w:val="28"/>
      </w:rPr>
      <w:t>Sensitive</w:t>
    </w:r>
    <w:r>
      <w:rPr>
        <w:b/>
        <w:color w:val="FF0000"/>
        <w:sz w:val="28"/>
        <w:szCs w:val="28"/>
      </w:rPr>
      <w:tab/>
    </w:r>
    <w:r w:rsidRPr="00D67648">
      <w:rPr>
        <w:rStyle w:val="FooterChar"/>
      </w:rPr>
      <w:t xml:space="preserve">Page </w:t>
    </w:r>
    <w:r w:rsidRPr="00D67648">
      <w:rPr>
        <w:rStyle w:val="FooterChar"/>
      </w:rPr>
      <w:fldChar w:fldCharType="begin"/>
    </w:r>
    <w:r w:rsidRPr="00D67648">
      <w:rPr>
        <w:rStyle w:val="FooterChar"/>
      </w:rPr>
      <w:instrText xml:space="preserve"> PAGE  \* Arabic  \* MERGEFORMAT </w:instrText>
    </w:r>
    <w:r w:rsidRPr="00D67648">
      <w:rPr>
        <w:rStyle w:val="FooterChar"/>
      </w:rPr>
      <w:fldChar w:fldCharType="separate"/>
    </w:r>
    <w:r w:rsidR="00EC7763">
      <w:rPr>
        <w:rStyle w:val="FooterChar"/>
        <w:noProof/>
      </w:rPr>
      <w:t>7</w:t>
    </w:r>
    <w:r w:rsidRPr="00D67648">
      <w:rPr>
        <w:rStyle w:val="FooterChar"/>
      </w:rPr>
      <w:fldChar w:fldCharType="end"/>
    </w:r>
    <w:r w:rsidRPr="00D67648">
      <w:rPr>
        <w:rStyle w:val="FooterChar"/>
      </w:rPr>
      <w:t xml:space="preserve"> of </w:t>
    </w:r>
    <w:r w:rsidRPr="00D67648">
      <w:rPr>
        <w:rStyle w:val="FooterChar"/>
      </w:rPr>
      <w:fldChar w:fldCharType="begin"/>
    </w:r>
    <w:r w:rsidRPr="00D67648">
      <w:rPr>
        <w:rStyle w:val="FooterChar"/>
      </w:rPr>
      <w:instrText xml:space="preserve"> NUMPAGES  \* Arabic  \* MERGEFORMAT </w:instrText>
    </w:r>
    <w:r w:rsidRPr="00D67648">
      <w:rPr>
        <w:rStyle w:val="FooterChar"/>
      </w:rPr>
      <w:fldChar w:fldCharType="separate"/>
    </w:r>
    <w:r w:rsidR="00EC7763">
      <w:rPr>
        <w:rStyle w:val="FooterChar"/>
        <w:noProof/>
      </w:rPr>
      <w:t>7</w:t>
    </w:r>
    <w:r w:rsidRPr="00D67648">
      <w:rPr>
        <w:rStyle w:val="FooterCh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E2" w:rsidRPr="000557A7" w:rsidRDefault="004235E2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:rsidR="004235E2" w:rsidRDefault="004235E2" w:rsidP="00A20802">
      <w:pPr>
        <w:spacing w:line="240" w:lineRule="auto"/>
      </w:pPr>
      <w:r>
        <w:continuationSeparator/>
      </w:r>
    </w:p>
    <w:p w:rsidR="004235E2" w:rsidRDefault="004235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87" w:rsidRPr="004D787D" w:rsidRDefault="000F4987" w:rsidP="002C4DA6">
    <w:pPr>
      <w:pStyle w:val="Header"/>
      <w:jc w:val="center"/>
      <w:rPr>
        <w:b/>
        <w:strike/>
        <w:color w:val="FF0000"/>
        <w:sz w:val="40"/>
        <w:szCs w:val="40"/>
      </w:rPr>
    </w:pPr>
    <w:r w:rsidRPr="004D787D">
      <w:rPr>
        <w:b/>
        <w:strike/>
        <w:color w:val="FF0000"/>
        <w:sz w:val="40"/>
        <w:szCs w:val="40"/>
      </w:rPr>
      <w:t>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E2" w:rsidRPr="004D787D" w:rsidRDefault="004235E2" w:rsidP="002C4DA6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4D787D">
      <w:rPr>
        <w:rFonts w:ascii="Calibri" w:hAnsi="Calibri"/>
        <w:b/>
        <w:strike/>
        <w:color w:val="FF0000"/>
        <w:sz w:val="40"/>
        <w:szCs w:val="40"/>
      </w:rPr>
      <w:t>Sensitive</w:t>
    </w:r>
  </w:p>
  <w:p w:rsidR="004235E2" w:rsidRPr="0046444F" w:rsidRDefault="004235E2" w:rsidP="0046444F">
    <w:pPr>
      <w:pStyle w:val="Header"/>
    </w:pPr>
    <w:r>
      <w:rPr>
        <w:noProof/>
        <w:lang w:eastAsia="en-AU"/>
      </w:rPr>
      <w:drawing>
        <wp:inline distT="0" distB="0" distL="0" distR="0" wp14:anchorId="02ABC30F" wp14:editId="1266D2C5">
          <wp:extent cx="2696845" cy="572135"/>
          <wp:effectExtent l="0" t="0" r="8255" b="0"/>
          <wp:docPr id="1" name="Picture 1" title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E2" w:rsidRDefault="004235E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1063A882" wp14:editId="5A44457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0" b="0"/>
              <wp:wrapNone/>
              <wp:docPr id="25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5E2" w:rsidRPr="0001226A" w:rsidRDefault="004235E2" w:rsidP="00F45442">
                          <w:pPr>
                            <w:pStyle w:val="xStatus"/>
                            <w:rPr>
                              <w:szCs w:val="1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595.3pt;height:141.45pt;z-index:-2516234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" filled="f" stroked="f">
              <v:textbox>
                <w:txbxContent>
                  <w:p w:rsidR="004235E2" w:rsidRPr="0001226A" w:rsidRDefault="004235E2" w:rsidP="00F45442">
                    <w:pPr>
                      <w:pStyle w:val="xStatus"/>
                      <w:rPr>
                        <w:szCs w:val="1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E2" w:rsidRDefault="004235E2" w:rsidP="0046444F">
    <w:pPr>
      <w:pStyle w:val="Header"/>
      <w:jc w:val="right"/>
      <w:rPr>
        <w:b/>
        <w:color w:val="FF0000"/>
        <w:sz w:val="28"/>
        <w:szCs w:val="28"/>
      </w:rPr>
    </w:pPr>
    <w:r w:rsidRPr="0092572B">
      <w:rPr>
        <w:b/>
        <w:color w:val="FF0000"/>
        <w:sz w:val="28"/>
        <w:szCs w:val="28"/>
      </w:rPr>
      <w:t>Sensitive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7FE"/>
    <w:multiLevelType w:val="multilevel"/>
    <w:tmpl w:val="9A0895E0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284" w:hanging="28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">
    <w:nsid w:val="0D745448"/>
    <w:multiLevelType w:val="multilevel"/>
    <w:tmpl w:val="CE3A3256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2">
    <w:nsid w:val="0FB2573F"/>
    <w:multiLevelType w:val="multilevel"/>
    <w:tmpl w:val="044899A6"/>
    <w:name w:val="TableFootnotes"/>
    <w:lvl w:ilvl="0">
      <w:start w:val="1"/>
      <w:numFmt w:val="lowerLetter"/>
      <w:pStyle w:val="TableFootnotes"/>
      <w:lvlText w:val="(%1)"/>
      <w:lvlJc w:val="left"/>
      <w:pPr>
        <w:ind w:left="284" w:hanging="284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3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8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B3B5F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10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9B4181"/>
    <w:rsid w:val="0000071C"/>
    <w:rsid w:val="0000322C"/>
    <w:rsid w:val="00003CDD"/>
    <w:rsid w:val="000074AF"/>
    <w:rsid w:val="0001406F"/>
    <w:rsid w:val="00014A94"/>
    <w:rsid w:val="000168A7"/>
    <w:rsid w:val="00016D53"/>
    <w:rsid w:val="0002210A"/>
    <w:rsid w:val="000221E7"/>
    <w:rsid w:val="000278D0"/>
    <w:rsid w:val="00027E62"/>
    <w:rsid w:val="000307C8"/>
    <w:rsid w:val="00030F73"/>
    <w:rsid w:val="00035ADE"/>
    <w:rsid w:val="0004224B"/>
    <w:rsid w:val="00046226"/>
    <w:rsid w:val="0005330D"/>
    <w:rsid w:val="000557A7"/>
    <w:rsid w:val="00055805"/>
    <w:rsid w:val="00056CB3"/>
    <w:rsid w:val="00066D54"/>
    <w:rsid w:val="00067A28"/>
    <w:rsid w:val="0007260F"/>
    <w:rsid w:val="000805D5"/>
    <w:rsid w:val="0008103B"/>
    <w:rsid w:val="00085F97"/>
    <w:rsid w:val="00092A33"/>
    <w:rsid w:val="000973F9"/>
    <w:rsid w:val="000A2FEC"/>
    <w:rsid w:val="000A348F"/>
    <w:rsid w:val="000B6942"/>
    <w:rsid w:val="000C09FA"/>
    <w:rsid w:val="000C37A9"/>
    <w:rsid w:val="000C6728"/>
    <w:rsid w:val="000C702E"/>
    <w:rsid w:val="000D15E9"/>
    <w:rsid w:val="000D3182"/>
    <w:rsid w:val="000D321B"/>
    <w:rsid w:val="000D45C4"/>
    <w:rsid w:val="000E18F3"/>
    <w:rsid w:val="000E266E"/>
    <w:rsid w:val="000F1515"/>
    <w:rsid w:val="000F16B5"/>
    <w:rsid w:val="000F4987"/>
    <w:rsid w:val="000F616E"/>
    <w:rsid w:val="00103810"/>
    <w:rsid w:val="00110D43"/>
    <w:rsid w:val="001159EA"/>
    <w:rsid w:val="00117309"/>
    <w:rsid w:val="00120A75"/>
    <w:rsid w:val="00125410"/>
    <w:rsid w:val="00127D10"/>
    <w:rsid w:val="00130858"/>
    <w:rsid w:val="00136C26"/>
    <w:rsid w:val="0014059F"/>
    <w:rsid w:val="00141551"/>
    <w:rsid w:val="001417CE"/>
    <w:rsid w:val="0014479F"/>
    <w:rsid w:val="00146EAD"/>
    <w:rsid w:val="00154DC5"/>
    <w:rsid w:val="00160C8D"/>
    <w:rsid w:val="00160EB7"/>
    <w:rsid w:val="001629C0"/>
    <w:rsid w:val="00165122"/>
    <w:rsid w:val="00165854"/>
    <w:rsid w:val="001738DB"/>
    <w:rsid w:val="00173DFD"/>
    <w:rsid w:val="00180FF9"/>
    <w:rsid w:val="00195228"/>
    <w:rsid w:val="00195696"/>
    <w:rsid w:val="00196532"/>
    <w:rsid w:val="001A1EFC"/>
    <w:rsid w:val="001A48EF"/>
    <w:rsid w:val="001A49CC"/>
    <w:rsid w:val="001A5553"/>
    <w:rsid w:val="001A716E"/>
    <w:rsid w:val="001B2C65"/>
    <w:rsid w:val="001B4255"/>
    <w:rsid w:val="001B7058"/>
    <w:rsid w:val="001C3A4F"/>
    <w:rsid w:val="001C4121"/>
    <w:rsid w:val="001C48DE"/>
    <w:rsid w:val="001D30C1"/>
    <w:rsid w:val="001D52E3"/>
    <w:rsid w:val="001D576F"/>
    <w:rsid w:val="001D7C29"/>
    <w:rsid w:val="001D7FDF"/>
    <w:rsid w:val="001E0475"/>
    <w:rsid w:val="001E33C2"/>
    <w:rsid w:val="001E4FAF"/>
    <w:rsid w:val="001F5C90"/>
    <w:rsid w:val="001F767C"/>
    <w:rsid w:val="00202AB3"/>
    <w:rsid w:val="00202B07"/>
    <w:rsid w:val="00210FCF"/>
    <w:rsid w:val="00222EFF"/>
    <w:rsid w:val="002240D5"/>
    <w:rsid w:val="002251CA"/>
    <w:rsid w:val="002261A7"/>
    <w:rsid w:val="00226AEC"/>
    <w:rsid w:val="00227896"/>
    <w:rsid w:val="00235928"/>
    <w:rsid w:val="002545F3"/>
    <w:rsid w:val="0026344F"/>
    <w:rsid w:val="00266A17"/>
    <w:rsid w:val="00270372"/>
    <w:rsid w:val="00275534"/>
    <w:rsid w:val="00277075"/>
    <w:rsid w:val="002775D2"/>
    <w:rsid w:val="00281ADD"/>
    <w:rsid w:val="0028563E"/>
    <w:rsid w:val="00293E0D"/>
    <w:rsid w:val="00293E80"/>
    <w:rsid w:val="002973B0"/>
    <w:rsid w:val="00297C14"/>
    <w:rsid w:val="002A220F"/>
    <w:rsid w:val="002A24F1"/>
    <w:rsid w:val="002A5778"/>
    <w:rsid w:val="002A6E3B"/>
    <w:rsid w:val="002B1E84"/>
    <w:rsid w:val="002B2085"/>
    <w:rsid w:val="002B3EC4"/>
    <w:rsid w:val="002C37D5"/>
    <w:rsid w:val="002C4DA6"/>
    <w:rsid w:val="002D16D2"/>
    <w:rsid w:val="002D239A"/>
    <w:rsid w:val="002D34DB"/>
    <w:rsid w:val="002D4B11"/>
    <w:rsid w:val="002E5633"/>
    <w:rsid w:val="002F01B7"/>
    <w:rsid w:val="002F1963"/>
    <w:rsid w:val="002F5B6E"/>
    <w:rsid w:val="002F61B5"/>
    <w:rsid w:val="002F6D97"/>
    <w:rsid w:val="00300066"/>
    <w:rsid w:val="0030209B"/>
    <w:rsid w:val="003127E4"/>
    <w:rsid w:val="00313215"/>
    <w:rsid w:val="003174C3"/>
    <w:rsid w:val="0032557A"/>
    <w:rsid w:val="00340778"/>
    <w:rsid w:val="003417B2"/>
    <w:rsid w:val="00344D2C"/>
    <w:rsid w:val="00344F88"/>
    <w:rsid w:val="003458CE"/>
    <w:rsid w:val="00345A57"/>
    <w:rsid w:val="00346D90"/>
    <w:rsid w:val="00351F62"/>
    <w:rsid w:val="003601F4"/>
    <w:rsid w:val="003671E2"/>
    <w:rsid w:val="00372AE6"/>
    <w:rsid w:val="003757A6"/>
    <w:rsid w:val="00376C3A"/>
    <w:rsid w:val="003837E1"/>
    <w:rsid w:val="0038584D"/>
    <w:rsid w:val="0039257F"/>
    <w:rsid w:val="003931DE"/>
    <w:rsid w:val="00397D1A"/>
    <w:rsid w:val="003A163C"/>
    <w:rsid w:val="003A2B4E"/>
    <w:rsid w:val="003A2FBB"/>
    <w:rsid w:val="003A3799"/>
    <w:rsid w:val="003A4913"/>
    <w:rsid w:val="003A54A9"/>
    <w:rsid w:val="003A7083"/>
    <w:rsid w:val="003B3103"/>
    <w:rsid w:val="003B38B3"/>
    <w:rsid w:val="003B3A97"/>
    <w:rsid w:val="003B3D44"/>
    <w:rsid w:val="003B47BC"/>
    <w:rsid w:val="003B59DD"/>
    <w:rsid w:val="003C6BB5"/>
    <w:rsid w:val="003C7CC2"/>
    <w:rsid w:val="003D50B6"/>
    <w:rsid w:val="003E05DF"/>
    <w:rsid w:val="003E1562"/>
    <w:rsid w:val="003E6085"/>
    <w:rsid w:val="003E6CA3"/>
    <w:rsid w:val="003F37F1"/>
    <w:rsid w:val="003F466B"/>
    <w:rsid w:val="003F4C96"/>
    <w:rsid w:val="00401C49"/>
    <w:rsid w:val="00406002"/>
    <w:rsid w:val="00406AD3"/>
    <w:rsid w:val="00412E42"/>
    <w:rsid w:val="004136FD"/>
    <w:rsid w:val="004235E2"/>
    <w:rsid w:val="00425C05"/>
    <w:rsid w:val="00426356"/>
    <w:rsid w:val="00426929"/>
    <w:rsid w:val="00441086"/>
    <w:rsid w:val="00442C16"/>
    <w:rsid w:val="00445410"/>
    <w:rsid w:val="00446439"/>
    <w:rsid w:val="00450BDA"/>
    <w:rsid w:val="0045129F"/>
    <w:rsid w:val="00453A3E"/>
    <w:rsid w:val="0045452F"/>
    <w:rsid w:val="0045766B"/>
    <w:rsid w:val="0046444F"/>
    <w:rsid w:val="00474BB7"/>
    <w:rsid w:val="00476133"/>
    <w:rsid w:val="004816D7"/>
    <w:rsid w:val="0048342E"/>
    <w:rsid w:val="00487478"/>
    <w:rsid w:val="0048782D"/>
    <w:rsid w:val="0049434D"/>
    <w:rsid w:val="00494DC1"/>
    <w:rsid w:val="004A3F56"/>
    <w:rsid w:val="004A5E21"/>
    <w:rsid w:val="004A666A"/>
    <w:rsid w:val="004B143F"/>
    <w:rsid w:val="004B3022"/>
    <w:rsid w:val="004B49A0"/>
    <w:rsid w:val="004C3A8F"/>
    <w:rsid w:val="004C6306"/>
    <w:rsid w:val="004C6F5E"/>
    <w:rsid w:val="004C7E94"/>
    <w:rsid w:val="004D5564"/>
    <w:rsid w:val="004D787D"/>
    <w:rsid w:val="004D7CF8"/>
    <w:rsid w:val="004D7EDA"/>
    <w:rsid w:val="004E0E49"/>
    <w:rsid w:val="004E197A"/>
    <w:rsid w:val="004E5D52"/>
    <w:rsid w:val="004F07D7"/>
    <w:rsid w:val="004F1297"/>
    <w:rsid w:val="004F16DB"/>
    <w:rsid w:val="004F4D7E"/>
    <w:rsid w:val="004F5B16"/>
    <w:rsid w:val="004F5D9D"/>
    <w:rsid w:val="004F68E5"/>
    <w:rsid w:val="004F7037"/>
    <w:rsid w:val="004F741B"/>
    <w:rsid w:val="005010D1"/>
    <w:rsid w:val="00503253"/>
    <w:rsid w:val="00503BB0"/>
    <w:rsid w:val="00503E03"/>
    <w:rsid w:val="00512226"/>
    <w:rsid w:val="005147C6"/>
    <w:rsid w:val="00515188"/>
    <w:rsid w:val="005159B1"/>
    <w:rsid w:val="00522502"/>
    <w:rsid w:val="005255A1"/>
    <w:rsid w:val="00525825"/>
    <w:rsid w:val="0052641C"/>
    <w:rsid w:val="0053795D"/>
    <w:rsid w:val="00544522"/>
    <w:rsid w:val="005468AB"/>
    <w:rsid w:val="005501A0"/>
    <w:rsid w:val="00550831"/>
    <w:rsid w:val="00553A86"/>
    <w:rsid w:val="00554273"/>
    <w:rsid w:val="00557BF5"/>
    <w:rsid w:val="0056001A"/>
    <w:rsid w:val="005642B6"/>
    <w:rsid w:val="00571D5E"/>
    <w:rsid w:val="005823D0"/>
    <w:rsid w:val="005835D5"/>
    <w:rsid w:val="005A2748"/>
    <w:rsid w:val="005A443F"/>
    <w:rsid w:val="005A7C26"/>
    <w:rsid w:val="005B0970"/>
    <w:rsid w:val="005B58D4"/>
    <w:rsid w:val="005C07B3"/>
    <w:rsid w:val="005C284E"/>
    <w:rsid w:val="005C3C51"/>
    <w:rsid w:val="005C47D4"/>
    <w:rsid w:val="005D0B71"/>
    <w:rsid w:val="005D51D0"/>
    <w:rsid w:val="005D6F83"/>
    <w:rsid w:val="005D7877"/>
    <w:rsid w:val="005D793A"/>
    <w:rsid w:val="005D7CCF"/>
    <w:rsid w:val="005E04CF"/>
    <w:rsid w:val="005E56C5"/>
    <w:rsid w:val="005E58C4"/>
    <w:rsid w:val="005E5D8F"/>
    <w:rsid w:val="005F5A5C"/>
    <w:rsid w:val="005F5CD9"/>
    <w:rsid w:val="005F7174"/>
    <w:rsid w:val="0061135C"/>
    <w:rsid w:val="006136DD"/>
    <w:rsid w:val="00613F65"/>
    <w:rsid w:val="006149F0"/>
    <w:rsid w:val="006220A5"/>
    <w:rsid w:val="00622D86"/>
    <w:rsid w:val="00624AC8"/>
    <w:rsid w:val="00633812"/>
    <w:rsid w:val="00633C60"/>
    <w:rsid w:val="0064126D"/>
    <w:rsid w:val="006451B8"/>
    <w:rsid w:val="00645722"/>
    <w:rsid w:val="00652432"/>
    <w:rsid w:val="00657840"/>
    <w:rsid w:val="0066003C"/>
    <w:rsid w:val="0066041E"/>
    <w:rsid w:val="006636D5"/>
    <w:rsid w:val="00671523"/>
    <w:rsid w:val="00673CCC"/>
    <w:rsid w:val="00675C98"/>
    <w:rsid w:val="0069026B"/>
    <w:rsid w:val="006956EA"/>
    <w:rsid w:val="006A490C"/>
    <w:rsid w:val="006B4F7D"/>
    <w:rsid w:val="006C114C"/>
    <w:rsid w:val="006C3668"/>
    <w:rsid w:val="006C3864"/>
    <w:rsid w:val="006C5383"/>
    <w:rsid w:val="006C5E72"/>
    <w:rsid w:val="006D2AEC"/>
    <w:rsid w:val="006D4C8E"/>
    <w:rsid w:val="006E19D1"/>
    <w:rsid w:val="006E1CBB"/>
    <w:rsid w:val="006F100B"/>
    <w:rsid w:val="006F239A"/>
    <w:rsid w:val="006F2C9D"/>
    <w:rsid w:val="006F4DF7"/>
    <w:rsid w:val="006F6B51"/>
    <w:rsid w:val="0070637D"/>
    <w:rsid w:val="007071DD"/>
    <w:rsid w:val="0070771F"/>
    <w:rsid w:val="007105C0"/>
    <w:rsid w:val="00712A14"/>
    <w:rsid w:val="00716C04"/>
    <w:rsid w:val="00717180"/>
    <w:rsid w:val="007179D2"/>
    <w:rsid w:val="00720750"/>
    <w:rsid w:val="0072549C"/>
    <w:rsid w:val="00725A80"/>
    <w:rsid w:val="00733970"/>
    <w:rsid w:val="00741D0B"/>
    <w:rsid w:val="00754C58"/>
    <w:rsid w:val="0076625B"/>
    <w:rsid w:val="00776E78"/>
    <w:rsid w:val="0078138A"/>
    <w:rsid w:val="00783014"/>
    <w:rsid w:val="0078326A"/>
    <w:rsid w:val="007834DC"/>
    <w:rsid w:val="007959D8"/>
    <w:rsid w:val="0079630F"/>
    <w:rsid w:val="007A04C2"/>
    <w:rsid w:val="007B146A"/>
    <w:rsid w:val="007B57C9"/>
    <w:rsid w:val="007C0E7C"/>
    <w:rsid w:val="007C0EAA"/>
    <w:rsid w:val="007C19C3"/>
    <w:rsid w:val="007C44B2"/>
    <w:rsid w:val="007C6496"/>
    <w:rsid w:val="007C6B23"/>
    <w:rsid w:val="007C745E"/>
    <w:rsid w:val="007D0ABE"/>
    <w:rsid w:val="007D4916"/>
    <w:rsid w:val="007E356F"/>
    <w:rsid w:val="007E3F8C"/>
    <w:rsid w:val="007F0051"/>
    <w:rsid w:val="007F2058"/>
    <w:rsid w:val="007F7685"/>
    <w:rsid w:val="0080011D"/>
    <w:rsid w:val="00800EA5"/>
    <w:rsid w:val="00801C01"/>
    <w:rsid w:val="0080773B"/>
    <w:rsid w:val="008112CC"/>
    <w:rsid w:val="008130BB"/>
    <w:rsid w:val="00814E25"/>
    <w:rsid w:val="00817406"/>
    <w:rsid w:val="008237FA"/>
    <w:rsid w:val="00825D37"/>
    <w:rsid w:val="008369B0"/>
    <w:rsid w:val="008372D1"/>
    <w:rsid w:val="00847544"/>
    <w:rsid w:val="00851E10"/>
    <w:rsid w:val="0085732C"/>
    <w:rsid w:val="00860B45"/>
    <w:rsid w:val="00862AE2"/>
    <w:rsid w:val="00863860"/>
    <w:rsid w:val="008638B5"/>
    <w:rsid w:val="008734DB"/>
    <w:rsid w:val="0087390B"/>
    <w:rsid w:val="008745A1"/>
    <w:rsid w:val="008768E9"/>
    <w:rsid w:val="0087751B"/>
    <w:rsid w:val="00890995"/>
    <w:rsid w:val="008914FB"/>
    <w:rsid w:val="0089737A"/>
    <w:rsid w:val="00897E99"/>
    <w:rsid w:val="008A2943"/>
    <w:rsid w:val="008A4829"/>
    <w:rsid w:val="008B2384"/>
    <w:rsid w:val="008B38D6"/>
    <w:rsid w:val="008B4802"/>
    <w:rsid w:val="008B69E3"/>
    <w:rsid w:val="008C0B26"/>
    <w:rsid w:val="008C1FD1"/>
    <w:rsid w:val="008C24A8"/>
    <w:rsid w:val="008C35EF"/>
    <w:rsid w:val="008C5996"/>
    <w:rsid w:val="008D5A11"/>
    <w:rsid w:val="008D5E23"/>
    <w:rsid w:val="008D77AF"/>
    <w:rsid w:val="008E6D59"/>
    <w:rsid w:val="008F30C7"/>
    <w:rsid w:val="008F5D66"/>
    <w:rsid w:val="009028AA"/>
    <w:rsid w:val="00903E3F"/>
    <w:rsid w:val="009049C3"/>
    <w:rsid w:val="009057D9"/>
    <w:rsid w:val="0090774A"/>
    <w:rsid w:val="00910D07"/>
    <w:rsid w:val="00914B2F"/>
    <w:rsid w:val="009150E6"/>
    <w:rsid w:val="00917F89"/>
    <w:rsid w:val="00924E28"/>
    <w:rsid w:val="009255EE"/>
    <w:rsid w:val="00925603"/>
    <w:rsid w:val="00925F76"/>
    <w:rsid w:val="00932E89"/>
    <w:rsid w:val="0093359D"/>
    <w:rsid w:val="00933F2B"/>
    <w:rsid w:val="009401B6"/>
    <w:rsid w:val="00942EEB"/>
    <w:rsid w:val="0094468E"/>
    <w:rsid w:val="00945261"/>
    <w:rsid w:val="009506A5"/>
    <w:rsid w:val="009541CC"/>
    <w:rsid w:val="00956564"/>
    <w:rsid w:val="009567A6"/>
    <w:rsid w:val="00956D5A"/>
    <w:rsid w:val="00961B2C"/>
    <w:rsid w:val="00961DBB"/>
    <w:rsid w:val="0096618E"/>
    <w:rsid w:val="00981433"/>
    <w:rsid w:val="0098222F"/>
    <w:rsid w:val="00985C07"/>
    <w:rsid w:val="00991CEE"/>
    <w:rsid w:val="00995B4F"/>
    <w:rsid w:val="00997582"/>
    <w:rsid w:val="009A2C21"/>
    <w:rsid w:val="009A3AA6"/>
    <w:rsid w:val="009A3E58"/>
    <w:rsid w:val="009A5F02"/>
    <w:rsid w:val="009A7AB1"/>
    <w:rsid w:val="009B4181"/>
    <w:rsid w:val="009B5015"/>
    <w:rsid w:val="009C6DAA"/>
    <w:rsid w:val="009D0E74"/>
    <w:rsid w:val="009D1A96"/>
    <w:rsid w:val="009D370B"/>
    <w:rsid w:val="009E0125"/>
    <w:rsid w:val="009E07D2"/>
    <w:rsid w:val="009E2087"/>
    <w:rsid w:val="009E252B"/>
    <w:rsid w:val="009E3265"/>
    <w:rsid w:val="009E3353"/>
    <w:rsid w:val="009E446D"/>
    <w:rsid w:val="009E7C09"/>
    <w:rsid w:val="009F146D"/>
    <w:rsid w:val="009F4F1E"/>
    <w:rsid w:val="00A015E4"/>
    <w:rsid w:val="00A075BC"/>
    <w:rsid w:val="00A11222"/>
    <w:rsid w:val="00A12C39"/>
    <w:rsid w:val="00A134FB"/>
    <w:rsid w:val="00A20802"/>
    <w:rsid w:val="00A2362D"/>
    <w:rsid w:val="00A25B4F"/>
    <w:rsid w:val="00A27E8B"/>
    <w:rsid w:val="00A442BF"/>
    <w:rsid w:val="00A517D0"/>
    <w:rsid w:val="00A53716"/>
    <w:rsid w:val="00A5629E"/>
    <w:rsid w:val="00A6358E"/>
    <w:rsid w:val="00A64832"/>
    <w:rsid w:val="00A732DB"/>
    <w:rsid w:val="00A838D2"/>
    <w:rsid w:val="00A86F04"/>
    <w:rsid w:val="00A946C4"/>
    <w:rsid w:val="00AA4436"/>
    <w:rsid w:val="00AC01F8"/>
    <w:rsid w:val="00AC059A"/>
    <w:rsid w:val="00AC41CF"/>
    <w:rsid w:val="00AD0308"/>
    <w:rsid w:val="00AD3363"/>
    <w:rsid w:val="00AD377A"/>
    <w:rsid w:val="00AD67BB"/>
    <w:rsid w:val="00AD7E3B"/>
    <w:rsid w:val="00AE1CC1"/>
    <w:rsid w:val="00AE3EA4"/>
    <w:rsid w:val="00AF1B02"/>
    <w:rsid w:val="00AF41E4"/>
    <w:rsid w:val="00AF568A"/>
    <w:rsid w:val="00B06A75"/>
    <w:rsid w:val="00B06BC3"/>
    <w:rsid w:val="00B15A0F"/>
    <w:rsid w:val="00B20236"/>
    <w:rsid w:val="00B20937"/>
    <w:rsid w:val="00B220A0"/>
    <w:rsid w:val="00B22B64"/>
    <w:rsid w:val="00B22FEA"/>
    <w:rsid w:val="00B24321"/>
    <w:rsid w:val="00B30FEB"/>
    <w:rsid w:val="00B311BA"/>
    <w:rsid w:val="00B34470"/>
    <w:rsid w:val="00B35B47"/>
    <w:rsid w:val="00B40AA3"/>
    <w:rsid w:val="00B44478"/>
    <w:rsid w:val="00B4609C"/>
    <w:rsid w:val="00B6002C"/>
    <w:rsid w:val="00B620EE"/>
    <w:rsid w:val="00B71F63"/>
    <w:rsid w:val="00B72453"/>
    <w:rsid w:val="00B85366"/>
    <w:rsid w:val="00B87F60"/>
    <w:rsid w:val="00B93D3D"/>
    <w:rsid w:val="00BA1CBA"/>
    <w:rsid w:val="00BA471F"/>
    <w:rsid w:val="00BB21D1"/>
    <w:rsid w:val="00BB5013"/>
    <w:rsid w:val="00BB528E"/>
    <w:rsid w:val="00BB615A"/>
    <w:rsid w:val="00BC2600"/>
    <w:rsid w:val="00BC36F0"/>
    <w:rsid w:val="00BC3E99"/>
    <w:rsid w:val="00BC4FA7"/>
    <w:rsid w:val="00BC5E30"/>
    <w:rsid w:val="00BD02C5"/>
    <w:rsid w:val="00BD068D"/>
    <w:rsid w:val="00BE0D9A"/>
    <w:rsid w:val="00BE1A50"/>
    <w:rsid w:val="00BE2F0D"/>
    <w:rsid w:val="00BF0BD5"/>
    <w:rsid w:val="00BF55F8"/>
    <w:rsid w:val="00C051FD"/>
    <w:rsid w:val="00C20C7D"/>
    <w:rsid w:val="00C20DEF"/>
    <w:rsid w:val="00C24B25"/>
    <w:rsid w:val="00C24E89"/>
    <w:rsid w:val="00C32C2F"/>
    <w:rsid w:val="00C369FB"/>
    <w:rsid w:val="00C3738A"/>
    <w:rsid w:val="00C4315A"/>
    <w:rsid w:val="00C43F5E"/>
    <w:rsid w:val="00C44074"/>
    <w:rsid w:val="00C4651F"/>
    <w:rsid w:val="00C51D0B"/>
    <w:rsid w:val="00C52207"/>
    <w:rsid w:val="00C52A50"/>
    <w:rsid w:val="00C642D4"/>
    <w:rsid w:val="00C706C2"/>
    <w:rsid w:val="00C730F4"/>
    <w:rsid w:val="00C80200"/>
    <w:rsid w:val="00C80E0A"/>
    <w:rsid w:val="00C8270B"/>
    <w:rsid w:val="00C841A9"/>
    <w:rsid w:val="00C8728F"/>
    <w:rsid w:val="00C95E06"/>
    <w:rsid w:val="00C97FBC"/>
    <w:rsid w:val="00CA06C8"/>
    <w:rsid w:val="00CA0B7E"/>
    <w:rsid w:val="00CA26AA"/>
    <w:rsid w:val="00CA4C28"/>
    <w:rsid w:val="00CA5598"/>
    <w:rsid w:val="00CA580B"/>
    <w:rsid w:val="00CA5EF8"/>
    <w:rsid w:val="00CB28A3"/>
    <w:rsid w:val="00CB6423"/>
    <w:rsid w:val="00CC00A0"/>
    <w:rsid w:val="00CC0FED"/>
    <w:rsid w:val="00CC3C34"/>
    <w:rsid w:val="00CC5455"/>
    <w:rsid w:val="00CC6C06"/>
    <w:rsid w:val="00CD1526"/>
    <w:rsid w:val="00CD5509"/>
    <w:rsid w:val="00CE1EB0"/>
    <w:rsid w:val="00CE3DF2"/>
    <w:rsid w:val="00CF0C0F"/>
    <w:rsid w:val="00CF1690"/>
    <w:rsid w:val="00CF1F2A"/>
    <w:rsid w:val="00CF5CE3"/>
    <w:rsid w:val="00CF7412"/>
    <w:rsid w:val="00D01B01"/>
    <w:rsid w:val="00D030F8"/>
    <w:rsid w:val="00D077B7"/>
    <w:rsid w:val="00D20297"/>
    <w:rsid w:val="00D20354"/>
    <w:rsid w:val="00D21E6B"/>
    <w:rsid w:val="00D2336A"/>
    <w:rsid w:val="00D23634"/>
    <w:rsid w:val="00D34551"/>
    <w:rsid w:val="00D457D6"/>
    <w:rsid w:val="00D64CE2"/>
    <w:rsid w:val="00D72905"/>
    <w:rsid w:val="00D7751B"/>
    <w:rsid w:val="00D815DC"/>
    <w:rsid w:val="00D822B5"/>
    <w:rsid w:val="00D83D3C"/>
    <w:rsid w:val="00D867AE"/>
    <w:rsid w:val="00D87BBB"/>
    <w:rsid w:val="00D87C87"/>
    <w:rsid w:val="00D90202"/>
    <w:rsid w:val="00D921C4"/>
    <w:rsid w:val="00D9296A"/>
    <w:rsid w:val="00D93C23"/>
    <w:rsid w:val="00D95638"/>
    <w:rsid w:val="00D9584C"/>
    <w:rsid w:val="00DA094D"/>
    <w:rsid w:val="00DA14D9"/>
    <w:rsid w:val="00DB13AD"/>
    <w:rsid w:val="00DB23F9"/>
    <w:rsid w:val="00DB58BE"/>
    <w:rsid w:val="00DB6176"/>
    <w:rsid w:val="00DB6AA0"/>
    <w:rsid w:val="00DB7C3A"/>
    <w:rsid w:val="00DD32AB"/>
    <w:rsid w:val="00DD5BF6"/>
    <w:rsid w:val="00DE121E"/>
    <w:rsid w:val="00DE1865"/>
    <w:rsid w:val="00DE6CEF"/>
    <w:rsid w:val="00DF11C2"/>
    <w:rsid w:val="00DF2134"/>
    <w:rsid w:val="00DF4593"/>
    <w:rsid w:val="00E10D05"/>
    <w:rsid w:val="00E2223E"/>
    <w:rsid w:val="00E22D98"/>
    <w:rsid w:val="00E24623"/>
    <w:rsid w:val="00E24752"/>
    <w:rsid w:val="00E252E3"/>
    <w:rsid w:val="00E40505"/>
    <w:rsid w:val="00E42A41"/>
    <w:rsid w:val="00E45766"/>
    <w:rsid w:val="00E567E5"/>
    <w:rsid w:val="00E64480"/>
    <w:rsid w:val="00E6708B"/>
    <w:rsid w:val="00E73A8C"/>
    <w:rsid w:val="00E75050"/>
    <w:rsid w:val="00E76F42"/>
    <w:rsid w:val="00E77D6D"/>
    <w:rsid w:val="00E915E6"/>
    <w:rsid w:val="00EA3E11"/>
    <w:rsid w:val="00EA6EB3"/>
    <w:rsid w:val="00EB4A8E"/>
    <w:rsid w:val="00EB5EF3"/>
    <w:rsid w:val="00EB695D"/>
    <w:rsid w:val="00EC38F3"/>
    <w:rsid w:val="00EC730F"/>
    <w:rsid w:val="00EC7763"/>
    <w:rsid w:val="00ED39CE"/>
    <w:rsid w:val="00ED4134"/>
    <w:rsid w:val="00EE05F1"/>
    <w:rsid w:val="00EE471A"/>
    <w:rsid w:val="00EE5492"/>
    <w:rsid w:val="00EF0A00"/>
    <w:rsid w:val="00F07593"/>
    <w:rsid w:val="00F07BD5"/>
    <w:rsid w:val="00F1012B"/>
    <w:rsid w:val="00F11ABB"/>
    <w:rsid w:val="00F122D6"/>
    <w:rsid w:val="00F15BF4"/>
    <w:rsid w:val="00F17940"/>
    <w:rsid w:val="00F17DC0"/>
    <w:rsid w:val="00F2046C"/>
    <w:rsid w:val="00F20647"/>
    <w:rsid w:val="00F31392"/>
    <w:rsid w:val="00F348B5"/>
    <w:rsid w:val="00F3652B"/>
    <w:rsid w:val="00F370C6"/>
    <w:rsid w:val="00F377B9"/>
    <w:rsid w:val="00F45442"/>
    <w:rsid w:val="00F5145E"/>
    <w:rsid w:val="00F558EA"/>
    <w:rsid w:val="00F613CB"/>
    <w:rsid w:val="00F61F79"/>
    <w:rsid w:val="00F656A4"/>
    <w:rsid w:val="00F65FE0"/>
    <w:rsid w:val="00F6665E"/>
    <w:rsid w:val="00F7075F"/>
    <w:rsid w:val="00F71D76"/>
    <w:rsid w:val="00F8349F"/>
    <w:rsid w:val="00F83FB7"/>
    <w:rsid w:val="00F83FF8"/>
    <w:rsid w:val="00F85935"/>
    <w:rsid w:val="00F85D29"/>
    <w:rsid w:val="00F969D3"/>
    <w:rsid w:val="00FA190E"/>
    <w:rsid w:val="00FA54D8"/>
    <w:rsid w:val="00FC2185"/>
    <w:rsid w:val="00FC4FB7"/>
    <w:rsid w:val="00FD1EE0"/>
    <w:rsid w:val="00FD357B"/>
    <w:rsid w:val="00FD38FC"/>
    <w:rsid w:val="00FD6119"/>
    <w:rsid w:val="00FD688E"/>
    <w:rsid w:val="00FD7C0C"/>
    <w:rsid w:val="00FE045C"/>
    <w:rsid w:val="00FE0C52"/>
    <w:rsid w:val="00FE1692"/>
    <w:rsid w:val="00FE3B13"/>
    <w:rsid w:val="00FF0566"/>
    <w:rsid w:val="00FF26F1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qFormat="1"/>
    <w:lsdException w:name="table of figures" w:semiHidden="0" w:uiPriority="99" w:unhideWhenUsed="0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46444F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470" w:after="228"/>
      <w:outlineLvl w:val="0"/>
    </w:pPr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D239A"/>
    <w:pPr>
      <w:keepNext/>
      <w:keepLines/>
      <w:numPr>
        <w:numId w:val="1"/>
      </w:numPr>
      <w:tabs>
        <w:tab w:val="left" w:pos="4536"/>
      </w:tabs>
      <w:spacing w:before="480" w:after="340"/>
      <w:outlineLvl w:val="7"/>
    </w:pPr>
    <w:rPr>
      <w:rFonts w:asciiTheme="majorHAnsi" w:eastAsiaTheme="majorEastAsia" w:hAnsiTheme="majorHAnsi" w:cstheme="majorBidi"/>
      <w:color w:val="2B3B5F" w:themeColor="text2"/>
      <w:sz w:val="32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7C19C3"/>
    <w:pPr>
      <w:spacing w:before="113" w:after="113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AC41CF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C41CF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89737A"/>
    <w:rPr>
      <w:rFonts w:asciiTheme="majorHAnsi" w:eastAsiaTheme="majorEastAsia" w:hAnsiTheme="majorHAnsi" w:cstheme="majorBidi"/>
      <w:color w:val="2B3B5F" w:themeColor="text2"/>
      <w:sz w:val="32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476133"/>
    <w:pPr>
      <w:keepLines/>
      <w:numPr>
        <w:numId w:val="2"/>
      </w:numPr>
      <w:spacing w:after="120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476133"/>
    <w:pPr>
      <w:numPr>
        <w:ilvl w:val="1"/>
      </w:numPr>
      <w:ind w:left="908" w:hanging="454"/>
    </w:pPr>
  </w:style>
  <w:style w:type="paragraph" w:styleId="ListBullet3">
    <w:name w:val="List Bullet 3"/>
    <w:basedOn w:val="ListBullet2"/>
    <w:uiPriority w:val="9"/>
    <w:qFormat/>
    <w:rsid w:val="00961DBB"/>
    <w:pPr>
      <w:numPr>
        <w:ilvl w:val="2"/>
      </w:numPr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56001A"/>
    <w:pPr>
      <w:keepLines/>
      <w:numPr>
        <w:numId w:val="7"/>
      </w:numPr>
      <w:spacing w:after="50" w:line="260" w:lineRule="atLeast"/>
      <w:contextualSpacing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6444F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E64480"/>
    <w:pPr>
      <w:spacing w:before="240" w:after="0"/>
    </w:pPr>
    <w:rPr>
      <w:rFonts w:ascii="Times New Roman" w:hAnsi="Times New Roman"/>
      <w:spacing w:val="0"/>
      <w:sz w:val="24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character" w:styleId="CommentReference">
    <w:name w:val="annotation reference"/>
    <w:basedOn w:val="DefaultParagraphFont"/>
    <w:semiHidden/>
    <w:unhideWhenUsed/>
    <w:rsid w:val="000221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2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2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2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21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qFormat="1"/>
    <w:lsdException w:name="table of figures" w:semiHidden="0" w:uiPriority="99" w:unhideWhenUsed="0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46444F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470" w:after="228"/>
      <w:outlineLvl w:val="0"/>
    </w:pPr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D239A"/>
    <w:pPr>
      <w:keepNext/>
      <w:keepLines/>
      <w:numPr>
        <w:numId w:val="1"/>
      </w:numPr>
      <w:tabs>
        <w:tab w:val="left" w:pos="4536"/>
      </w:tabs>
      <w:spacing w:before="480" w:after="340"/>
      <w:outlineLvl w:val="7"/>
    </w:pPr>
    <w:rPr>
      <w:rFonts w:asciiTheme="majorHAnsi" w:eastAsiaTheme="majorEastAsia" w:hAnsiTheme="majorHAnsi" w:cstheme="majorBidi"/>
      <w:color w:val="2B3B5F" w:themeColor="text2"/>
      <w:sz w:val="32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7C19C3"/>
    <w:pPr>
      <w:spacing w:before="113" w:after="113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AC41CF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C41CF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89737A"/>
    <w:rPr>
      <w:rFonts w:asciiTheme="majorHAnsi" w:eastAsiaTheme="majorEastAsia" w:hAnsiTheme="majorHAnsi" w:cstheme="majorBidi"/>
      <w:color w:val="2B3B5F" w:themeColor="text2"/>
      <w:sz w:val="32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476133"/>
    <w:pPr>
      <w:keepLines/>
      <w:numPr>
        <w:numId w:val="2"/>
      </w:numPr>
      <w:spacing w:after="120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476133"/>
    <w:pPr>
      <w:numPr>
        <w:ilvl w:val="1"/>
      </w:numPr>
      <w:ind w:left="908" w:hanging="454"/>
    </w:pPr>
  </w:style>
  <w:style w:type="paragraph" w:styleId="ListBullet3">
    <w:name w:val="List Bullet 3"/>
    <w:basedOn w:val="ListBullet2"/>
    <w:uiPriority w:val="9"/>
    <w:qFormat/>
    <w:rsid w:val="00961DBB"/>
    <w:pPr>
      <w:numPr>
        <w:ilvl w:val="2"/>
      </w:numPr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56001A"/>
    <w:pPr>
      <w:keepLines/>
      <w:numPr>
        <w:numId w:val="7"/>
      </w:numPr>
      <w:spacing w:after="50" w:line="260" w:lineRule="atLeast"/>
      <w:contextualSpacing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6444F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E64480"/>
    <w:pPr>
      <w:spacing w:before="240" w:after="0"/>
    </w:pPr>
    <w:rPr>
      <w:rFonts w:ascii="Times New Roman" w:hAnsi="Times New Roman"/>
      <w:spacing w:val="0"/>
      <w:sz w:val="24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character" w:styleId="CommentReference">
    <w:name w:val="annotation reference"/>
    <w:basedOn w:val="DefaultParagraphFont"/>
    <w:semiHidden/>
    <w:unhideWhenUsed/>
    <w:rsid w:val="000221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2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2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2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2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BO v1">
      <a:dk1>
        <a:srgbClr val="000000"/>
      </a:dk1>
      <a:lt1>
        <a:srgbClr val="FFFFFF"/>
      </a:lt1>
      <a:dk2>
        <a:srgbClr val="2B3B5F"/>
      </a:dk2>
      <a:lt2>
        <a:srgbClr val="788184"/>
      </a:lt2>
      <a:accent1>
        <a:srgbClr val="2B3B5F"/>
      </a:accent1>
      <a:accent2>
        <a:srgbClr val="95A4C6"/>
      </a:accent2>
      <a:accent3>
        <a:srgbClr val="D7DDE9"/>
      </a:accent3>
      <a:accent4>
        <a:srgbClr val="751D71"/>
      </a:accent4>
      <a:accent5>
        <a:srgbClr val="B267B3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Com16</b:Tag>
    <b:SourceType>Report</b:SourceType>
    <b:Guid>{5B4EC681-07DE-47A5-8D75-A81C9B5C55A0}</b:Guid>
    <b:Author>
      <b:Author>
        <b:Corporate>Commonwealth of Australia</b:Corporate>
      </b:Author>
    </b:Author>
    <b:Title>2016-17 Budget</b:Title>
    <b:Year>2016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DB46DA81-70A9-4D46-9BBC-24FBB982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1628</Words>
  <Characters>8417</Characters>
  <Application>Microsoft Office Word</Application>
  <DocSecurity>0</DocSecurity>
  <Lines>443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:creator>Parliamentary Budget Office</dc:creator>
  <cp:lastModifiedBy>Pratley, Lauren (PBO)</cp:lastModifiedBy>
  <cp:revision>4</cp:revision>
  <cp:lastPrinted>2016-12-06T05:25:00Z</cp:lastPrinted>
  <dcterms:created xsi:type="dcterms:W3CDTF">2017-08-25T00:51:00Z</dcterms:created>
  <dcterms:modified xsi:type="dcterms:W3CDTF">2017-09-01T05:19:00Z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_MarkAsFinal">
    <vt:bool>true</vt:bool>
  </property>
</Properties>
</file>