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4F" w:rsidRDefault="0046444F" w:rsidP="0046444F">
      <w:pPr>
        <w:pStyle w:val="Title"/>
      </w:pPr>
      <w:r w:rsidRPr="008D77AF">
        <w:t>Policy costing—outside the caretaker period</w:t>
      </w:r>
    </w:p>
    <w:tbl>
      <w:tblPr>
        <w:tblStyle w:val="LightGrid-Accent6"/>
        <w:tblW w:w="5000" w:type="pct"/>
        <w:tblLook w:val="0600" w:firstRow="0" w:lastRow="0" w:firstColumn="0" w:lastColumn="0" w:noHBand="1" w:noVBand="1"/>
      </w:tblPr>
      <w:tblGrid>
        <w:gridCol w:w="2235"/>
        <w:gridCol w:w="6294"/>
      </w:tblGrid>
      <w:tr w:rsidR="0098222F" w:rsidRPr="008D77AF" w:rsidTr="00434B55">
        <w:tc>
          <w:tcPr>
            <w:tcW w:w="1310" w:type="pct"/>
            <w:shd w:val="clear" w:color="auto" w:fill="D7DDE9" w:themeFill="accent3"/>
          </w:tcPr>
          <w:p w:rsidR="0098222F" w:rsidRPr="008D77AF" w:rsidRDefault="0098222F" w:rsidP="0098222F">
            <w:pPr>
              <w:pStyle w:val="PullOutBoxHeading"/>
            </w:pPr>
            <w:r w:rsidRPr="008D77AF">
              <w:t>Name of proposal:</w:t>
            </w:r>
          </w:p>
        </w:tc>
        <w:tc>
          <w:tcPr>
            <w:tcW w:w="3690" w:type="pct"/>
            <w:shd w:val="clear" w:color="auto" w:fill="D7DDE9" w:themeFill="accent3"/>
          </w:tcPr>
          <w:p w:rsidR="004B3022" w:rsidRPr="008D77AF" w:rsidRDefault="007C647D" w:rsidP="007C647D">
            <w:pPr>
              <w:pStyle w:val="PullOutBoxHeading"/>
            </w:pPr>
            <w:r w:rsidRPr="00536D05">
              <w:t>General spending cuts</w:t>
            </w:r>
          </w:p>
        </w:tc>
      </w:tr>
      <w:tr w:rsidR="0098222F" w:rsidRPr="008D77AF" w:rsidTr="00434B55">
        <w:tc>
          <w:tcPr>
            <w:tcW w:w="1310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Summary of proposal:</w:t>
            </w:r>
          </w:p>
        </w:tc>
        <w:tc>
          <w:tcPr>
            <w:tcW w:w="3690" w:type="pct"/>
          </w:tcPr>
          <w:p w:rsidR="007C647D" w:rsidRPr="007C647D" w:rsidRDefault="007C647D" w:rsidP="007C647D">
            <w:pPr>
              <w:pStyle w:val="PullOutBoxBodyText"/>
            </w:pPr>
            <w:r>
              <w:t xml:space="preserve">This proposal would </w:t>
            </w:r>
            <w:r w:rsidR="00434B55">
              <w:t>cut</w:t>
            </w:r>
            <w:r>
              <w:t xml:space="preserve"> </w:t>
            </w:r>
            <w:r w:rsidR="00434B55">
              <w:t xml:space="preserve">Government </w:t>
            </w:r>
            <w:r>
              <w:t xml:space="preserve">spending </w:t>
            </w:r>
            <w:r w:rsidRPr="007C647D">
              <w:t>as follows: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General public services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>Abolish spending under the ‘general research’ category (</w:t>
            </w:r>
            <w:r w:rsidR="00434B55">
              <w:t>excluding the impact of cutting</w:t>
            </w:r>
            <w:r w:rsidR="00203329">
              <w:t xml:space="preserve"> medical, higher education and </w:t>
            </w:r>
            <w:r w:rsidRPr="007C647D">
              <w:t xml:space="preserve">vocational education and training (VET) research </w:t>
            </w:r>
            <w:r w:rsidR="00434B55">
              <w:t xml:space="preserve">that </w:t>
            </w:r>
            <w:r w:rsidR="00203329">
              <w:t>are</w:t>
            </w:r>
            <w:r w:rsidRPr="007C647D">
              <w:t xml:space="preserve"> </w:t>
            </w:r>
            <w:r w:rsidR="00935B56">
              <w:t xml:space="preserve">to be </w:t>
            </w:r>
            <w:r w:rsidR="00434B55">
              <w:t xml:space="preserve">included in a </w:t>
            </w:r>
            <w:r w:rsidRPr="007C647D">
              <w:t>separate</w:t>
            </w:r>
            <w:r w:rsidR="00434B55">
              <w:t xml:space="preserve"> c</w:t>
            </w:r>
            <w:r w:rsidRPr="007C647D">
              <w:t>ost</w:t>
            </w:r>
            <w:r w:rsidR="00434B55">
              <w:t>ing</w:t>
            </w:r>
            <w:r w:rsidR="001C1757">
              <w:t>).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Housing and community amenities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>Abolish spending other than for hazardous materials regulatio</w:t>
            </w:r>
            <w:r w:rsidR="00386019">
              <w:t>n.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Recreation and culture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>Abolish spending other than for the continued occupation, research and exploitation of Antarctica.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Fuel and energy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>Abolish spending other than</w:t>
            </w:r>
            <w:r w:rsidR="001C1757">
              <w:t xml:space="preserve"> for the fuel tax credit scheme.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Agriculture, forestry and fishing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 xml:space="preserve">Abolish all spending including funding that </w:t>
            </w:r>
            <w:proofErr w:type="gramStart"/>
            <w:r w:rsidRPr="007C647D">
              <w:t>matches</w:t>
            </w:r>
            <w:proofErr w:type="gramEnd"/>
            <w:r w:rsidRPr="007C647D">
              <w:t xml:space="preserve"> agricultural </w:t>
            </w:r>
            <w:r w:rsidR="00203329">
              <w:t>levy revenue (except the levies</w:t>
            </w:r>
            <w:r w:rsidRPr="007C647D">
              <w:t xml:space="preserve"> and the departmental costs associate</w:t>
            </w:r>
            <w:r w:rsidR="00203329">
              <w:t>d with the management of levies</w:t>
            </w:r>
            <w:r w:rsidRPr="007C647D">
              <w:t>).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Mining, manufacturing and construction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>Abolish all spending other than for the research and development tax incentive.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Transport and communication</w:t>
            </w:r>
          </w:p>
          <w:p w:rsidR="007C647D" w:rsidRPr="007C647D" w:rsidRDefault="007C647D" w:rsidP="00C2089F">
            <w:pPr>
              <w:pStyle w:val="PullOutBoxBullet2"/>
            </w:pPr>
            <w:r w:rsidRPr="007C647D">
              <w:t xml:space="preserve">Abolish all spending </w:t>
            </w:r>
            <w:r w:rsidR="00434B55">
              <w:t>except</w:t>
            </w:r>
            <w:r w:rsidRPr="007C647D">
              <w:t xml:space="preserve"> for the management of radiofrequency spectrum under the ‘communications’ category, and the regulation of air and sea transport under the ‘air transport’ and ‘sea transport’ categories.</w:t>
            </w:r>
          </w:p>
          <w:p w:rsidR="007C647D" w:rsidRPr="007C647D" w:rsidRDefault="007C647D" w:rsidP="00C2089F">
            <w:pPr>
              <w:pStyle w:val="PullOutBoxBullet"/>
            </w:pPr>
            <w:r w:rsidRPr="007C647D">
              <w:t>Other economic affairs</w:t>
            </w:r>
          </w:p>
          <w:p w:rsidR="00AB2001" w:rsidRPr="008D77AF" w:rsidRDefault="007C647D" w:rsidP="00270F01">
            <w:pPr>
              <w:pStyle w:val="PullOutBoxBullet2"/>
            </w:pPr>
            <w:r w:rsidRPr="007C647D">
              <w:t xml:space="preserve">Abolish all spending </w:t>
            </w:r>
            <w:r w:rsidR="00434B55">
              <w:t>except</w:t>
            </w:r>
            <w:r w:rsidRPr="007C647D">
              <w:t xml:space="preserve"> for ‘immigration’ and ‘industrial relations’ (which are </w:t>
            </w:r>
            <w:r w:rsidR="00434B55">
              <w:t>include</w:t>
            </w:r>
            <w:r w:rsidR="00AB35BE">
              <w:t>d</w:t>
            </w:r>
            <w:r w:rsidR="00434B55">
              <w:t xml:space="preserve"> in a </w:t>
            </w:r>
            <w:r w:rsidRPr="007C647D">
              <w:t>separate</w:t>
            </w:r>
            <w:r w:rsidR="00434B55">
              <w:t xml:space="preserve"> </w:t>
            </w:r>
            <w:r w:rsidRPr="007C647D">
              <w:t>cost</w:t>
            </w:r>
            <w:r w:rsidR="00434B55">
              <w:t>ing</w:t>
            </w:r>
            <w:r w:rsidRPr="007C647D">
              <w:t>) and ‘other economic affairs not elsewhere classified’</w:t>
            </w:r>
            <w:r w:rsidR="0090522F">
              <w:t xml:space="preserve"> </w:t>
            </w:r>
            <w:r w:rsidR="00FC6EC8">
              <w:t>which includes the Bureau of Met</w:t>
            </w:r>
            <w:r w:rsidR="0090522F">
              <w:t>eo</w:t>
            </w:r>
            <w:r w:rsidR="00FC6EC8">
              <w:t>ro</w:t>
            </w:r>
            <w:r w:rsidR="0090522F">
              <w:t>logy</w:t>
            </w:r>
            <w:r w:rsidRPr="007C647D">
              <w:t>.</w:t>
            </w:r>
            <w:r w:rsidR="00AB2001">
              <w:t xml:space="preserve"> </w:t>
            </w:r>
          </w:p>
        </w:tc>
      </w:tr>
    </w:tbl>
    <w:p w:rsidR="00270F01" w:rsidRDefault="00270F01">
      <w:r>
        <w:br w:type="page"/>
      </w:r>
    </w:p>
    <w:tbl>
      <w:tblPr>
        <w:tblStyle w:val="LightGrid-Accent6"/>
        <w:tblW w:w="5000" w:type="pct"/>
        <w:tblLook w:val="0600" w:firstRow="0" w:lastRow="0" w:firstColumn="0" w:lastColumn="0" w:noHBand="1" w:noVBand="1"/>
      </w:tblPr>
      <w:tblGrid>
        <w:gridCol w:w="2234"/>
        <w:gridCol w:w="2129"/>
        <w:gridCol w:w="4166"/>
      </w:tblGrid>
      <w:tr w:rsidR="00270F01" w:rsidRPr="008D77AF" w:rsidTr="00434B55">
        <w:tc>
          <w:tcPr>
            <w:tcW w:w="1310" w:type="pct"/>
          </w:tcPr>
          <w:p w:rsidR="00270F01" w:rsidRPr="008D77AF" w:rsidRDefault="00270F01" w:rsidP="0098222F">
            <w:pPr>
              <w:pStyle w:val="PullOutBoxBodyText"/>
            </w:pPr>
          </w:p>
        </w:tc>
        <w:tc>
          <w:tcPr>
            <w:tcW w:w="3690" w:type="pct"/>
            <w:gridSpan w:val="2"/>
          </w:tcPr>
          <w:p w:rsidR="00270F01" w:rsidRPr="007C647D" w:rsidRDefault="00270F01" w:rsidP="003C3B96">
            <w:pPr>
              <w:pStyle w:val="PullOutBoxBullet"/>
            </w:pPr>
            <w:r w:rsidRPr="007C647D">
              <w:t>Other purposes</w:t>
            </w:r>
          </w:p>
          <w:p w:rsidR="00270F01" w:rsidRPr="007C647D" w:rsidRDefault="00270F01" w:rsidP="003C3B96">
            <w:pPr>
              <w:pStyle w:val="PullOutBoxBullet2"/>
            </w:pPr>
            <w:r w:rsidRPr="007C647D">
              <w:t>Abolish all ‘general purpose’ payments (including grants from the pool of Goods and Services Tax (GST) revenues) and natural disaster relief.</w:t>
            </w:r>
          </w:p>
          <w:p w:rsidR="00270F01" w:rsidRPr="007C647D" w:rsidRDefault="00270F01" w:rsidP="003C3B96">
            <w:pPr>
              <w:pStyle w:val="PullOutBoxBullet"/>
            </w:pPr>
            <w:r w:rsidRPr="007C647D">
              <w:t>Across categories</w:t>
            </w:r>
          </w:p>
          <w:p w:rsidR="00270F01" w:rsidRDefault="00270F01" w:rsidP="003C3B96">
            <w:pPr>
              <w:pStyle w:val="PullOutBoxBullet2"/>
            </w:pPr>
            <w:r>
              <w:t>A</w:t>
            </w:r>
            <w:r w:rsidRPr="007C647D">
              <w:t>bolish all ‘payments for specific purposes’ to state and local governments not already mentioned in this and other costing requests</w:t>
            </w:r>
            <w:r>
              <w:t>.</w:t>
            </w:r>
          </w:p>
          <w:p w:rsidR="00270F01" w:rsidRPr="008D77AF" w:rsidRDefault="00270F01" w:rsidP="003C3B96">
            <w:pPr>
              <w:pStyle w:val="PullOutBoxBodyText"/>
            </w:pPr>
            <w:r>
              <w:t xml:space="preserve">The proposal would have effect from 1 July 2017. </w:t>
            </w:r>
          </w:p>
        </w:tc>
      </w:tr>
      <w:tr w:rsidR="00270F01" w:rsidRPr="008D77AF" w:rsidTr="00434B55">
        <w:tc>
          <w:tcPr>
            <w:tcW w:w="1310" w:type="pct"/>
          </w:tcPr>
          <w:p w:rsidR="00270F01" w:rsidRPr="008D77AF" w:rsidRDefault="00270F01" w:rsidP="0098222F">
            <w:pPr>
              <w:pStyle w:val="PullOutBoxBodyText"/>
            </w:pPr>
            <w:r w:rsidRPr="008D77AF">
              <w:t>Person/party requesting the costing:</w:t>
            </w:r>
          </w:p>
        </w:tc>
        <w:tc>
          <w:tcPr>
            <w:tcW w:w="3690" w:type="pct"/>
            <w:gridSpan w:val="2"/>
          </w:tcPr>
          <w:p w:rsidR="00270F01" w:rsidRPr="008D77AF" w:rsidRDefault="00270F01" w:rsidP="00FD1EE0">
            <w:pPr>
              <w:pStyle w:val="PullOutBoxBodyText"/>
            </w:pPr>
            <w:r>
              <w:t>Senator David Leyonhjelm, Liberal Democratic Party</w:t>
            </w:r>
          </w:p>
        </w:tc>
      </w:tr>
      <w:tr w:rsidR="00270F01" w:rsidRPr="008D77AF" w:rsidTr="00DA5CB1">
        <w:tc>
          <w:tcPr>
            <w:tcW w:w="1310" w:type="pct"/>
          </w:tcPr>
          <w:p w:rsidR="00270F01" w:rsidRPr="008D77AF" w:rsidRDefault="00270F01" w:rsidP="0056001A">
            <w:pPr>
              <w:pStyle w:val="PullOutBoxBodyText"/>
            </w:pPr>
            <w:bookmarkStart w:id="0" w:name="_GoBack"/>
            <w:r w:rsidRPr="008D77AF">
              <w:t>Did the applicant request the costing be confidential:</w:t>
            </w:r>
          </w:p>
        </w:tc>
        <w:tc>
          <w:tcPr>
            <w:tcW w:w="1248" w:type="pct"/>
            <w:tcBorders>
              <w:right w:val="nil"/>
            </w:tcBorders>
          </w:tcPr>
          <w:p w:rsidR="00270F01" w:rsidRPr="008D77AF" w:rsidRDefault="00931E05" w:rsidP="0056001A">
            <w:pPr>
              <w:pStyle w:val="PullOutBoxBodyText"/>
            </w:pPr>
            <w:sdt>
              <w:sdtPr>
                <w:id w:val="33003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F0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70F01" w:rsidRPr="008D77AF">
              <w:t xml:space="preserve"> Yes</w:t>
            </w:r>
          </w:p>
        </w:tc>
        <w:tc>
          <w:tcPr>
            <w:tcW w:w="2442" w:type="pct"/>
            <w:tcBorders>
              <w:left w:val="nil"/>
              <w:right w:val="single" w:sz="8" w:space="0" w:color="788184" w:themeColor="accent6"/>
            </w:tcBorders>
          </w:tcPr>
          <w:p w:rsidR="00270F01" w:rsidRPr="008D77AF" w:rsidRDefault="00931E05" w:rsidP="0056001A">
            <w:pPr>
              <w:pStyle w:val="PullOutBoxBodyText"/>
            </w:pPr>
            <w:sdt>
              <w:sdtPr>
                <w:id w:val="-864130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CB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70F01" w:rsidRPr="008D77AF">
              <w:t xml:space="preserve"> No</w:t>
            </w:r>
          </w:p>
        </w:tc>
      </w:tr>
      <w:tr w:rsidR="00270F01" w:rsidRPr="008D77AF" w:rsidTr="00434B55">
        <w:tc>
          <w:tcPr>
            <w:tcW w:w="1310" w:type="pct"/>
          </w:tcPr>
          <w:p w:rsidR="00270F01" w:rsidRPr="008D77AF" w:rsidRDefault="00270F01" w:rsidP="0056001A">
            <w:pPr>
              <w:pStyle w:val="PullOutBoxBodyText"/>
            </w:pPr>
            <w:r w:rsidRPr="008D77AF">
              <w:t>Date costing request received:</w:t>
            </w:r>
          </w:p>
        </w:tc>
        <w:tc>
          <w:tcPr>
            <w:tcW w:w="3690" w:type="pct"/>
            <w:gridSpan w:val="2"/>
          </w:tcPr>
          <w:p w:rsidR="00270F01" w:rsidRPr="008D77AF" w:rsidRDefault="00270F01" w:rsidP="0056001A">
            <w:pPr>
              <w:pStyle w:val="PullOutBoxBodyText"/>
            </w:pPr>
            <w:r>
              <w:t>9 August 2016</w:t>
            </w:r>
          </w:p>
        </w:tc>
      </w:tr>
      <w:tr w:rsidR="00270F01" w:rsidRPr="008D77AF" w:rsidTr="00434B55">
        <w:tc>
          <w:tcPr>
            <w:tcW w:w="1310" w:type="pct"/>
          </w:tcPr>
          <w:p w:rsidR="00270F01" w:rsidRPr="008D77AF" w:rsidRDefault="00270F01" w:rsidP="0098222F">
            <w:pPr>
              <w:pStyle w:val="PullOutBoxBodyText"/>
            </w:pPr>
            <w:r w:rsidRPr="008D77AF">
              <w:t>Date costing completed:</w:t>
            </w:r>
          </w:p>
        </w:tc>
        <w:tc>
          <w:tcPr>
            <w:tcW w:w="3690" w:type="pct"/>
            <w:gridSpan w:val="2"/>
          </w:tcPr>
          <w:p w:rsidR="00270F01" w:rsidRPr="008D77AF" w:rsidRDefault="00270F01" w:rsidP="0098222F">
            <w:pPr>
              <w:pStyle w:val="PullOutBoxBodyText"/>
            </w:pPr>
            <w:r>
              <w:t>10 November 2016</w:t>
            </w:r>
          </w:p>
        </w:tc>
      </w:tr>
      <w:tr w:rsidR="00270F01" w:rsidRPr="008D77AF" w:rsidTr="00434B55">
        <w:tc>
          <w:tcPr>
            <w:tcW w:w="1310" w:type="pct"/>
          </w:tcPr>
          <w:p w:rsidR="00270F01" w:rsidRPr="008D77AF" w:rsidRDefault="00270F01" w:rsidP="0098222F">
            <w:pPr>
              <w:pStyle w:val="PullOutBoxBodyText"/>
            </w:pPr>
            <w:r w:rsidRPr="008D77AF">
              <w:t>Expiry date of the costing:</w:t>
            </w:r>
          </w:p>
        </w:tc>
        <w:tc>
          <w:tcPr>
            <w:tcW w:w="3690" w:type="pct"/>
            <w:gridSpan w:val="2"/>
          </w:tcPr>
          <w:p w:rsidR="00270F01" w:rsidRPr="008D77AF" w:rsidRDefault="00270F01" w:rsidP="0098222F">
            <w:pPr>
              <w:pStyle w:val="PullOutBoxBodyText"/>
            </w:pPr>
            <w:r w:rsidRPr="008D77AF">
              <w:t>Release of the next economic and fiscal outlook report.</w:t>
            </w:r>
          </w:p>
        </w:tc>
      </w:tr>
    </w:tbl>
    <w:p w:rsidR="0046444F" w:rsidRPr="008D77AF" w:rsidRDefault="0046444F" w:rsidP="0046444F">
      <w:pPr>
        <w:pStyle w:val="Heading1"/>
      </w:pPr>
      <w:r w:rsidRPr="008D77AF">
        <w:t>Costing overview</w:t>
      </w:r>
    </w:p>
    <w:p w:rsidR="00986BBA" w:rsidRPr="005F2FC7" w:rsidRDefault="00986BBA" w:rsidP="00986BBA">
      <w:pPr>
        <w:pStyle w:val="BodyText"/>
        <w:keepNext/>
        <w:keepLines/>
      </w:pPr>
      <w:r w:rsidRPr="005F2FC7">
        <w:t xml:space="preserve">The </w:t>
      </w:r>
      <w:r>
        <w:t>proposal</w:t>
      </w:r>
      <w:r w:rsidRPr="005F2FC7">
        <w:t xml:space="preserve"> </w:t>
      </w:r>
      <w:r w:rsidR="008C5063">
        <w:t>is estimated to</w:t>
      </w:r>
      <w:r w:rsidRPr="005F2FC7">
        <w:t xml:space="preserve"> </w:t>
      </w:r>
      <w:r w:rsidR="00051293">
        <w:t>increase</w:t>
      </w:r>
      <w:r w:rsidRPr="005F2FC7">
        <w:t xml:space="preserve"> both the </w:t>
      </w:r>
      <w:r>
        <w:t xml:space="preserve">fiscal and </w:t>
      </w:r>
      <w:r w:rsidRPr="005F2FC7">
        <w:t>underlying cash balances by $</w:t>
      </w:r>
      <w:r w:rsidR="004B3BFF">
        <w:t xml:space="preserve">303,709 </w:t>
      </w:r>
      <w:r w:rsidRPr="005F2FC7">
        <w:t>million over the 201</w:t>
      </w:r>
      <w:r>
        <w:t>6</w:t>
      </w:r>
      <w:r w:rsidRPr="005F2FC7">
        <w:t>-1</w:t>
      </w:r>
      <w:r>
        <w:t>7</w:t>
      </w:r>
      <w:r w:rsidRPr="005F2FC7">
        <w:t xml:space="preserve"> Budget and forward estimates period. </w:t>
      </w:r>
      <w:r>
        <w:t xml:space="preserve"> </w:t>
      </w:r>
      <w:r w:rsidRPr="005F2FC7">
        <w:t>This impact is due to a decrease in administered expenditure of $</w:t>
      </w:r>
      <w:r w:rsidR="00967517">
        <w:t>28</w:t>
      </w:r>
      <w:r w:rsidR="004B3BFF">
        <w:t>9</w:t>
      </w:r>
      <w:r w:rsidR="00967517">
        <w:t>,</w:t>
      </w:r>
      <w:r w:rsidR="004B3BFF">
        <w:t>10</w:t>
      </w:r>
      <w:r w:rsidR="00967517">
        <w:t xml:space="preserve">0 </w:t>
      </w:r>
      <w:r w:rsidR="00743964">
        <w:t>million</w:t>
      </w:r>
      <w:r w:rsidRPr="005F2FC7">
        <w:t>, and a decrease</w:t>
      </w:r>
      <w:r w:rsidR="006455A3">
        <w:t xml:space="preserve"> in departmental expenditure</w:t>
      </w:r>
      <w:r w:rsidRPr="005F2FC7">
        <w:t xml:space="preserve"> of $</w:t>
      </w:r>
      <w:r w:rsidR="00776542">
        <w:t>14,609</w:t>
      </w:r>
      <w:r>
        <w:t> </w:t>
      </w:r>
      <w:r w:rsidRPr="005F2FC7">
        <w:t xml:space="preserve">million.  </w:t>
      </w:r>
    </w:p>
    <w:p w:rsidR="0046444F" w:rsidRPr="005B0970" w:rsidRDefault="008112CC" w:rsidP="008112CC">
      <w:pPr>
        <w:pStyle w:val="Caption"/>
      </w:pPr>
      <w:r w:rsidRPr="008112CC">
        <w:t xml:space="preserve">Table </w:t>
      </w:r>
      <w:r w:rsidR="00931E05">
        <w:fldChar w:fldCharType="begin"/>
      </w:r>
      <w:r w:rsidR="00931E05">
        <w:instrText xml:space="preserve"> SEQ Table \* ARABIC \s 1 </w:instrText>
      </w:r>
      <w:r w:rsidR="00931E05">
        <w:fldChar w:fldCharType="separate"/>
      </w:r>
      <w:r w:rsidR="006F1B39">
        <w:rPr>
          <w:noProof/>
        </w:rPr>
        <w:t>1</w:t>
      </w:r>
      <w:r w:rsidR="00931E05">
        <w:rPr>
          <w:noProof/>
        </w:rPr>
        <w:fldChar w:fldCharType="end"/>
      </w:r>
      <w:r w:rsidRPr="008112CC">
        <w:t xml:space="preserve">: </w:t>
      </w:r>
      <w:r>
        <w:t>Financial implications (outturn prices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517"/>
        <w:gridCol w:w="1202"/>
        <w:gridCol w:w="1203"/>
        <w:gridCol w:w="1203"/>
        <w:gridCol w:w="1203"/>
        <w:gridCol w:w="1201"/>
      </w:tblGrid>
      <w:tr w:rsidR="00776542" w:rsidTr="005B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"/>
            </w:pPr>
            <w:r w:rsidRPr="005B0970">
              <w:t>Impact on ($m)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2016–17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2017–18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2019–20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70">
              <w:t>Total to 2019–20</w:t>
            </w:r>
          </w:p>
        </w:tc>
      </w:tr>
      <w:tr w:rsidR="00776542" w:rsidTr="00E92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EA29A7" w:rsidRPr="005B0970" w:rsidRDefault="00EA29A7" w:rsidP="005B0970">
            <w:pPr>
              <w:pStyle w:val="TableHeading"/>
              <w:rPr>
                <w:rFonts w:asciiTheme="majorHAnsi" w:hAnsiTheme="majorHAnsi"/>
              </w:rPr>
            </w:pPr>
            <w:r w:rsidRPr="005B0970">
              <w:t>Fiscal balance</w:t>
            </w:r>
          </w:p>
        </w:tc>
        <w:tc>
          <w:tcPr>
            <w:tcW w:w="705" w:type="pct"/>
            <w:vAlign w:val="center"/>
          </w:tcPr>
          <w:p w:rsidR="00EA29A7" w:rsidRPr="008D77AF" w:rsidRDefault="00EA29A7" w:rsidP="008D77A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</w:tcPr>
          <w:p w:rsidR="00EA29A7" w:rsidRPr="008B54A9" w:rsidRDefault="000442D7" w:rsidP="00A239B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</w:t>
            </w:r>
            <w:r w:rsidR="00A239B5">
              <w:rPr>
                <w:noProof/>
              </w:rPr>
              <w:t>2</w:t>
            </w:r>
            <w:r>
              <w:rPr>
                <w:noProof/>
              </w:rPr>
              <w:t>,</w:t>
            </w:r>
            <w:r w:rsidR="00A239B5">
              <w:rPr>
                <w:noProof/>
              </w:rPr>
              <w:t>23</w:t>
            </w:r>
            <w:r w:rsidR="00776542">
              <w:rPr>
                <w:noProof/>
              </w:rPr>
              <w:t>9</w:t>
            </w:r>
          </w:p>
        </w:tc>
        <w:tc>
          <w:tcPr>
            <w:tcW w:w="705" w:type="pct"/>
          </w:tcPr>
          <w:p w:rsidR="00EA29A7" w:rsidRPr="008B54A9" w:rsidRDefault="000442D7" w:rsidP="00A239B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101,</w:t>
            </w:r>
            <w:r w:rsidR="00A239B5">
              <w:rPr>
                <w:noProof/>
              </w:rPr>
              <w:t>55</w:t>
            </w:r>
            <w:r w:rsidR="00776542">
              <w:rPr>
                <w:noProof/>
              </w:rPr>
              <w:t>1</w:t>
            </w:r>
          </w:p>
        </w:tc>
        <w:tc>
          <w:tcPr>
            <w:tcW w:w="705" w:type="pct"/>
          </w:tcPr>
          <w:p w:rsidR="00EA29A7" w:rsidRPr="008B54A9" w:rsidRDefault="000442D7" w:rsidP="00A239B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99,</w:t>
            </w:r>
            <w:r w:rsidR="00A239B5">
              <w:rPr>
                <w:noProof/>
              </w:rPr>
              <w:t>919</w:t>
            </w:r>
          </w:p>
        </w:tc>
        <w:tc>
          <w:tcPr>
            <w:tcW w:w="704" w:type="pct"/>
          </w:tcPr>
          <w:p w:rsidR="00EA29A7" w:rsidRDefault="000442D7" w:rsidP="00A239B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30</w:t>
            </w:r>
            <w:r w:rsidR="00A239B5">
              <w:rPr>
                <w:noProof/>
              </w:rPr>
              <w:t>3</w:t>
            </w:r>
            <w:r>
              <w:rPr>
                <w:noProof/>
              </w:rPr>
              <w:t>,</w:t>
            </w:r>
            <w:r w:rsidR="00A239B5">
              <w:rPr>
                <w:noProof/>
              </w:rPr>
              <w:t>70</w:t>
            </w:r>
            <w:r w:rsidR="00776542">
              <w:rPr>
                <w:noProof/>
              </w:rPr>
              <w:t>9</w:t>
            </w:r>
          </w:p>
        </w:tc>
      </w:tr>
      <w:tr w:rsidR="00776542" w:rsidTr="00C06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EA29A7" w:rsidRPr="005B0970" w:rsidRDefault="00EA29A7" w:rsidP="005B0970">
            <w:pPr>
              <w:pStyle w:val="TableHeading"/>
            </w:pPr>
            <w:r w:rsidRPr="005B0970">
              <w:t>Underlying cash balance</w:t>
            </w:r>
          </w:p>
        </w:tc>
        <w:tc>
          <w:tcPr>
            <w:tcW w:w="705" w:type="pct"/>
            <w:vAlign w:val="center"/>
          </w:tcPr>
          <w:p w:rsidR="00EA29A7" w:rsidRPr="008D77AF" w:rsidRDefault="00EA29A7" w:rsidP="005B0970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</w:tcPr>
          <w:p w:rsidR="00EA29A7" w:rsidRPr="008B54A9" w:rsidRDefault="000442D7" w:rsidP="00A239B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</w:t>
            </w:r>
            <w:r w:rsidR="00A239B5">
              <w:rPr>
                <w:noProof/>
              </w:rPr>
              <w:t>2</w:t>
            </w:r>
            <w:r>
              <w:rPr>
                <w:noProof/>
              </w:rPr>
              <w:t>,</w:t>
            </w:r>
            <w:r w:rsidR="00A239B5">
              <w:rPr>
                <w:noProof/>
              </w:rPr>
              <w:t>23</w:t>
            </w:r>
            <w:r w:rsidR="00776542">
              <w:rPr>
                <w:noProof/>
              </w:rPr>
              <w:t>9</w:t>
            </w:r>
          </w:p>
        </w:tc>
        <w:tc>
          <w:tcPr>
            <w:tcW w:w="705" w:type="pct"/>
          </w:tcPr>
          <w:p w:rsidR="00EA29A7" w:rsidRPr="008B54A9" w:rsidRDefault="00776542" w:rsidP="002E5627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101,</w:t>
            </w:r>
            <w:r w:rsidR="00A239B5">
              <w:rPr>
                <w:noProof/>
              </w:rPr>
              <w:t>55</w:t>
            </w:r>
            <w:r>
              <w:rPr>
                <w:noProof/>
              </w:rPr>
              <w:t>1</w:t>
            </w:r>
          </w:p>
        </w:tc>
        <w:tc>
          <w:tcPr>
            <w:tcW w:w="705" w:type="pct"/>
          </w:tcPr>
          <w:p w:rsidR="00EA29A7" w:rsidRPr="008B54A9" w:rsidRDefault="000442D7" w:rsidP="00776542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99,</w:t>
            </w:r>
            <w:r w:rsidR="00A239B5">
              <w:rPr>
                <w:noProof/>
              </w:rPr>
              <w:t>91</w:t>
            </w:r>
            <w:r w:rsidR="00776542">
              <w:rPr>
                <w:noProof/>
              </w:rPr>
              <w:t>9</w:t>
            </w:r>
          </w:p>
        </w:tc>
        <w:tc>
          <w:tcPr>
            <w:tcW w:w="704" w:type="pct"/>
          </w:tcPr>
          <w:p w:rsidR="00EA29A7" w:rsidRDefault="000442D7" w:rsidP="00A239B5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30</w:t>
            </w:r>
            <w:r w:rsidR="00A239B5">
              <w:rPr>
                <w:noProof/>
              </w:rPr>
              <w:t>3</w:t>
            </w:r>
            <w:r>
              <w:rPr>
                <w:noProof/>
              </w:rPr>
              <w:t>,</w:t>
            </w:r>
            <w:r w:rsidR="00A239B5">
              <w:rPr>
                <w:noProof/>
              </w:rPr>
              <w:t>70</w:t>
            </w:r>
            <w:r w:rsidR="00776542">
              <w:rPr>
                <w:noProof/>
              </w:rPr>
              <w:t>9</w:t>
            </w:r>
          </w:p>
        </w:tc>
      </w:tr>
    </w:tbl>
    <w:p w:rsidR="008112CC" w:rsidRDefault="005B0970" w:rsidP="00FE3B13">
      <w:pPr>
        <w:pStyle w:val="TableFootnotes"/>
      </w:pPr>
      <w:r>
        <w:t xml:space="preserve">A positive number represents an increase in the relevant budget </w:t>
      </w:r>
      <w:proofErr w:type="gramStart"/>
      <w:r>
        <w:t>balance,</w:t>
      </w:r>
      <w:proofErr w:type="gramEnd"/>
      <w:r>
        <w:t xml:space="preserve"> a negative number represents a decrease.</w:t>
      </w:r>
    </w:p>
    <w:p w:rsidR="005B0970" w:rsidRDefault="005B0970" w:rsidP="00FE3B13">
      <w:pPr>
        <w:pStyle w:val="TableFootnotes"/>
      </w:pPr>
      <w:r>
        <w:t>Figures may not sum to totals due to rounding.</w:t>
      </w:r>
    </w:p>
    <w:p w:rsidR="005B0970" w:rsidRDefault="005B0970" w:rsidP="00270F01">
      <w:pPr>
        <w:pStyle w:val="TableFootnotes"/>
        <w:numPr>
          <w:ilvl w:val="0"/>
          <w:numId w:val="11"/>
        </w:numPr>
        <w:ind w:left="284" w:hanging="284"/>
      </w:pPr>
      <w:r>
        <w:t>Indicates nil.</w:t>
      </w:r>
    </w:p>
    <w:bookmarkEnd w:id="0"/>
    <w:p w:rsidR="00EA29A7" w:rsidRDefault="008E51FE" w:rsidP="00B01A67">
      <w:pPr>
        <w:pStyle w:val="BodyText"/>
      </w:pPr>
      <w:r>
        <w:lastRenderedPageBreak/>
        <w:t>This proposal</w:t>
      </w:r>
      <w:r w:rsidR="00EA29A7">
        <w:t xml:space="preserve"> would be expected to have an ongoing impact beyond the </w:t>
      </w:r>
      <w:r w:rsidR="008C5063">
        <w:t xml:space="preserve">2016-17 Budget </w:t>
      </w:r>
      <w:r w:rsidR="00EA29A7">
        <w:t>forward estimates</w:t>
      </w:r>
      <w:r w:rsidR="008C5063">
        <w:t xml:space="preserve"> period.</w:t>
      </w:r>
      <w:r w:rsidR="00EA29A7">
        <w:t xml:space="preserve"> </w:t>
      </w:r>
      <w:r w:rsidR="008C5063">
        <w:t xml:space="preserve"> A</w:t>
      </w:r>
      <w:r w:rsidR="00EA29A7">
        <w:t>s requested</w:t>
      </w:r>
      <w:r w:rsidR="00AB35BE">
        <w:t>,</w:t>
      </w:r>
      <w:r w:rsidR="00EA29A7">
        <w:t xml:space="preserve"> impacts </w:t>
      </w:r>
      <w:r w:rsidR="008C5063">
        <w:t xml:space="preserve">from </w:t>
      </w:r>
      <w:r w:rsidR="00EA29A7">
        <w:t xml:space="preserve">2016-17 to 2026-27 are provided at </w:t>
      </w:r>
      <w:r w:rsidR="00EA29A7" w:rsidRPr="00EA29A7">
        <w:rPr>
          <w:u w:val="single"/>
        </w:rPr>
        <w:t>Attachment</w:t>
      </w:r>
      <w:r w:rsidR="008C5063">
        <w:rPr>
          <w:u w:val="single"/>
        </w:rPr>
        <w:t> </w:t>
      </w:r>
      <w:r w:rsidR="00EA29A7" w:rsidRPr="00EA29A7">
        <w:rPr>
          <w:u w:val="single"/>
        </w:rPr>
        <w:t>A</w:t>
      </w:r>
      <w:r w:rsidR="00EA29A7">
        <w:t>.</w:t>
      </w:r>
    </w:p>
    <w:p w:rsidR="00AB35BE" w:rsidRDefault="00EA29A7" w:rsidP="00B01A67">
      <w:pPr>
        <w:pStyle w:val="BodyText"/>
      </w:pPr>
      <w:r>
        <w:t xml:space="preserve">The financial implications </w:t>
      </w:r>
      <w:r w:rsidR="008E51FE">
        <w:t>of this proposal</w:t>
      </w:r>
      <w:r w:rsidR="00AB35BE">
        <w:t xml:space="preserve"> are considered to be of low reliability due to the uncertainties surrounding the practicalities associated with achieving the savings in the timeframe proposed</w:t>
      </w:r>
      <w:r>
        <w:t>.</w:t>
      </w:r>
      <w:r w:rsidR="008C5063">
        <w:t xml:space="preserve">  </w:t>
      </w:r>
    </w:p>
    <w:p w:rsidR="00EA29A7" w:rsidRPr="008E51FE" w:rsidRDefault="008C5063" w:rsidP="00B01A67">
      <w:pPr>
        <w:pStyle w:val="BodyText"/>
      </w:pPr>
      <w:r>
        <w:t xml:space="preserve">No assessment of the feasibility of the proposal has been undertaken, including whether the proposal could be implemented from the specified commencement date of 1 July 2017.  The costing does not include any allowance for the </w:t>
      </w:r>
      <w:r w:rsidR="00AB35BE">
        <w:t>wider</w:t>
      </w:r>
      <w:r>
        <w:t xml:space="preserve"> economic impacts of the proposal, which </w:t>
      </w:r>
      <w:r w:rsidR="00AB35BE">
        <w:t>are</w:t>
      </w:r>
      <w:r>
        <w:t xml:space="preserve"> uncertain in relation to their magnitude, direction and timing.</w:t>
      </w:r>
    </w:p>
    <w:p w:rsidR="00FE3B13" w:rsidRPr="00CA06C8" w:rsidRDefault="00FE3B13" w:rsidP="00CA06C8">
      <w:pPr>
        <w:pStyle w:val="Heading1"/>
      </w:pPr>
      <w:r w:rsidRPr="00CA06C8">
        <w:t>Key assumptions</w:t>
      </w:r>
    </w:p>
    <w:p w:rsidR="00A73ED4" w:rsidRPr="00A73ED4" w:rsidRDefault="00146CCE" w:rsidP="00C2089F">
      <w:pPr>
        <w:pStyle w:val="BodyText17ptAbove"/>
      </w:pPr>
      <w:r w:rsidRPr="00A73ED4">
        <w:t xml:space="preserve">The Parliamentary Budget Office has made assumptions about </w:t>
      </w:r>
      <w:r w:rsidR="00FF4E4B" w:rsidRPr="00A73ED4">
        <w:t xml:space="preserve">the magnitude of </w:t>
      </w:r>
      <w:r w:rsidR="008C5063" w:rsidRPr="00A73ED4">
        <w:t>funding</w:t>
      </w:r>
      <w:r w:rsidRPr="00A73ED4">
        <w:t xml:space="preserve"> and staffing level</w:t>
      </w:r>
      <w:r w:rsidR="00FF4E4B" w:rsidRPr="00A73ED4">
        <w:t xml:space="preserve"> reductions</w:t>
      </w:r>
      <w:r w:rsidRPr="00A73ED4">
        <w:t xml:space="preserve"> </w:t>
      </w:r>
      <w:r w:rsidR="00A73ED4" w:rsidRPr="00A73ED4">
        <w:t>under the proposal including</w:t>
      </w:r>
      <w:r w:rsidR="00AB35BE">
        <w:t xml:space="preserve"> that</w:t>
      </w:r>
      <w:r w:rsidR="00A73ED4" w:rsidRPr="00A73ED4">
        <w:t>:</w:t>
      </w:r>
    </w:p>
    <w:p w:rsidR="00FF4E4B" w:rsidRDefault="00A73ED4" w:rsidP="00C2089F">
      <w:pPr>
        <w:pStyle w:val="ListBullet"/>
      </w:pPr>
      <w:r w:rsidRPr="00A73ED4">
        <w:t xml:space="preserve">all spending would be returned to the Budget within </w:t>
      </w:r>
      <w:r w:rsidR="00AB35BE">
        <w:t xml:space="preserve">the </w:t>
      </w:r>
      <w:r w:rsidRPr="00A73ED4">
        <w:t>year</w:t>
      </w:r>
      <w:r w:rsidR="00AB35BE">
        <w:t xml:space="preserve"> that it is scheduled to be expensed</w:t>
      </w:r>
    </w:p>
    <w:p w:rsidR="00A73ED4" w:rsidRPr="00C2089F" w:rsidRDefault="00A73ED4" w:rsidP="00C2089F">
      <w:pPr>
        <w:pStyle w:val="ListBullet"/>
      </w:pPr>
      <w:proofErr w:type="gramStart"/>
      <w:r>
        <w:t>departmental</w:t>
      </w:r>
      <w:proofErr w:type="gramEnd"/>
      <w:r>
        <w:t xml:space="preserve"> expenses </w:t>
      </w:r>
      <w:r w:rsidR="006C29D3">
        <w:t xml:space="preserve">include </w:t>
      </w:r>
      <w:r>
        <w:t>an allowance for redundancies based on estimated reduction in average staffing costs by the estimated average service length</w:t>
      </w:r>
      <w:r w:rsidR="006C29D3">
        <w:t xml:space="preserve"> of staff.</w:t>
      </w:r>
    </w:p>
    <w:p w:rsidR="00146CCE" w:rsidRPr="00B01A67" w:rsidRDefault="00146CCE" w:rsidP="00B01A67">
      <w:pPr>
        <w:pStyle w:val="BodyText"/>
      </w:pPr>
      <w:r w:rsidRPr="00B01A67">
        <w:t>It is assumed that the cost of dissolving agenc</w:t>
      </w:r>
      <w:r w:rsidR="00FF4E4B" w:rsidRPr="00B01A67">
        <w:t>ies</w:t>
      </w:r>
      <w:r w:rsidRPr="00B01A67">
        <w:t xml:space="preserve"> as a result of this proposal would be </w:t>
      </w:r>
      <w:r w:rsidR="00203329" w:rsidRPr="00B01A67">
        <w:t>met</w:t>
      </w:r>
      <w:r w:rsidRPr="00B01A67">
        <w:t xml:space="preserve"> from within the existing departmental resources of those agencies.</w:t>
      </w:r>
      <w:r w:rsidR="00FF4E4B" w:rsidRPr="00B01A67">
        <w:t xml:space="preserve">  </w:t>
      </w:r>
    </w:p>
    <w:p w:rsidR="00FE3B13" w:rsidRDefault="00FE3B13" w:rsidP="0056001A">
      <w:pPr>
        <w:pStyle w:val="Heading1"/>
      </w:pPr>
      <w:r>
        <w:t>Methodology</w:t>
      </w:r>
    </w:p>
    <w:p w:rsidR="00077820" w:rsidRDefault="00077820" w:rsidP="00B01A67">
      <w:pPr>
        <w:pStyle w:val="BodyText"/>
      </w:pPr>
      <w:r>
        <w:t xml:space="preserve">The impact of the proposal was derived by </w:t>
      </w:r>
      <w:r w:rsidR="00FF4E4B">
        <w:t xml:space="preserve">estimating </w:t>
      </w:r>
      <w:r>
        <w:t xml:space="preserve">administered and departmental expenditure </w:t>
      </w:r>
      <w:r w:rsidR="00FF4E4B">
        <w:t xml:space="preserve">savings </w:t>
      </w:r>
      <w:r>
        <w:t xml:space="preserve">for the specified </w:t>
      </w:r>
      <w:proofErr w:type="gramStart"/>
      <w:r>
        <w:t>programs,</w:t>
      </w:r>
      <w:proofErr w:type="gramEnd"/>
      <w:r>
        <w:t xml:space="preserve"> less expected </w:t>
      </w:r>
      <w:r w:rsidR="00FF4E4B">
        <w:t xml:space="preserve">staff </w:t>
      </w:r>
      <w:r>
        <w:t>redundancy payments</w:t>
      </w:r>
      <w:r w:rsidR="00A73ED4">
        <w:t xml:space="preserve"> </w:t>
      </w:r>
      <w:r w:rsidR="00054344">
        <w:t>incorporating the assumptions noted above</w:t>
      </w:r>
      <w:r>
        <w:t>.</w:t>
      </w:r>
    </w:p>
    <w:p w:rsidR="00077820" w:rsidRDefault="00077820" w:rsidP="00B01A67">
      <w:pPr>
        <w:pStyle w:val="BodyText"/>
      </w:pPr>
      <w:r>
        <w:t>Administered and departmental expenditure estimates for the specified programs were obtained from the 2016-17 Budget</w:t>
      </w:r>
      <w:r w:rsidR="00054344" w:rsidRPr="00054344">
        <w:t xml:space="preserve"> </w:t>
      </w:r>
      <w:r w:rsidR="00054344">
        <w:t>papers and unpublished 2016-17 budget data provided by the Department of Finance</w:t>
      </w:r>
      <w:r>
        <w:t xml:space="preserve">. </w:t>
      </w:r>
    </w:p>
    <w:p w:rsidR="00DC6BFF" w:rsidRPr="00B01A67" w:rsidRDefault="00DC6BFF" w:rsidP="00B01A67">
      <w:pPr>
        <w:pStyle w:val="BodyText"/>
      </w:pPr>
      <w:r>
        <w:t>E</w:t>
      </w:r>
      <w:r w:rsidRPr="002B1677">
        <w:t>stimates have been projec</w:t>
      </w:r>
      <w:r>
        <w:t>ted over the medium term to 2026-27 using trend analysis</w:t>
      </w:r>
      <w:r w:rsidR="003C5EF4">
        <w:t xml:space="preserve"> derived from </w:t>
      </w:r>
      <w:r w:rsidR="006455A3">
        <w:t>expense profiles over</w:t>
      </w:r>
      <w:r w:rsidR="003C5EF4">
        <w:t xml:space="preserve"> the </w:t>
      </w:r>
      <w:r w:rsidR="00BC642C">
        <w:t xml:space="preserve">2016-17 Budget </w:t>
      </w:r>
      <w:r w:rsidR="003C5EF4">
        <w:t>forward estimates</w:t>
      </w:r>
      <w:r w:rsidR="00BC642C">
        <w:t xml:space="preserve"> period</w:t>
      </w:r>
      <w:r>
        <w:t>.</w:t>
      </w:r>
      <w:r w:rsidR="003C5EF4">
        <w:t xml:space="preserve"> </w:t>
      </w:r>
      <w:r>
        <w:t xml:space="preserve"> </w:t>
      </w:r>
    </w:p>
    <w:p w:rsidR="00DC6BFF" w:rsidRPr="002B1677" w:rsidRDefault="00DC6BFF" w:rsidP="00B01A67">
      <w:pPr>
        <w:pStyle w:val="BodyText"/>
      </w:pPr>
      <w:r w:rsidRPr="002B1677">
        <w:t>Administered expenses have been rounded to the nearest $</w:t>
      </w:r>
      <w:r>
        <w:t>10</w:t>
      </w:r>
      <w:r w:rsidRPr="002B1677">
        <w:t xml:space="preserve"> million.</w:t>
      </w:r>
      <w:r w:rsidR="00BC642C">
        <w:t xml:space="preserve">  </w:t>
      </w:r>
      <w:r w:rsidRPr="002B1677">
        <w:t>Departmental expenses have been rounded to the neare</w:t>
      </w:r>
      <w:r>
        <w:t>st $1 million.</w:t>
      </w:r>
    </w:p>
    <w:p w:rsidR="00FE3B13" w:rsidRDefault="00FE3B13" w:rsidP="00FE3B13">
      <w:pPr>
        <w:pStyle w:val="Heading1"/>
      </w:pPr>
      <w:r>
        <w:t>Data sources</w:t>
      </w:r>
    </w:p>
    <w:p w:rsidR="00B01A67" w:rsidRDefault="00DC6BFF" w:rsidP="00B01A67">
      <w:pPr>
        <w:pStyle w:val="BodyText"/>
      </w:pPr>
      <w:proofErr w:type="gramStart"/>
      <w:r w:rsidRPr="00B01A67">
        <w:t>Commonwealth of Australia, 2016.</w:t>
      </w:r>
      <w:proofErr w:type="gramEnd"/>
      <w:r w:rsidRPr="00B01A67">
        <w:t xml:space="preserve">  2016-17 Budget Paper No. 1, Canberra: Department of Finance</w:t>
      </w:r>
    </w:p>
    <w:p w:rsidR="00DC6BFF" w:rsidRPr="00B01A67" w:rsidRDefault="00DC6BFF" w:rsidP="00B01A67">
      <w:pPr>
        <w:pStyle w:val="BodyText"/>
      </w:pPr>
      <w:proofErr w:type="gramStart"/>
      <w:r w:rsidRPr="00B01A67">
        <w:t>Commonwealth of Australia, 2016.</w:t>
      </w:r>
      <w:proofErr w:type="gramEnd"/>
      <w:r w:rsidRPr="00B01A67">
        <w:t xml:space="preserve">  2016-17 Budget Paper No. 3, Canberra: Department of Finance</w:t>
      </w:r>
    </w:p>
    <w:p w:rsidR="00DC6BFF" w:rsidRPr="00B01A67" w:rsidRDefault="00DC6BFF" w:rsidP="00B01A67">
      <w:pPr>
        <w:pStyle w:val="BodyText"/>
      </w:pPr>
      <w:proofErr w:type="gramStart"/>
      <w:r w:rsidRPr="00B01A67">
        <w:lastRenderedPageBreak/>
        <w:t>Commonwealth of Australia, 2016.</w:t>
      </w:r>
      <w:proofErr w:type="gramEnd"/>
      <w:r w:rsidRPr="00B01A67">
        <w:t xml:space="preserve">  Indexation and efficiency dividend parameters, Canberra: Department of Finance</w:t>
      </w:r>
    </w:p>
    <w:p w:rsidR="00DC6BFF" w:rsidRPr="00B01A67" w:rsidRDefault="00DC6BFF" w:rsidP="00B01A67">
      <w:pPr>
        <w:pStyle w:val="BodyText"/>
      </w:pPr>
      <w:proofErr w:type="gramStart"/>
      <w:r w:rsidRPr="00B01A67">
        <w:t>Commonwealth of Australia, 2016.</w:t>
      </w:r>
      <w:proofErr w:type="gramEnd"/>
      <w:r w:rsidRPr="00B01A67">
        <w:t xml:space="preserve">  2016-17 departmental costing </w:t>
      </w:r>
      <w:proofErr w:type="gramStart"/>
      <w:r w:rsidRPr="00B01A67">
        <w:t>template</w:t>
      </w:r>
      <w:proofErr w:type="gramEnd"/>
      <w:r w:rsidRPr="00B01A67">
        <w:t>, Canberra: Department of Finance</w:t>
      </w:r>
    </w:p>
    <w:p w:rsidR="00DC6BFF" w:rsidRPr="00B01A67" w:rsidRDefault="00DC6BFF" w:rsidP="00B01A67">
      <w:pPr>
        <w:pStyle w:val="BodyText"/>
      </w:pPr>
      <w:proofErr w:type="gramStart"/>
      <w:r w:rsidRPr="00B01A67">
        <w:t>Commonwealth of Australia, 2016.</w:t>
      </w:r>
      <w:proofErr w:type="gramEnd"/>
      <w:r w:rsidRPr="00B01A67">
        <w:t xml:space="preserve">  2016-17 </w:t>
      </w:r>
      <w:proofErr w:type="gramStart"/>
      <w:r w:rsidRPr="00B01A67">
        <w:t>Budget</w:t>
      </w:r>
      <w:proofErr w:type="gramEnd"/>
      <w:r w:rsidRPr="00B01A67">
        <w:t xml:space="preserve"> – total expense x functions x programs report, Canberra: Department of Finance</w:t>
      </w:r>
    </w:p>
    <w:p w:rsidR="003E1562" w:rsidRDefault="003E1562" w:rsidP="003E1562">
      <w:pPr>
        <w:pStyle w:val="BodyText"/>
        <w:sectPr w:rsidR="003E1562" w:rsidSect="00DA5C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97" w:bottom="1474" w:left="1797" w:header="284" w:footer="454" w:gutter="0"/>
          <w:pgNumType w:start="1"/>
          <w:cols w:space="708"/>
          <w:titlePg/>
          <w:docGrid w:linePitch="360"/>
        </w:sectPr>
      </w:pPr>
    </w:p>
    <w:p w:rsidR="007463BE" w:rsidRPr="002D239A" w:rsidRDefault="007463BE" w:rsidP="007463BE">
      <w:pPr>
        <w:pStyle w:val="Heading8"/>
      </w:pPr>
      <w:r w:rsidRPr="002D239A">
        <w:lastRenderedPageBreak/>
        <w:t xml:space="preserve">– </w:t>
      </w:r>
      <w:r>
        <w:t>General spending cuts</w:t>
      </w:r>
      <w:r w:rsidRPr="002D239A">
        <w:t>—financial implications</w:t>
      </w:r>
    </w:p>
    <w:p w:rsidR="003E1562" w:rsidRDefault="003E1562" w:rsidP="003E1562">
      <w:pPr>
        <w:pStyle w:val="Caption"/>
        <w:keepLines/>
        <w:rPr>
          <w:vertAlign w:val="superscript"/>
        </w:rPr>
      </w:pPr>
      <w:r w:rsidRPr="002D239A">
        <w:t xml:space="preserve">Table </w:t>
      </w:r>
      <w:r w:rsidR="00931E05">
        <w:fldChar w:fldCharType="begin"/>
      </w:r>
      <w:r w:rsidR="00931E05">
        <w:instrText xml:space="preserve"> STYLEREF 8 \s </w:instrText>
      </w:r>
      <w:r w:rsidR="00931E05">
        <w:fldChar w:fldCharType="separate"/>
      </w:r>
      <w:r w:rsidR="006F1B39">
        <w:rPr>
          <w:noProof/>
        </w:rPr>
        <w:t>A</w:t>
      </w:r>
      <w:r w:rsidR="00931E05">
        <w:rPr>
          <w:noProof/>
        </w:rPr>
        <w:fldChar w:fldCharType="end"/>
      </w:r>
      <w:r w:rsidR="007463BE">
        <w:t>1</w:t>
      </w:r>
      <w:r w:rsidRPr="002D239A">
        <w:t xml:space="preserve">: </w:t>
      </w:r>
      <w:r w:rsidR="007463BE">
        <w:t>General spending cuts</w:t>
      </w:r>
      <w:r>
        <w:t>—Financial implications (outturn prices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22" w:type="pct"/>
        <w:tblLayout w:type="fixed"/>
        <w:tblLook w:val="0680" w:firstRow="0" w:lastRow="0" w:firstColumn="1" w:lastColumn="0" w:noHBand="1" w:noVBand="1"/>
      </w:tblPr>
      <w:tblGrid>
        <w:gridCol w:w="1529"/>
        <w:gridCol w:w="928"/>
        <w:gridCol w:w="928"/>
        <w:gridCol w:w="928"/>
        <w:gridCol w:w="931"/>
        <w:gridCol w:w="997"/>
        <w:gridCol w:w="997"/>
        <w:gridCol w:w="997"/>
        <w:gridCol w:w="997"/>
        <w:gridCol w:w="997"/>
        <w:gridCol w:w="997"/>
        <w:gridCol w:w="997"/>
        <w:gridCol w:w="997"/>
        <w:gridCol w:w="1063"/>
      </w:tblGrid>
      <w:tr w:rsidR="005837FF" w:rsidRPr="00AA62CF" w:rsidTr="00AA6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1E33C2" w:rsidP="00423DC5">
            <w:pPr>
              <w:pStyle w:val="TableHeading"/>
              <w:ind w:left="-57" w:right="-57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($</w:t>
            </w:r>
            <w:r w:rsidR="00423DC5">
              <w:rPr>
                <w:sz w:val="18"/>
                <w:szCs w:val="18"/>
              </w:rPr>
              <w:t xml:space="preserve"> </w:t>
            </w:r>
            <w:r w:rsidR="00A838D2" w:rsidRPr="00AA62CF">
              <w:rPr>
                <w:sz w:val="18"/>
                <w:szCs w:val="18"/>
              </w:rPr>
              <w:t>m</w:t>
            </w:r>
            <w:r w:rsidR="00423DC5">
              <w:rPr>
                <w:sz w:val="18"/>
                <w:szCs w:val="18"/>
              </w:rPr>
              <w:t>illion</w:t>
            </w:r>
            <w:r w:rsidRPr="00AA62CF">
              <w:rPr>
                <w:sz w:val="18"/>
                <w:szCs w:val="18"/>
              </w:rPr>
              <w:t>)</w:t>
            </w:r>
          </w:p>
        </w:tc>
        <w:tc>
          <w:tcPr>
            <w:tcW w:w="32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2016–17</w:t>
            </w:r>
          </w:p>
        </w:tc>
        <w:tc>
          <w:tcPr>
            <w:tcW w:w="32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2017–18</w:t>
            </w:r>
          </w:p>
        </w:tc>
        <w:tc>
          <w:tcPr>
            <w:tcW w:w="32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2018–19</w:t>
            </w:r>
          </w:p>
        </w:tc>
        <w:tc>
          <w:tcPr>
            <w:tcW w:w="326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2019–20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1E33C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Total to 2019–20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2020–21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2021–22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2022–23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2023–24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2024–25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2025–26</w:t>
            </w:r>
          </w:p>
        </w:tc>
        <w:tc>
          <w:tcPr>
            <w:tcW w:w="349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2026–27</w:t>
            </w:r>
          </w:p>
        </w:tc>
        <w:tc>
          <w:tcPr>
            <w:tcW w:w="370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1E33C2" w:rsidRPr="00AA62CF" w:rsidRDefault="007B57C9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Total to 2026–27</w:t>
            </w:r>
          </w:p>
        </w:tc>
      </w:tr>
      <w:tr w:rsidR="007463BE" w:rsidRPr="00AA62CF" w:rsidTr="00AA6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E9ECF3"/>
            <w:vAlign w:val="center"/>
          </w:tcPr>
          <w:p w:rsidR="007463BE" w:rsidRPr="00AA62CF" w:rsidRDefault="007463BE" w:rsidP="007463BE">
            <w:pPr>
              <w:pStyle w:val="TableHeadingRigh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AA62CF">
              <w:rPr>
                <w:b/>
                <w:sz w:val="18"/>
                <w:szCs w:val="18"/>
              </w:rPr>
              <w:t>Impact on fiscal and underlying cash balances</w:t>
            </w:r>
          </w:p>
        </w:tc>
      </w:tr>
      <w:tr w:rsidR="00AA62CF" w:rsidRPr="00AA62CF" w:rsidTr="00AA6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</w:tcPr>
          <w:p w:rsidR="00AA62CF" w:rsidRPr="00AA62CF" w:rsidRDefault="00AA62CF" w:rsidP="0028563E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Administered</w:t>
            </w:r>
          </w:p>
        </w:tc>
        <w:tc>
          <w:tcPr>
            <w:tcW w:w="325" w:type="pct"/>
          </w:tcPr>
          <w:p w:rsidR="00AA62CF" w:rsidRPr="00AA62CF" w:rsidRDefault="00AA62CF" w:rsidP="007463BE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96,</w:t>
            </w:r>
            <w:r w:rsidR="00A239B5">
              <w:rPr>
                <w:rFonts w:ascii="Calibri" w:hAnsi="Calibri"/>
                <w:bCs/>
                <w:color w:val="000000"/>
                <w:sz w:val="18"/>
                <w:szCs w:val="18"/>
              </w:rPr>
              <w:t>69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</w:tcPr>
          <w:p w:rsidR="00AA62CF" w:rsidRPr="00AA62CF" w:rsidRDefault="00AA62CF" w:rsidP="00A239B5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96,</w:t>
            </w:r>
            <w:r w:rsidR="00A239B5">
              <w:rPr>
                <w:rFonts w:ascii="Calibri" w:hAnsi="Calibri"/>
                <w:bCs/>
                <w:color w:val="000000"/>
                <w:sz w:val="18"/>
                <w:szCs w:val="18"/>
              </w:rPr>
              <w:t>98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6" w:type="pct"/>
          </w:tcPr>
          <w:p w:rsidR="00AA62CF" w:rsidRPr="00AA62CF" w:rsidRDefault="00AA62CF" w:rsidP="00A239B5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  <w:r w:rsidR="00A239B5">
              <w:rPr>
                <w:rFonts w:ascii="Calibri" w:hAnsi="Calibri"/>
                <w:bCs/>
                <w:color w:val="000000"/>
                <w:sz w:val="18"/>
                <w:szCs w:val="18"/>
              </w:rPr>
              <w:t>5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A239B5">
              <w:rPr>
                <w:rFonts w:ascii="Calibri" w:hAnsi="Calibri"/>
                <w:bCs/>
                <w:color w:val="000000"/>
                <w:sz w:val="18"/>
                <w:szCs w:val="18"/>
              </w:rPr>
              <w:t>43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</w:tcPr>
          <w:p w:rsidR="00AA62CF" w:rsidRPr="00AA62CF" w:rsidRDefault="00AA62CF" w:rsidP="00A239B5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28</w:t>
            </w:r>
            <w:r w:rsidR="00A239B5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A239B5">
              <w:rPr>
                <w:rFonts w:ascii="Calibri" w:hAnsi="Calibr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9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07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102,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57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10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6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04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109,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60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11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3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09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116,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6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20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13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AA62CF" w:rsidRPr="00AA62CF" w:rsidRDefault="00AA62CF" w:rsidP="003A55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1,05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6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,</w:t>
            </w:r>
            <w:r w:rsidR="003A555D">
              <w:rPr>
                <w:rFonts w:ascii="Calibri" w:hAnsi="Calibri"/>
                <w:bCs/>
                <w:color w:val="000000"/>
                <w:sz w:val="18"/>
                <w:szCs w:val="18"/>
              </w:rPr>
              <w:t>2</w:t>
            </w: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AA62CF" w:rsidRPr="00AA62CF" w:rsidTr="00AA6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</w:tcPr>
          <w:p w:rsidR="00AA62CF" w:rsidRPr="00AA62CF" w:rsidRDefault="00AA62CF" w:rsidP="007B57C9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Departmental</w:t>
            </w:r>
          </w:p>
        </w:tc>
        <w:tc>
          <w:tcPr>
            <w:tcW w:w="325" w:type="pct"/>
          </w:tcPr>
          <w:p w:rsidR="00AA62CF" w:rsidRPr="00AA62CF" w:rsidRDefault="00AA62CF" w:rsidP="007463BE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vAlign w:val="bottom"/>
          </w:tcPr>
          <w:p w:rsidR="00AA62CF" w:rsidRPr="00AA62CF" w:rsidRDefault="003D46A6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5,549</w:t>
            </w:r>
          </w:p>
        </w:tc>
        <w:tc>
          <w:tcPr>
            <w:tcW w:w="325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4,571</w:t>
            </w:r>
          </w:p>
        </w:tc>
        <w:tc>
          <w:tcPr>
            <w:tcW w:w="326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4,489</w:t>
            </w:r>
          </w:p>
        </w:tc>
        <w:tc>
          <w:tcPr>
            <w:tcW w:w="349" w:type="pct"/>
            <w:vAlign w:val="bottom"/>
          </w:tcPr>
          <w:p w:rsidR="00AA62CF" w:rsidRPr="00AA62CF" w:rsidRDefault="003D46A6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14,609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4,470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4,448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4,426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4,404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4,382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4,360</w:t>
            </w:r>
          </w:p>
        </w:tc>
        <w:tc>
          <w:tcPr>
            <w:tcW w:w="349" w:type="pct"/>
            <w:vAlign w:val="bottom"/>
          </w:tcPr>
          <w:p w:rsidR="00AA62CF" w:rsidRPr="00AA62CF" w:rsidRDefault="00AA62CF" w:rsidP="00AA62CF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4,338</w:t>
            </w:r>
          </w:p>
        </w:tc>
        <w:tc>
          <w:tcPr>
            <w:tcW w:w="370" w:type="pct"/>
            <w:vAlign w:val="bottom"/>
          </w:tcPr>
          <w:p w:rsidR="00AA62CF" w:rsidRPr="00AA62CF" w:rsidRDefault="00AA62CF" w:rsidP="00326322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Cs/>
                <w:color w:val="000000"/>
                <w:sz w:val="18"/>
                <w:szCs w:val="18"/>
              </w:rPr>
              <w:t>4</w:t>
            </w:r>
            <w:r w:rsidR="00326322">
              <w:rPr>
                <w:rFonts w:ascii="Calibri" w:hAnsi="Calibri"/>
                <w:bCs/>
                <w:color w:val="000000"/>
                <w:sz w:val="18"/>
                <w:szCs w:val="18"/>
              </w:rPr>
              <w:t>5,437</w:t>
            </w:r>
          </w:p>
        </w:tc>
      </w:tr>
      <w:tr w:rsidR="005837FF" w:rsidRPr="00AA62CF" w:rsidTr="00AA6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shd w:val="clear" w:color="auto" w:fill="D7DDE9" w:themeFill="accent3"/>
            <w:vAlign w:val="center"/>
          </w:tcPr>
          <w:p w:rsidR="00AA62CF" w:rsidRPr="00AA62CF" w:rsidRDefault="00AA62CF" w:rsidP="007B57C9">
            <w:pPr>
              <w:pStyle w:val="TableText"/>
              <w:keepNext/>
              <w:keepLines/>
              <w:ind w:left="-57" w:right="-57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Total</w:t>
            </w:r>
          </w:p>
        </w:tc>
        <w:tc>
          <w:tcPr>
            <w:tcW w:w="325" w:type="pct"/>
            <w:shd w:val="clear" w:color="auto" w:fill="D7DDE9" w:themeFill="accent3"/>
          </w:tcPr>
          <w:p w:rsidR="00AA62CF" w:rsidRPr="00AA62CF" w:rsidRDefault="00AA62CF" w:rsidP="007463BE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5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25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101,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99,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103,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54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120,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49" w:type="pct"/>
            <w:shd w:val="clear" w:color="auto" w:fill="D7DDE9" w:themeFill="accent3"/>
          </w:tcPr>
          <w:p w:rsidR="00AA62CF" w:rsidRPr="00AA62CF" w:rsidRDefault="00AA62CF" w:rsidP="00B4396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 w:rsidR="00B4396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shd w:val="clear" w:color="auto" w:fill="D7DDE9" w:themeFill="accent3"/>
          </w:tcPr>
          <w:p w:rsidR="00AA62CF" w:rsidRPr="00AA62CF" w:rsidRDefault="00AA62CF" w:rsidP="005D4859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</w:t>
            </w:r>
            <w:r w:rsidR="005D485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  <w:r w:rsidR="005D485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,6</w:t>
            </w:r>
            <w:r w:rsidR="005D485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</w:tbl>
    <w:p w:rsidR="003E1562" w:rsidRPr="00AA62CF" w:rsidRDefault="007463BE" w:rsidP="007463BE">
      <w:pPr>
        <w:pStyle w:val="TableFootnotes"/>
        <w:keepNext/>
        <w:numPr>
          <w:ilvl w:val="0"/>
          <w:numId w:val="15"/>
        </w:numPr>
        <w:ind w:left="284" w:hanging="284"/>
        <w:rPr>
          <w:sz w:val="18"/>
          <w:szCs w:val="18"/>
        </w:rPr>
      </w:pPr>
      <w:r w:rsidRPr="00AA62CF">
        <w:rPr>
          <w:sz w:val="18"/>
          <w:szCs w:val="18"/>
        </w:rPr>
        <w:t>A positive number indicates an increase in revenue or decrease in expenses or net capital investment in accrual and cash terms. A negative number indicates a decrease in revenue or an increase in expenses or net capital investment in accrual and cash terms.</w:t>
      </w:r>
    </w:p>
    <w:p w:rsidR="003E1562" w:rsidRPr="00AA62CF" w:rsidRDefault="003E1562" w:rsidP="003E1562">
      <w:pPr>
        <w:pStyle w:val="TableFootnotes"/>
        <w:keepNext/>
        <w:rPr>
          <w:sz w:val="18"/>
          <w:szCs w:val="18"/>
        </w:rPr>
      </w:pPr>
      <w:r w:rsidRPr="00AA62CF">
        <w:rPr>
          <w:sz w:val="18"/>
          <w:szCs w:val="18"/>
        </w:rPr>
        <w:t>Figures may not sum to totals due to rounding.</w:t>
      </w:r>
    </w:p>
    <w:p w:rsidR="002D239A" w:rsidRDefault="003E1562" w:rsidP="007C647D">
      <w:pPr>
        <w:pStyle w:val="TableFootnotes"/>
        <w:keepLines w:val="0"/>
        <w:numPr>
          <w:ilvl w:val="0"/>
          <w:numId w:val="11"/>
        </w:numPr>
        <w:ind w:left="284" w:hanging="284"/>
        <w:rPr>
          <w:sz w:val="18"/>
          <w:szCs w:val="18"/>
        </w:rPr>
      </w:pPr>
      <w:r w:rsidRPr="00AA62CF">
        <w:rPr>
          <w:sz w:val="18"/>
          <w:szCs w:val="18"/>
        </w:rPr>
        <w:t>Indicates nil.</w:t>
      </w:r>
    </w:p>
    <w:p w:rsidR="005837FF" w:rsidRDefault="005837FF" w:rsidP="005837FF">
      <w:pPr>
        <w:pStyle w:val="TableFootnotes"/>
        <w:keepLines w:val="0"/>
        <w:numPr>
          <w:ilvl w:val="0"/>
          <w:numId w:val="0"/>
        </w:numPr>
        <w:ind w:left="284" w:hanging="284"/>
        <w:rPr>
          <w:sz w:val="18"/>
          <w:szCs w:val="18"/>
        </w:rPr>
      </w:pPr>
    </w:p>
    <w:p w:rsidR="005837FF" w:rsidRDefault="005837FF" w:rsidP="005837FF">
      <w:pPr>
        <w:pStyle w:val="Caption"/>
        <w:keepLines/>
        <w:rPr>
          <w:vertAlign w:val="superscript"/>
        </w:rPr>
      </w:pPr>
      <w:r w:rsidRPr="002D239A">
        <w:lastRenderedPageBreak/>
        <w:t xml:space="preserve">Table </w:t>
      </w:r>
      <w:r w:rsidR="00931E05">
        <w:fldChar w:fldCharType="begin"/>
      </w:r>
      <w:r w:rsidR="00931E05">
        <w:instrText xml:space="preserve"> STYLEREF 8 \s </w:instrText>
      </w:r>
      <w:r w:rsidR="00931E05">
        <w:fldChar w:fldCharType="separate"/>
      </w:r>
      <w:r w:rsidR="006F1B39">
        <w:rPr>
          <w:noProof/>
        </w:rPr>
        <w:t>A</w:t>
      </w:r>
      <w:r w:rsidR="00931E05">
        <w:rPr>
          <w:noProof/>
        </w:rPr>
        <w:fldChar w:fldCharType="end"/>
      </w:r>
      <w:r>
        <w:t>2</w:t>
      </w:r>
      <w:r w:rsidRPr="002D239A">
        <w:t xml:space="preserve">: </w:t>
      </w:r>
      <w:r>
        <w:t>General spending cuts by component—</w:t>
      </w:r>
      <w:r w:rsidR="00B01A67">
        <w:t xml:space="preserve">Administered and departmental financial implications </w:t>
      </w:r>
      <w:r>
        <w:t>(outturn prices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72" w:type="pct"/>
        <w:tblLayout w:type="fixed"/>
        <w:tblLook w:val="0680" w:firstRow="0" w:lastRow="0" w:firstColumn="1" w:lastColumn="0" w:noHBand="1" w:noVBand="1"/>
      </w:tblPr>
      <w:tblGrid>
        <w:gridCol w:w="1802"/>
        <w:gridCol w:w="954"/>
        <w:gridCol w:w="960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099"/>
      </w:tblGrid>
      <w:tr w:rsidR="0040198A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"/>
              <w:ind w:left="-57" w:right="-57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($</w:t>
            </w:r>
            <w:r>
              <w:rPr>
                <w:sz w:val="18"/>
                <w:szCs w:val="18"/>
              </w:rPr>
              <w:t xml:space="preserve"> </w:t>
            </w:r>
            <w:r w:rsidRPr="00AA62C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illion</w:t>
            </w:r>
            <w:r w:rsidRPr="00AA62CF">
              <w:rPr>
                <w:sz w:val="18"/>
                <w:szCs w:val="18"/>
              </w:rPr>
              <w:t>)</w:t>
            </w:r>
          </w:p>
        </w:tc>
        <w:tc>
          <w:tcPr>
            <w:tcW w:w="331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2016–17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2017–18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2018–19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2019–20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Total to 2019–20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2020–21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2021–22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2022–23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2023–24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2024–25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2025–26</w:t>
            </w:r>
          </w:p>
        </w:tc>
        <w:tc>
          <w:tcPr>
            <w:tcW w:w="33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AA62CF">
              <w:rPr>
                <w:b w:val="0"/>
                <w:sz w:val="18"/>
                <w:szCs w:val="18"/>
              </w:rPr>
              <w:t>2026–27</w:t>
            </w:r>
          </w:p>
        </w:tc>
        <w:tc>
          <w:tcPr>
            <w:tcW w:w="383" w:type="pct"/>
            <w:tcBorders>
              <w:bottom w:val="single" w:sz="8" w:space="0" w:color="788184" w:themeColor="accent6"/>
            </w:tcBorders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Total to 2026–27</w:t>
            </w:r>
          </w:p>
        </w:tc>
      </w:tr>
      <w:tr w:rsidR="005837FF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E9ECF3"/>
            <w:vAlign w:val="center"/>
          </w:tcPr>
          <w:p w:rsidR="005837FF" w:rsidRPr="00AA62CF" w:rsidRDefault="005837FF" w:rsidP="00E718EA">
            <w:pPr>
              <w:pStyle w:val="TableHeadingRight"/>
              <w:ind w:left="-57" w:right="-57"/>
              <w:jc w:val="left"/>
              <w:rPr>
                <w:b/>
                <w:sz w:val="18"/>
                <w:szCs w:val="18"/>
              </w:rPr>
            </w:pPr>
            <w:r w:rsidRPr="00AA62CF">
              <w:rPr>
                <w:b/>
                <w:sz w:val="18"/>
                <w:szCs w:val="18"/>
              </w:rPr>
              <w:t>Impact on fiscal and underlying cash balances</w:t>
            </w:r>
          </w:p>
        </w:tc>
      </w:tr>
      <w:tr w:rsidR="0040198A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AA62CF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General public services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2,670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2,787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2,877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8,324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2,977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3,087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3,187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3,297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3,407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3,508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3,608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31,415</w:t>
            </w:r>
          </w:p>
        </w:tc>
      </w:tr>
      <w:tr w:rsidR="0040198A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AA62CF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Housing and community amenities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5,120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4,443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4,403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13,967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4,343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4,347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4,351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4,364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4,368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4,371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4,375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44,486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Recreation and culture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3,448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3,081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3,117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9,646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3,105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3,124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3,132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3,151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3,169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3,178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3,196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31,702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Fuel and energy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906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2,830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Agriculture, forestry and fishing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3,374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2,602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2,240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8,215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2,273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2,206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2,093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2,036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1,979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1,922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22,864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Mining, manufacture and construction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1,386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4,276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Transport and communication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10,191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5,972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4,775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20,938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4,769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4,751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4,743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4,724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4,716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4,698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4,690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54,029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Other economic affairs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3,350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3,473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3,485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10,317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3,538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3,561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3,594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3,627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3,659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3,692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3,725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35,724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Other purposes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66,920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70,370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73,500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210,790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76,900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80,200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83,470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86,820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90,100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93,410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96,720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818,410</w:t>
            </w:r>
          </w:p>
        </w:tc>
      </w:tr>
      <w:tr w:rsidR="00931B5D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:rsidR="0040198A" w:rsidRPr="0040198A" w:rsidRDefault="0040198A" w:rsidP="00E718EA">
            <w:pPr>
              <w:pStyle w:val="TableText"/>
              <w:keepNext/>
              <w:keepLines/>
              <w:ind w:left="-57" w:right="-57"/>
              <w:rPr>
                <w:b w:val="0"/>
                <w:sz w:val="18"/>
                <w:szCs w:val="18"/>
              </w:rPr>
            </w:pPr>
            <w:r w:rsidRPr="0040198A">
              <w:rPr>
                <w:b w:val="0"/>
                <w:sz w:val="18"/>
                <w:szCs w:val="18"/>
              </w:rPr>
              <w:t>Across categories</w:t>
            </w:r>
          </w:p>
        </w:tc>
        <w:tc>
          <w:tcPr>
            <w:tcW w:w="331" w:type="pct"/>
            <w:vAlign w:val="center"/>
          </w:tcPr>
          <w:p w:rsidR="0040198A" w:rsidRPr="00AA62CF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6,250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8,080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19,230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4,970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5,070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5,160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5,240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5,330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5,420</w:t>
            </w:r>
          </w:p>
        </w:tc>
        <w:tc>
          <w:tcPr>
            <w:tcW w:w="33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5,510</w:t>
            </w:r>
          </w:p>
        </w:tc>
        <w:tc>
          <w:tcPr>
            <w:tcW w:w="383" w:type="pct"/>
            <w:vAlign w:val="center"/>
          </w:tcPr>
          <w:p w:rsidR="0040198A" w:rsidRPr="0040198A" w:rsidRDefault="0040198A" w:rsidP="00931B5D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0198A">
              <w:rPr>
                <w:rFonts w:ascii="Calibri" w:hAnsi="Calibri"/>
                <w:bCs/>
                <w:color w:val="000000"/>
                <w:sz w:val="18"/>
                <w:szCs w:val="18"/>
              </w:rPr>
              <w:t>55,920</w:t>
            </w:r>
          </w:p>
        </w:tc>
      </w:tr>
      <w:tr w:rsidR="0040198A" w:rsidRPr="00AA62CF" w:rsidTr="00931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shd w:val="clear" w:color="auto" w:fill="D7DDE9" w:themeFill="accent3"/>
            <w:vAlign w:val="center"/>
          </w:tcPr>
          <w:p w:rsidR="005837FF" w:rsidRPr="00AA62CF" w:rsidRDefault="005837FF" w:rsidP="00E718EA">
            <w:pPr>
              <w:pStyle w:val="TableText"/>
              <w:keepNext/>
              <w:keepLines/>
              <w:ind w:left="-57" w:right="-57"/>
              <w:rPr>
                <w:sz w:val="18"/>
                <w:szCs w:val="18"/>
              </w:rPr>
            </w:pPr>
            <w:r w:rsidRPr="00AA62CF">
              <w:rPr>
                <w:sz w:val="18"/>
                <w:szCs w:val="18"/>
              </w:rPr>
              <w:t>Total</w:t>
            </w:r>
          </w:p>
        </w:tc>
        <w:tc>
          <w:tcPr>
            <w:tcW w:w="331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101,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99,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103,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54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120,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97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46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3" w:type="pct"/>
            <w:shd w:val="clear" w:color="auto" w:fill="D7DDE9" w:themeFill="accent3"/>
          </w:tcPr>
          <w:p w:rsidR="005837FF" w:rsidRPr="00AA62CF" w:rsidRDefault="005837FF" w:rsidP="00E718EA">
            <w:pPr>
              <w:spacing w:before="70" w:after="70"/>
              <w:ind w:left="57" w:right="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1,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  <w:r w:rsidRPr="00AA62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,6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57</w:t>
            </w:r>
          </w:p>
        </w:tc>
      </w:tr>
    </w:tbl>
    <w:p w:rsidR="005837FF" w:rsidRPr="005837FF" w:rsidRDefault="005837FF" w:rsidP="005837FF">
      <w:pPr>
        <w:pStyle w:val="TableFootnotes"/>
        <w:keepNext/>
        <w:numPr>
          <w:ilvl w:val="0"/>
          <w:numId w:val="18"/>
        </w:numPr>
        <w:ind w:left="284" w:hanging="284"/>
        <w:rPr>
          <w:sz w:val="18"/>
          <w:szCs w:val="18"/>
        </w:rPr>
      </w:pPr>
      <w:r w:rsidRPr="005837FF">
        <w:rPr>
          <w:sz w:val="18"/>
          <w:szCs w:val="18"/>
        </w:rPr>
        <w:t>A positive number indicates an increase in revenue or decrease in expenses or net capital investment in accrual and cash terms. A negative number indicates a decrease in revenue or an increase in expenses or net capital investment in accrual and cash terms.</w:t>
      </w:r>
    </w:p>
    <w:p w:rsidR="005837FF" w:rsidRPr="00AA62CF" w:rsidRDefault="005837FF" w:rsidP="005837FF">
      <w:pPr>
        <w:pStyle w:val="TableFootnotes"/>
        <w:keepNext/>
        <w:rPr>
          <w:sz w:val="18"/>
          <w:szCs w:val="18"/>
        </w:rPr>
      </w:pPr>
      <w:r w:rsidRPr="00AA62CF">
        <w:rPr>
          <w:sz w:val="18"/>
          <w:szCs w:val="18"/>
        </w:rPr>
        <w:t>Figures may not sum to totals due to rounding.</w:t>
      </w:r>
    </w:p>
    <w:p w:rsidR="005837FF" w:rsidRDefault="005837FF" w:rsidP="005837FF">
      <w:pPr>
        <w:pStyle w:val="TableFootnotes"/>
        <w:keepLines w:val="0"/>
        <w:numPr>
          <w:ilvl w:val="0"/>
          <w:numId w:val="11"/>
        </w:numPr>
        <w:ind w:left="284" w:hanging="284"/>
        <w:rPr>
          <w:sz w:val="18"/>
          <w:szCs w:val="18"/>
        </w:rPr>
      </w:pPr>
      <w:r w:rsidRPr="00AA62CF">
        <w:rPr>
          <w:sz w:val="18"/>
          <w:szCs w:val="18"/>
        </w:rPr>
        <w:t>Indicates nil.</w:t>
      </w:r>
    </w:p>
    <w:sectPr w:rsidR="005837FF" w:rsidSect="001E33C2">
      <w:pgSz w:w="16839" w:h="11907" w:orient="landscape" w:code="9"/>
      <w:pgMar w:top="1797" w:right="1361" w:bottom="1797" w:left="147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17" w:rsidRDefault="00967517" w:rsidP="00A20802">
      <w:pPr>
        <w:spacing w:line="240" w:lineRule="auto"/>
      </w:pPr>
      <w:r>
        <w:separator/>
      </w:r>
    </w:p>
    <w:p w:rsidR="00967517" w:rsidRDefault="00967517"/>
  </w:endnote>
  <w:endnote w:type="continuationSeparator" w:id="0">
    <w:p w:rsidR="00967517" w:rsidRDefault="00967517" w:rsidP="00A20802">
      <w:pPr>
        <w:spacing w:line="240" w:lineRule="auto"/>
      </w:pPr>
      <w:r>
        <w:continuationSeparator/>
      </w:r>
    </w:p>
    <w:p w:rsidR="00967517" w:rsidRDefault="00967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3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967517" w:rsidRPr="00EB388E" w:rsidTr="002D239A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967517" w:rsidRPr="00CB70DF" w:rsidRDefault="00967517" w:rsidP="002D239A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6F1B39">
            <w:rPr>
              <w:noProof/>
            </w:rPr>
            <w:t>7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967517" w:rsidRPr="00CB70DF" w:rsidRDefault="005C4C96" w:rsidP="002D239A">
          <w:pPr>
            <w:pStyle w:val="FooterLeft"/>
            <w:framePr w:wrap="auto" w:vAnchor="margin" w:hAnchor="text" w:yAlign="inline"/>
          </w:pPr>
          <w:fldSimple w:instr=" STYLEREF  Title  \* MERGEFORMAT ">
            <w:r w:rsidR="006F1B39">
              <w:rPr>
                <w:noProof/>
              </w:rPr>
              <w:t>Policy costing—outside the caretaker period</w:t>
            </w:r>
          </w:fldSimple>
        </w:p>
      </w:tc>
    </w:tr>
    <w:tr w:rsidR="00967517" w:rsidRPr="00EB388E" w:rsidTr="002D239A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967517" w:rsidRPr="00EB388E" w:rsidRDefault="00967517" w:rsidP="002D239A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967517" w:rsidRPr="00090E70" w:rsidRDefault="00967517" w:rsidP="002D239A"/>
      </w:tc>
    </w:tr>
  </w:tbl>
  <w:p w:rsidR="00967517" w:rsidRDefault="00967517">
    <w:pPr>
      <w:pStyle w:val="Footer"/>
    </w:pPr>
  </w:p>
  <w:p w:rsidR="00967517" w:rsidRPr="004816D7" w:rsidRDefault="00967517" w:rsidP="005600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96" w:rsidRDefault="005C4C96" w:rsidP="00270F01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931E05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>
      <w:rPr>
        <w:rStyle w:val="FooterChar"/>
        <w:b/>
      </w:rPr>
      <w:t>6</w:t>
    </w:r>
  </w:p>
  <w:p w:rsidR="005C4C96" w:rsidRPr="00931E05" w:rsidRDefault="005C4C96" w:rsidP="00270F01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931E05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01" w:rsidRDefault="00270F01" w:rsidP="00270F01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931E05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DA5CB1">
      <w:rPr>
        <w:rStyle w:val="FooterChar"/>
        <w:b/>
      </w:rPr>
      <w:t>6</w:t>
    </w:r>
  </w:p>
  <w:p w:rsidR="00967517" w:rsidRPr="00931E05" w:rsidRDefault="00270F01" w:rsidP="00270F01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931E05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17" w:rsidRPr="000557A7" w:rsidRDefault="00967517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967517" w:rsidRDefault="00967517" w:rsidP="00A20802">
      <w:pPr>
        <w:spacing w:line="240" w:lineRule="auto"/>
      </w:pPr>
      <w:r>
        <w:continuationSeparator/>
      </w:r>
    </w:p>
    <w:p w:rsidR="00967517" w:rsidRDefault="009675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17" w:rsidRDefault="0096751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2C20BBB3" wp14:editId="7ECD82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517" w:rsidRPr="0001226A" w:rsidRDefault="00967517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  <w:r w:rsidRPr="0001226A">
                            <w:rPr>
                              <w:szCs w:val="120"/>
                            </w:rPr>
                            <w:fldChar w:fldCharType="begin"/>
                          </w:r>
                          <w:r w:rsidRPr="0001226A">
                            <w:rPr>
                              <w:szCs w:val="120"/>
                            </w:rPr>
                            <w:instrText xml:space="preserve"> DOCPROPERTY  xStatus  \* MERGEFORMAT </w:instrText>
                          </w:r>
                          <w:r w:rsidRPr="0001226A">
                            <w:rPr>
                              <w:szCs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95.3pt;height:141.45pt;z-index:-251623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E9cIKO6AgAA&#10;xAUAAA4AAAAAAAAAAAAAAAAALgIAAGRycy9lMm9Eb2MueG1sUEsBAi0AFAAGAAgAAAAhADTFRM7b&#10;AAAABgEAAA8AAAAAAAAAAAAAAAAAFAUAAGRycy9kb3ducmV2LnhtbFBLBQYAAAAABAAEAPMAAAAc&#10;BgAAAAA=&#10;" filled="f" stroked="f">
              <v:textbox>
                <w:txbxContent>
                  <w:p w:rsidR="00967517" w:rsidRPr="0001226A" w:rsidRDefault="00967517" w:rsidP="00F45442">
                    <w:pPr>
                      <w:pStyle w:val="xStatus"/>
                      <w:rPr>
                        <w:szCs w:val="120"/>
                      </w:rPr>
                    </w:pPr>
                    <w:r w:rsidRPr="0001226A">
                      <w:rPr>
                        <w:szCs w:val="120"/>
                      </w:rPr>
                      <w:fldChar w:fldCharType="begin"/>
                    </w:r>
                    <w:r w:rsidRPr="0001226A">
                      <w:rPr>
                        <w:szCs w:val="120"/>
                      </w:rPr>
                      <w:instrText xml:space="preserve"> DOCPROPERTY  xStatus  \* MERGEFORMAT </w:instrText>
                    </w:r>
                    <w:r w:rsidRPr="0001226A">
                      <w:rPr>
                        <w:szCs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96" w:rsidRPr="00931E05" w:rsidRDefault="005C4C96" w:rsidP="00270F01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931E05">
      <w:rPr>
        <w:rFonts w:ascii="Calibri" w:hAnsi="Calibri"/>
        <w:b/>
        <w:strike/>
        <w:color w:val="FF0000"/>
        <w:sz w:val="40"/>
        <w:szCs w:val="40"/>
      </w:rPr>
      <w:t>Sensitive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01" w:rsidRPr="00931E05" w:rsidRDefault="00270F01" w:rsidP="00270F01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931E05">
      <w:rPr>
        <w:rFonts w:ascii="Calibri" w:hAnsi="Calibri"/>
        <w:b/>
        <w:strike/>
        <w:color w:val="FF0000"/>
        <w:sz w:val="40"/>
        <w:szCs w:val="40"/>
      </w:rPr>
      <w:t>Sensitive</w:t>
    </w:r>
  </w:p>
  <w:p w:rsidR="00967517" w:rsidRPr="00270F01" w:rsidRDefault="00270F01" w:rsidP="00270F01">
    <w:pPr>
      <w:pStyle w:val="Header"/>
    </w:pPr>
    <w:r>
      <w:rPr>
        <w:noProof/>
        <w:lang w:eastAsia="en-AU"/>
      </w:rPr>
      <w:drawing>
        <wp:inline distT="0" distB="0" distL="0" distR="0" wp14:anchorId="6B274CEE" wp14:editId="5DBF3833">
          <wp:extent cx="2696845" cy="572135"/>
          <wp:effectExtent l="0" t="0" r="8255" b="0"/>
          <wp:docPr id="2" name="Picture 2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7FE"/>
    <w:multiLevelType w:val="multilevel"/>
    <w:tmpl w:val="D1A2BED4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>
    <w:nsid w:val="0D745448"/>
    <w:multiLevelType w:val="multilevel"/>
    <w:tmpl w:val="CE3A3256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2">
    <w:nsid w:val="0FB2573F"/>
    <w:multiLevelType w:val="multilevel"/>
    <w:tmpl w:val="1CBA6D76"/>
    <w:name w:val="TableFootnotes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18"/>
        <w:szCs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>
    <w:nsid w:val="143E4500"/>
    <w:multiLevelType w:val="hybridMultilevel"/>
    <w:tmpl w:val="B4E66CBA"/>
    <w:lvl w:ilvl="0" w:tplc="E2264CA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9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1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>
    <w:nsid w:val="7FFB11CC"/>
    <w:multiLevelType w:val="hybridMultilevel"/>
    <w:tmpl w:val="3B048EEA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B329A5"/>
    <w:rsid w:val="0000071C"/>
    <w:rsid w:val="0000322C"/>
    <w:rsid w:val="00003CDD"/>
    <w:rsid w:val="0001406F"/>
    <w:rsid w:val="000168A7"/>
    <w:rsid w:val="00016D53"/>
    <w:rsid w:val="000278D0"/>
    <w:rsid w:val="00027E62"/>
    <w:rsid w:val="000307C8"/>
    <w:rsid w:val="00030F73"/>
    <w:rsid w:val="00035ADE"/>
    <w:rsid w:val="00036BAC"/>
    <w:rsid w:val="0004224B"/>
    <w:rsid w:val="000442D7"/>
    <w:rsid w:val="00046226"/>
    <w:rsid w:val="00051293"/>
    <w:rsid w:val="0005330D"/>
    <w:rsid w:val="00054344"/>
    <w:rsid w:val="000557A7"/>
    <w:rsid w:val="00055805"/>
    <w:rsid w:val="00056CB3"/>
    <w:rsid w:val="00066D54"/>
    <w:rsid w:val="00067A28"/>
    <w:rsid w:val="0007260F"/>
    <w:rsid w:val="00077820"/>
    <w:rsid w:val="000805D5"/>
    <w:rsid w:val="0008103B"/>
    <w:rsid w:val="00085F97"/>
    <w:rsid w:val="00092A33"/>
    <w:rsid w:val="000973F9"/>
    <w:rsid w:val="000A2FEC"/>
    <w:rsid w:val="000A348F"/>
    <w:rsid w:val="000B6942"/>
    <w:rsid w:val="000C09FA"/>
    <w:rsid w:val="000C37A9"/>
    <w:rsid w:val="000C6728"/>
    <w:rsid w:val="000C702E"/>
    <w:rsid w:val="000D15E9"/>
    <w:rsid w:val="000D3182"/>
    <w:rsid w:val="000D45C4"/>
    <w:rsid w:val="000E18F3"/>
    <w:rsid w:val="000E266E"/>
    <w:rsid w:val="000F1515"/>
    <w:rsid w:val="000F16B5"/>
    <w:rsid w:val="000F616E"/>
    <w:rsid w:val="00110D43"/>
    <w:rsid w:val="001159EA"/>
    <w:rsid w:val="00120A75"/>
    <w:rsid w:val="00125410"/>
    <w:rsid w:val="00130858"/>
    <w:rsid w:val="00136C26"/>
    <w:rsid w:val="0014059F"/>
    <w:rsid w:val="00141551"/>
    <w:rsid w:val="001417CE"/>
    <w:rsid w:val="0014479F"/>
    <w:rsid w:val="00146CCE"/>
    <w:rsid w:val="00146EAD"/>
    <w:rsid w:val="00154DC5"/>
    <w:rsid w:val="00160820"/>
    <w:rsid w:val="00160C8D"/>
    <w:rsid w:val="001629C0"/>
    <w:rsid w:val="00165122"/>
    <w:rsid w:val="00165854"/>
    <w:rsid w:val="001738DB"/>
    <w:rsid w:val="00173DFD"/>
    <w:rsid w:val="00180FF9"/>
    <w:rsid w:val="00195228"/>
    <w:rsid w:val="00195696"/>
    <w:rsid w:val="00196532"/>
    <w:rsid w:val="001A1EFC"/>
    <w:rsid w:val="001A48EF"/>
    <w:rsid w:val="001A49CC"/>
    <w:rsid w:val="001A5553"/>
    <w:rsid w:val="001A716E"/>
    <w:rsid w:val="001B2C65"/>
    <w:rsid w:val="001B4255"/>
    <w:rsid w:val="001B7058"/>
    <w:rsid w:val="001C1757"/>
    <w:rsid w:val="001C3A4F"/>
    <w:rsid w:val="001C4121"/>
    <w:rsid w:val="001C48DE"/>
    <w:rsid w:val="001D30C1"/>
    <w:rsid w:val="001D52E3"/>
    <w:rsid w:val="001D576F"/>
    <w:rsid w:val="001D7C29"/>
    <w:rsid w:val="001E0475"/>
    <w:rsid w:val="001E33C2"/>
    <w:rsid w:val="001F5C90"/>
    <w:rsid w:val="001F767C"/>
    <w:rsid w:val="00203329"/>
    <w:rsid w:val="00210FCF"/>
    <w:rsid w:val="00222EFF"/>
    <w:rsid w:val="002240D5"/>
    <w:rsid w:val="002261A7"/>
    <w:rsid w:val="00226AEC"/>
    <w:rsid w:val="002545F3"/>
    <w:rsid w:val="0026344F"/>
    <w:rsid w:val="00266A17"/>
    <w:rsid w:val="00270372"/>
    <w:rsid w:val="00270F01"/>
    <w:rsid w:val="00275534"/>
    <w:rsid w:val="00277075"/>
    <w:rsid w:val="002775D2"/>
    <w:rsid w:val="00281ADD"/>
    <w:rsid w:val="0028563E"/>
    <w:rsid w:val="00293E0D"/>
    <w:rsid w:val="00293E80"/>
    <w:rsid w:val="002973B0"/>
    <w:rsid w:val="00297C14"/>
    <w:rsid w:val="002A220F"/>
    <w:rsid w:val="002A24F1"/>
    <w:rsid w:val="002A5778"/>
    <w:rsid w:val="002A6E3B"/>
    <w:rsid w:val="002B1E84"/>
    <w:rsid w:val="002B2085"/>
    <w:rsid w:val="002B3EC4"/>
    <w:rsid w:val="002C37D5"/>
    <w:rsid w:val="002C4DA6"/>
    <w:rsid w:val="002D239A"/>
    <w:rsid w:val="002D34DB"/>
    <w:rsid w:val="002D4B11"/>
    <w:rsid w:val="002E5633"/>
    <w:rsid w:val="002F1963"/>
    <w:rsid w:val="002F5B6E"/>
    <w:rsid w:val="002F61B5"/>
    <w:rsid w:val="00300066"/>
    <w:rsid w:val="0030209B"/>
    <w:rsid w:val="003127E4"/>
    <w:rsid w:val="00313215"/>
    <w:rsid w:val="003174C3"/>
    <w:rsid w:val="0032557A"/>
    <w:rsid w:val="00326322"/>
    <w:rsid w:val="00340778"/>
    <w:rsid w:val="00344D2C"/>
    <w:rsid w:val="003458CE"/>
    <w:rsid w:val="00345A57"/>
    <w:rsid w:val="00346D90"/>
    <w:rsid w:val="00351F62"/>
    <w:rsid w:val="003601F4"/>
    <w:rsid w:val="003671E2"/>
    <w:rsid w:val="00372AE6"/>
    <w:rsid w:val="00376C3A"/>
    <w:rsid w:val="003837E1"/>
    <w:rsid w:val="0038584D"/>
    <w:rsid w:val="00386019"/>
    <w:rsid w:val="0039257F"/>
    <w:rsid w:val="003931DE"/>
    <w:rsid w:val="00397D1A"/>
    <w:rsid w:val="003A163C"/>
    <w:rsid w:val="003A2B4E"/>
    <w:rsid w:val="003A2FBB"/>
    <w:rsid w:val="003A3799"/>
    <w:rsid w:val="003A4913"/>
    <w:rsid w:val="003A54A9"/>
    <w:rsid w:val="003A555D"/>
    <w:rsid w:val="003A7083"/>
    <w:rsid w:val="003B3103"/>
    <w:rsid w:val="003B38B3"/>
    <w:rsid w:val="003B3A97"/>
    <w:rsid w:val="003B3D44"/>
    <w:rsid w:val="003B47BC"/>
    <w:rsid w:val="003C00F5"/>
    <w:rsid w:val="003C5EF4"/>
    <w:rsid w:val="003C6BB5"/>
    <w:rsid w:val="003C7CC2"/>
    <w:rsid w:val="003D46A6"/>
    <w:rsid w:val="003D50B6"/>
    <w:rsid w:val="003E05DF"/>
    <w:rsid w:val="003E1562"/>
    <w:rsid w:val="003E6085"/>
    <w:rsid w:val="003E6CA3"/>
    <w:rsid w:val="003F4C96"/>
    <w:rsid w:val="0040198A"/>
    <w:rsid w:val="00401C49"/>
    <w:rsid w:val="00406002"/>
    <w:rsid w:val="00406AD3"/>
    <w:rsid w:val="00412E42"/>
    <w:rsid w:val="00423DC5"/>
    <w:rsid w:val="00425C05"/>
    <w:rsid w:val="00426356"/>
    <w:rsid w:val="00426929"/>
    <w:rsid w:val="00434B55"/>
    <w:rsid w:val="00442C16"/>
    <w:rsid w:val="00445410"/>
    <w:rsid w:val="00446439"/>
    <w:rsid w:val="00450BDA"/>
    <w:rsid w:val="00453A3E"/>
    <w:rsid w:val="0045452F"/>
    <w:rsid w:val="0045766B"/>
    <w:rsid w:val="0046444F"/>
    <w:rsid w:val="00474BB7"/>
    <w:rsid w:val="00476133"/>
    <w:rsid w:val="004816D7"/>
    <w:rsid w:val="0048342E"/>
    <w:rsid w:val="00487478"/>
    <w:rsid w:val="0048782D"/>
    <w:rsid w:val="00494DC1"/>
    <w:rsid w:val="004A3F56"/>
    <w:rsid w:val="004A5E21"/>
    <w:rsid w:val="004A666A"/>
    <w:rsid w:val="004B143F"/>
    <w:rsid w:val="004B3022"/>
    <w:rsid w:val="004B3BFF"/>
    <w:rsid w:val="004B49A0"/>
    <w:rsid w:val="004C6306"/>
    <w:rsid w:val="004C6F5E"/>
    <w:rsid w:val="004C7E94"/>
    <w:rsid w:val="004D7CF8"/>
    <w:rsid w:val="004D7EDA"/>
    <w:rsid w:val="004E0E49"/>
    <w:rsid w:val="004E1181"/>
    <w:rsid w:val="004E197A"/>
    <w:rsid w:val="004E5D52"/>
    <w:rsid w:val="004F07D7"/>
    <w:rsid w:val="004F1297"/>
    <w:rsid w:val="004F16DB"/>
    <w:rsid w:val="004F4D7E"/>
    <w:rsid w:val="004F5B16"/>
    <w:rsid w:val="004F5D9D"/>
    <w:rsid w:val="004F68E5"/>
    <w:rsid w:val="004F7037"/>
    <w:rsid w:val="004F741B"/>
    <w:rsid w:val="00503253"/>
    <w:rsid w:val="00503BB0"/>
    <w:rsid w:val="00503E03"/>
    <w:rsid w:val="00512226"/>
    <w:rsid w:val="005147C6"/>
    <w:rsid w:val="005159B1"/>
    <w:rsid w:val="00522502"/>
    <w:rsid w:val="005255A1"/>
    <w:rsid w:val="00525825"/>
    <w:rsid w:val="0052641C"/>
    <w:rsid w:val="0053795D"/>
    <w:rsid w:val="005414B4"/>
    <w:rsid w:val="00544522"/>
    <w:rsid w:val="005468AB"/>
    <w:rsid w:val="005501A0"/>
    <w:rsid w:val="00550831"/>
    <w:rsid w:val="00554273"/>
    <w:rsid w:val="0056001A"/>
    <w:rsid w:val="005642B6"/>
    <w:rsid w:val="00571D5E"/>
    <w:rsid w:val="005823D0"/>
    <w:rsid w:val="005835D5"/>
    <w:rsid w:val="005837FF"/>
    <w:rsid w:val="005A2748"/>
    <w:rsid w:val="005A443F"/>
    <w:rsid w:val="005A7C26"/>
    <w:rsid w:val="005B0970"/>
    <w:rsid w:val="005B58D4"/>
    <w:rsid w:val="005C07B3"/>
    <w:rsid w:val="005C284E"/>
    <w:rsid w:val="005C47D4"/>
    <w:rsid w:val="005C4C96"/>
    <w:rsid w:val="005D0F54"/>
    <w:rsid w:val="005D4859"/>
    <w:rsid w:val="005D51D0"/>
    <w:rsid w:val="005D6F83"/>
    <w:rsid w:val="005D7877"/>
    <w:rsid w:val="005D7CCF"/>
    <w:rsid w:val="005E04CF"/>
    <w:rsid w:val="005E58C4"/>
    <w:rsid w:val="005E5D8F"/>
    <w:rsid w:val="005F5A5C"/>
    <w:rsid w:val="005F5CD9"/>
    <w:rsid w:val="0061135C"/>
    <w:rsid w:val="006136DD"/>
    <w:rsid w:val="006149F0"/>
    <w:rsid w:val="006220A5"/>
    <w:rsid w:val="00622D86"/>
    <w:rsid w:val="00624AC8"/>
    <w:rsid w:val="00633812"/>
    <w:rsid w:val="00633C60"/>
    <w:rsid w:val="0064126D"/>
    <w:rsid w:val="006451B8"/>
    <w:rsid w:val="006455A3"/>
    <w:rsid w:val="00645722"/>
    <w:rsid w:val="00652432"/>
    <w:rsid w:val="00657840"/>
    <w:rsid w:val="0066003C"/>
    <w:rsid w:val="0066041E"/>
    <w:rsid w:val="00673CCC"/>
    <w:rsid w:val="00675C98"/>
    <w:rsid w:val="0069026B"/>
    <w:rsid w:val="006956EA"/>
    <w:rsid w:val="006A490C"/>
    <w:rsid w:val="006B263E"/>
    <w:rsid w:val="006B4F7D"/>
    <w:rsid w:val="006C114C"/>
    <w:rsid w:val="006C29D3"/>
    <w:rsid w:val="006C3668"/>
    <w:rsid w:val="006C3864"/>
    <w:rsid w:val="006C5383"/>
    <w:rsid w:val="006C5E72"/>
    <w:rsid w:val="006D2AEC"/>
    <w:rsid w:val="006D4C8E"/>
    <w:rsid w:val="006E19D1"/>
    <w:rsid w:val="006E1CBB"/>
    <w:rsid w:val="006F100B"/>
    <w:rsid w:val="006F1B39"/>
    <w:rsid w:val="006F239A"/>
    <w:rsid w:val="006F2C9D"/>
    <w:rsid w:val="006F6B51"/>
    <w:rsid w:val="0070637D"/>
    <w:rsid w:val="007071DD"/>
    <w:rsid w:val="0070771F"/>
    <w:rsid w:val="00712A14"/>
    <w:rsid w:val="00716C04"/>
    <w:rsid w:val="00717180"/>
    <w:rsid w:val="007179D2"/>
    <w:rsid w:val="00720750"/>
    <w:rsid w:val="0072549C"/>
    <w:rsid w:val="00725A80"/>
    <w:rsid w:val="00733970"/>
    <w:rsid w:val="00741D0B"/>
    <w:rsid w:val="00743964"/>
    <w:rsid w:val="007463BE"/>
    <w:rsid w:val="00754C58"/>
    <w:rsid w:val="00776542"/>
    <w:rsid w:val="00776E78"/>
    <w:rsid w:val="0078138A"/>
    <w:rsid w:val="00783014"/>
    <w:rsid w:val="007834DC"/>
    <w:rsid w:val="007959D8"/>
    <w:rsid w:val="0079630F"/>
    <w:rsid w:val="007A04C2"/>
    <w:rsid w:val="007B146A"/>
    <w:rsid w:val="007B57C9"/>
    <w:rsid w:val="007C0E7C"/>
    <w:rsid w:val="007C0EAA"/>
    <w:rsid w:val="007C19C3"/>
    <w:rsid w:val="007C44B2"/>
    <w:rsid w:val="007C647D"/>
    <w:rsid w:val="007C6496"/>
    <w:rsid w:val="007C745E"/>
    <w:rsid w:val="007D0ABE"/>
    <w:rsid w:val="007E356F"/>
    <w:rsid w:val="007E3F8C"/>
    <w:rsid w:val="007F2058"/>
    <w:rsid w:val="007F7685"/>
    <w:rsid w:val="0080011D"/>
    <w:rsid w:val="00800EA5"/>
    <w:rsid w:val="00801C01"/>
    <w:rsid w:val="008112CC"/>
    <w:rsid w:val="008130BB"/>
    <w:rsid w:val="0081332B"/>
    <w:rsid w:val="00817406"/>
    <w:rsid w:val="008237FA"/>
    <w:rsid w:val="00825D37"/>
    <w:rsid w:val="008369B0"/>
    <w:rsid w:val="008372D1"/>
    <w:rsid w:val="0085732C"/>
    <w:rsid w:val="00860B45"/>
    <w:rsid w:val="00863860"/>
    <w:rsid w:val="008638B5"/>
    <w:rsid w:val="00864210"/>
    <w:rsid w:val="008734DB"/>
    <w:rsid w:val="0087390B"/>
    <w:rsid w:val="008745A1"/>
    <w:rsid w:val="008768E9"/>
    <w:rsid w:val="0087751B"/>
    <w:rsid w:val="00890995"/>
    <w:rsid w:val="008914FB"/>
    <w:rsid w:val="0089737A"/>
    <w:rsid w:val="00897E99"/>
    <w:rsid w:val="008A0DFC"/>
    <w:rsid w:val="008A4829"/>
    <w:rsid w:val="008B2384"/>
    <w:rsid w:val="008B38D6"/>
    <w:rsid w:val="008B4802"/>
    <w:rsid w:val="008B69E3"/>
    <w:rsid w:val="008C1FD1"/>
    <w:rsid w:val="008C24A8"/>
    <w:rsid w:val="008C35EF"/>
    <w:rsid w:val="008C5063"/>
    <w:rsid w:val="008C5996"/>
    <w:rsid w:val="008D5A11"/>
    <w:rsid w:val="008D5E23"/>
    <w:rsid w:val="008D77AF"/>
    <w:rsid w:val="008E3F80"/>
    <w:rsid w:val="008E51FE"/>
    <w:rsid w:val="008E6D59"/>
    <w:rsid w:val="008F30C7"/>
    <w:rsid w:val="008F5D66"/>
    <w:rsid w:val="009028AA"/>
    <w:rsid w:val="00903E3F"/>
    <w:rsid w:val="009049C3"/>
    <w:rsid w:val="0090522F"/>
    <w:rsid w:val="009057D9"/>
    <w:rsid w:val="0090774A"/>
    <w:rsid w:val="00910D07"/>
    <w:rsid w:val="00914B2F"/>
    <w:rsid w:val="009150E6"/>
    <w:rsid w:val="00917F89"/>
    <w:rsid w:val="009255EE"/>
    <w:rsid w:val="00925603"/>
    <w:rsid w:val="00925F76"/>
    <w:rsid w:val="00931B5D"/>
    <w:rsid w:val="00931E05"/>
    <w:rsid w:val="00932E89"/>
    <w:rsid w:val="0093359D"/>
    <w:rsid w:val="00933F2B"/>
    <w:rsid w:val="00935B56"/>
    <w:rsid w:val="00942EEB"/>
    <w:rsid w:val="0094468E"/>
    <w:rsid w:val="00945261"/>
    <w:rsid w:val="009506A5"/>
    <w:rsid w:val="009541CC"/>
    <w:rsid w:val="00956564"/>
    <w:rsid w:val="009567A6"/>
    <w:rsid w:val="00956D5A"/>
    <w:rsid w:val="00961B2C"/>
    <w:rsid w:val="00961DBB"/>
    <w:rsid w:val="0096618E"/>
    <w:rsid w:val="00967517"/>
    <w:rsid w:val="00981433"/>
    <w:rsid w:val="0098222F"/>
    <w:rsid w:val="00985C07"/>
    <w:rsid w:val="00986BBA"/>
    <w:rsid w:val="00995B4F"/>
    <w:rsid w:val="00997582"/>
    <w:rsid w:val="009A2C21"/>
    <w:rsid w:val="009A3E58"/>
    <w:rsid w:val="009A5F02"/>
    <w:rsid w:val="009A7AB1"/>
    <w:rsid w:val="009C6DAA"/>
    <w:rsid w:val="009D0E74"/>
    <w:rsid w:val="009D1A96"/>
    <w:rsid w:val="009D370B"/>
    <w:rsid w:val="009E2087"/>
    <w:rsid w:val="009E252B"/>
    <w:rsid w:val="009E3265"/>
    <w:rsid w:val="009E3353"/>
    <w:rsid w:val="009E446D"/>
    <w:rsid w:val="009E7C09"/>
    <w:rsid w:val="009F146D"/>
    <w:rsid w:val="009F4F1E"/>
    <w:rsid w:val="00A015E4"/>
    <w:rsid w:val="00A075BC"/>
    <w:rsid w:val="00A11222"/>
    <w:rsid w:val="00A12C39"/>
    <w:rsid w:val="00A134FB"/>
    <w:rsid w:val="00A20802"/>
    <w:rsid w:val="00A239B5"/>
    <w:rsid w:val="00A25B4F"/>
    <w:rsid w:val="00A27E8B"/>
    <w:rsid w:val="00A442BF"/>
    <w:rsid w:val="00A517D0"/>
    <w:rsid w:val="00A53716"/>
    <w:rsid w:val="00A5629E"/>
    <w:rsid w:val="00A64832"/>
    <w:rsid w:val="00A732DB"/>
    <w:rsid w:val="00A73ED4"/>
    <w:rsid w:val="00A81E19"/>
    <w:rsid w:val="00A838D2"/>
    <w:rsid w:val="00A86F04"/>
    <w:rsid w:val="00A946C4"/>
    <w:rsid w:val="00AA62CF"/>
    <w:rsid w:val="00AB2001"/>
    <w:rsid w:val="00AB35BE"/>
    <w:rsid w:val="00AC01F8"/>
    <w:rsid w:val="00AC059A"/>
    <w:rsid w:val="00AC41CF"/>
    <w:rsid w:val="00AD0308"/>
    <w:rsid w:val="00AD377A"/>
    <w:rsid w:val="00AD67BB"/>
    <w:rsid w:val="00AE1CC1"/>
    <w:rsid w:val="00AE3EA4"/>
    <w:rsid w:val="00AF1B02"/>
    <w:rsid w:val="00AF41E4"/>
    <w:rsid w:val="00AF568A"/>
    <w:rsid w:val="00B01A67"/>
    <w:rsid w:val="00B06A75"/>
    <w:rsid w:val="00B06BC3"/>
    <w:rsid w:val="00B15A0F"/>
    <w:rsid w:val="00B20236"/>
    <w:rsid w:val="00B20937"/>
    <w:rsid w:val="00B220A0"/>
    <w:rsid w:val="00B22B64"/>
    <w:rsid w:val="00B22FEA"/>
    <w:rsid w:val="00B24321"/>
    <w:rsid w:val="00B30FEB"/>
    <w:rsid w:val="00B311BA"/>
    <w:rsid w:val="00B329A5"/>
    <w:rsid w:val="00B35B47"/>
    <w:rsid w:val="00B40AA3"/>
    <w:rsid w:val="00B43969"/>
    <w:rsid w:val="00B44478"/>
    <w:rsid w:val="00B4609C"/>
    <w:rsid w:val="00B6002C"/>
    <w:rsid w:val="00B620EE"/>
    <w:rsid w:val="00B85366"/>
    <w:rsid w:val="00B87F60"/>
    <w:rsid w:val="00B93D3D"/>
    <w:rsid w:val="00BA471F"/>
    <w:rsid w:val="00BB5013"/>
    <w:rsid w:val="00BB528E"/>
    <w:rsid w:val="00BB615A"/>
    <w:rsid w:val="00BC2600"/>
    <w:rsid w:val="00BC36F0"/>
    <w:rsid w:val="00BC3E99"/>
    <w:rsid w:val="00BC4FA7"/>
    <w:rsid w:val="00BC5E30"/>
    <w:rsid w:val="00BC642C"/>
    <w:rsid w:val="00BD02C5"/>
    <w:rsid w:val="00BD068D"/>
    <w:rsid w:val="00BE0D9A"/>
    <w:rsid w:val="00BE1A50"/>
    <w:rsid w:val="00BE2F0D"/>
    <w:rsid w:val="00BF0BD5"/>
    <w:rsid w:val="00BF55F8"/>
    <w:rsid w:val="00C051FD"/>
    <w:rsid w:val="00C2089F"/>
    <w:rsid w:val="00C20C7D"/>
    <w:rsid w:val="00C20DEF"/>
    <w:rsid w:val="00C24B25"/>
    <w:rsid w:val="00C24E89"/>
    <w:rsid w:val="00C32C2F"/>
    <w:rsid w:val="00C3738A"/>
    <w:rsid w:val="00C4119B"/>
    <w:rsid w:val="00C4315A"/>
    <w:rsid w:val="00C43F5E"/>
    <w:rsid w:val="00C44074"/>
    <w:rsid w:val="00C4651F"/>
    <w:rsid w:val="00C51D0B"/>
    <w:rsid w:val="00C52207"/>
    <w:rsid w:val="00C52A50"/>
    <w:rsid w:val="00C642D4"/>
    <w:rsid w:val="00C730F4"/>
    <w:rsid w:val="00C80200"/>
    <w:rsid w:val="00C80E0A"/>
    <w:rsid w:val="00C8270B"/>
    <w:rsid w:val="00C841A9"/>
    <w:rsid w:val="00C8728F"/>
    <w:rsid w:val="00C97FBC"/>
    <w:rsid w:val="00CA06C8"/>
    <w:rsid w:val="00CA0B7E"/>
    <w:rsid w:val="00CA4C28"/>
    <w:rsid w:val="00CA5598"/>
    <w:rsid w:val="00CA5EF8"/>
    <w:rsid w:val="00CB28A3"/>
    <w:rsid w:val="00CC00A0"/>
    <w:rsid w:val="00CC0FED"/>
    <w:rsid w:val="00CC3C34"/>
    <w:rsid w:val="00CC5455"/>
    <w:rsid w:val="00CC6C06"/>
    <w:rsid w:val="00CD10DA"/>
    <w:rsid w:val="00CD1526"/>
    <w:rsid w:val="00CD5509"/>
    <w:rsid w:val="00CE1EB0"/>
    <w:rsid w:val="00CE3DF2"/>
    <w:rsid w:val="00CF0C0F"/>
    <w:rsid w:val="00CF1690"/>
    <w:rsid w:val="00CF1F2A"/>
    <w:rsid w:val="00CF5CE3"/>
    <w:rsid w:val="00CF7412"/>
    <w:rsid w:val="00D030F8"/>
    <w:rsid w:val="00D077B7"/>
    <w:rsid w:val="00D20297"/>
    <w:rsid w:val="00D21E6B"/>
    <w:rsid w:val="00D2336A"/>
    <w:rsid w:val="00D23634"/>
    <w:rsid w:val="00D34551"/>
    <w:rsid w:val="00D457D6"/>
    <w:rsid w:val="00D64CE2"/>
    <w:rsid w:val="00D7751B"/>
    <w:rsid w:val="00D815DC"/>
    <w:rsid w:val="00D822B5"/>
    <w:rsid w:val="00D83D3C"/>
    <w:rsid w:val="00D867AE"/>
    <w:rsid w:val="00D87BBB"/>
    <w:rsid w:val="00D87C87"/>
    <w:rsid w:val="00D921C4"/>
    <w:rsid w:val="00D9296A"/>
    <w:rsid w:val="00D93C23"/>
    <w:rsid w:val="00D95638"/>
    <w:rsid w:val="00D9584C"/>
    <w:rsid w:val="00DA14D9"/>
    <w:rsid w:val="00DA5CB1"/>
    <w:rsid w:val="00DB13AD"/>
    <w:rsid w:val="00DB23F9"/>
    <w:rsid w:val="00DB58BE"/>
    <w:rsid w:val="00DB6176"/>
    <w:rsid w:val="00DB6AA0"/>
    <w:rsid w:val="00DB7C3A"/>
    <w:rsid w:val="00DC07A7"/>
    <w:rsid w:val="00DC6BFF"/>
    <w:rsid w:val="00DD32AB"/>
    <w:rsid w:val="00DD5BF6"/>
    <w:rsid w:val="00DE1865"/>
    <w:rsid w:val="00DE6CEF"/>
    <w:rsid w:val="00DF11C2"/>
    <w:rsid w:val="00DF2134"/>
    <w:rsid w:val="00DF4593"/>
    <w:rsid w:val="00E0294F"/>
    <w:rsid w:val="00E10D05"/>
    <w:rsid w:val="00E2223E"/>
    <w:rsid w:val="00E22D98"/>
    <w:rsid w:val="00E24623"/>
    <w:rsid w:val="00E252E3"/>
    <w:rsid w:val="00E40505"/>
    <w:rsid w:val="00E42A41"/>
    <w:rsid w:val="00E45766"/>
    <w:rsid w:val="00E567E5"/>
    <w:rsid w:val="00E64480"/>
    <w:rsid w:val="00E6708B"/>
    <w:rsid w:val="00E73A8C"/>
    <w:rsid w:val="00E75050"/>
    <w:rsid w:val="00E76F42"/>
    <w:rsid w:val="00E77D6D"/>
    <w:rsid w:val="00E915E6"/>
    <w:rsid w:val="00EA29A7"/>
    <w:rsid w:val="00EA3E11"/>
    <w:rsid w:val="00EA60B5"/>
    <w:rsid w:val="00EA6EB3"/>
    <w:rsid w:val="00EB4A8E"/>
    <w:rsid w:val="00EB5EF3"/>
    <w:rsid w:val="00EB695D"/>
    <w:rsid w:val="00EC38F3"/>
    <w:rsid w:val="00ED39CE"/>
    <w:rsid w:val="00ED4134"/>
    <w:rsid w:val="00EE05F1"/>
    <w:rsid w:val="00EE471A"/>
    <w:rsid w:val="00EE5492"/>
    <w:rsid w:val="00EF0A00"/>
    <w:rsid w:val="00F07BD5"/>
    <w:rsid w:val="00F122D6"/>
    <w:rsid w:val="00F15BF4"/>
    <w:rsid w:val="00F17940"/>
    <w:rsid w:val="00F17DC0"/>
    <w:rsid w:val="00F2046C"/>
    <w:rsid w:val="00F20647"/>
    <w:rsid w:val="00F31392"/>
    <w:rsid w:val="00F348B5"/>
    <w:rsid w:val="00F3652B"/>
    <w:rsid w:val="00F377B9"/>
    <w:rsid w:val="00F45442"/>
    <w:rsid w:val="00F5145E"/>
    <w:rsid w:val="00F558EA"/>
    <w:rsid w:val="00F613CB"/>
    <w:rsid w:val="00F61F79"/>
    <w:rsid w:val="00F656A4"/>
    <w:rsid w:val="00F6665E"/>
    <w:rsid w:val="00F7075F"/>
    <w:rsid w:val="00F71D76"/>
    <w:rsid w:val="00F8349F"/>
    <w:rsid w:val="00F83FB7"/>
    <w:rsid w:val="00F85935"/>
    <w:rsid w:val="00F85D29"/>
    <w:rsid w:val="00F969D3"/>
    <w:rsid w:val="00FA190E"/>
    <w:rsid w:val="00FA54D8"/>
    <w:rsid w:val="00FC4FB7"/>
    <w:rsid w:val="00FC6EC8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B13"/>
    <w:rsid w:val="00FF0566"/>
    <w:rsid w:val="00FF4E4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AC41C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ind w:left="284" w:hanging="284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semiHidden/>
    <w:unhideWhenUsed/>
    <w:rsid w:val="003C00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0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0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0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00F5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A73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AC41C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C41C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ind w:left="284" w:hanging="284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semiHidden/>
    <w:unhideWhenUsed/>
    <w:rsid w:val="003C00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0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0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0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00F5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A7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Com16</b:Tag>
    <b:SourceType>Report</b:SourceType>
    <b:Guid>{5B4EC681-07DE-47A5-8D75-A81C9B5C55A0}</b:Guid>
    <b:Author>
      <b:Author>
        <b:Corporate>Commonwealth of Australia</b:Corporate>
      </b:Author>
    </b:Author>
    <b:Title>2016-17 Budget</b:Title>
    <b:Year>2016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ADF67707-B18E-47E1-A0EF-9931E867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1326</Words>
  <Characters>6899</Characters>
  <Application>Microsoft Office Word</Application>
  <DocSecurity>0</DocSecurity>
  <Lines>313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spending cuts</dc:title>
  <dc:creator>Parliamentary Budget Office</dc:creator>
  <cp:lastModifiedBy>Pratley, Lauren (PBO)</cp:lastModifiedBy>
  <cp:revision>4</cp:revision>
  <cp:lastPrinted>2016-11-10T04:11:00Z</cp:lastPrinted>
  <dcterms:created xsi:type="dcterms:W3CDTF">2017-08-25T00:33:00Z</dcterms:created>
  <dcterms:modified xsi:type="dcterms:W3CDTF">2017-09-01T05:08:00Z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