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44F" w:rsidRDefault="0046444F" w:rsidP="0046444F">
      <w:pPr>
        <w:pStyle w:val="Title"/>
      </w:pPr>
      <w:bookmarkStart w:id="0" w:name="_GoBack"/>
      <w:bookmarkEnd w:id="0"/>
      <w:r w:rsidRPr="008D77AF">
        <w:t>Policy costing—outside the caretaker period</w:t>
      </w:r>
    </w:p>
    <w:tbl>
      <w:tblPr>
        <w:tblStyle w:val="LightGrid-Accent6"/>
        <w:tblW w:w="5000" w:type="pct"/>
        <w:tblLook w:val="0600" w:firstRow="0" w:lastRow="0" w:firstColumn="0" w:lastColumn="0" w:noHBand="1" w:noVBand="1"/>
      </w:tblPr>
      <w:tblGrid>
        <w:gridCol w:w="3085"/>
        <w:gridCol w:w="1276"/>
        <w:gridCol w:w="4167"/>
      </w:tblGrid>
      <w:tr w:rsidR="0098222F" w:rsidRPr="008D77AF" w:rsidTr="008112CC">
        <w:tc>
          <w:tcPr>
            <w:tcW w:w="1809" w:type="pct"/>
            <w:shd w:val="clear" w:color="auto" w:fill="D7DDE9" w:themeFill="accent3"/>
          </w:tcPr>
          <w:p w:rsidR="0098222F" w:rsidRPr="008D77AF" w:rsidRDefault="0098222F" w:rsidP="0098222F">
            <w:pPr>
              <w:pStyle w:val="PullOutBoxHeading"/>
            </w:pPr>
            <w:r w:rsidRPr="008D77AF">
              <w:t>Name of proposal:</w:t>
            </w:r>
          </w:p>
        </w:tc>
        <w:tc>
          <w:tcPr>
            <w:tcW w:w="3191" w:type="pct"/>
            <w:gridSpan w:val="2"/>
            <w:shd w:val="clear" w:color="auto" w:fill="D7DDE9" w:themeFill="accent3"/>
          </w:tcPr>
          <w:p w:rsidR="004B3022" w:rsidRPr="008D77AF" w:rsidRDefault="00187636" w:rsidP="00632C46">
            <w:pPr>
              <w:pStyle w:val="PullOutBoxHeading"/>
            </w:pPr>
            <w:r>
              <w:t>Foreign i</w:t>
            </w:r>
            <w:r w:rsidR="00632C46">
              <w:t>nvestment</w:t>
            </w:r>
          </w:p>
        </w:tc>
      </w:tr>
      <w:tr w:rsidR="0098222F" w:rsidRPr="008D77AF" w:rsidTr="008112CC">
        <w:tc>
          <w:tcPr>
            <w:tcW w:w="1809" w:type="pct"/>
          </w:tcPr>
          <w:p w:rsidR="0098222F" w:rsidRPr="008D77AF" w:rsidRDefault="0098222F" w:rsidP="0098222F">
            <w:pPr>
              <w:pStyle w:val="PullOutBoxBodyText"/>
            </w:pPr>
            <w:r w:rsidRPr="008D77AF">
              <w:t>Summary of proposal:</w:t>
            </w:r>
          </w:p>
        </w:tc>
        <w:tc>
          <w:tcPr>
            <w:tcW w:w="3191" w:type="pct"/>
            <w:gridSpan w:val="2"/>
          </w:tcPr>
          <w:p w:rsidR="008112CC" w:rsidRDefault="00632C46" w:rsidP="0089737A">
            <w:pPr>
              <w:pStyle w:val="PullOutBoxBodyText"/>
            </w:pPr>
            <w:r>
              <w:t>This proposal would abolish foreign investment restriction</w:t>
            </w:r>
            <w:r w:rsidR="00A36FE5">
              <w:t>s</w:t>
            </w:r>
            <w:r>
              <w:t xml:space="preserve"> through the repeal of </w:t>
            </w:r>
            <w:r w:rsidRPr="00632C46">
              <w:rPr>
                <w:i/>
              </w:rPr>
              <w:t>the Foreign Acquisitions and Takeovers Act 1975</w:t>
            </w:r>
            <w:r>
              <w:t xml:space="preserve"> and the defunding of the </w:t>
            </w:r>
            <w:r w:rsidR="00BB7817">
              <w:t>Foreign</w:t>
            </w:r>
            <w:r w:rsidR="00A36FE5">
              <w:t> </w:t>
            </w:r>
            <w:r w:rsidR="00BB7817">
              <w:t>Investment Review Board</w:t>
            </w:r>
            <w:r w:rsidR="00D842CF">
              <w:t xml:space="preserve"> (FIRB)</w:t>
            </w:r>
            <w:r w:rsidR="00BB7817">
              <w:t>.</w:t>
            </w:r>
          </w:p>
          <w:p w:rsidR="00BB7817" w:rsidRPr="00632C46" w:rsidRDefault="00BB7817" w:rsidP="000F46AC">
            <w:pPr>
              <w:pStyle w:val="PullOutBoxBodyText"/>
            </w:pPr>
            <w:r>
              <w:t xml:space="preserve">This proposal would </w:t>
            </w:r>
            <w:r w:rsidR="000F46AC">
              <w:t>have</w:t>
            </w:r>
            <w:r>
              <w:t xml:space="preserve"> effect from 1 July 2017.</w:t>
            </w:r>
          </w:p>
        </w:tc>
      </w:tr>
      <w:tr w:rsidR="0098222F" w:rsidRPr="008D77AF" w:rsidTr="008112CC">
        <w:tc>
          <w:tcPr>
            <w:tcW w:w="1809" w:type="pct"/>
          </w:tcPr>
          <w:p w:rsidR="0098222F" w:rsidRPr="008D77AF" w:rsidRDefault="0098222F" w:rsidP="0098222F">
            <w:pPr>
              <w:pStyle w:val="PullOutBoxBodyText"/>
            </w:pPr>
            <w:r w:rsidRPr="008D77AF">
              <w:t>Person/party requesting the costing:</w:t>
            </w:r>
          </w:p>
        </w:tc>
        <w:tc>
          <w:tcPr>
            <w:tcW w:w="3191" w:type="pct"/>
            <w:gridSpan w:val="2"/>
          </w:tcPr>
          <w:p w:rsidR="0098222F" w:rsidRPr="008D77AF" w:rsidRDefault="000F46AC" w:rsidP="00FD1EE0">
            <w:pPr>
              <w:pStyle w:val="PullOutBoxBodyText"/>
            </w:pPr>
            <w:r>
              <w:t xml:space="preserve">Senator David Leyonhjelm, </w:t>
            </w:r>
            <w:r w:rsidR="00632C46" w:rsidRPr="00632C46">
              <w:t>Liberal Democratic Party</w:t>
            </w:r>
          </w:p>
        </w:tc>
      </w:tr>
      <w:tr w:rsidR="008112CC" w:rsidRPr="008D77AF" w:rsidTr="008112CC">
        <w:tc>
          <w:tcPr>
            <w:tcW w:w="1809" w:type="pct"/>
          </w:tcPr>
          <w:p w:rsidR="008112CC" w:rsidRPr="008D77AF" w:rsidRDefault="008112CC" w:rsidP="0056001A">
            <w:pPr>
              <w:pStyle w:val="PullOutBoxBodyText"/>
            </w:pPr>
            <w:r w:rsidRPr="008D77AF">
              <w:t>Did the applicant request the costing be confidential:</w:t>
            </w:r>
          </w:p>
        </w:tc>
        <w:tc>
          <w:tcPr>
            <w:tcW w:w="748" w:type="pct"/>
            <w:tcBorders>
              <w:right w:val="nil"/>
            </w:tcBorders>
          </w:tcPr>
          <w:p w:rsidR="008112CC" w:rsidRPr="008D77AF" w:rsidRDefault="00B43AD8" w:rsidP="0056001A">
            <w:pPr>
              <w:pStyle w:val="PullOutBoxBodyText"/>
            </w:pPr>
            <w:sdt>
              <w:sdtPr>
                <w:id w:val="330037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781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8112CC" w:rsidRPr="008D77AF">
              <w:t xml:space="preserve"> Yes</w:t>
            </w:r>
          </w:p>
        </w:tc>
        <w:tc>
          <w:tcPr>
            <w:tcW w:w="2443" w:type="pct"/>
            <w:tcBorders>
              <w:left w:val="nil"/>
              <w:right w:val="single" w:sz="4" w:space="0" w:color="auto"/>
            </w:tcBorders>
          </w:tcPr>
          <w:p w:rsidR="008112CC" w:rsidRPr="008D77AF" w:rsidRDefault="00B43AD8" w:rsidP="0056001A">
            <w:pPr>
              <w:pStyle w:val="PullOutBoxBodyText"/>
            </w:pPr>
            <w:sdt>
              <w:sdtPr>
                <w:id w:val="-86413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2CC" w:rsidRPr="008D77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12CC" w:rsidRPr="008D77AF">
              <w:t xml:space="preserve"> No</w:t>
            </w:r>
          </w:p>
        </w:tc>
      </w:tr>
      <w:tr w:rsidR="008112CC" w:rsidRPr="008D77AF" w:rsidTr="0056001A">
        <w:tc>
          <w:tcPr>
            <w:tcW w:w="1809" w:type="pct"/>
          </w:tcPr>
          <w:p w:rsidR="008112CC" w:rsidRPr="008D77AF" w:rsidRDefault="008112CC" w:rsidP="0056001A">
            <w:pPr>
              <w:pStyle w:val="PullOutBoxBodyText"/>
            </w:pPr>
            <w:r w:rsidRPr="008D77AF">
              <w:t>Date costing request received:</w:t>
            </w:r>
          </w:p>
        </w:tc>
        <w:tc>
          <w:tcPr>
            <w:tcW w:w="3191" w:type="pct"/>
            <w:gridSpan w:val="2"/>
          </w:tcPr>
          <w:p w:rsidR="008112CC" w:rsidRPr="008D77AF" w:rsidRDefault="00BB7817" w:rsidP="0056001A">
            <w:pPr>
              <w:pStyle w:val="PullOutBoxBodyText"/>
            </w:pPr>
            <w:r>
              <w:t>9 August 2016</w:t>
            </w:r>
          </w:p>
        </w:tc>
      </w:tr>
      <w:tr w:rsidR="008112CC" w:rsidRPr="008D77AF" w:rsidTr="008112CC">
        <w:tc>
          <w:tcPr>
            <w:tcW w:w="1809" w:type="pct"/>
          </w:tcPr>
          <w:p w:rsidR="008112CC" w:rsidRPr="008D77AF" w:rsidRDefault="008112CC" w:rsidP="0098222F">
            <w:pPr>
              <w:pStyle w:val="PullOutBoxBodyText"/>
            </w:pPr>
            <w:r w:rsidRPr="008D77AF">
              <w:t>Date costing completed:</w:t>
            </w:r>
          </w:p>
        </w:tc>
        <w:tc>
          <w:tcPr>
            <w:tcW w:w="3191" w:type="pct"/>
            <w:gridSpan w:val="2"/>
          </w:tcPr>
          <w:p w:rsidR="008112CC" w:rsidRPr="008D77AF" w:rsidRDefault="000F46AC" w:rsidP="00AA342E">
            <w:pPr>
              <w:pStyle w:val="PullOutBoxBodyText"/>
            </w:pPr>
            <w:r>
              <w:t>1</w:t>
            </w:r>
            <w:r w:rsidR="00AA342E">
              <w:t>0</w:t>
            </w:r>
            <w:r w:rsidR="00BB7817">
              <w:t xml:space="preserve"> November 2016</w:t>
            </w:r>
          </w:p>
        </w:tc>
      </w:tr>
      <w:tr w:rsidR="008112CC" w:rsidRPr="008D77AF" w:rsidTr="008112CC">
        <w:tc>
          <w:tcPr>
            <w:tcW w:w="1809" w:type="pct"/>
          </w:tcPr>
          <w:p w:rsidR="008112CC" w:rsidRPr="008D77AF" w:rsidRDefault="008112CC" w:rsidP="0098222F">
            <w:pPr>
              <w:pStyle w:val="PullOutBoxBodyText"/>
            </w:pPr>
            <w:r w:rsidRPr="008D77AF">
              <w:t>Expiry date of the costing:</w:t>
            </w:r>
          </w:p>
        </w:tc>
        <w:tc>
          <w:tcPr>
            <w:tcW w:w="3191" w:type="pct"/>
            <w:gridSpan w:val="2"/>
          </w:tcPr>
          <w:p w:rsidR="008112CC" w:rsidRPr="008D77AF" w:rsidRDefault="008112CC" w:rsidP="0098222F">
            <w:pPr>
              <w:pStyle w:val="PullOutBoxBodyText"/>
            </w:pPr>
            <w:r w:rsidRPr="008D77AF">
              <w:t>Release of the next economic and fiscal outlook report.</w:t>
            </w:r>
          </w:p>
        </w:tc>
      </w:tr>
    </w:tbl>
    <w:p w:rsidR="0046444F" w:rsidRPr="008D77AF" w:rsidRDefault="0046444F" w:rsidP="0046444F">
      <w:pPr>
        <w:pStyle w:val="Heading1"/>
      </w:pPr>
      <w:r w:rsidRPr="008D77AF">
        <w:t>Costing overview</w:t>
      </w:r>
    </w:p>
    <w:p w:rsidR="00BB7817" w:rsidRPr="00BB7817" w:rsidRDefault="00BB7817" w:rsidP="00BB7817">
      <w:pPr>
        <w:pStyle w:val="BodyText"/>
      </w:pPr>
      <w:r>
        <w:t xml:space="preserve">This costing </w:t>
      </w:r>
      <w:r w:rsidR="000F46AC">
        <w:t xml:space="preserve">only </w:t>
      </w:r>
      <w:r>
        <w:t xml:space="preserve">includes the </w:t>
      </w:r>
      <w:r w:rsidR="0092014E">
        <w:t xml:space="preserve">loss of FIRB fee revenue and the </w:t>
      </w:r>
      <w:r>
        <w:t xml:space="preserve">reduction in departmental funding to the </w:t>
      </w:r>
      <w:r w:rsidR="008C5729">
        <w:t xml:space="preserve">Treasury and the </w:t>
      </w:r>
      <w:r>
        <w:t>Australian Tax</w:t>
      </w:r>
      <w:r w:rsidR="000F46AC">
        <w:t>ation</w:t>
      </w:r>
      <w:r>
        <w:t xml:space="preserve"> Office (ATO). </w:t>
      </w:r>
      <w:r w:rsidR="000F46AC">
        <w:t xml:space="preserve"> Any</w:t>
      </w:r>
      <w:r>
        <w:t xml:space="preserve"> flow-on effects, including the impact o</w:t>
      </w:r>
      <w:r w:rsidR="000F46AC">
        <w:t>f changes to foreign investment</w:t>
      </w:r>
      <w:r w:rsidR="00D842CF">
        <w:t xml:space="preserve">, </w:t>
      </w:r>
      <w:r w:rsidR="000F46AC">
        <w:t xml:space="preserve">related </w:t>
      </w:r>
      <w:r>
        <w:t>tax revenue</w:t>
      </w:r>
      <w:r w:rsidR="008F64EC">
        <w:t xml:space="preserve"> or </w:t>
      </w:r>
      <w:r w:rsidR="0092014E">
        <w:t xml:space="preserve">changes to </w:t>
      </w:r>
      <w:r w:rsidR="008F64EC">
        <w:t xml:space="preserve">other economic aggregates </w:t>
      </w:r>
      <w:r>
        <w:t xml:space="preserve">would be highly uncertain. </w:t>
      </w:r>
      <w:r w:rsidR="008F64EC">
        <w:t xml:space="preserve"> </w:t>
      </w:r>
      <w:r>
        <w:t>As a result, estimates of these impacts have not been included.</w:t>
      </w:r>
    </w:p>
    <w:p w:rsidR="00D842CF" w:rsidRPr="00D842CF" w:rsidRDefault="00611EFA" w:rsidP="006C3668">
      <w:pPr>
        <w:pStyle w:val="BodyText"/>
      </w:pPr>
      <w:r>
        <w:t>T</w:t>
      </w:r>
      <w:r w:rsidR="006C3668" w:rsidRPr="00D842CF">
        <w:t xml:space="preserve">his proposal </w:t>
      </w:r>
      <w:r w:rsidR="0056001A" w:rsidRPr="00D842CF">
        <w:t xml:space="preserve">would be </w:t>
      </w:r>
      <w:r w:rsidR="006C3668" w:rsidRPr="00D842CF">
        <w:t xml:space="preserve">expected to </w:t>
      </w:r>
      <w:r w:rsidR="00D842CF" w:rsidRPr="00D842CF">
        <w:t xml:space="preserve">decrease both the fiscal and underlying cash balances by </w:t>
      </w:r>
      <w:r w:rsidR="006C3668" w:rsidRPr="00D842CF">
        <w:t>$</w:t>
      </w:r>
      <w:r w:rsidR="00FB0EE8">
        <w:t>64</w:t>
      </w:r>
      <w:r w:rsidR="00D842CF">
        <w:t>5</w:t>
      </w:r>
      <w:r w:rsidR="006C3668" w:rsidRPr="00D842CF">
        <w:t> million over the 201</w:t>
      </w:r>
      <w:r w:rsidR="0056001A" w:rsidRPr="00D842CF">
        <w:t>6</w:t>
      </w:r>
      <w:r w:rsidR="006C3668" w:rsidRPr="00D842CF">
        <w:noBreakHyphen/>
        <w:t>1</w:t>
      </w:r>
      <w:r w:rsidR="0056001A" w:rsidRPr="00D842CF">
        <w:t>7</w:t>
      </w:r>
      <w:r w:rsidR="006C3668" w:rsidRPr="00D842CF">
        <w:t xml:space="preserve"> Budget forward estimates period.  This impact reflects a decrease in </w:t>
      </w:r>
      <w:r w:rsidR="0066342A">
        <w:t>FIRB fee</w:t>
      </w:r>
      <w:r w:rsidR="008F64EC">
        <w:t xml:space="preserve"> </w:t>
      </w:r>
      <w:r w:rsidR="006C3668" w:rsidRPr="00D842CF">
        <w:t>revenue of $</w:t>
      </w:r>
      <w:r w:rsidR="00FB0EE8">
        <w:t>66</w:t>
      </w:r>
      <w:r w:rsidR="00D842CF">
        <w:t>0</w:t>
      </w:r>
      <w:r w:rsidR="006C3668" w:rsidRPr="00D842CF">
        <w:t xml:space="preserve"> million </w:t>
      </w:r>
      <w:r w:rsidR="008F64EC">
        <w:t>and a</w:t>
      </w:r>
      <w:r w:rsidR="0092014E">
        <w:t>n offsetting</w:t>
      </w:r>
      <w:r w:rsidR="008F64EC">
        <w:t xml:space="preserve"> </w:t>
      </w:r>
      <w:r w:rsidR="008F64EC" w:rsidRPr="00D842CF">
        <w:t xml:space="preserve">decrease in </w:t>
      </w:r>
      <w:r w:rsidR="00932413">
        <w:t xml:space="preserve">departmental </w:t>
      </w:r>
      <w:r w:rsidR="008F64EC" w:rsidRPr="00D842CF">
        <w:t>expenses of $</w:t>
      </w:r>
      <w:r w:rsidR="008F64EC">
        <w:t>15</w:t>
      </w:r>
      <w:r w:rsidR="008F64EC" w:rsidRPr="00D842CF">
        <w:t xml:space="preserve"> million </w:t>
      </w:r>
      <w:r w:rsidR="006C3668" w:rsidRPr="00D842CF">
        <w:t>over this period</w:t>
      </w:r>
      <w:r w:rsidR="008F64EC">
        <w:t>.</w:t>
      </w:r>
    </w:p>
    <w:p w:rsidR="00A66E48" w:rsidRPr="00002D5D" w:rsidRDefault="00A66E48" w:rsidP="00187636">
      <w:pPr>
        <w:pStyle w:val="BodyText"/>
        <w:rPr>
          <w:highlight w:val="yellow"/>
        </w:rPr>
      </w:pPr>
      <w:r>
        <w:t xml:space="preserve">The financial implications of the proposal would extend beyond the 2016-17 Budget forward estimates period.  As requested, a breakdown of the financial implications from 2016-17 to 2026-27 is included at </w:t>
      </w:r>
      <w:r w:rsidRPr="005D4630">
        <w:rPr>
          <w:u w:val="single"/>
        </w:rPr>
        <w:t>Attachment</w:t>
      </w:r>
      <w:r>
        <w:rPr>
          <w:u w:val="single"/>
        </w:rPr>
        <w:t> </w:t>
      </w:r>
      <w:r w:rsidRPr="005D4630">
        <w:rPr>
          <w:u w:val="single"/>
        </w:rPr>
        <w:t>A</w:t>
      </w:r>
      <w:r>
        <w:t>.</w:t>
      </w:r>
    </w:p>
    <w:p w:rsidR="006C3668" w:rsidRPr="00EC510A" w:rsidRDefault="006C3668" w:rsidP="006C3668">
      <w:pPr>
        <w:pStyle w:val="BodyText"/>
      </w:pPr>
      <w:r w:rsidRPr="00EC510A">
        <w:t xml:space="preserve">This costing is considered to be of </w:t>
      </w:r>
      <w:r w:rsidR="003B47BC" w:rsidRPr="00EC510A">
        <w:t xml:space="preserve">high </w:t>
      </w:r>
      <w:r w:rsidRPr="00EC510A">
        <w:t>reliability</w:t>
      </w:r>
      <w:r w:rsidR="00EC510A" w:rsidRPr="00EC510A">
        <w:t xml:space="preserve"> as it is based on estimates provided by the</w:t>
      </w:r>
      <w:r w:rsidR="00071D3E">
        <w:t xml:space="preserve"> ATO</w:t>
      </w:r>
      <w:r w:rsidR="00EC510A" w:rsidRPr="00EC510A">
        <w:t>.</w:t>
      </w:r>
    </w:p>
    <w:p w:rsidR="0046444F" w:rsidRPr="005B0970" w:rsidRDefault="008112CC" w:rsidP="008112CC">
      <w:pPr>
        <w:pStyle w:val="Caption"/>
      </w:pPr>
      <w:r w:rsidRPr="008112CC">
        <w:lastRenderedPageBreak/>
        <w:t xml:space="preserve">Table </w:t>
      </w:r>
      <w:r w:rsidR="00B43AD8">
        <w:fldChar w:fldCharType="begin"/>
      </w:r>
      <w:r w:rsidR="00B43AD8">
        <w:instrText xml:space="preserve"> SEQ Table \* ARABIC \s 1 </w:instrText>
      </w:r>
      <w:r w:rsidR="00B43AD8">
        <w:fldChar w:fldCharType="separate"/>
      </w:r>
      <w:r w:rsidR="003160CA">
        <w:rPr>
          <w:noProof/>
        </w:rPr>
        <w:t>1</w:t>
      </w:r>
      <w:r w:rsidR="00B43AD8">
        <w:rPr>
          <w:noProof/>
        </w:rPr>
        <w:fldChar w:fldCharType="end"/>
      </w:r>
      <w:r w:rsidRPr="008112CC">
        <w:t xml:space="preserve">: </w:t>
      </w:r>
      <w:r w:rsidR="00187636">
        <w:t xml:space="preserve">Financial implications </w:t>
      </w:r>
      <w:r>
        <w:t>(outturn prices</w:t>
      </w:r>
      <w:proofErr w:type="gramStart"/>
      <w:r>
        <w:t>)</w:t>
      </w:r>
      <w:r w:rsidRPr="008112CC">
        <w:rPr>
          <w:vertAlign w:val="superscript"/>
        </w:rPr>
        <w:t>(</w:t>
      </w:r>
      <w:proofErr w:type="gramEnd"/>
      <w:r w:rsidRPr="008112CC">
        <w:rPr>
          <w:vertAlign w:val="superscript"/>
        </w:rPr>
        <w:t>a)(b)</w:t>
      </w:r>
    </w:p>
    <w:tbl>
      <w:tblPr>
        <w:tblStyle w:val="LightGrid-Accent6"/>
        <w:tblW w:w="5000" w:type="pct"/>
        <w:tblLook w:val="0680" w:firstRow="0" w:lastRow="0" w:firstColumn="1" w:lastColumn="0" w:noHBand="1" w:noVBand="1"/>
      </w:tblPr>
      <w:tblGrid>
        <w:gridCol w:w="2518"/>
        <w:gridCol w:w="1203"/>
        <w:gridCol w:w="1202"/>
        <w:gridCol w:w="1202"/>
        <w:gridCol w:w="1202"/>
        <w:gridCol w:w="1201"/>
      </w:tblGrid>
      <w:tr w:rsidR="005B0970" w:rsidTr="005B09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pct"/>
            <w:shd w:val="clear" w:color="auto" w:fill="D7DDE9" w:themeFill="accent3"/>
            <w:vAlign w:val="center"/>
          </w:tcPr>
          <w:p w:rsidR="005B0970" w:rsidRPr="005B0970" w:rsidRDefault="005B0970" w:rsidP="005B0970">
            <w:pPr>
              <w:pStyle w:val="TableHeading"/>
            </w:pPr>
            <w:r w:rsidRPr="005B0970">
              <w:t>Impact on ($m)</w:t>
            </w:r>
          </w:p>
        </w:tc>
        <w:tc>
          <w:tcPr>
            <w:tcW w:w="705" w:type="pct"/>
            <w:shd w:val="clear" w:color="auto" w:fill="D7DDE9" w:themeFill="accent3"/>
            <w:vAlign w:val="center"/>
          </w:tcPr>
          <w:p w:rsidR="005B0970" w:rsidRPr="005B0970" w:rsidRDefault="005B0970" w:rsidP="005B0970">
            <w:pPr>
              <w:pStyle w:val="TableHeading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B0970">
              <w:rPr>
                <w:b w:val="0"/>
              </w:rPr>
              <w:t>2016–17</w:t>
            </w:r>
          </w:p>
        </w:tc>
        <w:tc>
          <w:tcPr>
            <w:tcW w:w="705" w:type="pct"/>
            <w:shd w:val="clear" w:color="auto" w:fill="D7DDE9" w:themeFill="accent3"/>
            <w:vAlign w:val="center"/>
          </w:tcPr>
          <w:p w:rsidR="005B0970" w:rsidRPr="005B0970" w:rsidRDefault="005B0970" w:rsidP="005B0970">
            <w:pPr>
              <w:pStyle w:val="TableHeading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B0970">
              <w:rPr>
                <w:b w:val="0"/>
              </w:rPr>
              <w:t>2017–18</w:t>
            </w:r>
          </w:p>
        </w:tc>
        <w:tc>
          <w:tcPr>
            <w:tcW w:w="705" w:type="pct"/>
            <w:shd w:val="clear" w:color="auto" w:fill="D7DDE9" w:themeFill="accent3"/>
            <w:vAlign w:val="center"/>
          </w:tcPr>
          <w:p w:rsidR="005B0970" w:rsidRPr="005B0970" w:rsidRDefault="005B0970" w:rsidP="005B0970">
            <w:pPr>
              <w:pStyle w:val="TableHeading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B0970">
              <w:rPr>
                <w:b w:val="0"/>
              </w:rPr>
              <w:t>2018–19</w:t>
            </w:r>
          </w:p>
        </w:tc>
        <w:tc>
          <w:tcPr>
            <w:tcW w:w="705" w:type="pct"/>
            <w:shd w:val="clear" w:color="auto" w:fill="D7DDE9" w:themeFill="accent3"/>
            <w:vAlign w:val="center"/>
          </w:tcPr>
          <w:p w:rsidR="005B0970" w:rsidRPr="005B0970" w:rsidRDefault="005B0970" w:rsidP="005B0970">
            <w:pPr>
              <w:pStyle w:val="TableHeading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B0970">
              <w:rPr>
                <w:b w:val="0"/>
              </w:rPr>
              <w:t>2019–20</w:t>
            </w:r>
          </w:p>
        </w:tc>
        <w:tc>
          <w:tcPr>
            <w:tcW w:w="704" w:type="pct"/>
            <w:shd w:val="clear" w:color="auto" w:fill="D7DDE9" w:themeFill="accent3"/>
            <w:vAlign w:val="center"/>
          </w:tcPr>
          <w:p w:rsidR="005B0970" w:rsidRPr="00EC510A" w:rsidRDefault="005B0970" w:rsidP="005B0970">
            <w:pPr>
              <w:pStyle w:val="TableHeading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510A">
              <w:t>Total to 2019–20</w:t>
            </w:r>
          </w:p>
        </w:tc>
      </w:tr>
      <w:tr w:rsidR="00FB0EE8" w:rsidTr="00427C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pct"/>
            <w:vAlign w:val="center"/>
          </w:tcPr>
          <w:p w:rsidR="00FB0EE8" w:rsidRPr="005B0970" w:rsidRDefault="00FB0EE8" w:rsidP="005B0970">
            <w:pPr>
              <w:pStyle w:val="TableHeading"/>
              <w:rPr>
                <w:rFonts w:asciiTheme="majorHAnsi" w:hAnsiTheme="majorHAnsi"/>
              </w:rPr>
            </w:pPr>
            <w:r w:rsidRPr="005B0970">
              <w:t>Fiscal balance</w:t>
            </w:r>
          </w:p>
        </w:tc>
        <w:tc>
          <w:tcPr>
            <w:tcW w:w="705" w:type="pct"/>
            <w:vAlign w:val="center"/>
          </w:tcPr>
          <w:p w:rsidR="00FB0EE8" w:rsidRPr="008D77AF" w:rsidRDefault="00FB0EE8" w:rsidP="008D77AF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705" w:type="pct"/>
            <w:vAlign w:val="bottom"/>
          </w:tcPr>
          <w:p w:rsidR="00FB0EE8" w:rsidRDefault="00FB0EE8" w:rsidP="00FB0EE8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-210</w:t>
            </w:r>
          </w:p>
        </w:tc>
        <w:tc>
          <w:tcPr>
            <w:tcW w:w="705" w:type="pct"/>
            <w:vAlign w:val="bottom"/>
          </w:tcPr>
          <w:p w:rsidR="00FB0EE8" w:rsidRDefault="00FB0EE8" w:rsidP="00FB0EE8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-215</w:t>
            </w:r>
          </w:p>
        </w:tc>
        <w:tc>
          <w:tcPr>
            <w:tcW w:w="705" w:type="pct"/>
            <w:vAlign w:val="bottom"/>
          </w:tcPr>
          <w:p w:rsidR="00FB0EE8" w:rsidRDefault="00FB0EE8" w:rsidP="00FB0EE8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-220</w:t>
            </w:r>
          </w:p>
        </w:tc>
        <w:tc>
          <w:tcPr>
            <w:tcW w:w="704" w:type="pct"/>
            <w:vAlign w:val="bottom"/>
          </w:tcPr>
          <w:p w:rsidR="00FB0EE8" w:rsidRDefault="00FB0EE8" w:rsidP="00FB0EE8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-645</w:t>
            </w:r>
          </w:p>
        </w:tc>
      </w:tr>
      <w:tr w:rsidR="00FB0EE8" w:rsidTr="00CA20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pct"/>
            <w:vAlign w:val="center"/>
          </w:tcPr>
          <w:p w:rsidR="00FB0EE8" w:rsidRPr="005B0970" w:rsidRDefault="00FB0EE8" w:rsidP="005B0970">
            <w:pPr>
              <w:pStyle w:val="TableHeading"/>
            </w:pPr>
            <w:r w:rsidRPr="005B0970">
              <w:t>Underlying cash balance</w:t>
            </w:r>
          </w:p>
        </w:tc>
        <w:tc>
          <w:tcPr>
            <w:tcW w:w="705" w:type="pct"/>
            <w:vAlign w:val="center"/>
          </w:tcPr>
          <w:p w:rsidR="00FB0EE8" w:rsidRPr="008D77AF" w:rsidRDefault="00FB0EE8" w:rsidP="008B6DD3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705" w:type="pct"/>
            <w:vAlign w:val="bottom"/>
          </w:tcPr>
          <w:p w:rsidR="00FB0EE8" w:rsidRDefault="00FB0EE8" w:rsidP="00557171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-210</w:t>
            </w:r>
          </w:p>
        </w:tc>
        <w:tc>
          <w:tcPr>
            <w:tcW w:w="705" w:type="pct"/>
            <w:vAlign w:val="bottom"/>
          </w:tcPr>
          <w:p w:rsidR="00FB0EE8" w:rsidRDefault="00FB0EE8" w:rsidP="00557171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-215</w:t>
            </w:r>
          </w:p>
        </w:tc>
        <w:tc>
          <w:tcPr>
            <w:tcW w:w="705" w:type="pct"/>
            <w:vAlign w:val="bottom"/>
          </w:tcPr>
          <w:p w:rsidR="00FB0EE8" w:rsidRDefault="00FB0EE8" w:rsidP="00557171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-220</w:t>
            </w:r>
          </w:p>
        </w:tc>
        <w:tc>
          <w:tcPr>
            <w:tcW w:w="704" w:type="pct"/>
            <w:vAlign w:val="bottom"/>
          </w:tcPr>
          <w:p w:rsidR="00FB0EE8" w:rsidRDefault="00FB0EE8" w:rsidP="00557171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-645</w:t>
            </w:r>
          </w:p>
        </w:tc>
      </w:tr>
    </w:tbl>
    <w:p w:rsidR="008112CC" w:rsidRDefault="005B0970" w:rsidP="008C10AF">
      <w:pPr>
        <w:pStyle w:val="TableFootnotes"/>
        <w:ind w:left="284" w:hanging="284"/>
      </w:pPr>
      <w:r>
        <w:t>A positive number represents an increase in the relevant budget balance</w:t>
      </w:r>
      <w:r w:rsidR="00EC510A">
        <w:t>. A</w:t>
      </w:r>
      <w:r>
        <w:t xml:space="preserve"> negative number represents a decrease.</w:t>
      </w:r>
    </w:p>
    <w:p w:rsidR="005B0970" w:rsidRDefault="005B0970" w:rsidP="008C10AF">
      <w:pPr>
        <w:pStyle w:val="TableFootnotes"/>
        <w:ind w:left="284" w:hanging="284"/>
      </w:pPr>
      <w:r>
        <w:t>Figures may not sum to totals due to rounding.</w:t>
      </w:r>
    </w:p>
    <w:p w:rsidR="005B0970" w:rsidRDefault="005B0970" w:rsidP="008C10AF">
      <w:pPr>
        <w:pStyle w:val="TableFootnotes"/>
        <w:keepNext/>
        <w:numPr>
          <w:ilvl w:val="0"/>
          <w:numId w:val="44"/>
        </w:numPr>
        <w:ind w:left="284" w:hanging="284"/>
      </w:pPr>
      <w:r>
        <w:t>Indicates nil.</w:t>
      </w:r>
    </w:p>
    <w:p w:rsidR="00FE3B13" w:rsidRDefault="00FE3B13" w:rsidP="0056001A">
      <w:pPr>
        <w:pStyle w:val="Heading1"/>
      </w:pPr>
      <w:r>
        <w:t>Methodology</w:t>
      </w:r>
    </w:p>
    <w:p w:rsidR="0066342A" w:rsidRDefault="0066342A" w:rsidP="0066342A">
      <w:pPr>
        <w:pStyle w:val="BodyText"/>
        <w:keepNext/>
        <w:keepLines/>
      </w:pPr>
      <w:r>
        <w:t>Foregone FIRB fee revenue is based on projected revenue over the period 2016</w:t>
      </w:r>
      <w:r>
        <w:noBreakHyphen/>
        <w:t>17 to 2019</w:t>
      </w:r>
      <w:r>
        <w:noBreakHyphen/>
        <w:t>20 provided</w:t>
      </w:r>
      <w:r w:rsidR="00187636">
        <w:t xml:space="preserve"> by the ATO.  These estimates w</w:t>
      </w:r>
      <w:r>
        <w:t>ere then projected over the medium term by</w:t>
      </w:r>
      <w:r w:rsidR="001977D4">
        <w:t xml:space="preserve"> the Parliamentary Budget Office</w:t>
      </w:r>
      <w:r w:rsidR="00611EFA">
        <w:t xml:space="preserve"> based on the trend across the forward estimates period</w:t>
      </w:r>
      <w:r>
        <w:t>.</w:t>
      </w:r>
    </w:p>
    <w:p w:rsidR="00EC510A" w:rsidRPr="00E618D8" w:rsidRDefault="00EC510A" w:rsidP="0056001A">
      <w:pPr>
        <w:pStyle w:val="BodyText"/>
        <w:keepNext/>
        <w:keepLines/>
      </w:pPr>
      <w:r w:rsidRPr="00E618D8">
        <w:t xml:space="preserve">Total savings from reduced departmental expenditure for the ATO and the FIRB </w:t>
      </w:r>
      <w:r w:rsidR="001977D4">
        <w:t>are</w:t>
      </w:r>
      <w:r w:rsidRPr="00E618D8">
        <w:t xml:space="preserve"> based on </w:t>
      </w:r>
      <w:r w:rsidR="00E618D8" w:rsidRPr="00E618D8">
        <w:t xml:space="preserve">actual expenditure in 2014-15, </w:t>
      </w:r>
      <w:r w:rsidR="00E618D8">
        <w:t xml:space="preserve">accounting for wage and </w:t>
      </w:r>
      <w:r w:rsidR="001977D4">
        <w:t xml:space="preserve">general </w:t>
      </w:r>
      <w:r w:rsidR="00E618D8">
        <w:t>cost growth and the application of the efficiency dividend</w:t>
      </w:r>
      <w:r w:rsidR="00E618D8" w:rsidRPr="00E618D8">
        <w:t>.</w:t>
      </w:r>
    </w:p>
    <w:p w:rsidR="00E618D8" w:rsidRPr="00E618D8" w:rsidRDefault="00E618D8" w:rsidP="0056001A">
      <w:pPr>
        <w:pStyle w:val="BodyText"/>
        <w:keepNext/>
        <w:keepLines/>
      </w:pPr>
      <w:r>
        <w:t xml:space="preserve">All estimates have been rounded to the nearest </w:t>
      </w:r>
      <w:r w:rsidR="00AA6AAD">
        <w:t xml:space="preserve">$5 </w:t>
      </w:r>
      <w:r>
        <w:t>million.</w:t>
      </w:r>
    </w:p>
    <w:p w:rsidR="00FE3B13" w:rsidRDefault="00FE3B13" w:rsidP="00FE3B13">
      <w:pPr>
        <w:pStyle w:val="Heading1"/>
      </w:pPr>
      <w:r>
        <w:t>Data sources</w:t>
      </w:r>
    </w:p>
    <w:p w:rsidR="004C65CC" w:rsidRDefault="00A36FE5" w:rsidP="004C65CC">
      <w:pPr>
        <w:pStyle w:val="BodyText"/>
      </w:pPr>
      <w:r>
        <w:t xml:space="preserve">The </w:t>
      </w:r>
      <w:r w:rsidR="004C65CC">
        <w:t>Australian Tax Office provided 2016-17 Budget application fee revenue forecasts.</w:t>
      </w:r>
    </w:p>
    <w:p w:rsidR="003160CA" w:rsidRDefault="004C65CC" w:rsidP="00EA67B8">
      <w:pPr>
        <w:pStyle w:val="BodyText"/>
      </w:pPr>
      <w:r w:rsidRPr="004C65CC">
        <w:fldChar w:fldCharType="begin"/>
      </w:r>
      <w:r w:rsidRPr="004C65CC">
        <w:instrText xml:space="preserve"> BIBLIOGRAPHY  \l 3081 </w:instrText>
      </w:r>
      <w:r w:rsidRPr="004C65CC">
        <w:fldChar w:fldCharType="separate"/>
      </w:r>
      <w:r w:rsidR="00EA67B8">
        <w:t>Foreign Investment Review Board</w:t>
      </w:r>
      <w:r w:rsidR="003160CA">
        <w:t xml:space="preserve">, </w:t>
      </w:r>
      <w:r w:rsidR="00EA67B8" w:rsidRPr="00EA67B8">
        <w:t>2015,</w:t>
      </w:r>
      <w:r w:rsidR="003160CA" w:rsidRPr="00EA67B8">
        <w:rPr>
          <w:i/>
        </w:rPr>
        <w:t xml:space="preserve"> </w:t>
      </w:r>
      <w:r w:rsidR="00EA67B8">
        <w:rPr>
          <w:i/>
        </w:rPr>
        <w:t>2014-15 Annual Report</w:t>
      </w:r>
      <w:r w:rsidR="003160CA" w:rsidRPr="00EA67B8">
        <w:t xml:space="preserve">, </w:t>
      </w:r>
      <w:r w:rsidR="003160CA">
        <w:t xml:space="preserve">Canberra: </w:t>
      </w:r>
      <w:r w:rsidR="00EA67B8">
        <w:t>FIRB</w:t>
      </w:r>
      <w:r w:rsidR="003160CA">
        <w:t>.</w:t>
      </w:r>
    </w:p>
    <w:p w:rsidR="003160CA" w:rsidRDefault="00EA67B8" w:rsidP="00EA67B8">
      <w:pPr>
        <w:pStyle w:val="BodyText"/>
      </w:pPr>
      <w:r>
        <w:t>The Treasury, 2016,</w:t>
      </w:r>
      <w:r w:rsidR="003160CA">
        <w:t xml:space="preserve"> </w:t>
      </w:r>
      <w:r w:rsidR="003160CA" w:rsidRPr="00EA67B8">
        <w:rPr>
          <w:i/>
        </w:rPr>
        <w:t>2016-17 Budget</w:t>
      </w:r>
      <w:r w:rsidR="003160CA" w:rsidRPr="00EA67B8">
        <w:t xml:space="preserve">, </w:t>
      </w:r>
      <w:r w:rsidR="003160CA">
        <w:t xml:space="preserve">Canberra: </w:t>
      </w:r>
      <w:r>
        <w:t>Treasury</w:t>
      </w:r>
      <w:r w:rsidR="003160CA">
        <w:t>.</w:t>
      </w:r>
    </w:p>
    <w:p w:rsidR="004C65CC" w:rsidRPr="004C65CC" w:rsidRDefault="004C65CC" w:rsidP="003160CA">
      <w:pPr>
        <w:pStyle w:val="BodyText"/>
      </w:pPr>
      <w:r w:rsidRPr="004C65CC">
        <w:fldChar w:fldCharType="end"/>
      </w:r>
    </w:p>
    <w:p w:rsidR="007D0ABE" w:rsidRPr="0046444F" w:rsidRDefault="007D0ABE" w:rsidP="00B311BA">
      <w:pPr>
        <w:pStyle w:val="BodyText"/>
      </w:pPr>
    </w:p>
    <w:p w:rsidR="0046444F" w:rsidRDefault="0046444F" w:rsidP="00B311BA">
      <w:pPr>
        <w:pStyle w:val="BodyText"/>
        <w:sectPr w:rsidR="0046444F" w:rsidSect="002F5801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361" w:right="1797" w:bottom="1474" w:left="1797" w:header="284" w:footer="454" w:gutter="0"/>
          <w:pgNumType w:start="1"/>
          <w:cols w:space="708"/>
          <w:titlePg/>
          <w:docGrid w:linePitch="360"/>
        </w:sectPr>
      </w:pPr>
    </w:p>
    <w:p w:rsidR="00016D53" w:rsidRPr="002D239A" w:rsidRDefault="003F7A06" w:rsidP="002D239A">
      <w:pPr>
        <w:pStyle w:val="Heading8"/>
      </w:pPr>
      <w:r>
        <w:lastRenderedPageBreak/>
        <w:t>–</w:t>
      </w:r>
      <w:r w:rsidR="00187636">
        <w:t xml:space="preserve"> </w:t>
      </w:r>
      <w:r>
        <w:t>Foreign</w:t>
      </w:r>
      <w:r w:rsidR="00187636">
        <w:t xml:space="preserve"> i</w:t>
      </w:r>
      <w:r>
        <w:t>nvestment</w:t>
      </w:r>
      <w:r w:rsidR="00016D53" w:rsidRPr="002D239A">
        <w:t>—financial implications</w:t>
      </w:r>
    </w:p>
    <w:p w:rsidR="00120A75" w:rsidRPr="003F7A06" w:rsidRDefault="003E1562" w:rsidP="003F7A06">
      <w:pPr>
        <w:pStyle w:val="Caption"/>
        <w:keepLines/>
        <w:rPr>
          <w:vertAlign w:val="superscript"/>
        </w:rPr>
      </w:pPr>
      <w:bookmarkStart w:id="1" w:name="ReturnHere"/>
      <w:bookmarkEnd w:id="1"/>
      <w:r w:rsidRPr="002D239A">
        <w:t xml:space="preserve">Table </w:t>
      </w:r>
      <w:r w:rsidR="00B43AD8">
        <w:fldChar w:fldCharType="begin"/>
      </w:r>
      <w:r w:rsidR="00B43AD8">
        <w:instrText xml:space="preserve"> STYLEREF 8 \s </w:instrText>
      </w:r>
      <w:r w:rsidR="00B43AD8">
        <w:fldChar w:fldCharType="separate"/>
      </w:r>
      <w:r w:rsidR="003160CA">
        <w:rPr>
          <w:noProof/>
        </w:rPr>
        <w:t>A</w:t>
      </w:r>
      <w:r w:rsidR="00B43AD8">
        <w:rPr>
          <w:noProof/>
        </w:rPr>
        <w:fldChar w:fldCharType="end"/>
      </w:r>
      <w:r w:rsidR="00AD472C">
        <w:t>1</w:t>
      </w:r>
      <w:r w:rsidRPr="002D239A">
        <w:t xml:space="preserve">: </w:t>
      </w:r>
      <w:r w:rsidR="00187636">
        <w:t>Foreign i</w:t>
      </w:r>
      <w:r w:rsidR="003F7A06">
        <w:t>nvestment</w:t>
      </w:r>
      <w:r>
        <w:t>—Financial implications</w:t>
      </w:r>
      <w:r w:rsidR="00AA6AAD">
        <w:t xml:space="preserve"> </w:t>
      </w:r>
      <w:r>
        <w:t>(outturn prices</w:t>
      </w:r>
      <w:proofErr w:type="gramStart"/>
      <w:r>
        <w:t>)</w:t>
      </w:r>
      <w:r w:rsidRPr="002D239A">
        <w:rPr>
          <w:vertAlign w:val="superscript"/>
        </w:rPr>
        <w:t>(</w:t>
      </w:r>
      <w:proofErr w:type="gramEnd"/>
      <w:r w:rsidRPr="002D239A">
        <w:rPr>
          <w:vertAlign w:val="superscript"/>
        </w:rPr>
        <w:t>a)(b)</w:t>
      </w:r>
    </w:p>
    <w:tbl>
      <w:tblPr>
        <w:tblStyle w:val="LightGrid-Accent6"/>
        <w:tblW w:w="5000" w:type="pct"/>
        <w:tblLook w:val="0680" w:firstRow="0" w:lastRow="0" w:firstColumn="1" w:lastColumn="0" w:noHBand="1" w:noVBand="1"/>
      </w:tblPr>
      <w:tblGrid>
        <w:gridCol w:w="2505"/>
        <w:gridCol w:w="901"/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  <w:gridCol w:w="902"/>
        <w:gridCol w:w="896"/>
      </w:tblGrid>
      <w:tr w:rsidR="007B57C9" w:rsidTr="008D77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shd w:val="clear" w:color="auto" w:fill="D7DDE9" w:themeFill="accent3"/>
            <w:vAlign w:val="center"/>
          </w:tcPr>
          <w:p w:rsidR="001E33C2" w:rsidRPr="00187636" w:rsidRDefault="001E33C2" w:rsidP="00187636">
            <w:pPr>
              <w:pStyle w:val="TableText"/>
              <w:rPr>
                <w:b w:val="0"/>
              </w:rPr>
            </w:pPr>
            <w:r w:rsidRPr="00187636">
              <w:rPr>
                <w:b w:val="0"/>
              </w:rPr>
              <w:t>($</w:t>
            </w:r>
            <w:r w:rsidR="00A838D2" w:rsidRPr="00187636">
              <w:rPr>
                <w:b w:val="0"/>
              </w:rPr>
              <w:t>m</w:t>
            </w:r>
            <w:r w:rsidRPr="00187636">
              <w:rPr>
                <w:b w:val="0"/>
              </w:rPr>
              <w:t>)</w:t>
            </w:r>
          </w:p>
        </w:tc>
        <w:tc>
          <w:tcPr>
            <w:tcW w:w="317" w:type="pct"/>
            <w:shd w:val="clear" w:color="auto" w:fill="D7DDE9" w:themeFill="accent3"/>
            <w:vAlign w:val="center"/>
          </w:tcPr>
          <w:p w:rsidR="001E33C2" w:rsidRPr="002D239A" w:rsidRDefault="001E33C2" w:rsidP="007B57C9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2016–17</w:t>
            </w:r>
          </w:p>
        </w:tc>
        <w:tc>
          <w:tcPr>
            <w:tcW w:w="317" w:type="pct"/>
            <w:shd w:val="clear" w:color="auto" w:fill="D7DDE9" w:themeFill="accent3"/>
            <w:vAlign w:val="center"/>
          </w:tcPr>
          <w:p w:rsidR="001E33C2" w:rsidRPr="002D239A" w:rsidRDefault="001E33C2" w:rsidP="007B57C9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2017–18</w:t>
            </w:r>
          </w:p>
        </w:tc>
        <w:tc>
          <w:tcPr>
            <w:tcW w:w="317" w:type="pct"/>
            <w:shd w:val="clear" w:color="auto" w:fill="D7DDE9" w:themeFill="accent3"/>
            <w:vAlign w:val="center"/>
          </w:tcPr>
          <w:p w:rsidR="001E33C2" w:rsidRPr="002D239A" w:rsidRDefault="001E33C2" w:rsidP="007B57C9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2018–19</w:t>
            </w:r>
          </w:p>
        </w:tc>
        <w:tc>
          <w:tcPr>
            <w:tcW w:w="317" w:type="pct"/>
            <w:shd w:val="clear" w:color="auto" w:fill="D7DDE9" w:themeFill="accent3"/>
            <w:vAlign w:val="center"/>
          </w:tcPr>
          <w:p w:rsidR="001E33C2" w:rsidRPr="002D239A" w:rsidRDefault="001E33C2" w:rsidP="007B57C9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2019–20</w:t>
            </w:r>
          </w:p>
        </w:tc>
        <w:tc>
          <w:tcPr>
            <w:tcW w:w="317" w:type="pct"/>
            <w:shd w:val="clear" w:color="auto" w:fill="D7DDE9" w:themeFill="accent3"/>
            <w:vAlign w:val="center"/>
          </w:tcPr>
          <w:p w:rsidR="001E33C2" w:rsidRPr="002D239A" w:rsidRDefault="001E33C2" w:rsidP="007B57C9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Total to 2019–20</w:t>
            </w:r>
          </w:p>
        </w:tc>
        <w:tc>
          <w:tcPr>
            <w:tcW w:w="317" w:type="pct"/>
            <w:shd w:val="clear" w:color="auto" w:fill="D7DDE9" w:themeFill="accent3"/>
            <w:vAlign w:val="center"/>
          </w:tcPr>
          <w:p w:rsidR="001E33C2" w:rsidRPr="007B57C9" w:rsidRDefault="007B57C9" w:rsidP="007B57C9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2020–21</w:t>
            </w:r>
          </w:p>
        </w:tc>
        <w:tc>
          <w:tcPr>
            <w:tcW w:w="317" w:type="pct"/>
            <w:shd w:val="clear" w:color="auto" w:fill="D7DDE9" w:themeFill="accent3"/>
            <w:vAlign w:val="center"/>
          </w:tcPr>
          <w:p w:rsidR="001E33C2" w:rsidRPr="007B57C9" w:rsidRDefault="007B57C9" w:rsidP="007B57C9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2021–22</w:t>
            </w:r>
          </w:p>
        </w:tc>
        <w:tc>
          <w:tcPr>
            <w:tcW w:w="317" w:type="pct"/>
            <w:shd w:val="clear" w:color="auto" w:fill="D7DDE9" w:themeFill="accent3"/>
            <w:vAlign w:val="center"/>
          </w:tcPr>
          <w:p w:rsidR="001E33C2" w:rsidRPr="007B57C9" w:rsidRDefault="007B57C9" w:rsidP="007B57C9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2022–23</w:t>
            </w:r>
          </w:p>
        </w:tc>
        <w:tc>
          <w:tcPr>
            <w:tcW w:w="317" w:type="pct"/>
            <w:shd w:val="clear" w:color="auto" w:fill="D7DDE9" w:themeFill="accent3"/>
            <w:vAlign w:val="center"/>
          </w:tcPr>
          <w:p w:rsidR="001E33C2" w:rsidRPr="007B57C9" w:rsidRDefault="007B57C9" w:rsidP="007B57C9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2023–24</w:t>
            </w:r>
          </w:p>
        </w:tc>
        <w:tc>
          <w:tcPr>
            <w:tcW w:w="317" w:type="pct"/>
            <w:shd w:val="clear" w:color="auto" w:fill="D7DDE9" w:themeFill="accent3"/>
            <w:vAlign w:val="center"/>
          </w:tcPr>
          <w:p w:rsidR="001E33C2" w:rsidRPr="007B57C9" w:rsidRDefault="007B57C9" w:rsidP="007B57C9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2024–25</w:t>
            </w:r>
          </w:p>
        </w:tc>
        <w:tc>
          <w:tcPr>
            <w:tcW w:w="317" w:type="pct"/>
            <w:shd w:val="clear" w:color="auto" w:fill="D7DDE9" w:themeFill="accent3"/>
            <w:vAlign w:val="center"/>
          </w:tcPr>
          <w:p w:rsidR="001E33C2" w:rsidRPr="007B57C9" w:rsidRDefault="007B57C9" w:rsidP="007B57C9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2025–26</w:t>
            </w:r>
          </w:p>
        </w:tc>
        <w:tc>
          <w:tcPr>
            <w:tcW w:w="317" w:type="pct"/>
            <w:shd w:val="clear" w:color="auto" w:fill="D7DDE9" w:themeFill="accent3"/>
            <w:vAlign w:val="center"/>
          </w:tcPr>
          <w:p w:rsidR="001E33C2" w:rsidRPr="007B57C9" w:rsidRDefault="007B57C9" w:rsidP="007B57C9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2026–27</w:t>
            </w:r>
          </w:p>
        </w:tc>
        <w:tc>
          <w:tcPr>
            <w:tcW w:w="315" w:type="pct"/>
            <w:shd w:val="clear" w:color="auto" w:fill="D7DDE9" w:themeFill="accent3"/>
            <w:vAlign w:val="center"/>
          </w:tcPr>
          <w:p w:rsidR="001E33C2" w:rsidRPr="002D239A" w:rsidRDefault="007B57C9" w:rsidP="007B57C9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Total to 2026–27</w:t>
            </w:r>
          </w:p>
        </w:tc>
      </w:tr>
      <w:tr w:rsidR="00132599" w:rsidTr="001325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4"/>
            <w:shd w:val="clear" w:color="auto" w:fill="E9ECF3" w:themeFill="accent2" w:themeFillTint="33"/>
            <w:vAlign w:val="center"/>
          </w:tcPr>
          <w:p w:rsidR="00132599" w:rsidRPr="00187636" w:rsidRDefault="00132599" w:rsidP="00187636">
            <w:pPr>
              <w:pStyle w:val="TableHeading"/>
              <w:rPr>
                <w:b/>
                <w:noProof/>
              </w:rPr>
            </w:pPr>
            <w:r w:rsidRPr="00187636">
              <w:rPr>
                <w:b/>
                <w:noProof/>
              </w:rPr>
              <w:t>Impact on fiscal and underlying cash balances</w:t>
            </w:r>
          </w:p>
        </w:tc>
      </w:tr>
      <w:tr w:rsidR="003F7A06" w:rsidTr="00E052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vAlign w:val="center"/>
          </w:tcPr>
          <w:p w:rsidR="003F7A06" w:rsidRPr="00187636" w:rsidRDefault="006F203C" w:rsidP="00187636">
            <w:pPr>
              <w:pStyle w:val="TableText"/>
              <w:rPr>
                <w:b w:val="0"/>
              </w:rPr>
            </w:pPr>
            <w:r w:rsidRPr="00187636">
              <w:rPr>
                <w:b w:val="0"/>
              </w:rPr>
              <w:t>FIRB fee</w:t>
            </w:r>
            <w:r w:rsidR="00932413" w:rsidRPr="00187636">
              <w:rPr>
                <w:b w:val="0"/>
              </w:rPr>
              <w:t xml:space="preserve"> revenue</w:t>
            </w:r>
          </w:p>
        </w:tc>
        <w:tc>
          <w:tcPr>
            <w:tcW w:w="317" w:type="pct"/>
            <w:vAlign w:val="center"/>
          </w:tcPr>
          <w:p w:rsidR="003F7A06" w:rsidRPr="008D77AF" w:rsidRDefault="003F7A06" w:rsidP="008B6DD3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317" w:type="pct"/>
            <w:vAlign w:val="bottom"/>
          </w:tcPr>
          <w:p w:rsidR="003F7A06" w:rsidRDefault="003F7A06" w:rsidP="003F7A06">
            <w:pPr>
              <w:pStyle w:val="TableTextRightItali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-215</w:t>
            </w:r>
          </w:p>
        </w:tc>
        <w:tc>
          <w:tcPr>
            <w:tcW w:w="317" w:type="pct"/>
            <w:vAlign w:val="bottom"/>
          </w:tcPr>
          <w:p w:rsidR="003F7A06" w:rsidRDefault="003F7A06" w:rsidP="003F7A06">
            <w:pPr>
              <w:pStyle w:val="TableTextRightItali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-220</w:t>
            </w:r>
          </w:p>
        </w:tc>
        <w:tc>
          <w:tcPr>
            <w:tcW w:w="317" w:type="pct"/>
            <w:vAlign w:val="bottom"/>
          </w:tcPr>
          <w:p w:rsidR="003F7A06" w:rsidRDefault="003F7A06" w:rsidP="003F7A06">
            <w:pPr>
              <w:pStyle w:val="TableTextRightItali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-225</w:t>
            </w:r>
          </w:p>
        </w:tc>
        <w:tc>
          <w:tcPr>
            <w:tcW w:w="317" w:type="pct"/>
            <w:vAlign w:val="bottom"/>
          </w:tcPr>
          <w:p w:rsidR="003F7A06" w:rsidRDefault="003F7A06" w:rsidP="003F7A06">
            <w:pPr>
              <w:pStyle w:val="TableTextRightItali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-660</w:t>
            </w:r>
          </w:p>
        </w:tc>
        <w:tc>
          <w:tcPr>
            <w:tcW w:w="317" w:type="pct"/>
            <w:vAlign w:val="bottom"/>
          </w:tcPr>
          <w:p w:rsidR="003F7A06" w:rsidRDefault="003F7A06" w:rsidP="003F7A06">
            <w:pPr>
              <w:pStyle w:val="TableTextRightItali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-230</w:t>
            </w:r>
          </w:p>
        </w:tc>
        <w:tc>
          <w:tcPr>
            <w:tcW w:w="317" w:type="pct"/>
            <w:vAlign w:val="bottom"/>
          </w:tcPr>
          <w:p w:rsidR="003F7A06" w:rsidRDefault="003F7A06" w:rsidP="003F7A06">
            <w:pPr>
              <w:pStyle w:val="TableTextRightItali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-235</w:t>
            </w:r>
          </w:p>
        </w:tc>
        <w:tc>
          <w:tcPr>
            <w:tcW w:w="317" w:type="pct"/>
            <w:vAlign w:val="bottom"/>
          </w:tcPr>
          <w:p w:rsidR="003F7A06" w:rsidRDefault="003F7A06" w:rsidP="003F7A06">
            <w:pPr>
              <w:pStyle w:val="TableTextRightItali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-240</w:t>
            </w:r>
          </w:p>
        </w:tc>
        <w:tc>
          <w:tcPr>
            <w:tcW w:w="317" w:type="pct"/>
            <w:vAlign w:val="bottom"/>
          </w:tcPr>
          <w:p w:rsidR="003F7A06" w:rsidRDefault="003F1EC3" w:rsidP="003F7A06">
            <w:pPr>
              <w:pStyle w:val="TableTextRightItali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-245</w:t>
            </w:r>
          </w:p>
        </w:tc>
        <w:tc>
          <w:tcPr>
            <w:tcW w:w="317" w:type="pct"/>
            <w:vAlign w:val="bottom"/>
          </w:tcPr>
          <w:p w:rsidR="003F7A06" w:rsidRDefault="003F1EC3" w:rsidP="003F7A06">
            <w:pPr>
              <w:pStyle w:val="TableTextRightItali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-250</w:t>
            </w:r>
          </w:p>
        </w:tc>
        <w:tc>
          <w:tcPr>
            <w:tcW w:w="317" w:type="pct"/>
            <w:vAlign w:val="bottom"/>
          </w:tcPr>
          <w:p w:rsidR="003F7A06" w:rsidRDefault="003F1EC3" w:rsidP="003F7A06">
            <w:pPr>
              <w:pStyle w:val="TableTextRightItali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-255</w:t>
            </w:r>
          </w:p>
        </w:tc>
        <w:tc>
          <w:tcPr>
            <w:tcW w:w="317" w:type="pct"/>
            <w:vAlign w:val="bottom"/>
          </w:tcPr>
          <w:p w:rsidR="003F7A06" w:rsidRDefault="003F1EC3" w:rsidP="003F7A06">
            <w:pPr>
              <w:pStyle w:val="TableTextRightItali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-260</w:t>
            </w:r>
          </w:p>
        </w:tc>
        <w:tc>
          <w:tcPr>
            <w:tcW w:w="315" w:type="pct"/>
            <w:vAlign w:val="bottom"/>
          </w:tcPr>
          <w:p w:rsidR="003F7A06" w:rsidRDefault="003F1EC3" w:rsidP="003F7A06">
            <w:pPr>
              <w:pStyle w:val="TableTextRightItali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-2,37</w:t>
            </w:r>
            <w:r w:rsidR="003F7A06">
              <w:rPr>
                <w:b/>
                <w:bCs/>
              </w:rPr>
              <w:t>5</w:t>
            </w:r>
          </w:p>
        </w:tc>
      </w:tr>
      <w:tr w:rsidR="003F7A06" w:rsidTr="00E052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vAlign w:val="center"/>
          </w:tcPr>
          <w:p w:rsidR="003F7A06" w:rsidRPr="00187636" w:rsidRDefault="003F7A06" w:rsidP="00187636">
            <w:pPr>
              <w:pStyle w:val="TableText"/>
              <w:rPr>
                <w:b w:val="0"/>
              </w:rPr>
            </w:pPr>
            <w:r w:rsidRPr="00187636">
              <w:rPr>
                <w:b w:val="0"/>
              </w:rPr>
              <w:t>Departmental</w:t>
            </w:r>
            <w:r w:rsidR="00932413" w:rsidRPr="00187636">
              <w:rPr>
                <w:b w:val="0"/>
              </w:rPr>
              <w:t xml:space="preserve"> expenses</w:t>
            </w:r>
          </w:p>
        </w:tc>
        <w:tc>
          <w:tcPr>
            <w:tcW w:w="317" w:type="pct"/>
            <w:vAlign w:val="center"/>
          </w:tcPr>
          <w:p w:rsidR="003F7A06" w:rsidRPr="008D77AF" w:rsidRDefault="003F7A06" w:rsidP="008B6DD3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317" w:type="pct"/>
            <w:vAlign w:val="bottom"/>
          </w:tcPr>
          <w:p w:rsidR="003F7A06" w:rsidRDefault="003F7A06" w:rsidP="003F7A06">
            <w:pPr>
              <w:pStyle w:val="TableTextRightItali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317" w:type="pct"/>
            <w:vAlign w:val="bottom"/>
          </w:tcPr>
          <w:p w:rsidR="003F7A06" w:rsidRDefault="003F7A06" w:rsidP="003F7A06">
            <w:pPr>
              <w:pStyle w:val="TableTextRightItali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317" w:type="pct"/>
            <w:vAlign w:val="bottom"/>
          </w:tcPr>
          <w:p w:rsidR="003F7A06" w:rsidRDefault="003F7A06" w:rsidP="003F7A06">
            <w:pPr>
              <w:pStyle w:val="TableTextRightItali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317" w:type="pct"/>
            <w:vAlign w:val="bottom"/>
          </w:tcPr>
          <w:p w:rsidR="003F7A06" w:rsidRDefault="003F7A06" w:rsidP="003F7A06">
            <w:pPr>
              <w:pStyle w:val="TableTextRightItali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317" w:type="pct"/>
            <w:vAlign w:val="bottom"/>
          </w:tcPr>
          <w:p w:rsidR="003F7A06" w:rsidRDefault="003F7A06" w:rsidP="003F7A06">
            <w:pPr>
              <w:pStyle w:val="TableTextRightItali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317" w:type="pct"/>
            <w:vAlign w:val="bottom"/>
          </w:tcPr>
          <w:p w:rsidR="003F7A06" w:rsidRDefault="003F7A06" w:rsidP="003F7A06">
            <w:pPr>
              <w:pStyle w:val="TableTextRightItali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317" w:type="pct"/>
            <w:vAlign w:val="bottom"/>
          </w:tcPr>
          <w:p w:rsidR="003F7A06" w:rsidRDefault="003F7A06" w:rsidP="003F7A06">
            <w:pPr>
              <w:pStyle w:val="TableTextRightItali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317" w:type="pct"/>
            <w:vAlign w:val="bottom"/>
          </w:tcPr>
          <w:p w:rsidR="003F7A06" w:rsidRDefault="003F7A06" w:rsidP="003F7A06">
            <w:pPr>
              <w:pStyle w:val="TableTextRightItali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317" w:type="pct"/>
            <w:vAlign w:val="bottom"/>
          </w:tcPr>
          <w:p w:rsidR="003F7A06" w:rsidRDefault="003F7A06" w:rsidP="003F7A06">
            <w:pPr>
              <w:pStyle w:val="TableTextRightItali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317" w:type="pct"/>
            <w:vAlign w:val="bottom"/>
          </w:tcPr>
          <w:p w:rsidR="003F7A06" w:rsidRDefault="003F7A06" w:rsidP="003F7A06">
            <w:pPr>
              <w:pStyle w:val="TableTextRightItali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317" w:type="pct"/>
            <w:vAlign w:val="bottom"/>
          </w:tcPr>
          <w:p w:rsidR="003F7A06" w:rsidRDefault="003F7A06" w:rsidP="003F7A06">
            <w:pPr>
              <w:pStyle w:val="TableTextRightItali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315" w:type="pct"/>
            <w:vAlign w:val="bottom"/>
          </w:tcPr>
          <w:p w:rsidR="003F7A06" w:rsidRDefault="003F7A06" w:rsidP="003F7A06">
            <w:pPr>
              <w:pStyle w:val="TableTextRightItali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3F7A06" w:rsidTr="00914D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shd w:val="clear" w:color="auto" w:fill="D7DDE9" w:themeFill="accent3"/>
            <w:vAlign w:val="center"/>
          </w:tcPr>
          <w:p w:rsidR="003F7A06" w:rsidRPr="00187636" w:rsidRDefault="003F7A06" w:rsidP="00187636">
            <w:pPr>
              <w:pStyle w:val="TableHeading"/>
              <w:rPr>
                <w:b/>
                <w:noProof/>
              </w:rPr>
            </w:pPr>
            <w:r w:rsidRPr="00187636">
              <w:rPr>
                <w:b/>
                <w:noProof/>
              </w:rPr>
              <w:t>Total</w:t>
            </w:r>
          </w:p>
        </w:tc>
        <w:tc>
          <w:tcPr>
            <w:tcW w:w="317" w:type="pct"/>
            <w:shd w:val="clear" w:color="auto" w:fill="D7DDE9" w:themeFill="accent3"/>
            <w:vAlign w:val="bottom"/>
          </w:tcPr>
          <w:p w:rsidR="003F7A06" w:rsidRPr="003F7A06" w:rsidRDefault="003F7A06" w:rsidP="003F7A06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17" w:type="pct"/>
            <w:shd w:val="clear" w:color="auto" w:fill="D7DDE9" w:themeFill="accent3"/>
            <w:vAlign w:val="bottom"/>
          </w:tcPr>
          <w:p w:rsidR="003F7A06" w:rsidRPr="003F7A06" w:rsidRDefault="003F7A06" w:rsidP="003F7A06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F7A06">
              <w:rPr>
                <w:b/>
              </w:rPr>
              <w:t>-210</w:t>
            </w:r>
          </w:p>
        </w:tc>
        <w:tc>
          <w:tcPr>
            <w:tcW w:w="317" w:type="pct"/>
            <w:shd w:val="clear" w:color="auto" w:fill="D7DDE9" w:themeFill="accent3"/>
            <w:vAlign w:val="bottom"/>
          </w:tcPr>
          <w:p w:rsidR="003F7A06" w:rsidRPr="003F7A06" w:rsidRDefault="003F7A06" w:rsidP="003F7A06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F7A06">
              <w:rPr>
                <w:b/>
              </w:rPr>
              <w:t>-215</w:t>
            </w:r>
          </w:p>
        </w:tc>
        <w:tc>
          <w:tcPr>
            <w:tcW w:w="317" w:type="pct"/>
            <w:shd w:val="clear" w:color="auto" w:fill="D7DDE9" w:themeFill="accent3"/>
            <w:vAlign w:val="bottom"/>
          </w:tcPr>
          <w:p w:rsidR="003F7A06" w:rsidRPr="003F7A06" w:rsidRDefault="003F7A06" w:rsidP="003F7A06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F7A06">
              <w:rPr>
                <w:b/>
              </w:rPr>
              <w:t>-220</w:t>
            </w:r>
          </w:p>
        </w:tc>
        <w:tc>
          <w:tcPr>
            <w:tcW w:w="317" w:type="pct"/>
            <w:shd w:val="clear" w:color="auto" w:fill="D7DDE9" w:themeFill="accent3"/>
            <w:vAlign w:val="bottom"/>
          </w:tcPr>
          <w:p w:rsidR="003F7A06" w:rsidRPr="003F7A06" w:rsidRDefault="003F7A06" w:rsidP="003F7A06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F7A06">
              <w:rPr>
                <w:b/>
                <w:bCs/>
              </w:rPr>
              <w:t>-645</w:t>
            </w:r>
          </w:p>
        </w:tc>
        <w:tc>
          <w:tcPr>
            <w:tcW w:w="317" w:type="pct"/>
            <w:shd w:val="clear" w:color="auto" w:fill="D7DDE9" w:themeFill="accent3"/>
            <w:vAlign w:val="bottom"/>
          </w:tcPr>
          <w:p w:rsidR="003F7A06" w:rsidRPr="003F7A06" w:rsidRDefault="003F7A06" w:rsidP="003F7A06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F7A06">
              <w:rPr>
                <w:b/>
              </w:rPr>
              <w:t>-225</w:t>
            </w:r>
          </w:p>
        </w:tc>
        <w:tc>
          <w:tcPr>
            <w:tcW w:w="317" w:type="pct"/>
            <w:shd w:val="clear" w:color="auto" w:fill="D7DDE9" w:themeFill="accent3"/>
            <w:vAlign w:val="bottom"/>
          </w:tcPr>
          <w:p w:rsidR="003F7A06" w:rsidRPr="003F7A06" w:rsidRDefault="003F7A06" w:rsidP="003F7A06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F7A06">
              <w:rPr>
                <w:b/>
              </w:rPr>
              <w:t>-230</w:t>
            </w:r>
          </w:p>
        </w:tc>
        <w:tc>
          <w:tcPr>
            <w:tcW w:w="317" w:type="pct"/>
            <w:shd w:val="clear" w:color="auto" w:fill="D7DDE9" w:themeFill="accent3"/>
            <w:vAlign w:val="bottom"/>
          </w:tcPr>
          <w:p w:rsidR="003F7A06" w:rsidRPr="003F7A06" w:rsidRDefault="003F7A06" w:rsidP="003F7A06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F7A06">
              <w:rPr>
                <w:b/>
              </w:rPr>
              <w:t>-235</w:t>
            </w:r>
          </w:p>
        </w:tc>
        <w:tc>
          <w:tcPr>
            <w:tcW w:w="317" w:type="pct"/>
            <w:shd w:val="clear" w:color="auto" w:fill="D7DDE9" w:themeFill="accent3"/>
            <w:vAlign w:val="bottom"/>
          </w:tcPr>
          <w:p w:rsidR="003F7A06" w:rsidRPr="003F7A06" w:rsidRDefault="003F1EC3" w:rsidP="003F7A06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-240</w:t>
            </w:r>
          </w:p>
        </w:tc>
        <w:tc>
          <w:tcPr>
            <w:tcW w:w="317" w:type="pct"/>
            <w:shd w:val="clear" w:color="auto" w:fill="D7DDE9" w:themeFill="accent3"/>
            <w:vAlign w:val="bottom"/>
          </w:tcPr>
          <w:p w:rsidR="003F7A06" w:rsidRPr="003F7A06" w:rsidRDefault="003F1EC3" w:rsidP="003F7A06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-245</w:t>
            </w:r>
          </w:p>
        </w:tc>
        <w:tc>
          <w:tcPr>
            <w:tcW w:w="317" w:type="pct"/>
            <w:shd w:val="clear" w:color="auto" w:fill="D7DDE9" w:themeFill="accent3"/>
            <w:vAlign w:val="bottom"/>
          </w:tcPr>
          <w:p w:rsidR="003F7A06" w:rsidRPr="003F7A06" w:rsidRDefault="003F1EC3" w:rsidP="003F7A06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-250</w:t>
            </w:r>
          </w:p>
        </w:tc>
        <w:tc>
          <w:tcPr>
            <w:tcW w:w="317" w:type="pct"/>
            <w:shd w:val="clear" w:color="auto" w:fill="D7DDE9" w:themeFill="accent3"/>
            <w:vAlign w:val="bottom"/>
          </w:tcPr>
          <w:p w:rsidR="003F7A06" w:rsidRPr="003F7A06" w:rsidRDefault="003F1EC3" w:rsidP="003F7A06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-255</w:t>
            </w:r>
          </w:p>
        </w:tc>
        <w:tc>
          <w:tcPr>
            <w:tcW w:w="315" w:type="pct"/>
            <w:shd w:val="clear" w:color="auto" w:fill="D7DDE9" w:themeFill="accent3"/>
            <w:vAlign w:val="bottom"/>
          </w:tcPr>
          <w:p w:rsidR="003F7A06" w:rsidRPr="003F7A06" w:rsidRDefault="003F1EC3" w:rsidP="003F7A06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-2,32</w:t>
            </w:r>
            <w:r w:rsidR="003F7A06" w:rsidRPr="003F7A06">
              <w:rPr>
                <w:b/>
                <w:bCs/>
              </w:rPr>
              <w:t>5</w:t>
            </w:r>
          </w:p>
        </w:tc>
      </w:tr>
    </w:tbl>
    <w:p w:rsidR="00132599" w:rsidRDefault="00132599" w:rsidP="008C10AF">
      <w:pPr>
        <w:pStyle w:val="TableFootnotes"/>
        <w:numPr>
          <w:ilvl w:val="0"/>
          <w:numId w:val="53"/>
        </w:numPr>
        <w:ind w:left="284" w:hanging="284"/>
      </w:pPr>
      <w:r>
        <w:t>A positive number indicates an increase in revenue or a decrease in expenses or net capital investment in accrual and cash terms.  A negative number indicates a decrease in revenue or an increase in expenses or net capital investment in accrual and cash terms.</w:t>
      </w:r>
    </w:p>
    <w:p w:rsidR="003E1562" w:rsidRPr="002D239A" w:rsidRDefault="003E1562" w:rsidP="008C10AF">
      <w:pPr>
        <w:pStyle w:val="TableFootnotes"/>
        <w:ind w:left="284" w:hanging="284"/>
      </w:pPr>
      <w:r>
        <w:t>Figures may not sum to totals due to rounding.</w:t>
      </w:r>
    </w:p>
    <w:p w:rsidR="00AD472C" w:rsidRDefault="003E1562" w:rsidP="008C10AF">
      <w:pPr>
        <w:pStyle w:val="TableFootnotes"/>
        <w:keepLines w:val="0"/>
        <w:numPr>
          <w:ilvl w:val="0"/>
          <w:numId w:val="44"/>
        </w:numPr>
        <w:ind w:left="284" w:hanging="284"/>
      </w:pPr>
      <w:r>
        <w:t>Indicates nil.</w:t>
      </w:r>
    </w:p>
    <w:p w:rsidR="00AD472C" w:rsidRDefault="00AD472C">
      <w:pPr>
        <w:rPr>
          <w:sz w:val="20"/>
        </w:rPr>
      </w:pPr>
    </w:p>
    <w:sectPr w:rsidR="00AD472C" w:rsidSect="001E33C2">
      <w:headerReference w:type="even" r:id="rId13"/>
      <w:footerReference w:type="even" r:id="rId14"/>
      <w:headerReference w:type="first" r:id="rId15"/>
      <w:footerReference w:type="first" r:id="rId16"/>
      <w:pgSz w:w="16839" w:h="11907" w:orient="landscape" w:code="9"/>
      <w:pgMar w:top="1797" w:right="1361" w:bottom="1797" w:left="1474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C46" w:rsidRDefault="00632C46" w:rsidP="00A20802">
      <w:pPr>
        <w:spacing w:line="240" w:lineRule="auto"/>
      </w:pPr>
      <w:r>
        <w:separator/>
      </w:r>
    </w:p>
    <w:p w:rsidR="00632C46" w:rsidRDefault="00632C46"/>
  </w:endnote>
  <w:endnote w:type="continuationSeparator" w:id="0">
    <w:p w:rsidR="00632C46" w:rsidRDefault="00632C46" w:rsidP="00A20802">
      <w:pPr>
        <w:spacing w:line="240" w:lineRule="auto"/>
      </w:pPr>
      <w:r>
        <w:continuationSeparator/>
      </w:r>
    </w:p>
    <w:p w:rsidR="00632C46" w:rsidRDefault="00632C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B52" w:rsidRDefault="00201B52" w:rsidP="002C4DA6">
    <w:pPr>
      <w:pStyle w:val="Footer"/>
      <w:ind w:left="7286" w:hanging="3714"/>
      <w:jc w:val="right"/>
      <w:rPr>
        <w:rStyle w:val="FooterChar"/>
        <w:b/>
      </w:rPr>
    </w:pPr>
    <w:r w:rsidRPr="002C4DA6">
      <w:rPr>
        <w:rStyle w:val="FooterChar"/>
        <w:b/>
      </w:rPr>
      <w:t xml:space="preserve">Page </w:t>
    </w:r>
    <w:r w:rsidRPr="002C4DA6">
      <w:rPr>
        <w:rStyle w:val="FooterChar"/>
        <w:b/>
      </w:rPr>
      <w:fldChar w:fldCharType="begin"/>
    </w:r>
    <w:r w:rsidRPr="002C4DA6">
      <w:rPr>
        <w:rStyle w:val="FooterChar"/>
        <w:b/>
      </w:rPr>
      <w:instrText xml:space="preserve"> PAGE  \* Arabic  \* MERGEFORMAT </w:instrText>
    </w:r>
    <w:r w:rsidRPr="002C4DA6">
      <w:rPr>
        <w:rStyle w:val="FooterChar"/>
        <w:b/>
      </w:rPr>
      <w:fldChar w:fldCharType="separate"/>
    </w:r>
    <w:r w:rsidR="00B43AD8">
      <w:rPr>
        <w:rStyle w:val="FooterChar"/>
        <w:b/>
        <w:noProof/>
      </w:rPr>
      <w:t>2</w:t>
    </w:r>
    <w:r w:rsidRPr="002C4DA6">
      <w:rPr>
        <w:rStyle w:val="FooterChar"/>
        <w:b/>
      </w:rPr>
      <w:fldChar w:fldCharType="end"/>
    </w:r>
    <w:r w:rsidRPr="002C4DA6">
      <w:rPr>
        <w:rStyle w:val="FooterChar"/>
        <w:b/>
      </w:rPr>
      <w:t xml:space="preserve"> of </w:t>
    </w:r>
    <w:r w:rsidRPr="002C4DA6">
      <w:rPr>
        <w:rStyle w:val="FooterChar"/>
        <w:b/>
      </w:rPr>
      <w:fldChar w:fldCharType="begin"/>
    </w:r>
    <w:r w:rsidRPr="002C4DA6">
      <w:rPr>
        <w:rStyle w:val="FooterChar"/>
        <w:b/>
      </w:rPr>
      <w:instrText xml:space="preserve"> NUMPAGES  \* Arabic  \* MERGEFORMAT </w:instrText>
    </w:r>
    <w:r w:rsidRPr="002C4DA6">
      <w:rPr>
        <w:rStyle w:val="FooterChar"/>
        <w:b/>
      </w:rPr>
      <w:fldChar w:fldCharType="separate"/>
    </w:r>
    <w:r w:rsidR="00B43AD8">
      <w:rPr>
        <w:rStyle w:val="FooterChar"/>
        <w:b/>
        <w:noProof/>
      </w:rPr>
      <w:t>3</w:t>
    </w:r>
    <w:r w:rsidRPr="002C4DA6">
      <w:rPr>
        <w:rStyle w:val="FooterChar"/>
        <w:b/>
      </w:rPr>
      <w:fldChar w:fldCharType="end"/>
    </w:r>
  </w:p>
  <w:p w:rsidR="00201B52" w:rsidRPr="001E12A9" w:rsidRDefault="00201B52" w:rsidP="0000071C">
    <w:pPr>
      <w:pStyle w:val="Footer"/>
      <w:ind w:left="3714" w:hanging="3714"/>
      <w:jc w:val="center"/>
      <w:rPr>
        <w:rFonts w:ascii="Calibri" w:hAnsi="Calibri" w:cs="Arial"/>
        <w:strike/>
        <w:color w:val="FF0000"/>
        <w:sz w:val="40"/>
        <w:szCs w:val="40"/>
      </w:rPr>
    </w:pPr>
    <w:r w:rsidRPr="001E12A9">
      <w:rPr>
        <w:rStyle w:val="FooterChar"/>
        <w:rFonts w:ascii="Calibri" w:hAnsi="Calibri" w:cs="Arial"/>
        <w:b/>
        <w:strike/>
        <w:color w:val="FF0000"/>
        <w:sz w:val="40"/>
        <w:szCs w:val="40"/>
      </w:rPr>
      <w:t>Sensitive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C46" w:rsidRDefault="00632C46" w:rsidP="00476133">
    <w:pPr>
      <w:pStyle w:val="Footer"/>
      <w:ind w:left="7286" w:hanging="3714"/>
      <w:jc w:val="right"/>
      <w:rPr>
        <w:rStyle w:val="FooterChar"/>
        <w:b/>
      </w:rPr>
    </w:pPr>
    <w:r w:rsidRPr="002C4DA6">
      <w:rPr>
        <w:rStyle w:val="FooterChar"/>
        <w:b/>
      </w:rPr>
      <w:t xml:space="preserve">Page </w:t>
    </w:r>
    <w:r w:rsidRPr="002C4DA6">
      <w:rPr>
        <w:rStyle w:val="FooterChar"/>
        <w:b/>
      </w:rPr>
      <w:fldChar w:fldCharType="begin"/>
    </w:r>
    <w:r w:rsidRPr="002C4DA6">
      <w:rPr>
        <w:rStyle w:val="FooterChar"/>
        <w:b/>
      </w:rPr>
      <w:instrText xml:space="preserve"> PAGE  \* Arabic  \* MERGEFORMAT </w:instrText>
    </w:r>
    <w:r w:rsidRPr="002C4DA6">
      <w:rPr>
        <w:rStyle w:val="FooterChar"/>
        <w:b/>
      </w:rPr>
      <w:fldChar w:fldCharType="separate"/>
    </w:r>
    <w:r w:rsidR="00B43AD8">
      <w:rPr>
        <w:rStyle w:val="FooterChar"/>
        <w:b/>
        <w:noProof/>
      </w:rPr>
      <w:t>1</w:t>
    </w:r>
    <w:r w:rsidRPr="002C4DA6">
      <w:rPr>
        <w:rStyle w:val="FooterChar"/>
        <w:b/>
      </w:rPr>
      <w:fldChar w:fldCharType="end"/>
    </w:r>
    <w:r w:rsidRPr="002C4DA6">
      <w:rPr>
        <w:rStyle w:val="FooterChar"/>
        <w:b/>
      </w:rPr>
      <w:t xml:space="preserve"> of </w:t>
    </w:r>
    <w:r w:rsidR="002F5801">
      <w:rPr>
        <w:rStyle w:val="FooterChar"/>
        <w:b/>
      </w:rPr>
      <w:t>3</w:t>
    </w:r>
  </w:p>
  <w:p w:rsidR="00632C46" w:rsidRPr="001E12A9" w:rsidRDefault="00632C46" w:rsidP="00EF0A00">
    <w:pPr>
      <w:pStyle w:val="Footer"/>
      <w:ind w:left="3714" w:hanging="3714"/>
      <w:jc w:val="center"/>
      <w:rPr>
        <w:rFonts w:ascii="Calibri" w:hAnsi="Calibri" w:cs="Arial"/>
        <w:strike/>
        <w:color w:val="FF0000"/>
        <w:sz w:val="40"/>
        <w:szCs w:val="40"/>
      </w:rPr>
    </w:pPr>
    <w:r w:rsidRPr="001E12A9">
      <w:rPr>
        <w:rStyle w:val="FooterChar"/>
        <w:rFonts w:ascii="Calibri" w:hAnsi="Calibri" w:cs="Arial"/>
        <w:b/>
        <w:strike/>
        <w:color w:val="FF0000"/>
        <w:sz w:val="40"/>
        <w:szCs w:val="40"/>
      </w:rPr>
      <w:t>Sensitive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AsPlaceholder"/>
      <w:tblpPr w:bottomFromText="283" w:vertAnchor="page" w:horzAnchor="margin" w:tblpYSpec="bottom"/>
      <w:tblW w:w="8731" w:type="dxa"/>
      <w:tblLayout w:type="fixed"/>
      <w:tblCellMar>
        <w:top w:w="28" w:type="dxa"/>
      </w:tblCellMar>
      <w:tblLook w:val="04A0" w:firstRow="1" w:lastRow="0" w:firstColumn="1" w:lastColumn="0" w:noHBand="0" w:noVBand="1"/>
    </w:tblPr>
    <w:tblGrid>
      <w:gridCol w:w="567"/>
      <w:gridCol w:w="8164"/>
    </w:tblGrid>
    <w:tr w:rsidR="00632C46" w:rsidRPr="00EB388E" w:rsidTr="002D239A">
      <w:trPr>
        <w:trHeight w:val="340"/>
      </w:trPr>
      <w:tc>
        <w:tcPr>
          <w:tcW w:w="567" w:type="dxa"/>
          <w:tcBorders>
            <w:right w:val="single" w:sz="4" w:space="0" w:color="788184" w:themeColor="background2"/>
          </w:tcBorders>
          <w:vAlign w:val="center"/>
        </w:tcPr>
        <w:p w:rsidR="00632C46" w:rsidRPr="00CB70DF" w:rsidRDefault="00632C46" w:rsidP="002D239A">
          <w:pPr>
            <w:pStyle w:val="FooterLeftPageNumber"/>
            <w:framePr w:wrap="auto" w:vAnchor="margin" w:hAnchor="text" w:yAlign="inline"/>
          </w:pPr>
          <w:r w:rsidRPr="00EB388E">
            <w:fldChar w:fldCharType="begin"/>
          </w:r>
          <w:r w:rsidRPr="00EB388E">
            <w:instrText xml:space="preserve"> PAGE   \* MERGEFORMAT </w:instrText>
          </w:r>
          <w:r w:rsidRPr="00EB388E">
            <w:fldChar w:fldCharType="separate"/>
          </w:r>
          <w:r w:rsidR="003160CA">
            <w:rPr>
              <w:noProof/>
            </w:rPr>
            <w:t>4</w:t>
          </w:r>
          <w:r w:rsidRPr="00EB388E">
            <w:fldChar w:fldCharType="end"/>
          </w:r>
        </w:p>
      </w:tc>
      <w:tc>
        <w:tcPr>
          <w:tcW w:w="8164" w:type="dxa"/>
          <w:tcBorders>
            <w:left w:val="single" w:sz="4" w:space="0" w:color="788184" w:themeColor="background2"/>
          </w:tcBorders>
          <w:vAlign w:val="center"/>
        </w:tcPr>
        <w:p w:rsidR="00632C46" w:rsidRPr="00CB70DF" w:rsidRDefault="00B43AD8" w:rsidP="002D239A">
          <w:pPr>
            <w:pStyle w:val="FooterLeft"/>
            <w:framePr w:wrap="auto" w:vAnchor="margin" w:hAnchor="text" w:yAlign="inline"/>
          </w:pPr>
          <w:r>
            <w:fldChar w:fldCharType="begin"/>
          </w:r>
          <w:r>
            <w:instrText xml:space="preserve"> STYLEREF  Title  \* MERGEFORMAT </w:instrText>
          </w:r>
          <w:r>
            <w:fldChar w:fldCharType="separate"/>
          </w:r>
          <w:r w:rsidR="003160CA">
            <w:rPr>
              <w:noProof/>
            </w:rPr>
            <w:t>Policy costing—outside the caretaker period</w:t>
          </w:r>
          <w:r>
            <w:rPr>
              <w:noProof/>
            </w:rPr>
            <w:fldChar w:fldCharType="end"/>
          </w:r>
        </w:p>
      </w:tc>
    </w:tr>
    <w:tr w:rsidR="00632C46" w:rsidRPr="00EB388E" w:rsidTr="002D239A">
      <w:trPr>
        <w:trHeight w:hRule="exact" w:val="403"/>
      </w:trPr>
      <w:tc>
        <w:tcPr>
          <w:tcW w:w="567" w:type="dxa"/>
          <w:tcMar>
            <w:bottom w:w="284" w:type="dxa"/>
          </w:tcMar>
        </w:tcPr>
        <w:p w:rsidR="00632C46" w:rsidRPr="00EB388E" w:rsidRDefault="00632C46" w:rsidP="002D239A">
          <w:pPr>
            <w:pStyle w:val="FooterRightPageNumber"/>
          </w:pPr>
        </w:p>
      </w:tc>
      <w:tc>
        <w:tcPr>
          <w:tcW w:w="8164" w:type="dxa"/>
          <w:tcMar>
            <w:bottom w:w="284" w:type="dxa"/>
          </w:tcMar>
        </w:tcPr>
        <w:p w:rsidR="00632C46" w:rsidRPr="00090E70" w:rsidRDefault="00632C46" w:rsidP="002D239A"/>
      </w:tc>
    </w:tr>
  </w:tbl>
  <w:p w:rsidR="00632C46" w:rsidRDefault="00632C46">
    <w:pPr>
      <w:pStyle w:val="Footer"/>
    </w:pPr>
  </w:p>
  <w:p w:rsidR="00632C46" w:rsidRPr="004816D7" w:rsidRDefault="00632C46" w:rsidP="0056001A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C46" w:rsidRPr="0046444F" w:rsidRDefault="00632C46" w:rsidP="0046444F">
    <w:pPr>
      <w:pStyle w:val="Header"/>
      <w:spacing w:after="240"/>
      <w:ind w:left="7309" w:hanging="7309"/>
    </w:pPr>
    <w:r w:rsidRPr="0092572B">
      <w:rPr>
        <w:b/>
        <w:color w:val="FF0000"/>
        <w:sz w:val="28"/>
        <w:szCs w:val="28"/>
      </w:rPr>
      <w:t>Sensitive</w:t>
    </w:r>
    <w:r>
      <w:rPr>
        <w:b/>
        <w:color w:val="FF0000"/>
        <w:sz w:val="28"/>
        <w:szCs w:val="28"/>
      </w:rPr>
      <w:tab/>
    </w:r>
    <w:r w:rsidRPr="00D67648">
      <w:rPr>
        <w:rStyle w:val="FooterChar"/>
      </w:rPr>
      <w:t xml:space="preserve">Page </w:t>
    </w:r>
    <w:r w:rsidRPr="00D67648">
      <w:rPr>
        <w:rStyle w:val="FooterChar"/>
      </w:rPr>
      <w:fldChar w:fldCharType="begin"/>
    </w:r>
    <w:r w:rsidRPr="00D67648">
      <w:rPr>
        <w:rStyle w:val="FooterChar"/>
      </w:rPr>
      <w:instrText xml:space="preserve"> PAGE  \* Arabic  \* MERGEFORMAT </w:instrText>
    </w:r>
    <w:r w:rsidRPr="00D67648">
      <w:rPr>
        <w:rStyle w:val="FooterChar"/>
      </w:rPr>
      <w:fldChar w:fldCharType="separate"/>
    </w:r>
    <w:r w:rsidR="003160CA">
      <w:rPr>
        <w:rStyle w:val="FooterChar"/>
        <w:noProof/>
      </w:rPr>
      <w:t>4</w:t>
    </w:r>
    <w:r w:rsidRPr="00D67648">
      <w:rPr>
        <w:rStyle w:val="FooterChar"/>
      </w:rPr>
      <w:fldChar w:fldCharType="end"/>
    </w:r>
    <w:r w:rsidRPr="00D67648">
      <w:rPr>
        <w:rStyle w:val="FooterChar"/>
      </w:rPr>
      <w:t xml:space="preserve"> of </w:t>
    </w:r>
    <w:r w:rsidRPr="00D67648">
      <w:rPr>
        <w:rStyle w:val="FooterChar"/>
      </w:rPr>
      <w:fldChar w:fldCharType="begin"/>
    </w:r>
    <w:r w:rsidRPr="00D67648">
      <w:rPr>
        <w:rStyle w:val="FooterChar"/>
      </w:rPr>
      <w:instrText xml:space="preserve"> NUMPAGES  \* Arabic  \* MERGEFORMAT </w:instrText>
    </w:r>
    <w:r w:rsidRPr="00D67648">
      <w:rPr>
        <w:rStyle w:val="FooterChar"/>
      </w:rPr>
      <w:fldChar w:fldCharType="separate"/>
    </w:r>
    <w:r w:rsidR="003160CA">
      <w:rPr>
        <w:rStyle w:val="FooterChar"/>
        <w:noProof/>
      </w:rPr>
      <w:t>4</w:t>
    </w:r>
    <w:r w:rsidRPr="00D67648">
      <w:rPr>
        <w:rStyle w:val="FooterCha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C46" w:rsidRPr="000557A7" w:rsidRDefault="00632C46" w:rsidP="008D5A11">
      <w:pPr>
        <w:pBdr>
          <w:top w:val="single" w:sz="4" w:space="1" w:color="auto"/>
        </w:pBdr>
        <w:spacing w:before="240" w:line="60" w:lineRule="exact"/>
        <w:rPr>
          <w:sz w:val="16"/>
          <w:szCs w:val="16"/>
        </w:rPr>
      </w:pPr>
    </w:p>
  </w:footnote>
  <w:footnote w:type="continuationSeparator" w:id="0">
    <w:p w:rsidR="00632C46" w:rsidRDefault="00632C46" w:rsidP="00A20802">
      <w:pPr>
        <w:spacing w:line="240" w:lineRule="auto"/>
      </w:pPr>
      <w:r>
        <w:continuationSeparator/>
      </w:r>
    </w:p>
    <w:p w:rsidR="00632C46" w:rsidRDefault="00632C4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B52" w:rsidRPr="001E12A9" w:rsidRDefault="00201B52" w:rsidP="002C4DA6">
    <w:pPr>
      <w:pStyle w:val="Header"/>
      <w:jc w:val="center"/>
      <w:rPr>
        <w:b/>
        <w:strike/>
        <w:color w:val="FF0000"/>
        <w:sz w:val="40"/>
        <w:szCs w:val="40"/>
      </w:rPr>
    </w:pPr>
    <w:r w:rsidRPr="001E12A9">
      <w:rPr>
        <w:b/>
        <w:strike/>
        <w:color w:val="FF0000"/>
        <w:sz w:val="40"/>
        <w:szCs w:val="40"/>
      </w:rPr>
      <w:t>Sensitive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C46" w:rsidRPr="001E12A9" w:rsidRDefault="00632C46" w:rsidP="002C4DA6">
    <w:pPr>
      <w:pStyle w:val="Header"/>
      <w:jc w:val="center"/>
      <w:rPr>
        <w:rFonts w:ascii="Calibri" w:hAnsi="Calibri"/>
        <w:b/>
        <w:strike/>
        <w:color w:val="FF0000"/>
        <w:sz w:val="40"/>
        <w:szCs w:val="40"/>
      </w:rPr>
    </w:pPr>
    <w:r w:rsidRPr="001E12A9">
      <w:rPr>
        <w:rFonts w:ascii="Calibri" w:hAnsi="Calibri"/>
        <w:b/>
        <w:strike/>
        <w:color w:val="FF0000"/>
        <w:sz w:val="40"/>
        <w:szCs w:val="40"/>
      </w:rPr>
      <w:t>Sensitive</w:t>
    </w:r>
  </w:p>
  <w:p w:rsidR="00632C46" w:rsidRPr="0046444F" w:rsidRDefault="00632C46" w:rsidP="0046444F">
    <w:pPr>
      <w:pStyle w:val="Header"/>
    </w:pPr>
    <w:r>
      <w:rPr>
        <w:noProof/>
        <w:lang w:eastAsia="en-AU"/>
      </w:rPr>
      <w:drawing>
        <wp:inline distT="0" distB="0" distL="0" distR="0" wp14:anchorId="1F3E819E" wp14:editId="3BFF418C">
          <wp:extent cx="2696845" cy="572135"/>
          <wp:effectExtent l="0" t="0" r="8255" b="0"/>
          <wp:docPr id="14" name="Picture 14" title="Parliamentary Budget Off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BO Logo inline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6845" cy="572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C46" w:rsidRDefault="00632C46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3056" behindDoc="1" locked="1" layoutInCell="1" allowOverlap="1" wp14:anchorId="45A8EECB" wp14:editId="7CDDCC2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60000" cy="1796400"/>
              <wp:effectExtent l="0" t="0" r="0" b="0"/>
              <wp:wrapNone/>
              <wp:docPr id="25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000" cy="17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2C46" w:rsidRPr="0001226A" w:rsidRDefault="00632C46" w:rsidP="00F45442">
                          <w:pPr>
                            <w:pStyle w:val="xStatus"/>
                            <w:rPr>
                              <w:szCs w:val="120"/>
                            </w:rPr>
                          </w:pPr>
                          <w:r w:rsidRPr="0001226A">
                            <w:rPr>
                              <w:szCs w:val="120"/>
                            </w:rPr>
                            <w:fldChar w:fldCharType="begin"/>
                          </w:r>
                          <w:r w:rsidRPr="0001226A">
                            <w:rPr>
                              <w:szCs w:val="120"/>
                            </w:rPr>
                            <w:instrText xml:space="preserve"> DOCPROPERTY  xStatus  \* MERGEFORMAT </w:instrText>
                          </w:r>
                          <w:r w:rsidRPr="0001226A">
                            <w:rPr>
                              <w:szCs w:val="1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0;width:595.3pt;height:141.45pt;z-index:-2516234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" filled="f" stroked="f">
              <v:textbox>
                <w:txbxContent>
                  <w:p w:rsidR="00632C46" w:rsidRPr="0001226A" w:rsidRDefault="00632C46" w:rsidP="00F45442">
                    <w:pPr>
                      <w:pStyle w:val="xStatus"/>
                      <w:rPr>
                        <w:szCs w:val="120"/>
                      </w:rPr>
                    </w:pPr>
                    <w:r w:rsidRPr="0001226A">
                      <w:rPr>
                        <w:szCs w:val="120"/>
                      </w:rPr>
                      <w:fldChar w:fldCharType="begin"/>
                    </w:r>
                    <w:r w:rsidRPr="0001226A">
                      <w:rPr>
                        <w:szCs w:val="120"/>
                      </w:rPr>
                      <w:instrText xml:space="preserve"> DOCPROPERTY  xStatus  \* MERGEFORMAT </w:instrText>
                    </w:r>
                    <w:r w:rsidRPr="0001226A">
                      <w:rPr>
                        <w:szCs w:val="120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C46" w:rsidRDefault="00632C46" w:rsidP="0046444F">
    <w:pPr>
      <w:pStyle w:val="Header"/>
      <w:jc w:val="right"/>
      <w:rPr>
        <w:b/>
        <w:color w:val="FF0000"/>
        <w:sz w:val="28"/>
        <w:szCs w:val="28"/>
      </w:rPr>
    </w:pPr>
    <w:r w:rsidRPr="0092572B">
      <w:rPr>
        <w:b/>
        <w:color w:val="FF0000"/>
        <w:sz w:val="28"/>
        <w:szCs w:val="28"/>
      </w:rPr>
      <w:t>Sensitive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18303A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singleLevel"/>
    <w:tmpl w:val="4EB878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2"/>
    <w:multiLevelType w:val="singleLevel"/>
    <w:tmpl w:val="37844A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6E30B5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EFB6B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01905B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68B37FE"/>
    <w:multiLevelType w:val="multilevel"/>
    <w:tmpl w:val="D1A2BED4"/>
    <w:name w:val="Bullets"/>
    <w:lvl w:ilvl="0">
      <w:start w:val="1"/>
      <w:numFmt w:val="bullet"/>
      <w:pStyle w:val="ListBullet"/>
      <w:lvlText w:val="•"/>
      <w:lvlJc w:val="left"/>
      <w:pPr>
        <w:tabs>
          <w:tab w:val="num" w:pos="454"/>
        </w:tabs>
        <w:ind w:left="454" w:hanging="454"/>
      </w:pPr>
      <w:rPr>
        <w:rFonts w:ascii="Calibri" w:hAnsi="Calibri" w:hint="default"/>
        <w:b w:val="0"/>
        <w:i w:val="0"/>
        <w:color w:val="auto"/>
        <w:position w:val="0"/>
        <w:sz w:val="22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907"/>
        </w:tabs>
        <w:ind w:left="907" w:hanging="453"/>
      </w:pPr>
      <w:rPr>
        <w:rFonts w:ascii="Calibri" w:hAnsi="Calibri" w:hint="default"/>
        <w:b w:val="0"/>
        <w:i w:val="0"/>
        <w:color w:val="auto"/>
        <w:position w:val="0"/>
        <w:sz w:val="22"/>
      </w:rPr>
    </w:lvl>
    <w:lvl w:ilvl="2">
      <w:start w:val="1"/>
      <w:numFmt w:val="bullet"/>
      <w:pStyle w:val="ListBullet3"/>
      <w:lvlText w:val=""/>
      <w:lvlJc w:val="left"/>
      <w:pPr>
        <w:tabs>
          <w:tab w:val="num" w:pos="1361"/>
        </w:tabs>
        <w:ind w:left="1361" w:hanging="454"/>
      </w:pPr>
      <w:rPr>
        <w:rFonts w:ascii="Wingdings" w:hAnsi="Wingdings" w:hint="default"/>
        <w:b w:val="0"/>
        <w:i w:val="0"/>
        <w:color w:val="auto"/>
        <w:spacing w:val="0"/>
        <w:w w:val="100"/>
        <w:position w:val="1"/>
        <w:sz w:val="22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7">
    <w:nsid w:val="0D745448"/>
    <w:multiLevelType w:val="multilevel"/>
    <w:tmpl w:val="CE3A3256"/>
    <w:name w:val="PBOHeadings"/>
    <w:lvl w:ilvl="0">
      <w:start w:val="1"/>
      <w:numFmt w:val="none"/>
      <w:lvlRestart w:val="0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4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5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6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7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8">
      <w:start w:val="1"/>
      <w:numFmt w:val="none"/>
      <w:lvlText w:val=""/>
      <w:lvlJc w:val="left"/>
      <w:pPr>
        <w:ind w:left="765" w:hanging="765"/>
      </w:pPr>
      <w:rPr>
        <w:rFonts w:hint="default"/>
      </w:rPr>
    </w:lvl>
  </w:abstractNum>
  <w:abstractNum w:abstractNumId="8">
    <w:nsid w:val="0FB2573F"/>
    <w:multiLevelType w:val="multilevel"/>
    <w:tmpl w:val="632E76C6"/>
    <w:name w:val="TableFootnotes"/>
    <w:lvl w:ilvl="0">
      <w:start w:val="1"/>
      <w:numFmt w:val="lowerLetter"/>
      <w:pStyle w:val="TableFootnotes"/>
      <w:lvlText w:val="(%1)"/>
      <w:lvlJc w:val="left"/>
      <w:pPr>
        <w:ind w:left="360" w:hanging="360"/>
      </w:pPr>
      <w:rPr>
        <w:rFonts w:hint="default"/>
        <w:color w:val="auto"/>
        <w:spacing w:val="0"/>
        <w:sz w:val="20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spacing w:val="0"/>
        <w:w w:val="100"/>
        <w:kern w:val="0"/>
        <w:position w:val="0"/>
      </w:rPr>
    </w:lvl>
    <w:lvl w:ilvl="2">
      <w:start w:val="1"/>
      <w:numFmt w:val="bullet"/>
      <w:lvlRestart w:val="1"/>
      <w:lvlText w:val=""/>
      <w:lvlJc w:val="left"/>
      <w:pPr>
        <w:tabs>
          <w:tab w:val="num" w:pos="624"/>
        </w:tabs>
        <w:ind w:left="624" w:hanging="170"/>
      </w:pPr>
      <w:rPr>
        <w:rFonts w:ascii="Symbol" w:hAnsi="Symbol" w:hint="default"/>
        <w:color w:val="auto"/>
        <w:spacing w:val="-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709" w:firstLine="0"/>
      </w:pPr>
      <w:rPr>
        <w:rFonts w:hint="default"/>
        <w:spacing w:val="-10"/>
        <w:w w:val="100"/>
      </w:rPr>
    </w:lvl>
    <w:lvl w:ilvl="4">
      <w:start w:val="1"/>
      <w:numFmt w:val="none"/>
      <w:lvlText w:val="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016" w:hanging="936"/>
      </w:pPr>
      <w:rPr>
        <w:rFonts w:hint="default"/>
      </w:rPr>
    </w:lvl>
    <w:lvl w:ilvl="6">
      <w:start w:val="1"/>
      <w:numFmt w:val="lowerRoman"/>
      <w:lvlRestart w:val="1"/>
      <w:lvlText w:val="%7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7"/>
        </w:tabs>
        <w:ind w:left="737" w:hanging="368"/>
      </w:pPr>
      <w:rPr>
        <w:rFonts w:hint="default"/>
        <w:position w:val="0"/>
      </w:rPr>
    </w:lvl>
    <w:lvl w:ilvl="8">
      <w:start w:val="1"/>
      <w:numFmt w:val="bullet"/>
      <w:lvlText w:val=""/>
      <w:lvlJc w:val="left"/>
      <w:pPr>
        <w:tabs>
          <w:tab w:val="num" w:pos="1106"/>
        </w:tabs>
        <w:ind w:left="1106" w:hanging="369"/>
      </w:pPr>
      <w:rPr>
        <w:rFonts w:ascii="Symbol" w:hAnsi="Symbol" w:hint="default"/>
        <w:position w:val="2"/>
        <w:sz w:val="20"/>
        <w:szCs w:val="20"/>
      </w:rPr>
    </w:lvl>
  </w:abstractNum>
  <w:abstractNum w:abstractNumId="9">
    <w:nsid w:val="194A695C"/>
    <w:multiLevelType w:val="multilevel"/>
    <w:tmpl w:val="9710D28A"/>
    <w:name w:val="TableBullets"/>
    <w:lvl w:ilvl="0">
      <w:start w:val="1"/>
      <w:numFmt w:val="bullet"/>
      <w:pStyle w:val="TableTextBullet"/>
      <w:lvlText w:val="•"/>
      <w:lvlJc w:val="left"/>
      <w:pPr>
        <w:tabs>
          <w:tab w:val="num" w:pos="284"/>
        </w:tabs>
        <w:ind w:left="284" w:hanging="171"/>
      </w:pPr>
      <w:rPr>
        <w:rFonts w:ascii="Calibri" w:hAnsi="Calibri" w:hint="default"/>
        <w:color w:val="auto"/>
        <w:position w:val="2"/>
        <w:sz w:val="20"/>
        <w:szCs w:val="12"/>
      </w:rPr>
    </w:lvl>
    <w:lvl w:ilvl="1">
      <w:start w:val="1"/>
      <w:numFmt w:val="bullet"/>
      <w:pStyle w:val="TableTextBullet2"/>
      <w:lvlText w:val="–"/>
      <w:lvlJc w:val="left"/>
      <w:pPr>
        <w:tabs>
          <w:tab w:val="num" w:pos="454"/>
        </w:tabs>
        <w:ind w:left="454" w:hanging="170"/>
      </w:pPr>
      <w:rPr>
        <w:rFonts w:ascii="Times New Roman" w:hAnsi="Times New Roman" w:cs="Times New Roman" w:hint="default"/>
        <w:b w:val="0"/>
        <w:i w:val="0"/>
        <w:color w:val="auto"/>
        <w:sz w:val="20"/>
        <w:szCs w:val="18"/>
      </w:rPr>
    </w:lvl>
    <w:lvl w:ilvl="2">
      <w:start w:val="1"/>
      <w:numFmt w:val="bullet"/>
      <w:pStyle w:val="TableTextBullet3"/>
      <w:lvlText w:val="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  <w:color w:val="auto"/>
        <w:position w:val="1"/>
        <w:sz w:val="20"/>
      </w:rPr>
    </w:lvl>
    <w:lvl w:ilvl="3">
      <w:start w:val="1"/>
      <w:numFmt w:val="none"/>
      <w:lvlText w:val=""/>
      <w:lvlJc w:val="left"/>
      <w:pPr>
        <w:ind w:left="2767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487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207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4927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6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367" w:hanging="360"/>
      </w:pPr>
      <w:rPr>
        <w:rFonts w:hint="default"/>
      </w:rPr>
    </w:lvl>
  </w:abstractNum>
  <w:abstractNum w:abstractNumId="10">
    <w:nsid w:val="1D975442"/>
    <w:multiLevelType w:val="hybridMultilevel"/>
    <w:tmpl w:val="7E50674C"/>
    <w:lvl w:ilvl="0" w:tplc="535C60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D045EF"/>
    <w:multiLevelType w:val="multilevel"/>
    <w:tmpl w:val="D34CA96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color w:val="auto"/>
        <w:position w:val="2"/>
        <w:sz w:val="16"/>
      </w:rPr>
    </w:lvl>
    <w:lvl w:ilvl="1">
      <w:start w:val="1"/>
      <w:numFmt w:val="bullet"/>
      <w:lvlText w:val=""/>
      <w:lvlJc w:val="left"/>
      <w:pPr>
        <w:tabs>
          <w:tab w:val="num" w:pos="851"/>
        </w:tabs>
        <w:ind w:left="851" w:hanging="426"/>
      </w:pPr>
      <w:rPr>
        <w:rFonts w:ascii="Webdings" w:hAnsi="Webdings" w:hint="default"/>
        <w:b w:val="0"/>
        <w:i w:val="0"/>
        <w:color w:val="auto"/>
        <w:position w:val="2"/>
        <w:sz w:val="18"/>
      </w:rPr>
    </w:lvl>
    <w:lvl w:ilvl="2">
      <w:start w:val="1"/>
      <w:numFmt w:val="bullet"/>
      <w:lvlText w:val="–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b w:val="0"/>
        <w:i w:val="0"/>
        <w:spacing w:val="0"/>
        <w:w w:val="100"/>
        <w:position w:val="4"/>
        <w:sz w:val="20"/>
        <w:szCs w:val="16"/>
      </w:rPr>
    </w:lvl>
    <w:lvl w:ilvl="3">
      <w:start w:val="1"/>
      <w:numFmt w:val="none"/>
      <w:lvlText w:val="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C72580B"/>
    <w:multiLevelType w:val="multilevel"/>
    <w:tmpl w:val="A1605A0E"/>
    <w:name w:val="PullOutNumbering"/>
    <w:lvl w:ilvl="0">
      <w:start w:val="1"/>
      <w:numFmt w:val="decimal"/>
      <w:pStyle w:val="PullOutBoxNumber"/>
      <w:lvlText w:val="%1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>
      <w:start w:val="1"/>
      <w:numFmt w:val="lowerLetter"/>
      <w:pStyle w:val="PullOutBoxNumber2"/>
      <w:lvlText w:val="%2"/>
      <w:lvlJc w:val="left"/>
      <w:pPr>
        <w:tabs>
          <w:tab w:val="num" w:pos="964"/>
        </w:tabs>
        <w:ind w:left="964" w:hanging="340"/>
      </w:pPr>
      <w:rPr>
        <w:rFonts w:hint="default"/>
        <w:color w:val="auto"/>
      </w:rPr>
    </w:lvl>
    <w:lvl w:ilvl="2">
      <w:start w:val="1"/>
      <w:numFmt w:val="lowerRoman"/>
      <w:pStyle w:val="PullOutBoxNumber3"/>
      <w:lvlText w:val="%3"/>
      <w:lvlJc w:val="left"/>
      <w:pPr>
        <w:tabs>
          <w:tab w:val="num" w:pos="1304"/>
        </w:tabs>
        <w:ind w:left="1304" w:hanging="340"/>
      </w:pPr>
      <w:rPr>
        <w:rFonts w:hint="default"/>
        <w:color w:val="auto"/>
        <w:position w:val="2"/>
        <w:sz w:val="22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3">
    <w:nsid w:val="38723AD4"/>
    <w:multiLevelType w:val="multilevel"/>
    <w:tmpl w:val="CC2400A2"/>
    <w:name w:val="PullOutBullets"/>
    <w:lvl w:ilvl="0">
      <w:start w:val="1"/>
      <w:numFmt w:val="bullet"/>
      <w:pStyle w:val="PullOutBoxBullet"/>
      <w:lvlText w:val="•"/>
      <w:lvlJc w:val="left"/>
      <w:pPr>
        <w:tabs>
          <w:tab w:val="num" w:pos="624"/>
        </w:tabs>
        <w:ind w:left="624" w:hanging="340"/>
      </w:pPr>
      <w:rPr>
        <w:rFonts w:ascii="Calibri" w:hAnsi="Calibri" w:hint="default"/>
        <w:color w:val="auto"/>
        <w:sz w:val="22"/>
      </w:rPr>
    </w:lvl>
    <w:lvl w:ilvl="1">
      <w:start w:val="1"/>
      <w:numFmt w:val="bullet"/>
      <w:pStyle w:val="PullOutBoxBullet2"/>
      <w:lvlText w:val="–"/>
      <w:lvlJc w:val="left"/>
      <w:pPr>
        <w:tabs>
          <w:tab w:val="num" w:pos="964"/>
        </w:tabs>
        <w:ind w:left="964" w:hanging="340"/>
      </w:pPr>
      <w:rPr>
        <w:rFonts w:ascii="Calibri" w:hAnsi="Calibri" w:hint="default"/>
        <w:color w:val="auto"/>
        <w:sz w:val="22"/>
      </w:rPr>
    </w:lvl>
    <w:lvl w:ilvl="2">
      <w:start w:val="1"/>
      <w:numFmt w:val="bullet"/>
      <w:pStyle w:val="PullOutBoxBullet3"/>
      <w:lvlText w:val=""/>
      <w:lvlJc w:val="left"/>
      <w:pPr>
        <w:tabs>
          <w:tab w:val="num" w:pos="1304"/>
        </w:tabs>
        <w:ind w:left="1304" w:hanging="340"/>
      </w:pPr>
      <w:rPr>
        <w:rFonts w:ascii="Wingdings" w:hAnsi="Wingdings" w:hint="default"/>
        <w:color w:val="auto"/>
        <w:position w:val="0"/>
        <w:sz w:val="22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58044C98"/>
    <w:multiLevelType w:val="hybridMultilevel"/>
    <w:tmpl w:val="E3749454"/>
    <w:lvl w:ilvl="0" w:tplc="D1AEAEB2">
      <w:start w:val="1"/>
      <w:numFmt w:val="bullet"/>
      <w:pStyle w:val="Letter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0540A9"/>
    <w:multiLevelType w:val="multilevel"/>
    <w:tmpl w:val="E4D434E6"/>
    <w:name w:val="AppendicesNumbering"/>
    <w:lvl w:ilvl="0">
      <w:start w:val="1"/>
      <w:numFmt w:val="upperLetter"/>
      <w:lvlRestart w:val="0"/>
      <w:pStyle w:val="Heading8"/>
      <w:suff w:val="space"/>
      <w:lvlText w:val="Attachment %1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  <w:sz w:val="26"/>
      </w:rPr>
    </w:lvl>
    <w:lvl w:ilvl="2">
      <w:start w:val="1"/>
      <w:numFmt w:val="none"/>
      <w:pStyle w:val="AttachmentHeading2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Restart w:val="2"/>
      <w:pStyle w:val="AttachmentHeading3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1134"/>
        </w:tabs>
        <w:ind w:left="765" w:hanging="765"/>
      </w:pPr>
      <w:rPr>
        <w:rFonts w:hint="default"/>
      </w:rPr>
    </w:lvl>
    <w:lvl w:ilvl="5">
      <w:start w:val="1"/>
      <w:numFmt w:val="none"/>
      <w:lvlText w:val=""/>
      <w:lvlJc w:val="right"/>
      <w:pPr>
        <w:ind w:left="765" w:hanging="765"/>
      </w:pPr>
      <w:rPr>
        <w:rFonts w:hint="default"/>
      </w:rPr>
    </w:lvl>
    <w:lvl w:ilvl="6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7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8">
      <w:start w:val="1"/>
      <w:numFmt w:val="none"/>
      <w:lvlText w:val=""/>
      <w:lvlJc w:val="right"/>
      <w:pPr>
        <w:ind w:left="765" w:hanging="765"/>
      </w:pPr>
      <w:rPr>
        <w:rFonts w:hint="default"/>
      </w:rPr>
    </w:lvl>
  </w:abstractNum>
  <w:abstractNum w:abstractNumId="16">
    <w:nsid w:val="6D1D40AC"/>
    <w:multiLevelType w:val="multilevel"/>
    <w:tmpl w:val="D18C6390"/>
    <w:name w:val="TableNumbering"/>
    <w:lvl w:ilvl="0">
      <w:start w:val="1"/>
      <w:numFmt w:val="decimal"/>
      <w:pStyle w:val="TableTextNumber"/>
      <w:lvlText w:val="%1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pStyle w:val="TableTextNumber2"/>
      <w:lvlText w:val="%2"/>
      <w:lvlJc w:val="left"/>
      <w:pPr>
        <w:tabs>
          <w:tab w:val="num" w:pos="709"/>
        </w:tabs>
        <w:ind w:left="709" w:hanging="283"/>
      </w:pPr>
      <w:rPr>
        <w:rFonts w:hint="default"/>
      </w:rPr>
    </w:lvl>
    <w:lvl w:ilvl="2">
      <w:start w:val="1"/>
      <w:numFmt w:val="lowerRoman"/>
      <w:pStyle w:val="TableTextNumber3"/>
      <w:lvlText w:val="%3"/>
      <w:lvlJc w:val="left"/>
      <w:pPr>
        <w:tabs>
          <w:tab w:val="num" w:pos="964"/>
        </w:tabs>
        <w:ind w:left="96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>
    <w:nsid w:val="70250B03"/>
    <w:multiLevelType w:val="multilevel"/>
    <w:tmpl w:val="5796740A"/>
    <w:name w:val="QuoteBullets"/>
    <w:lvl w:ilvl="0">
      <w:start w:val="1"/>
      <w:numFmt w:val="bullet"/>
      <w:pStyle w:val="QuoteBullet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  <w:sz w:val="18"/>
      </w:rPr>
    </w:lvl>
    <w:lvl w:ilvl="1">
      <w:start w:val="1"/>
      <w:numFmt w:val="bullet"/>
      <w:pStyle w:val="QuoteBullet2"/>
      <w:lvlText w:val="‒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  <w:color w:val="auto"/>
      </w:rPr>
    </w:lvl>
    <w:lvl w:ilvl="2">
      <w:start w:val="1"/>
      <w:numFmt w:val="bullet"/>
      <w:lvlText w:val="‒"/>
      <w:lvlJc w:val="left"/>
      <w:pPr>
        <w:tabs>
          <w:tab w:val="num" w:pos="1418"/>
        </w:tabs>
        <w:ind w:left="1418" w:hanging="283"/>
      </w:pPr>
      <w:rPr>
        <w:rFonts w:ascii="Calibri" w:hAnsi="Calibri" w:hint="default"/>
        <w:color w:val="2B3B5F" w:themeColor="text2"/>
      </w:rPr>
    </w:lvl>
    <w:lvl w:ilvl="3">
      <w:start w:val="1"/>
      <w:numFmt w:val="bullet"/>
      <w:lvlText w:val=""/>
      <w:lvlJc w:val="left"/>
      <w:pPr>
        <w:ind w:left="1136" w:firstLine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20" w:firstLine="28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704" w:firstLine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8" w:firstLine="283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272" w:firstLine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556" w:firstLine="283"/>
      </w:pPr>
      <w:rPr>
        <w:rFonts w:ascii="Symbol" w:hAnsi="Symbol" w:hint="default"/>
      </w:rPr>
    </w:lvl>
  </w:abstractNum>
  <w:abstractNum w:abstractNumId="18">
    <w:nsid w:val="7839021E"/>
    <w:multiLevelType w:val="multilevel"/>
    <w:tmpl w:val="C186E662"/>
    <w:name w:val="ListNumbering"/>
    <w:lvl w:ilvl="0">
      <w:start w:val="1"/>
      <w:numFmt w:val="decimal"/>
      <w:pStyle w:val="ListNumber"/>
      <w:lvlText w:val="%1"/>
      <w:lvlJc w:val="left"/>
      <w:pPr>
        <w:tabs>
          <w:tab w:val="num" w:pos="454"/>
        </w:tabs>
        <w:ind w:left="454" w:hanging="454"/>
      </w:pPr>
      <w:rPr>
        <w:rFonts w:hint="default"/>
        <w:color w:val="auto"/>
        <w:spacing w:val="0"/>
        <w:sz w:val="22"/>
      </w:rPr>
    </w:lvl>
    <w:lvl w:ilvl="1">
      <w:start w:val="1"/>
      <w:numFmt w:val="lowerLetter"/>
      <w:pStyle w:val="ListNumber2"/>
      <w:lvlText w:val="%2"/>
      <w:lvlJc w:val="left"/>
      <w:pPr>
        <w:tabs>
          <w:tab w:val="num" w:pos="907"/>
        </w:tabs>
        <w:ind w:left="907" w:hanging="453"/>
      </w:pPr>
      <w:rPr>
        <w:rFonts w:hint="default"/>
        <w:color w:val="auto"/>
        <w:spacing w:val="0"/>
        <w:sz w:val="22"/>
      </w:rPr>
    </w:lvl>
    <w:lvl w:ilvl="2">
      <w:start w:val="1"/>
      <w:numFmt w:val="lowerRoman"/>
      <w:pStyle w:val="ListNumber3"/>
      <w:lvlText w:val="%3"/>
      <w:lvlJc w:val="left"/>
      <w:pPr>
        <w:tabs>
          <w:tab w:val="num" w:pos="1361"/>
        </w:tabs>
        <w:ind w:left="1361" w:hanging="454"/>
      </w:pPr>
      <w:rPr>
        <w:rFonts w:hint="default"/>
        <w:color w:val="auto"/>
        <w:spacing w:val="0"/>
        <w:position w:val="0"/>
        <w:sz w:val="20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5"/>
  </w:num>
  <w:num w:numId="5">
    <w:abstractNumId w:val="5"/>
  </w:num>
  <w:num w:numId="6">
    <w:abstractNumId w:val="6"/>
  </w:num>
  <w:num w:numId="7">
    <w:abstractNumId w:val="3"/>
  </w:num>
  <w:num w:numId="8">
    <w:abstractNumId w:val="6"/>
  </w:num>
  <w:num w:numId="9">
    <w:abstractNumId w:val="2"/>
  </w:num>
  <w:num w:numId="10">
    <w:abstractNumId w:val="6"/>
  </w:num>
  <w:num w:numId="11">
    <w:abstractNumId w:val="4"/>
  </w:num>
  <w:num w:numId="12">
    <w:abstractNumId w:val="18"/>
  </w:num>
  <w:num w:numId="13">
    <w:abstractNumId w:val="1"/>
  </w:num>
  <w:num w:numId="14">
    <w:abstractNumId w:val="18"/>
  </w:num>
  <w:num w:numId="15">
    <w:abstractNumId w:val="0"/>
  </w:num>
  <w:num w:numId="16">
    <w:abstractNumId w:val="18"/>
  </w:num>
  <w:num w:numId="17">
    <w:abstractNumId w:val="13"/>
  </w:num>
  <w:num w:numId="18">
    <w:abstractNumId w:val="13"/>
  </w:num>
  <w:num w:numId="19">
    <w:abstractNumId w:val="13"/>
  </w:num>
  <w:num w:numId="20">
    <w:abstractNumId w:val="12"/>
  </w:num>
  <w:num w:numId="21">
    <w:abstractNumId w:val="12"/>
  </w:num>
  <w:num w:numId="22">
    <w:abstractNumId w:val="12"/>
  </w:num>
  <w:num w:numId="23">
    <w:abstractNumId w:val="17"/>
  </w:num>
  <w:num w:numId="24">
    <w:abstractNumId w:val="17"/>
  </w:num>
  <w:num w:numId="25">
    <w:abstractNumId w:val="8"/>
  </w:num>
  <w:num w:numId="26">
    <w:abstractNumId w:val="9"/>
  </w:num>
  <w:num w:numId="27">
    <w:abstractNumId w:val="9"/>
  </w:num>
  <w:num w:numId="28">
    <w:abstractNumId w:val="9"/>
  </w:num>
  <w:num w:numId="29">
    <w:abstractNumId w:val="16"/>
  </w:num>
  <w:num w:numId="30">
    <w:abstractNumId w:val="16"/>
  </w:num>
  <w:num w:numId="31">
    <w:abstractNumId w:val="16"/>
  </w:num>
  <w:num w:numId="32">
    <w:abstractNumId w:val="11"/>
  </w:num>
  <w:num w:numId="33">
    <w:abstractNumId w:val="7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</w:num>
  <w:num w:numId="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4"/>
  </w:num>
  <w:num w:numId="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pendices" w:val="True"/>
    <w:docVar w:name="AppendixName" w:val="Attachment"/>
    <w:docVar w:name="Disclaimer" w:val="False"/>
    <w:docVar w:name="Foreword" w:val="True"/>
    <w:docVar w:name="Heading1Numbered" w:val="False"/>
    <w:docVar w:name="Heading2Numbered" w:val="False"/>
    <w:docVar w:name="Heading3Numbered" w:val="False"/>
    <w:docVar w:name="IsWordingOverview" w:val="True"/>
    <w:docVar w:name="NumberedBodyText" w:val="False"/>
    <w:docVar w:name="optHeading1OddPage" w:val="False"/>
    <w:docVar w:name="Overview" w:val="False"/>
    <w:docVar w:name="PageSetup" w:val="Double"/>
    <w:docVar w:name="RibbonLabel" w:val="Appendix"/>
    <w:docVar w:name="TOC" w:val="True"/>
    <w:docVar w:name="TOCNew" w:val="True"/>
    <w:docVar w:name="Version" w:val="Version 1"/>
  </w:docVars>
  <w:rsids>
    <w:rsidRoot w:val="00632C46"/>
    <w:rsid w:val="0000071C"/>
    <w:rsid w:val="0000322C"/>
    <w:rsid w:val="00003CDD"/>
    <w:rsid w:val="0001406F"/>
    <w:rsid w:val="000168A7"/>
    <w:rsid w:val="00016D53"/>
    <w:rsid w:val="000278D0"/>
    <w:rsid w:val="00027E62"/>
    <w:rsid w:val="000307C8"/>
    <w:rsid w:val="00030F73"/>
    <w:rsid w:val="00035ADE"/>
    <w:rsid w:val="0004224B"/>
    <w:rsid w:val="00046226"/>
    <w:rsid w:val="0005330D"/>
    <w:rsid w:val="000557A7"/>
    <w:rsid w:val="00055805"/>
    <w:rsid w:val="00056CB3"/>
    <w:rsid w:val="00066D54"/>
    <w:rsid w:val="00067A28"/>
    <w:rsid w:val="00071D3E"/>
    <w:rsid w:val="0007260F"/>
    <w:rsid w:val="000805D5"/>
    <w:rsid w:val="0008103B"/>
    <w:rsid w:val="00085F97"/>
    <w:rsid w:val="00092A33"/>
    <w:rsid w:val="0009574F"/>
    <w:rsid w:val="000973F9"/>
    <w:rsid w:val="000A2FEC"/>
    <w:rsid w:val="000A348F"/>
    <w:rsid w:val="000B6942"/>
    <w:rsid w:val="000C09FA"/>
    <w:rsid w:val="000C37A9"/>
    <w:rsid w:val="000C6728"/>
    <w:rsid w:val="000C702E"/>
    <w:rsid w:val="000D15E9"/>
    <w:rsid w:val="000D3182"/>
    <w:rsid w:val="000D45C4"/>
    <w:rsid w:val="000E18F3"/>
    <w:rsid w:val="000E266E"/>
    <w:rsid w:val="000F1515"/>
    <w:rsid w:val="000F16B5"/>
    <w:rsid w:val="000F46AC"/>
    <w:rsid w:val="000F616E"/>
    <w:rsid w:val="00110D43"/>
    <w:rsid w:val="00112F1F"/>
    <w:rsid w:val="001159EA"/>
    <w:rsid w:val="00120A75"/>
    <w:rsid w:val="00125410"/>
    <w:rsid w:val="00130858"/>
    <w:rsid w:val="00132599"/>
    <w:rsid w:val="00136C26"/>
    <w:rsid w:val="0014059F"/>
    <w:rsid w:val="00141551"/>
    <w:rsid w:val="001417CE"/>
    <w:rsid w:val="0014479F"/>
    <w:rsid w:val="00146EAD"/>
    <w:rsid w:val="00154DC5"/>
    <w:rsid w:val="00160C8D"/>
    <w:rsid w:val="001629C0"/>
    <w:rsid w:val="00165122"/>
    <w:rsid w:val="00165854"/>
    <w:rsid w:val="001738DB"/>
    <w:rsid w:val="00173DFD"/>
    <w:rsid w:val="00180FF9"/>
    <w:rsid w:val="00187636"/>
    <w:rsid w:val="00192ECA"/>
    <w:rsid w:val="00195228"/>
    <w:rsid w:val="00195696"/>
    <w:rsid w:val="00196532"/>
    <w:rsid w:val="001977D4"/>
    <w:rsid w:val="001A1EFC"/>
    <w:rsid w:val="001A48EF"/>
    <w:rsid w:val="001A49CC"/>
    <w:rsid w:val="001A5553"/>
    <w:rsid w:val="001A716E"/>
    <w:rsid w:val="001B2C65"/>
    <w:rsid w:val="001B4255"/>
    <w:rsid w:val="001B7058"/>
    <w:rsid w:val="001C3A4F"/>
    <w:rsid w:val="001C4121"/>
    <w:rsid w:val="001C48DE"/>
    <w:rsid w:val="001D30C1"/>
    <w:rsid w:val="001D52E3"/>
    <w:rsid w:val="001D576F"/>
    <w:rsid w:val="001D7C29"/>
    <w:rsid w:val="001E0475"/>
    <w:rsid w:val="001E12A9"/>
    <w:rsid w:val="001E33C2"/>
    <w:rsid w:val="001F5C90"/>
    <w:rsid w:val="001F767C"/>
    <w:rsid w:val="00201B52"/>
    <w:rsid w:val="00210FCF"/>
    <w:rsid w:val="00222EFF"/>
    <w:rsid w:val="002240D5"/>
    <w:rsid w:val="002261A7"/>
    <w:rsid w:val="00226AEC"/>
    <w:rsid w:val="00240D22"/>
    <w:rsid w:val="002545F3"/>
    <w:rsid w:val="0026344F"/>
    <w:rsid w:val="00266A17"/>
    <w:rsid w:val="00270372"/>
    <w:rsid w:val="00275534"/>
    <w:rsid w:val="00277075"/>
    <w:rsid w:val="002775D2"/>
    <w:rsid w:val="00281ADD"/>
    <w:rsid w:val="0028563E"/>
    <w:rsid w:val="00293E0D"/>
    <w:rsid w:val="00293E80"/>
    <w:rsid w:val="002973B0"/>
    <w:rsid w:val="00297C14"/>
    <w:rsid w:val="002A220F"/>
    <w:rsid w:val="002A24F1"/>
    <w:rsid w:val="002A5778"/>
    <w:rsid w:val="002A6E3B"/>
    <w:rsid w:val="002B1E84"/>
    <w:rsid w:val="002B2085"/>
    <w:rsid w:val="002B3EC4"/>
    <w:rsid w:val="002C37D5"/>
    <w:rsid w:val="002C4DA6"/>
    <w:rsid w:val="002D239A"/>
    <w:rsid w:val="002D34DB"/>
    <w:rsid w:val="002D4B11"/>
    <w:rsid w:val="002E5633"/>
    <w:rsid w:val="002F1963"/>
    <w:rsid w:val="002F5801"/>
    <w:rsid w:val="002F5B6E"/>
    <w:rsid w:val="002F61B5"/>
    <w:rsid w:val="00300066"/>
    <w:rsid w:val="0030209B"/>
    <w:rsid w:val="003127E4"/>
    <w:rsid w:val="00313215"/>
    <w:rsid w:val="003160CA"/>
    <w:rsid w:val="003174C3"/>
    <w:rsid w:val="0032557A"/>
    <w:rsid w:val="00340778"/>
    <w:rsid w:val="00344D2C"/>
    <w:rsid w:val="003458CE"/>
    <w:rsid w:val="00345A57"/>
    <w:rsid w:val="00346D90"/>
    <w:rsid w:val="00351F62"/>
    <w:rsid w:val="003601F4"/>
    <w:rsid w:val="003671E2"/>
    <w:rsid w:val="00372AE6"/>
    <w:rsid w:val="00376C3A"/>
    <w:rsid w:val="003837E1"/>
    <w:rsid w:val="0038584D"/>
    <w:rsid w:val="0039257F"/>
    <w:rsid w:val="003931DE"/>
    <w:rsid w:val="00397D1A"/>
    <w:rsid w:val="003A163C"/>
    <w:rsid w:val="003A2B4E"/>
    <w:rsid w:val="003A2FBB"/>
    <w:rsid w:val="003A3799"/>
    <w:rsid w:val="003A4913"/>
    <w:rsid w:val="003A54A9"/>
    <w:rsid w:val="003A7083"/>
    <w:rsid w:val="003B3103"/>
    <w:rsid w:val="003B38B3"/>
    <w:rsid w:val="003B3A97"/>
    <w:rsid w:val="003B3D44"/>
    <w:rsid w:val="003B47BC"/>
    <w:rsid w:val="003C6BB5"/>
    <w:rsid w:val="003C7CC2"/>
    <w:rsid w:val="003D50B6"/>
    <w:rsid w:val="003E05DF"/>
    <w:rsid w:val="003E1562"/>
    <w:rsid w:val="003E6085"/>
    <w:rsid w:val="003E6CA3"/>
    <w:rsid w:val="003F1EC3"/>
    <w:rsid w:val="003F4C96"/>
    <w:rsid w:val="003F7A06"/>
    <w:rsid w:val="00401C49"/>
    <w:rsid w:val="00406002"/>
    <w:rsid w:val="00406AD3"/>
    <w:rsid w:val="00412E42"/>
    <w:rsid w:val="00425C05"/>
    <w:rsid w:val="00426356"/>
    <w:rsid w:val="00426929"/>
    <w:rsid w:val="00442C16"/>
    <w:rsid w:val="00445410"/>
    <w:rsid w:val="00446439"/>
    <w:rsid w:val="00450BDA"/>
    <w:rsid w:val="00453A3E"/>
    <w:rsid w:val="0045452F"/>
    <w:rsid w:val="00456EC2"/>
    <w:rsid w:val="0045766B"/>
    <w:rsid w:val="0046444F"/>
    <w:rsid w:val="00474BB7"/>
    <w:rsid w:val="00476133"/>
    <w:rsid w:val="004816D7"/>
    <w:rsid w:val="0048342E"/>
    <w:rsid w:val="00487478"/>
    <w:rsid w:val="0048782D"/>
    <w:rsid w:val="00494DC1"/>
    <w:rsid w:val="004A3F56"/>
    <w:rsid w:val="004A5E21"/>
    <w:rsid w:val="004A666A"/>
    <w:rsid w:val="004B143F"/>
    <w:rsid w:val="004B3022"/>
    <w:rsid w:val="004B49A0"/>
    <w:rsid w:val="004C6306"/>
    <w:rsid w:val="004C65CC"/>
    <w:rsid w:val="004C6F5E"/>
    <w:rsid w:val="004C7E94"/>
    <w:rsid w:val="004D7CF8"/>
    <w:rsid w:val="004D7EDA"/>
    <w:rsid w:val="004E0E49"/>
    <w:rsid w:val="004E197A"/>
    <w:rsid w:val="004E5D52"/>
    <w:rsid w:val="004F07D7"/>
    <w:rsid w:val="004F1297"/>
    <w:rsid w:val="004F16DB"/>
    <w:rsid w:val="004F4D7E"/>
    <w:rsid w:val="004F5B16"/>
    <w:rsid w:val="004F5D9D"/>
    <w:rsid w:val="004F68E5"/>
    <w:rsid w:val="004F7037"/>
    <w:rsid w:val="004F741B"/>
    <w:rsid w:val="00503253"/>
    <w:rsid w:val="00503BB0"/>
    <w:rsid w:val="00503E03"/>
    <w:rsid w:val="00512226"/>
    <w:rsid w:val="005147C6"/>
    <w:rsid w:val="005159B1"/>
    <w:rsid w:val="00522502"/>
    <w:rsid w:val="005255A1"/>
    <w:rsid w:val="00525825"/>
    <w:rsid w:val="0052641C"/>
    <w:rsid w:val="0053795D"/>
    <w:rsid w:val="00544522"/>
    <w:rsid w:val="005468AB"/>
    <w:rsid w:val="005501A0"/>
    <w:rsid w:val="00550831"/>
    <w:rsid w:val="00554273"/>
    <w:rsid w:val="0056001A"/>
    <w:rsid w:val="005642B6"/>
    <w:rsid w:val="00571D5E"/>
    <w:rsid w:val="005823D0"/>
    <w:rsid w:val="005835D5"/>
    <w:rsid w:val="005A2748"/>
    <w:rsid w:val="005A443F"/>
    <w:rsid w:val="005A7C26"/>
    <w:rsid w:val="005B0970"/>
    <w:rsid w:val="005B58D4"/>
    <w:rsid w:val="005C07B3"/>
    <w:rsid w:val="005C284E"/>
    <w:rsid w:val="005C47D4"/>
    <w:rsid w:val="005D4630"/>
    <w:rsid w:val="005D51D0"/>
    <w:rsid w:val="005D6F83"/>
    <w:rsid w:val="005D7877"/>
    <w:rsid w:val="005D7CCF"/>
    <w:rsid w:val="005E04CF"/>
    <w:rsid w:val="005E58C4"/>
    <w:rsid w:val="005E5D8F"/>
    <w:rsid w:val="005F5A5C"/>
    <w:rsid w:val="005F5CD9"/>
    <w:rsid w:val="0061135C"/>
    <w:rsid w:val="00611EFA"/>
    <w:rsid w:val="006136DD"/>
    <w:rsid w:val="006149F0"/>
    <w:rsid w:val="006220A5"/>
    <w:rsid w:val="00622D86"/>
    <w:rsid w:val="00624AC8"/>
    <w:rsid w:val="00632C46"/>
    <w:rsid w:val="00633812"/>
    <w:rsid w:val="00633C60"/>
    <w:rsid w:val="0064126D"/>
    <w:rsid w:val="006451B8"/>
    <w:rsid w:val="00645722"/>
    <w:rsid w:val="006479E1"/>
    <w:rsid w:val="00652432"/>
    <w:rsid w:val="00657840"/>
    <w:rsid w:val="0066003C"/>
    <w:rsid w:val="0066041E"/>
    <w:rsid w:val="0066342A"/>
    <w:rsid w:val="00673CCC"/>
    <w:rsid w:val="00675C98"/>
    <w:rsid w:val="0069026B"/>
    <w:rsid w:val="006956EA"/>
    <w:rsid w:val="006A490C"/>
    <w:rsid w:val="006B2F1D"/>
    <w:rsid w:val="006B4F7D"/>
    <w:rsid w:val="006C114C"/>
    <w:rsid w:val="006C3668"/>
    <w:rsid w:val="006C3864"/>
    <w:rsid w:val="006C5383"/>
    <w:rsid w:val="006C5E72"/>
    <w:rsid w:val="006D2AEC"/>
    <w:rsid w:val="006D4C8E"/>
    <w:rsid w:val="006E19D1"/>
    <w:rsid w:val="006E1CBB"/>
    <w:rsid w:val="006F100B"/>
    <w:rsid w:val="006F203C"/>
    <w:rsid w:val="006F239A"/>
    <w:rsid w:val="006F2C9D"/>
    <w:rsid w:val="006F6B51"/>
    <w:rsid w:val="0070637D"/>
    <w:rsid w:val="007071DD"/>
    <w:rsid w:val="0070771F"/>
    <w:rsid w:val="00712A14"/>
    <w:rsid w:val="00716C04"/>
    <w:rsid w:val="00717180"/>
    <w:rsid w:val="007179D2"/>
    <w:rsid w:val="00720750"/>
    <w:rsid w:val="0072549C"/>
    <w:rsid w:val="00725A80"/>
    <w:rsid w:val="00733970"/>
    <w:rsid w:val="00741D0B"/>
    <w:rsid w:val="00754C58"/>
    <w:rsid w:val="00776E78"/>
    <w:rsid w:val="0078138A"/>
    <w:rsid w:val="00782E0A"/>
    <w:rsid w:val="00783014"/>
    <w:rsid w:val="007834DC"/>
    <w:rsid w:val="007959D8"/>
    <w:rsid w:val="0079630F"/>
    <w:rsid w:val="007A04C2"/>
    <w:rsid w:val="007B146A"/>
    <w:rsid w:val="007B57C9"/>
    <w:rsid w:val="007C0E7C"/>
    <w:rsid w:val="007C0EAA"/>
    <w:rsid w:val="007C19C3"/>
    <w:rsid w:val="007C44B2"/>
    <w:rsid w:val="007C6496"/>
    <w:rsid w:val="007C745E"/>
    <w:rsid w:val="007D0ABE"/>
    <w:rsid w:val="007E356F"/>
    <w:rsid w:val="007E3F8C"/>
    <w:rsid w:val="007F2058"/>
    <w:rsid w:val="007F7685"/>
    <w:rsid w:val="0080011D"/>
    <w:rsid w:val="00800EA5"/>
    <w:rsid w:val="00801C01"/>
    <w:rsid w:val="008112CC"/>
    <w:rsid w:val="008130BB"/>
    <w:rsid w:val="00817406"/>
    <w:rsid w:val="008237FA"/>
    <w:rsid w:val="00825D37"/>
    <w:rsid w:val="008369B0"/>
    <w:rsid w:val="008372D1"/>
    <w:rsid w:val="0085732C"/>
    <w:rsid w:val="00860B45"/>
    <w:rsid w:val="00863860"/>
    <w:rsid w:val="008638B5"/>
    <w:rsid w:val="008734DB"/>
    <w:rsid w:val="0087390B"/>
    <w:rsid w:val="008745A1"/>
    <w:rsid w:val="008768E9"/>
    <w:rsid w:val="0087751B"/>
    <w:rsid w:val="00890995"/>
    <w:rsid w:val="008914FB"/>
    <w:rsid w:val="0089737A"/>
    <w:rsid w:val="00897E99"/>
    <w:rsid w:val="008A4829"/>
    <w:rsid w:val="008B2384"/>
    <w:rsid w:val="008B38D6"/>
    <w:rsid w:val="008B4802"/>
    <w:rsid w:val="008B69E3"/>
    <w:rsid w:val="008C10AF"/>
    <w:rsid w:val="008C1FD1"/>
    <w:rsid w:val="008C24A8"/>
    <w:rsid w:val="008C35EF"/>
    <w:rsid w:val="008C5729"/>
    <w:rsid w:val="008C5996"/>
    <w:rsid w:val="008D5A11"/>
    <w:rsid w:val="008D5E23"/>
    <w:rsid w:val="008D77AF"/>
    <w:rsid w:val="008E6D59"/>
    <w:rsid w:val="008F30C7"/>
    <w:rsid w:val="008F5D66"/>
    <w:rsid w:val="008F64EC"/>
    <w:rsid w:val="009028AA"/>
    <w:rsid w:val="00903E3F"/>
    <w:rsid w:val="009049C3"/>
    <w:rsid w:val="009057D9"/>
    <w:rsid w:val="0090774A"/>
    <w:rsid w:val="00910D07"/>
    <w:rsid w:val="00912CE5"/>
    <w:rsid w:val="00914B2F"/>
    <w:rsid w:val="009150E6"/>
    <w:rsid w:val="00917F89"/>
    <w:rsid w:val="0092014E"/>
    <w:rsid w:val="00924E28"/>
    <w:rsid w:val="009255EE"/>
    <w:rsid w:val="00925603"/>
    <w:rsid w:val="00925F76"/>
    <w:rsid w:val="00932413"/>
    <w:rsid w:val="00932E89"/>
    <w:rsid w:val="0093359D"/>
    <w:rsid w:val="00933F2B"/>
    <w:rsid w:val="00942EEB"/>
    <w:rsid w:val="0094468E"/>
    <w:rsid w:val="00945261"/>
    <w:rsid w:val="009506A5"/>
    <w:rsid w:val="009541CC"/>
    <w:rsid w:val="00956564"/>
    <w:rsid w:val="009567A6"/>
    <w:rsid w:val="00956D5A"/>
    <w:rsid w:val="00961B2C"/>
    <w:rsid w:val="00961DBB"/>
    <w:rsid w:val="0096618E"/>
    <w:rsid w:val="00981433"/>
    <w:rsid w:val="0098222F"/>
    <w:rsid w:val="00985C07"/>
    <w:rsid w:val="00991CEE"/>
    <w:rsid w:val="00995B4F"/>
    <w:rsid w:val="00997582"/>
    <w:rsid w:val="009A2C21"/>
    <w:rsid w:val="009A3E58"/>
    <w:rsid w:val="009A5F02"/>
    <w:rsid w:val="009A7AB1"/>
    <w:rsid w:val="009C6DAA"/>
    <w:rsid w:val="009D0E74"/>
    <w:rsid w:val="009D1A96"/>
    <w:rsid w:val="009D370B"/>
    <w:rsid w:val="009E2087"/>
    <w:rsid w:val="009E252B"/>
    <w:rsid w:val="009E3265"/>
    <w:rsid w:val="009E3353"/>
    <w:rsid w:val="009E446D"/>
    <w:rsid w:val="009E7C09"/>
    <w:rsid w:val="009F146D"/>
    <w:rsid w:val="009F3235"/>
    <w:rsid w:val="009F4F1E"/>
    <w:rsid w:val="00A015E4"/>
    <w:rsid w:val="00A075BC"/>
    <w:rsid w:val="00A11222"/>
    <w:rsid w:val="00A12C39"/>
    <w:rsid w:val="00A134FB"/>
    <w:rsid w:val="00A20802"/>
    <w:rsid w:val="00A25B4F"/>
    <w:rsid w:val="00A27E8B"/>
    <w:rsid w:val="00A36FE5"/>
    <w:rsid w:val="00A442BF"/>
    <w:rsid w:val="00A517D0"/>
    <w:rsid w:val="00A53716"/>
    <w:rsid w:val="00A5629E"/>
    <w:rsid w:val="00A62548"/>
    <w:rsid w:val="00A64832"/>
    <w:rsid w:val="00A66E48"/>
    <w:rsid w:val="00A732DB"/>
    <w:rsid w:val="00A838D2"/>
    <w:rsid w:val="00A86F04"/>
    <w:rsid w:val="00A946C4"/>
    <w:rsid w:val="00AA342E"/>
    <w:rsid w:val="00AA6AAD"/>
    <w:rsid w:val="00AC01F8"/>
    <w:rsid w:val="00AC059A"/>
    <w:rsid w:val="00AC41CF"/>
    <w:rsid w:val="00AD0308"/>
    <w:rsid w:val="00AD377A"/>
    <w:rsid w:val="00AD472C"/>
    <w:rsid w:val="00AD67BB"/>
    <w:rsid w:val="00AE1CC1"/>
    <w:rsid w:val="00AE3EA4"/>
    <w:rsid w:val="00AF1B02"/>
    <w:rsid w:val="00AF41E4"/>
    <w:rsid w:val="00AF568A"/>
    <w:rsid w:val="00B06A75"/>
    <w:rsid w:val="00B06BC3"/>
    <w:rsid w:val="00B15A0F"/>
    <w:rsid w:val="00B20236"/>
    <w:rsid w:val="00B20937"/>
    <w:rsid w:val="00B220A0"/>
    <w:rsid w:val="00B22B64"/>
    <w:rsid w:val="00B22FEA"/>
    <w:rsid w:val="00B24321"/>
    <w:rsid w:val="00B30FEB"/>
    <w:rsid w:val="00B311BA"/>
    <w:rsid w:val="00B35B47"/>
    <w:rsid w:val="00B40AA3"/>
    <w:rsid w:val="00B43AD8"/>
    <w:rsid w:val="00B44478"/>
    <w:rsid w:val="00B4609C"/>
    <w:rsid w:val="00B6002C"/>
    <w:rsid w:val="00B620EE"/>
    <w:rsid w:val="00B85366"/>
    <w:rsid w:val="00B87F60"/>
    <w:rsid w:val="00B93D3D"/>
    <w:rsid w:val="00BA471F"/>
    <w:rsid w:val="00BB5013"/>
    <w:rsid w:val="00BB528E"/>
    <w:rsid w:val="00BB615A"/>
    <w:rsid w:val="00BB7817"/>
    <w:rsid w:val="00BC2600"/>
    <w:rsid w:val="00BC36F0"/>
    <w:rsid w:val="00BC3E99"/>
    <w:rsid w:val="00BC4FA7"/>
    <w:rsid w:val="00BC5E30"/>
    <w:rsid w:val="00BD02C5"/>
    <w:rsid w:val="00BD068D"/>
    <w:rsid w:val="00BE0D9A"/>
    <w:rsid w:val="00BE1A50"/>
    <w:rsid w:val="00BE2F0D"/>
    <w:rsid w:val="00BF0BD5"/>
    <w:rsid w:val="00BF55F8"/>
    <w:rsid w:val="00C051FD"/>
    <w:rsid w:val="00C12A7E"/>
    <w:rsid w:val="00C20C7D"/>
    <w:rsid w:val="00C20DEF"/>
    <w:rsid w:val="00C24B25"/>
    <w:rsid w:val="00C24E89"/>
    <w:rsid w:val="00C253F3"/>
    <w:rsid w:val="00C32C2F"/>
    <w:rsid w:val="00C3738A"/>
    <w:rsid w:val="00C4315A"/>
    <w:rsid w:val="00C43F5E"/>
    <w:rsid w:val="00C44074"/>
    <w:rsid w:val="00C4651F"/>
    <w:rsid w:val="00C51D0B"/>
    <w:rsid w:val="00C52207"/>
    <w:rsid w:val="00C52A50"/>
    <w:rsid w:val="00C642D4"/>
    <w:rsid w:val="00C730F4"/>
    <w:rsid w:val="00C80200"/>
    <w:rsid w:val="00C80E0A"/>
    <w:rsid w:val="00C8270B"/>
    <w:rsid w:val="00C841A9"/>
    <w:rsid w:val="00C8728F"/>
    <w:rsid w:val="00C97FBC"/>
    <w:rsid w:val="00CA06C8"/>
    <w:rsid w:val="00CA0B7E"/>
    <w:rsid w:val="00CA4C28"/>
    <w:rsid w:val="00CA5598"/>
    <w:rsid w:val="00CA5EF8"/>
    <w:rsid w:val="00CB28A3"/>
    <w:rsid w:val="00CC00A0"/>
    <w:rsid w:val="00CC0FED"/>
    <w:rsid w:val="00CC3C34"/>
    <w:rsid w:val="00CC5455"/>
    <w:rsid w:val="00CC6C06"/>
    <w:rsid w:val="00CD1526"/>
    <w:rsid w:val="00CD5509"/>
    <w:rsid w:val="00CE1EB0"/>
    <w:rsid w:val="00CE3DF2"/>
    <w:rsid w:val="00CF0C0F"/>
    <w:rsid w:val="00CF1690"/>
    <w:rsid w:val="00CF1F2A"/>
    <w:rsid w:val="00CF5CE3"/>
    <w:rsid w:val="00CF7412"/>
    <w:rsid w:val="00D030F8"/>
    <w:rsid w:val="00D077B7"/>
    <w:rsid w:val="00D20297"/>
    <w:rsid w:val="00D21E6B"/>
    <w:rsid w:val="00D2336A"/>
    <w:rsid w:val="00D23634"/>
    <w:rsid w:val="00D34551"/>
    <w:rsid w:val="00D457D6"/>
    <w:rsid w:val="00D64CE2"/>
    <w:rsid w:val="00D7751B"/>
    <w:rsid w:val="00D815DC"/>
    <w:rsid w:val="00D822B5"/>
    <w:rsid w:val="00D83D3C"/>
    <w:rsid w:val="00D842CF"/>
    <w:rsid w:val="00D867AE"/>
    <w:rsid w:val="00D87BBB"/>
    <w:rsid w:val="00D87C87"/>
    <w:rsid w:val="00D921C4"/>
    <w:rsid w:val="00D9296A"/>
    <w:rsid w:val="00D93C23"/>
    <w:rsid w:val="00D95638"/>
    <w:rsid w:val="00D9584C"/>
    <w:rsid w:val="00DA14D9"/>
    <w:rsid w:val="00DB13AD"/>
    <w:rsid w:val="00DB23F9"/>
    <w:rsid w:val="00DB58BE"/>
    <w:rsid w:val="00DB6176"/>
    <w:rsid w:val="00DB6AA0"/>
    <w:rsid w:val="00DB7C3A"/>
    <w:rsid w:val="00DD32AB"/>
    <w:rsid w:val="00DD5BF6"/>
    <w:rsid w:val="00DE1865"/>
    <w:rsid w:val="00DE6CEF"/>
    <w:rsid w:val="00DF11C2"/>
    <w:rsid w:val="00DF2134"/>
    <w:rsid w:val="00DF4593"/>
    <w:rsid w:val="00E10D05"/>
    <w:rsid w:val="00E2223E"/>
    <w:rsid w:val="00E22D98"/>
    <w:rsid w:val="00E24623"/>
    <w:rsid w:val="00E252E3"/>
    <w:rsid w:val="00E40505"/>
    <w:rsid w:val="00E42A41"/>
    <w:rsid w:val="00E45766"/>
    <w:rsid w:val="00E567E5"/>
    <w:rsid w:val="00E618D8"/>
    <w:rsid w:val="00E64480"/>
    <w:rsid w:val="00E6708B"/>
    <w:rsid w:val="00E73A8C"/>
    <w:rsid w:val="00E75050"/>
    <w:rsid w:val="00E76F42"/>
    <w:rsid w:val="00E77D6D"/>
    <w:rsid w:val="00E915E6"/>
    <w:rsid w:val="00EA3E11"/>
    <w:rsid w:val="00EA67B8"/>
    <w:rsid w:val="00EA6EB3"/>
    <w:rsid w:val="00EB4A8E"/>
    <w:rsid w:val="00EB5EF3"/>
    <w:rsid w:val="00EB695D"/>
    <w:rsid w:val="00EC38F3"/>
    <w:rsid w:val="00EC510A"/>
    <w:rsid w:val="00ED39CE"/>
    <w:rsid w:val="00ED4134"/>
    <w:rsid w:val="00EE05F1"/>
    <w:rsid w:val="00EE471A"/>
    <w:rsid w:val="00EE5492"/>
    <w:rsid w:val="00EF0A00"/>
    <w:rsid w:val="00EF3B29"/>
    <w:rsid w:val="00F07BD5"/>
    <w:rsid w:val="00F122D6"/>
    <w:rsid w:val="00F15BF4"/>
    <w:rsid w:val="00F17940"/>
    <w:rsid w:val="00F17DC0"/>
    <w:rsid w:val="00F2046C"/>
    <w:rsid w:val="00F20647"/>
    <w:rsid w:val="00F31392"/>
    <w:rsid w:val="00F348B5"/>
    <w:rsid w:val="00F3652B"/>
    <w:rsid w:val="00F377B9"/>
    <w:rsid w:val="00F45442"/>
    <w:rsid w:val="00F5145E"/>
    <w:rsid w:val="00F558EA"/>
    <w:rsid w:val="00F613CB"/>
    <w:rsid w:val="00F61F79"/>
    <w:rsid w:val="00F656A4"/>
    <w:rsid w:val="00F6665E"/>
    <w:rsid w:val="00F7075F"/>
    <w:rsid w:val="00F71D76"/>
    <w:rsid w:val="00F8349F"/>
    <w:rsid w:val="00F83FB7"/>
    <w:rsid w:val="00F85935"/>
    <w:rsid w:val="00F85D29"/>
    <w:rsid w:val="00F969D3"/>
    <w:rsid w:val="00FA190E"/>
    <w:rsid w:val="00FA54D8"/>
    <w:rsid w:val="00FB0EE8"/>
    <w:rsid w:val="00FC4FB7"/>
    <w:rsid w:val="00FD1EE0"/>
    <w:rsid w:val="00FD357B"/>
    <w:rsid w:val="00FD38FC"/>
    <w:rsid w:val="00FD6119"/>
    <w:rsid w:val="00FD688E"/>
    <w:rsid w:val="00FD7C0C"/>
    <w:rsid w:val="00FE045C"/>
    <w:rsid w:val="00FE0C52"/>
    <w:rsid w:val="00FE1692"/>
    <w:rsid w:val="00FE3B13"/>
    <w:rsid w:val="00FF0566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300" w:lineRule="atLeast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8" w:uiPriority="39"/>
    <w:lsdException w:name="header" w:uiPriority="99"/>
    <w:lsdException w:name="caption" w:qFormat="1"/>
    <w:lsdException w:name="table of figures" w:semiHidden="0" w:uiPriority="99" w:unhideWhenUsed="0"/>
    <w:lsdException w:name="List Bullet" w:qFormat="1"/>
    <w:lsdException w:name="List Number" w:qFormat="1"/>
    <w:lsdException w:name="List Bullet 2" w:qFormat="1"/>
    <w:lsdException w:name="List Bullet 3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5" w:qFormat="1"/>
    <w:lsdException w:name="List Continue" w:qFormat="1"/>
    <w:lsdException w:name="List Continue 2" w:qFormat="1"/>
    <w:lsdException w:name="Subtitle" w:semiHidden="0" w:unhideWhenUsed="0" w:qFormat="1"/>
    <w:lsdException w:name="Hyperlink" w:uiPriority="99"/>
    <w:lsdException w:name="Strong" w:unhideWhenUsed="0" w:qFormat="1"/>
    <w:lsdException w:name="Emphasis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9" w:unhideWhenUsed="0"/>
    <w:lsdException w:name="Quote" w:semiHidden="0" w:unhideWhenUsed="0"/>
    <w:lsdException w:name="Intense Quote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TOC Heading" w:qFormat="1"/>
  </w:latentStyles>
  <w:style w:type="paragraph" w:default="1" w:styleId="Normal">
    <w:name w:val="Normal"/>
    <w:uiPriority w:val="39"/>
    <w:rsid w:val="00112F1F"/>
  </w:style>
  <w:style w:type="paragraph" w:styleId="Heading1">
    <w:name w:val="heading 1"/>
    <w:basedOn w:val="Normal"/>
    <w:next w:val="BodyText"/>
    <w:link w:val="Heading1Char"/>
    <w:uiPriority w:val="2"/>
    <w:qFormat/>
    <w:rsid w:val="0046444F"/>
    <w:pPr>
      <w:keepNext/>
      <w:keepLines/>
      <w:numPr>
        <w:numId w:val="33"/>
      </w:numPr>
      <w:tabs>
        <w:tab w:val="right" w:pos="1418"/>
        <w:tab w:val="right" w:pos="1701"/>
        <w:tab w:val="right" w:pos="1985"/>
      </w:tabs>
      <w:spacing w:before="470" w:after="228"/>
      <w:outlineLvl w:val="0"/>
    </w:pPr>
    <w:rPr>
      <w:rFonts w:asciiTheme="majorHAnsi" w:hAnsiTheme="majorHAnsi"/>
      <w:bCs/>
      <w:color w:val="2B3B5F" w:themeColor="text2"/>
      <w:spacing w:val="-6"/>
      <w:kern w:val="32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2"/>
    <w:qFormat/>
    <w:rsid w:val="00CA06C8"/>
    <w:pPr>
      <w:keepNext/>
      <w:keepLines/>
      <w:numPr>
        <w:ilvl w:val="1"/>
        <w:numId w:val="33"/>
      </w:numPr>
      <w:tabs>
        <w:tab w:val="left" w:pos="1418"/>
        <w:tab w:val="left" w:pos="1701"/>
        <w:tab w:val="left" w:pos="1985"/>
      </w:tabs>
      <w:spacing w:before="470" w:after="227"/>
      <w:outlineLvl w:val="1"/>
    </w:pPr>
    <w:rPr>
      <w:rFonts w:ascii="Calibri" w:hAnsi="Calibri"/>
      <w:b/>
      <w:bCs/>
      <w:iCs/>
      <w:color w:val="2B3B5F" w:themeColor="text2"/>
      <w:kern w:val="20"/>
      <w:sz w:val="24"/>
      <w:szCs w:val="28"/>
    </w:rPr>
  </w:style>
  <w:style w:type="paragraph" w:styleId="Heading3">
    <w:name w:val="heading 3"/>
    <w:basedOn w:val="Normal"/>
    <w:next w:val="BodyText"/>
    <w:link w:val="Heading3Char"/>
    <w:uiPriority w:val="3"/>
    <w:qFormat/>
    <w:rsid w:val="00CA06C8"/>
    <w:pPr>
      <w:keepNext/>
      <w:keepLines/>
      <w:numPr>
        <w:ilvl w:val="2"/>
        <w:numId w:val="33"/>
      </w:numPr>
      <w:tabs>
        <w:tab w:val="left" w:pos="1418"/>
        <w:tab w:val="left" w:pos="1701"/>
        <w:tab w:val="left" w:pos="1985"/>
      </w:tabs>
      <w:spacing w:before="470" w:after="227"/>
      <w:outlineLvl w:val="2"/>
    </w:pPr>
    <w:rPr>
      <w:i/>
      <w:color w:val="2B3B5F" w:themeColor="text2"/>
      <w:sz w:val="24"/>
    </w:rPr>
  </w:style>
  <w:style w:type="paragraph" w:styleId="Heading4">
    <w:name w:val="heading 4"/>
    <w:basedOn w:val="Normal"/>
    <w:next w:val="BodyText"/>
    <w:link w:val="Heading4Char"/>
    <w:uiPriority w:val="4"/>
    <w:qFormat/>
    <w:rsid w:val="00CA06C8"/>
    <w:pPr>
      <w:keepNext/>
      <w:keepLines/>
      <w:tabs>
        <w:tab w:val="left" w:pos="1418"/>
        <w:tab w:val="left" w:pos="1701"/>
        <w:tab w:val="left" w:pos="1985"/>
      </w:tabs>
      <w:spacing w:before="227" w:after="113"/>
      <w:outlineLvl w:val="3"/>
    </w:pPr>
    <w:rPr>
      <w:rFonts w:eastAsiaTheme="majorEastAsia" w:cstheme="majorBidi"/>
      <w:bCs/>
      <w:i/>
      <w:iCs/>
      <w:color w:val="788184" w:themeColor="background2"/>
      <w:sz w:val="24"/>
    </w:rPr>
  </w:style>
  <w:style w:type="paragraph" w:styleId="Heading5">
    <w:name w:val="heading 5"/>
    <w:basedOn w:val="Normal"/>
    <w:next w:val="BodyText"/>
    <w:link w:val="Heading5Char"/>
    <w:uiPriority w:val="39"/>
    <w:rsid w:val="00B620EE"/>
    <w:pPr>
      <w:keepNext/>
      <w:keepLines/>
      <w:spacing w:before="180" w:after="60"/>
      <w:outlineLvl w:val="4"/>
    </w:pPr>
    <w:rPr>
      <w:rFonts w:asciiTheme="majorHAnsi" w:eastAsiaTheme="majorEastAsia" w:hAnsiTheme="majorHAnsi" w:cstheme="majorBidi"/>
      <w:i/>
      <w:color w:val="636366"/>
      <w:sz w:val="24"/>
    </w:rPr>
  </w:style>
  <w:style w:type="paragraph" w:styleId="Heading6">
    <w:name w:val="heading 6"/>
    <w:basedOn w:val="Normal"/>
    <w:next w:val="BodyText"/>
    <w:link w:val="Heading6Char"/>
    <w:uiPriority w:val="39"/>
    <w:rsid w:val="00B620EE"/>
    <w:pPr>
      <w:keepNext/>
      <w:keepLines/>
      <w:spacing w:before="280" w:after="240"/>
      <w:outlineLvl w:val="5"/>
    </w:pPr>
    <w:rPr>
      <w:rFonts w:asciiTheme="majorHAnsi" w:eastAsiaTheme="majorEastAsia" w:hAnsiTheme="majorHAnsi" w:cstheme="majorBidi"/>
      <w:i/>
      <w:iCs/>
      <w:color w:val="2B3B5F" w:themeColor="text2"/>
      <w:sz w:val="24"/>
    </w:rPr>
  </w:style>
  <w:style w:type="paragraph" w:styleId="Heading7">
    <w:name w:val="heading 7"/>
    <w:basedOn w:val="Normal"/>
    <w:next w:val="Normal"/>
    <w:link w:val="Heading7Char"/>
    <w:semiHidden/>
    <w:rsid w:val="00961DBB"/>
    <w:pPr>
      <w:keepNext/>
      <w:keepLines/>
      <w:spacing w:before="2820" w:after="180"/>
      <w:outlineLvl w:val="6"/>
    </w:pPr>
    <w:rPr>
      <w:rFonts w:asciiTheme="majorHAnsi" w:eastAsiaTheme="majorEastAsia" w:hAnsiTheme="majorHAnsi" w:cstheme="majorBidi"/>
      <w:b/>
      <w:iCs/>
      <w:color w:val="FFFFFF"/>
    </w:rPr>
  </w:style>
  <w:style w:type="paragraph" w:styleId="Heading8">
    <w:name w:val="heading 8"/>
    <w:aliases w:val="Attachment Title"/>
    <w:basedOn w:val="Normal"/>
    <w:next w:val="BodyText"/>
    <w:link w:val="Heading8Char"/>
    <w:uiPriority w:val="31"/>
    <w:qFormat/>
    <w:rsid w:val="002D239A"/>
    <w:pPr>
      <w:keepNext/>
      <w:keepLines/>
      <w:numPr>
        <w:numId w:val="1"/>
      </w:numPr>
      <w:tabs>
        <w:tab w:val="left" w:pos="4536"/>
      </w:tabs>
      <w:spacing w:before="480" w:after="340"/>
      <w:outlineLvl w:val="7"/>
    </w:pPr>
    <w:rPr>
      <w:rFonts w:asciiTheme="majorHAnsi" w:eastAsiaTheme="majorEastAsia" w:hAnsiTheme="majorHAnsi" w:cstheme="majorBidi"/>
      <w:color w:val="2B3B5F" w:themeColor="text2"/>
      <w:sz w:val="32"/>
    </w:rPr>
  </w:style>
  <w:style w:type="paragraph" w:styleId="Heading9">
    <w:name w:val="heading 9"/>
    <w:aliases w:val="Attachment Heading 1"/>
    <w:basedOn w:val="Normal"/>
    <w:next w:val="BodyText"/>
    <w:link w:val="Heading9Char"/>
    <w:uiPriority w:val="32"/>
    <w:qFormat/>
    <w:rsid w:val="002D239A"/>
    <w:pPr>
      <w:keepNext/>
      <w:keepLines/>
      <w:numPr>
        <w:ilvl w:val="1"/>
        <w:numId w:val="1"/>
      </w:numPr>
      <w:tabs>
        <w:tab w:val="left" w:pos="1559"/>
        <w:tab w:val="left" w:pos="1843"/>
        <w:tab w:val="left" w:pos="2126"/>
        <w:tab w:val="left" w:pos="2410"/>
      </w:tabs>
      <w:spacing w:before="470" w:after="227"/>
      <w:outlineLvl w:val="8"/>
    </w:pPr>
    <w:rPr>
      <w:rFonts w:asciiTheme="majorHAnsi" w:hAnsiTheme="majorHAnsi"/>
      <w:color w:val="2B3B5F" w:themeColor="text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13"/>
    <w:rsid w:val="007834DC"/>
    <w:pPr>
      <w:tabs>
        <w:tab w:val="left" w:pos="425"/>
      </w:tabs>
      <w:spacing w:before="50" w:line="260" w:lineRule="exact"/>
      <w:ind w:left="425" w:hanging="425"/>
    </w:pPr>
    <w:rPr>
      <w:kern w:val="16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13"/>
    <w:rsid w:val="0089737A"/>
    <w:rPr>
      <w:kern w:val="16"/>
      <w:sz w:val="18"/>
    </w:rPr>
  </w:style>
  <w:style w:type="character" w:styleId="FootnoteReference">
    <w:name w:val="footnote reference"/>
    <w:basedOn w:val="DefaultParagraphFont"/>
    <w:uiPriority w:val="39"/>
    <w:rsid w:val="00961DBB"/>
    <w:rPr>
      <w:rFonts w:asciiTheme="minorHAnsi" w:hAnsiTheme="minorHAnsi"/>
      <w:color w:val="auto"/>
      <w:vertAlign w:val="superscript"/>
    </w:rPr>
  </w:style>
  <w:style w:type="paragraph" w:styleId="BodyText">
    <w:name w:val="Body Text"/>
    <w:basedOn w:val="Normal"/>
    <w:link w:val="BodyTextChar"/>
    <w:uiPriority w:val="5"/>
    <w:qFormat/>
    <w:rsid w:val="007C19C3"/>
    <w:pPr>
      <w:spacing w:before="113" w:after="113"/>
    </w:pPr>
    <w:rPr>
      <w:rFonts w:cs="Times New Roman"/>
      <w:spacing w:val="-1"/>
    </w:rPr>
  </w:style>
  <w:style w:type="character" w:customStyle="1" w:styleId="BodyTextChar">
    <w:name w:val="Body Text Char"/>
    <w:basedOn w:val="DefaultParagraphFont"/>
    <w:link w:val="BodyText"/>
    <w:uiPriority w:val="5"/>
    <w:rsid w:val="00AC41CF"/>
    <w:rPr>
      <w:rFonts w:cs="Times New Roman"/>
      <w:spacing w:val="-1"/>
    </w:rPr>
  </w:style>
  <w:style w:type="paragraph" w:customStyle="1" w:styleId="BodyText17ptAbove">
    <w:name w:val="Body Text 17pt Above"/>
    <w:basedOn w:val="BodyText"/>
    <w:next w:val="BodyText"/>
    <w:uiPriority w:val="6"/>
    <w:qFormat/>
    <w:rsid w:val="00CA4C28"/>
    <w:pPr>
      <w:spacing w:before="340"/>
    </w:pPr>
  </w:style>
  <w:style w:type="character" w:customStyle="1" w:styleId="Heading1Char">
    <w:name w:val="Heading 1 Char"/>
    <w:basedOn w:val="DefaultParagraphFont"/>
    <w:link w:val="Heading1"/>
    <w:uiPriority w:val="2"/>
    <w:rsid w:val="00112F1F"/>
    <w:rPr>
      <w:rFonts w:asciiTheme="majorHAnsi" w:hAnsiTheme="majorHAnsi"/>
      <w:bCs/>
      <w:color w:val="2B3B5F" w:themeColor="text2"/>
      <w:spacing w:val="-6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112F1F"/>
    <w:rPr>
      <w:rFonts w:ascii="Calibri" w:hAnsi="Calibri"/>
      <w:b/>
      <w:bCs/>
      <w:iCs/>
      <w:color w:val="2B3B5F" w:themeColor="text2"/>
      <w:kern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3"/>
    <w:rsid w:val="00AC41CF"/>
    <w:rPr>
      <w:i/>
      <w:color w:val="2B3B5F" w:themeColor="text2"/>
      <w:sz w:val="24"/>
    </w:rPr>
  </w:style>
  <w:style w:type="character" w:customStyle="1" w:styleId="Heading4Char">
    <w:name w:val="Heading 4 Char"/>
    <w:basedOn w:val="DefaultParagraphFont"/>
    <w:link w:val="Heading4"/>
    <w:uiPriority w:val="4"/>
    <w:rsid w:val="00AC41CF"/>
    <w:rPr>
      <w:rFonts w:eastAsiaTheme="majorEastAsia" w:cstheme="majorBidi"/>
      <w:bCs/>
      <w:i/>
      <w:iCs/>
      <w:color w:val="788184" w:themeColor="background2"/>
      <w:sz w:val="24"/>
    </w:rPr>
  </w:style>
  <w:style w:type="character" w:customStyle="1" w:styleId="Heading5Char">
    <w:name w:val="Heading 5 Char"/>
    <w:basedOn w:val="DefaultParagraphFont"/>
    <w:link w:val="Heading5"/>
    <w:uiPriority w:val="39"/>
    <w:rsid w:val="00AC41CF"/>
    <w:rPr>
      <w:rFonts w:asciiTheme="majorHAnsi" w:eastAsiaTheme="majorEastAsia" w:hAnsiTheme="majorHAnsi" w:cstheme="majorBidi"/>
      <w:i/>
      <w:color w:val="636366"/>
      <w:sz w:val="24"/>
    </w:rPr>
  </w:style>
  <w:style w:type="character" w:customStyle="1" w:styleId="Heading6Char">
    <w:name w:val="Heading 6 Char"/>
    <w:basedOn w:val="DefaultParagraphFont"/>
    <w:link w:val="Heading6"/>
    <w:uiPriority w:val="39"/>
    <w:rsid w:val="00AC41CF"/>
    <w:rPr>
      <w:rFonts w:asciiTheme="majorHAnsi" w:eastAsiaTheme="majorEastAsia" w:hAnsiTheme="majorHAnsi" w:cstheme="majorBidi"/>
      <w:i/>
      <w:iCs/>
      <w:color w:val="2B3B5F" w:themeColor="text2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0E266E"/>
    <w:rPr>
      <w:rFonts w:asciiTheme="majorHAnsi" w:eastAsiaTheme="majorEastAsia" w:hAnsiTheme="majorHAnsi" w:cstheme="majorBidi"/>
      <w:b/>
      <w:iCs/>
      <w:color w:val="FFFFFF"/>
    </w:rPr>
  </w:style>
  <w:style w:type="character" w:customStyle="1" w:styleId="Heading8Char">
    <w:name w:val="Heading 8 Char"/>
    <w:aliases w:val="Attachment Title Char"/>
    <w:basedOn w:val="DefaultParagraphFont"/>
    <w:link w:val="Heading8"/>
    <w:uiPriority w:val="31"/>
    <w:rsid w:val="0089737A"/>
    <w:rPr>
      <w:rFonts w:asciiTheme="majorHAnsi" w:eastAsiaTheme="majorEastAsia" w:hAnsiTheme="majorHAnsi" w:cstheme="majorBidi"/>
      <w:color w:val="2B3B5F" w:themeColor="text2"/>
      <w:sz w:val="32"/>
    </w:rPr>
  </w:style>
  <w:style w:type="character" w:customStyle="1" w:styleId="Heading9Char">
    <w:name w:val="Heading 9 Char"/>
    <w:aliases w:val="Attachment Heading 1 Char"/>
    <w:basedOn w:val="DefaultParagraphFont"/>
    <w:link w:val="Heading9"/>
    <w:uiPriority w:val="32"/>
    <w:rsid w:val="0089737A"/>
    <w:rPr>
      <w:rFonts w:asciiTheme="majorHAnsi" w:hAnsiTheme="majorHAnsi"/>
      <w:color w:val="2B3B5F" w:themeColor="text2"/>
      <w:sz w:val="28"/>
    </w:rPr>
  </w:style>
  <w:style w:type="paragraph" w:customStyle="1" w:styleId="AttachmentHeading2">
    <w:name w:val="Attachment Heading 2"/>
    <w:basedOn w:val="Normal"/>
    <w:next w:val="BodyText"/>
    <w:uiPriority w:val="33"/>
    <w:qFormat/>
    <w:rsid w:val="00CA5598"/>
    <w:pPr>
      <w:keepNext/>
      <w:keepLines/>
      <w:numPr>
        <w:ilvl w:val="2"/>
        <w:numId w:val="1"/>
      </w:numPr>
      <w:tabs>
        <w:tab w:val="left" w:pos="1559"/>
        <w:tab w:val="left" w:pos="1843"/>
        <w:tab w:val="left" w:pos="2126"/>
        <w:tab w:val="left" w:pos="2410"/>
      </w:tabs>
      <w:spacing w:before="470" w:after="227"/>
    </w:pPr>
    <w:rPr>
      <w:rFonts w:asciiTheme="majorHAnsi" w:hAnsiTheme="majorHAnsi"/>
      <w:color w:val="2B3B5F" w:themeColor="text2"/>
      <w:sz w:val="28"/>
    </w:rPr>
  </w:style>
  <w:style w:type="paragraph" w:customStyle="1" w:styleId="AttachmentHeading3">
    <w:name w:val="Attachment Heading 3"/>
    <w:basedOn w:val="Normal"/>
    <w:next w:val="BodyText"/>
    <w:uiPriority w:val="34"/>
    <w:qFormat/>
    <w:rsid w:val="00CA5598"/>
    <w:pPr>
      <w:keepNext/>
      <w:keepLines/>
      <w:numPr>
        <w:ilvl w:val="3"/>
        <w:numId w:val="1"/>
      </w:numPr>
      <w:tabs>
        <w:tab w:val="left" w:pos="1559"/>
        <w:tab w:val="left" w:pos="1843"/>
        <w:tab w:val="left" w:pos="2126"/>
        <w:tab w:val="left" w:pos="2410"/>
        <w:tab w:val="left" w:pos="6804"/>
      </w:tabs>
      <w:spacing w:before="227" w:after="113"/>
    </w:pPr>
    <w:rPr>
      <w:b/>
      <w:color w:val="2B3B5F" w:themeColor="text2"/>
    </w:rPr>
  </w:style>
  <w:style w:type="character" w:customStyle="1" w:styleId="Bold">
    <w:name w:val="Bold"/>
    <w:uiPriority w:val="39"/>
    <w:rsid w:val="00961DBB"/>
    <w:rPr>
      <w:b/>
    </w:rPr>
  </w:style>
  <w:style w:type="character" w:customStyle="1" w:styleId="BoldAndItalics">
    <w:name w:val="Bold And Italics"/>
    <w:uiPriority w:val="39"/>
    <w:rsid w:val="00961DBB"/>
    <w:rPr>
      <w:b/>
      <w:i/>
    </w:rPr>
  </w:style>
  <w:style w:type="paragraph" w:styleId="Caption">
    <w:name w:val="caption"/>
    <w:basedOn w:val="Normal"/>
    <w:next w:val="BodyText"/>
    <w:uiPriority w:val="13"/>
    <w:qFormat/>
    <w:rsid w:val="00961DBB"/>
    <w:pPr>
      <w:keepNext/>
      <w:spacing w:before="340" w:after="114"/>
    </w:pPr>
    <w:rPr>
      <w:b/>
      <w:bCs/>
      <w:color w:val="2B3B5F" w:themeColor="text2"/>
      <w:spacing w:val="-4"/>
    </w:rPr>
  </w:style>
  <w:style w:type="paragraph" w:styleId="Footer">
    <w:name w:val="footer"/>
    <w:basedOn w:val="Normal"/>
    <w:link w:val="FooterChar"/>
    <w:uiPriority w:val="39"/>
    <w:rsid w:val="0046444F"/>
    <w:pPr>
      <w:spacing w:line="240" w:lineRule="auto"/>
    </w:pPr>
    <w:rPr>
      <w:b/>
    </w:rPr>
  </w:style>
  <w:style w:type="character" w:customStyle="1" w:styleId="FooterChar">
    <w:name w:val="Footer Char"/>
    <w:basedOn w:val="DefaultParagraphFont"/>
    <w:link w:val="Footer"/>
    <w:uiPriority w:val="39"/>
    <w:rsid w:val="00AC41CF"/>
    <w:rPr>
      <w:b/>
    </w:rPr>
  </w:style>
  <w:style w:type="paragraph" w:customStyle="1" w:styleId="FooterLeft">
    <w:name w:val="Footer Left"/>
    <w:basedOn w:val="Footer"/>
    <w:uiPriority w:val="39"/>
    <w:rsid w:val="00961DBB"/>
    <w:pPr>
      <w:framePr w:wrap="around" w:vAnchor="page" w:hAnchor="margin" w:yAlign="bottom"/>
      <w:spacing w:before="180" w:after="120"/>
      <w:ind w:left="397"/>
    </w:pPr>
    <w:rPr>
      <w:spacing w:val="-2"/>
    </w:rPr>
  </w:style>
  <w:style w:type="paragraph" w:customStyle="1" w:styleId="FooterRight">
    <w:name w:val="Footer Right"/>
    <w:basedOn w:val="FooterLeft"/>
    <w:next w:val="Footer"/>
    <w:uiPriority w:val="39"/>
    <w:unhideWhenUsed/>
    <w:rsid w:val="00961DBB"/>
    <w:pPr>
      <w:framePr w:wrap="around" w:xAlign="right"/>
      <w:ind w:right="397"/>
      <w:jc w:val="right"/>
    </w:pPr>
  </w:style>
  <w:style w:type="paragraph" w:customStyle="1" w:styleId="FooterRightPageNumber">
    <w:name w:val="Footer Right Page Number"/>
    <w:basedOn w:val="Normal"/>
    <w:uiPriority w:val="39"/>
    <w:rsid w:val="00E915E6"/>
    <w:pPr>
      <w:spacing w:before="180" w:after="120" w:line="240" w:lineRule="auto"/>
      <w:jc w:val="right"/>
    </w:pPr>
    <w:rPr>
      <w:b/>
      <w:noProof/>
      <w:color w:val="788184" w:themeColor="background2"/>
    </w:rPr>
  </w:style>
  <w:style w:type="paragraph" w:customStyle="1" w:styleId="FooterLeftPageNumber">
    <w:name w:val="Footer Left Page Number"/>
    <w:basedOn w:val="Footer"/>
    <w:uiPriority w:val="39"/>
    <w:rsid w:val="00961DBB"/>
    <w:pPr>
      <w:framePr w:wrap="around" w:vAnchor="page" w:hAnchor="margin" w:yAlign="bottom"/>
      <w:spacing w:before="180" w:after="120"/>
      <w:ind w:right="57"/>
    </w:pPr>
  </w:style>
  <w:style w:type="paragraph" w:customStyle="1" w:styleId="FootnoteSeparator">
    <w:name w:val="Footnote Separator"/>
    <w:basedOn w:val="Normal"/>
    <w:uiPriority w:val="39"/>
    <w:unhideWhenUsed/>
    <w:rsid w:val="00961DBB"/>
    <w:pPr>
      <w:pBdr>
        <w:top w:val="single" w:sz="2" w:space="0" w:color="000000" w:themeColor="text1"/>
      </w:pBdr>
      <w:spacing w:before="120" w:line="120" w:lineRule="exact"/>
    </w:pPr>
    <w:rPr>
      <w:sz w:val="14"/>
      <w:szCs w:val="16"/>
    </w:rPr>
  </w:style>
  <w:style w:type="paragraph" w:styleId="Header">
    <w:name w:val="header"/>
    <w:basedOn w:val="Normal"/>
    <w:link w:val="HeaderChar"/>
    <w:uiPriority w:val="99"/>
    <w:rsid w:val="0046444F"/>
    <w:pPr>
      <w:spacing w:before="240" w:after="12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44F"/>
  </w:style>
  <w:style w:type="paragraph" w:customStyle="1" w:styleId="HighlightText">
    <w:name w:val="Highlight Text"/>
    <w:basedOn w:val="Normal"/>
    <w:uiPriority w:val="39"/>
    <w:rsid w:val="00961DBB"/>
    <w:pPr>
      <w:spacing w:before="120" w:after="420"/>
    </w:pPr>
    <w:rPr>
      <w:i/>
      <w:color w:val="2B3B5F" w:themeColor="text2"/>
      <w:spacing w:val="-1"/>
    </w:rPr>
  </w:style>
  <w:style w:type="paragraph" w:customStyle="1" w:styleId="Introduction">
    <w:name w:val="Introduction"/>
    <w:basedOn w:val="Normal"/>
    <w:next w:val="BodyText"/>
    <w:uiPriority w:val="39"/>
    <w:rsid w:val="00961DBB"/>
    <w:pPr>
      <w:spacing w:after="180" w:line="360" w:lineRule="atLeast"/>
    </w:pPr>
    <w:rPr>
      <w:color w:val="2B3B5F" w:themeColor="text2"/>
      <w:spacing w:val="-2"/>
      <w:sz w:val="30"/>
    </w:rPr>
  </w:style>
  <w:style w:type="character" w:customStyle="1" w:styleId="Italics">
    <w:name w:val="Italics"/>
    <w:uiPriority w:val="39"/>
    <w:rsid w:val="00961DBB"/>
    <w:rPr>
      <w:i/>
    </w:rPr>
  </w:style>
  <w:style w:type="paragraph" w:styleId="ListBullet">
    <w:name w:val="List Bullet"/>
    <w:basedOn w:val="Normal"/>
    <w:uiPriority w:val="7"/>
    <w:qFormat/>
    <w:rsid w:val="00476133"/>
    <w:pPr>
      <w:keepLines/>
      <w:numPr>
        <w:numId w:val="6"/>
      </w:numPr>
      <w:spacing w:after="120"/>
    </w:pPr>
    <w:rPr>
      <w:spacing w:val="-1"/>
    </w:rPr>
  </w:style>
  <w:style w:type="paragraph" w:styleId="ListBullet2">
    <w:name w:val="List Bullet 2"/>
    <w:basedOn w:val="ListBullet"/>
    <w:uiPriority w:val="8"/>
    <w:qFormat/>
    <w:rsid w:val="00476133"/>
    <w:pPr>
      <w:numPr>
        <w:ilvl w:val="1"/>
      </w:numPr>
      <w:ind w:left="908" w:hanging="454"/>
    </w:pPr>
  </w:style>
  <w:style w:type="paragraph" w:styleId="ListBullet3">
    <w:name w:val="List Bullet 3"/>
    <w:basedOn w:val="ListBullet2"/>
    <w:uiPriority w:val="9"/>
    <w:qFormat/>
    <w:rsid w:val="00961DBB"/>
    <w:pPr>
      <w:numPr>
        <w:ilvl w:val="2"/>
      </w:numPr>
    </w:pPr>
  </w:style>
  <w:style w:type="paragraph" w:styleId="ListContinue">
    <w:name w:val="List Continue"/>
    <w:basedOn w:val="Normal"/>
    <w:semiHidden/>
    <w:qFormat/>
    <w:rsid w:val="00961DBB"/>
    <w:pPr>
      <w:spacing w:before="220" w:after="220"/>
      <w:ind w:left="340"/>
    </w:pPr>
  </w:style>
  <w:style w:type="paragraph" w:styleId="ListContinue2">
    <w:name w:val="List Continue 2"/>
    <w:basedOn w:val="Normal"/>
    <w:semiHidden/>
    <w:qFormat/>
    <w:rsid w:val="00961DBB"/>
    <w:pPr>
      <w:spacing w:before="220" w:after="220"/>
      <w:ind w:left="680"/>
    </w:pPr>
  </w:style>
  <w:style w:type="paragraph" w:styleId="ListNumber">
    <w:name w:val="List Number"/>
    <w:basedOn w:val="Normal"/>
    <w:uiPriority w:val="10"/>
    <w:qFormat/>
    <w:rsid w:val="00476133"/>
    <w:pPr>
      <w:numPr>
        <w:numId w:val="12"/>
      </w:numPr>
      <w:spacing w:before="120" w:after="120"/>
    </w:pPr>
    <w:rPr>
      <w:spacing w:val="-1"/>
    </w:rPr>
  </w:style>
  <w:style w:type="paragraph" w:styleId="ListNumber2">
    <w:name w:val="List Number 2"/>
    <w:basedOn w:val="Normal"/>
    <w:uiPriority w:val="11"/>
    <w:qFormat/>
    <w:rsid w:val="00476133"/>
    <w:pPr>
      <w:numPr>
        <w:ilvl w:val="1"/>
        <w:numId w:val="12"/>
      </w:numPr>
      <w:spacing w:before="120" w:after="120"/>
      <w:ind w:left="908" w:hanging="454"/>
    </w:pPr>
    <w:rPr>
      <w:spacing w:val="-1"/>
    </w:rPr>
  </w:style>
  <w:style w:type="paragraph" w:styleId="ListNumber3">
    <w:name w:val="List Number 3"/>
    <w:basedOn w:val="Normal"/>
    <w:uiPriority w:val="12"/>
    <w:qFormat/>
    <w:rsid w:val="00476133"/>
    <w:pPr>
      <w:numPr>
        <w:ilvl w:val="2"/>
        <w:numId w:val="12"/>
      </w:numPr>
      <w:spacing w:before="120" w:after="120"/>
    </w:pPr>
    <w:rPr>
      <w:spacing w:val="-1"/>
    </w:rPr>
  </w:style>
  <w:style w:type="character" w:customStyle="1" w:styleId="MySubscript">
    <w:name w:val="MySubscript"/>
    <w:uiPriority w:val="99"/>
    <w:rsid w:val="00961DBB"/>
    <w:rPr>
      <w:vertAlign w:val="subscript"/>
    </w:rPr>
  </w:style>
  <w:style w:type="character" w:customStyle="1" w:styleId="MySubscriptItalics">
    <w:name w:val="MySubscript&amp;Italics"/>
    <w:uiPriority w:val="99"/>
    <w:rsid w:val="00961DBB"/>
    <w:rPr>
      <w:i/>
      <w:vertAlign w:val="subscript"/>
    </w:rPr>
  </w:style>
  <w:style w:type="character" w:customStyle="1" w:styleId="MySuperscript">
    <w:name w:val="MySuperscript"/>
    <w:uiPriority w:val="99"/>
    <w:rsid w:val="00961DBB"/>
    <w:rPr>
      <w:vertAlign w:val="superscript"/>
    </w:rPr>
  </w:style>
  <w:style w:type="character" w:customStyle="1" w:styleId="MySuperscriptItalics">
    <w:name w:val="MySuperscript&amp;Italics"/>
    <w:uiPriority w:val="99"/>
    <w:rsid w:val="00961DBB"/>
    <w:rPr>
      <w:i/>
      <w:vertAlign w:val="superscript"/>
    </w:rPr>
  </w:style>
  <w:style w:type="paragraph" w:styleId="NoSpacing">
    <w:name w:val="No Spacing"/>
    <w:next w:val="BodyText"/>
    <w:uiPriority w:val="39"/>
    <w:rsid w:val="00961DBB"/>
    <w:pPr>
      <w:spacing w:line="240" w:lineRule="auto"/>
    </w:pPr>
    <w:rPr>
      <w:rFonts w:eastAsia="Times New Roman" w:cs="Arial"/>
      <w:lang w:eastAsia="en-AU"/>
    </w:rPr>
  </w:style>
  <w:style w:type="paragraph" w:customStyle="1" w:styleId="OverviewBodyText">
    <w:name w:val="Overview Body Text"/>
    <w:basedOn w:val="Normal"/>
    <w:uiPriority w:val="39"/>
    <w:rsid w:val="00512226"/>
    <w:pPr>
      <w:spacing w:after="113"/>
    </w:pPr>
  </w:style>
  <w:style w:type="paragraph" w:customStyle="1" w:styleId="OverviewHeading2">
    <w:name w:val="Overview Heading 2"/>
    <w:basedOn w:val="Normal"/>
    <w:next w:val="OverviewBodyText"/>
    <w:uiPriority w:val="39"/>
    <w:rsid w:val="00512226"/>
    <w:pPr>
      <w:keepNext/>
      <w:keepLines/>
      <w:spacing w:before="470" w:after="227"/>
    </w:pPr>
    <w:rPr>
      <w:rFonts w:asciiTheme="majorHAnsi" w:hAnsiTheme="majorHAnsi"/>
      <w:color w:val="2B3B5F" w:themeColor="text2"/>
      <w:sz w:val="32"/>
    </w:rPr>
  </w:style>
  <w:style w:type="paragraph" w:customStyle="1" w:styleId="OverviewHeading3">
    <w:name w:val="Overview Heading 3"/>
    <w:basedOn w:val="OverviewHeading2"/>
    <w:next w:val="OverviewBodyText"/>
    <w:uiPriority w:val="39"/>
    <w:rsid w:val="00512226"/>
    <w:rPr>
      <w:sz w:val="28"/>
    </w:rPr>
  </w:style>
  <w:style w:type="character" w:styleId="PageNumber">
    <w:name w:val="page number"/>
    <w:basedOn w:val="DefaultParagraphFont"/>
    <w:semiHidden/>
    <w:rsid w:val="00961DBB"/>
    <w:rPr>
      <w:rFonts w:ascii="Arial" w:hAnsi="Arial"/>
      <w:b/>
      <w:color w:val="auto"/>
      <w:sz w:val="16"/>
    </w:rPr>
  </w:style>
  <w:style w:type="paragraph" w:customStyle="1" w:styleId="PageNumberOdd">
    <w:name w:val="Page Number Odd"/>
    <w:semiHidden/>
    <w:rsid w:val="00961DBB"/>
    <w:pPr>
      <w:ind w:right="57"/>
      <w:jc w:val="right"/>
    </w:pPr>
    <w:rPr>
      <w:rFonts w:eastAsia="Times New Roman" w:cs="Arial"/>
      <w:b/>
      <w:color w:val="2B3B5F" w:themeColor="text2"/>
      <w:sz w:val="14"/>
      <w:szCs w:val="28"/>
      <w:lang w:eastAsia="en-AU"/>
    </w:rPr>
  </w:style>
  <w:style w:type="paragraph" w:customStyle="1" w:styleId="PageNumberEven">
    <w:name w:val="Page Number Even"/>
    <w:basedOn w:val="PageNumberOdd"/>
    <w:semiHidden/>
    <w:rsid w:val="00961DBB"/>
    <w:pPr>
      <w:framePr w:hSpace="181" w:wrap="around" w:vAnchor="page" w:hAnchor="page" w:yAlign="bottom"/>
      <w:jc w:val="left"/>
    </w:pPr>
  </w:style>
  <w:style w:type="character" w:styleId="PlaceholderText">
    <w:name w:val="Placeholder Text"/>
    <w:basedOn w:val="DefaultParagraphFont"/>
    <w:uiPriority w:val="39"/>
    <w:rsid w:val="00961DBB"/>
    <w:rPr>
      <w:color w:val="808080"/>
    </w:rPr>
  </w:style>
  <w:style w:type="paragraph" w:customStyle="1" w:styleId="PullOutBoxBodyText">
    <w:name w:val="Pull Out Box Body Text"/>
    <w:basedOn w:val="Normal"/>
    <w:uiPriority w:val="24"/>
    <w:qFormat/>
    <w:rsid w:val="00476133"/>
    <w:pPr>
      <w:spacing w:before="120" w:after="120"/>
      <w:ind w:left="57" w:right="57"/>
    </w:pPr>
    <w:rPr>
      <w:spacing w:val="-1"/>
    </w:rPr>
  </w:style>
  <w:style w:type="paragraph" w:customStyle="1" w:styleId="PullOutBoxBullet">
    <w:name w:val="Pull Out Box Bullet"/>
    <w:basedOn w:val="PullOutBoxBodyText"/>
    <w:uiPriority w:val="25"/>
    <w:qFormat/>
    <w:rsid w:val="00476133"/>
    <w:pPr>
      <w:numPr>
        <w:numId w:val="19"/>
      </w:numPr>
      <w:ind w:left="397"/>
    </w:pPr>
  </w:style>
  <w:style w:type="paragraph" w:customStyle="1" w:styleId="PullOutBoxBullet2">
    <w:name w:val="Pull Out Box Bullet 2"/>
    <w:basedOn w:val="PullOutBoxBodyText"/>
    <w:uiPriority w:val="26"/>
    <w:qFormat/>
    <w:rsid w:val="008112CC"/>
    <w:pPr>
      <w:numPr>
        <w:ilvl w:val="1"/>
        <w:numId w:val="19"/>
      </w:numPr>
      <w:ind w:left="737"/>
    </w:pPr>
  </w:style>
  <w:style w:type="paragraph" w:customStyle="1" w:styleId="PullOutBoxBullet3">
    <w:name w:val="Pull Out Box Bullet 3"/>
    <w:basedOn w:val="PullOutBoxBodyText"/>
    <w:uiPriority w:val="27"/>
    <w:qFormat/>
    <w:rsid w:val="00476133"/>
    <w:pPr>
      <w:numPr>
        <w:ilvl w:val="2"/>
        <w:numId w:val="19"/>
      </w:numPr>
      <w:ind w:left="1077"/>
    </w:pPr>
  </w:style>
  <w:style w:type="paragraph" w:customStyle="1" w:styleId="PullOutBoxHeading">
    <w:name w:val="Pull Out Box Heading"/>
    <w:basedOn w:val="PullOutBoxBodyText"/>
    <w:uiPriority w:val="23"/>
    <w:qFormat/>
    <w:rsid w:val="00476133"/>
    <w:pPr>
      <w:keepNext/>
      <w:keepLines/>
    </w:pPr>
    <w:rPr>
      <w:b/>
    </w:rPr>
  </w:style>
  <w:style w:type="paragraph" w:customStyle="1" w:styleId="PullOutBoxNumber">
    <w:name w:val="Pull Out Box Number"/>
    <w:basedOn w:val="PullOutBoxBodyText"/>
    <w:uiPriority w:val="28"/>
    <w:qFormat/>
    <w:rsid w:val="00476133"/>
    <w:pPr>
      <w:numPr>
        <w:numId w:val="22"/>
      </w:numPr>
      <w:ind w:left="397"/>
    </w:pPr>
  </w:style>
  <w:style w:type="paragraph" w:customStyle="1" w:styleId="PullOutBoxNumber2">
    <w:name w:val="Pull Out Box Number 2"/>
    <w:basedOn w:val="PullOutBoxBodyText"/>
    <w:uiPriority w:val="29"/>
    <w:qFormat/>
    <w:rsid w:val="008112CC"/>
    <w:pPr>
      <w:numPr>
        <w:ilvl w:val="1"/>
        <w:numId w:val="22"/>
      </w:numPr>
      <w:ind w:left="737"/>
    </w:pPr>
  </w:style>
  <w:style w:type="paragraph" w:customStyle="1" w:styleId="PullOutBoxNumber3">
    <w:name w:val="Pull Out Box Number 3"/>
    <w:basedOn w:val="PullOutBoxBodyText"/>
    <w:uiPriority w:val="30"/>
    <w:qFormat/>
    <w:rsid w:val="008112CC"/>
    <w:pPr>
      <w:numPr>
        <w:ilvl w:val="2"/>
        <w:numId w:val="22"/>
      </w:numPr>
      <w:ind w:left="1077"/>
    </w:pPr>
  </w:style>
  <w:style w:type="table" w:customStyle="1" w:styleId="PullOutBoxTable">
    <w:name w:val="Pull Out Box Table"/>
    <w:basedOn w:val="TableNormal"/>
    <w:uiPriority w:val="99"/>
    <w:rsid w:val="00961DBB"/>
    <w:pPr>
      <w:spacing w:line="240" w:lineRule="auto"/>
    </w:pPr>
    <w:rPr>
      <w:rFonts w:eastAsia="Times New Roman" w:cs="Arial"/>
      <w:lang w:eastAsia="en-AU"/>
    </w:rPr>
    <w:tblPr>
      <w:tblBorders>
        <w:top w:val="single" w:sz="4" w:space="0" w:color="D7DDE9" w:themeColor="accent3"/>
        <w:left w:val="single" w:sz="4" w:space="0" w:color="D7DDE9" w:themeColor="accent3"/>
        <w:bottom w:val="single" w:sz="4" w:space="0" w:color="D7DDE9" w:themeColor="accent3"/>
        <w:right w:val="single" w:sz="4" w:space="0" w:color="D7DDE9" w:themeColor="accent3"/>
        <w:insideH w:val="single" w:sz="4" w:space="0" w:color="D7DDE9" w:themeColor="accent3"/>
        <w:insideV w:val="single" w:sz="4" w:space="0" w:color="D7DDE9" w:themeColor="accent3"/>
      </w:tblBorders>
      <w:tblCellMar>
        <w:top w:w="28" w:type="dxa"/>
        <w:left w:w="0" w:type="dxa"/>
        <w:bottom w:w="28" w:type="dxa"/>
        <w:right w:w="0" w:type="dxa"/>
      </w:tblCellMar>
    </w:tblPr>
    <w:tcPr>
      <w:shd w:val="clear" w:color="auto" w:fill="D7DDE9" w:themeFill="accent3"/>
    </w:tcPr>
  </w:style>
  <w:style w:type="paragraph" w:styleId="Quote">
    <w:name w:val="Quote"/>
    <w:basedOn w:val="Normal"/>
    <w:link w:val="QuoteChar"/>
    <w:uiPriority w:val="39"/>
    <w:rsid w:val="00961DBB"/>
    <w:pPr>
      <w:tabs>
        <w:tab w:val="left" w:pos="1134"/>
      </w:tabs>
      <w:spacing w:before="240" w:after="240"/>
      <w:ind w:left="284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39"/>
    <w:rsid w:val="00AC41CF"/>
    <w:rPr>
      <w:i/>
      <w:iCs/>
    </w:rPr>
  </w:style>
  <w:style w:type="paragraph" w:customStyle="1" w:styleId="QuoteBullet">
    <w:name w:val="Quote Bullet"/>
    <w:basedOn w:val="Quote"/>
    <w:uiPriority w:val="39"/>
    <w:rsid w:val="00961DBB"/>
    <w:pPr>
      <w:numPr>
        <w:numId w:val="24"/>
      </w:numPr>
    </w:pPr>
  </w:style>
  <w:style w:type="paragraph" w:customStyle="1" w:styleId="QuoteBullet2">
    <w:name w:val="Quote Bullet 2"/>
    <w:basedOn w:val="Quote"/>
    <w:uiPriority w:val="39"/>
    <w:rsid w:val="00961DBB"/>
    <w:pPr>
      <w:numPr>
        <w:ilvl w:val="1"/>
        <w:numId w:val="24"/>
      </w:numPr>
      <w:tabs>
        <w:tab w:val="clear" w:pos="1134"/>
      </w:tabs>
    </w:pPr>
  </w:style>
  <w:style w:type="paragraph" w:customStyle="1" w:styleId="SectionHeading">
    <w:name w:val="Section Heading"/>
    <w:basedOn w:val="Normal"/>
    <w:next w:val="BodyText"/>
    <w:uiPriority w:val="39"/>
    <w:rsid w:val="00E45766"/>
    <w:pPr>
      <w:keepLines/>
      <w:spacing w:before="4320" w:line="360" w:lineRule="auto"/>
      <w:ind w:left="1701"/>
      <w:jc w:val="right"/>
      <w:outlineLvl w:val="0"/>
    </w:pPr>
    <w:rPr>
      <w:rFonts w:asciiTheme="majorHAnsi" w:hAnsiTheme="majorHAnsi"/>
      <w:noProof/>
      <w:color w:val="2B3B5F" w:themeColor="text2"/>
      <w:sz w:val="50"/>
      <w:szCs w:val="40"/>
    </w:rPr>
  </w:style>
  <w:style w:type="character" w:customStyle="1" w:styleId="SectionSubtitle">
    <w:name w:val="Section Subtitle"/>
    <w:uiPriority w:val="39"/>
    <w:rsid w:val="00E45766"/>
    <w:rPr>
      <w:color w:val="751D71" w:themeColor="accent4"/>
      <w:sz w:val="40"/>
    </w:rPr>
  </w:style>
  <w:style w:type="paragraph" w:styleId="Subtitle">
    <w:name w:val="Subtitle"/>
    <w:basedOn w:val="Normal"/>
    <w:next w:val="Normal"/>
    <w:link w:val="SubtitleChar"/>
    <w:uiPriority w:val="39"/>
    <w:rsid w:val="00961DBB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39"/>
    <w:rsid w:val="00AC41CF"/>
    <w:rPr>
      <w:rFonts w:asciiTheme="majorHAnsi" w:eastAsiaTheme="majorEastAsia" w:hAnsiTheme="majorHAnsi" w:cstheme="majorBidi"/>
      <w:iCs/>
      <w:spacing w:val="15"/>
    </w:rPr>
  </w:style>
  <w:style w:type="character" w:customStyle="1" w:styleId="Superscript">
    <w:name w:val="Superscript"/>
    <w:uiPriority w:val="39"/>
    <w:rsid w:val="00961DBB"/>
    <w:rPr>
      <w:vertAlign w:val="superscript"/>
    </w:rPr>
  </w:style>
  <w:style w:type="table" w:customStyle="1" w:styleId="TableAsPlaceholder">
    <w:name w:val="Table As Placeholder"/>
    <w:basedOn w:val="TableNormal"/>
    <w:uiPriority w:val="99"/>
    <w:qFormat/>
    <w:rsid w:val="00961DBB"/>
    <w:rPr>
      <w:rFonts w:eastAsia="Times New Roman" w:cs="Arial"/>
      <w:lang w:eastAsia="en-AU"/>
    </w:rPr>
    <w:tblPr>
      <w:tblCellMar>
        <w:left w:w="0" w:type="dxa"/>
        <w:right w:w="0" w:type="dxa"/>
      </w:tblCellMar>
    </w:tblPr>
  </w:style>
  <w:style w:type="paragraph" w:customStyle="1" w:styleId="TableFootnotes">
    <w:name w:val="Table Footnotes"/>
    <w:basedOn w:val="Normal"/>
    <w:uiPriority w:val="22"/>
    <w:qFormat/>
    <w:rsid w:val="0056001A"/>
    <w:pPr>
      <w:keepLines/>
      <w:numPr>
        <w:numId w:val="25"/>
      </w:numPr>
      <w:spacing w:after="50" w:line="260" w:lineRule="atLeast"/>
      <w:contextualSpacing/>
    </w:pPr>
    <w:rPr>
      <w:sz w:val="20"/>
    </w:rPr>
  </w:style>
  <w:style w:type="table" w:styleId="TableGrid">
    <w:name w:val="Table Grid"/>
    <w:basedOn w:val="TableNormal"/>
    <w:rsid w:val="00F85D29"/>
    <w:pPr>
      <w:spacing w:before="70" w:after="70" w:line="260" w:lineRule="atLeast"/>
      <w:ind w:left="113" w:right="113"/>
    </w:pPr>
    <w:rPr>
      <w:rFonts w:eastAsia="Times New Roman" w:cs="Times New Roman"/>
      <w:sz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Theme="minorHAnsi" w:hAnsiTheme="minorHAnsi"/>
        <w:b w:val="0"/>
        <w:i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 w:themeFill="text2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 w:themeFill="accent3"/>
      </w:tcPr>
    </w:tblStylePr>
    <w:tblStylePr w:type="nwCell">
      <w:pPr>
        <w:jc w:val="left"/>
      </w:pPr>
      <w:tblPr/>
      <w:tcPr>
        <w:vAlign w:val="top"/>
      </w:tcPr>
    </w:tblStylePr>
  </w:style>
  <w:style w:type="paragraph" w:customStyle="1" w:styleId="TableHeading">
    <w:name w:val="Table Heading"/>
    <w:basedOn w:val="Normal"/>
    <w:uiPriority w:val="14"/>
    <w:qFormat/>
    <w:rsid w:val="00476133"/>
    <w:pPr>
      <w:keepNext/>
      <w:keepLines/>
      <w:spacing w:before="70" w:after="70" w:line="260" w:lineRule="atLeast"/>
      <w:ind w:left="57" w:right="57"/>
    </w:pPr>
    <w:rPr>
      <w:rFonts w:ascii="Calibri" w:hAnsi="Calibri" w:cs="Times New Roman"/>
      <w:b/>
      <w:sz w:val="20"/>
    </w:rPr>
  </w:style>
  <w:style w:type="paragraph" w:customStyle="1" w:styleId="TableHeadingCentred">
    <w:name w:val="Table Heading Centred"/>
    <w:basedOn w:val="TableHeading"/>
    <w:uiPriority w:val="15"/>
    <w:qFormat/>
    <w:rsid w:val="005B0970"/>
    <w:pPr>
      <w:jc w:val="center"/>
    </w:pPr>
  </w:style>
  <w:style w:type="paragraph" w:customStyle="1" w:styleId="TableHeadingRight">
    <w:name w:val="Table Heading Right"/>
    <w:basedOn w:val="TableHeading"/>
    <w:uiPriority w:val="16"/>
    <w:qFormat/>
    <w:rsid w:val="00956D5A"/>
    <w:pPr>
      <w:jc w:val="right"/>
    </w:pPr>
  </w:style>
  <w:style w:type="paragraph" w:customStyle="1" w:styleId="Source">
    <w:name w:val="Source"/>
    <w:basedOn w:val="Normal"/>
    <w:next w:val="BodyText17ptAbove"/>
    <w:uiPriority w:val="39"/>
    <w:rsid w:val="00035ADE"/>
    <w:pPr>
      <w:spacing w:before="180" w:after="114"/>
      <w:contextualSpacing/>
    </w:pPr>
    <w:rPr>
      <w:rFonts w:cs="Times New Roman"/>
      <w:color w:val="788184" w:themeColor="background2"/>
      <w:sz w:val="20"/>
      <w:szCs w:val="14"/>
    </w:rPr>
  </w:style>
  <w:style w:type="paragraph" w:customStyle="1" w:styleId="TableText">
    <w:name w:val="Table Text"/>
    <w:basedOn w:val="Normal"/>
    <w:uiPriority w:val="17"/>
    <w:qFormat/>
    <w:rsid w:val="005B0970"/>
    <w:pPr>
      <w:spacing w:before="70" w:after="70" w:line="260" w:lineRule="atLeast"/>
      <w:ind w:left="57" w:right="57"/>
    </w:pPr>
    <w:rPr>
      <w:rFonts w:ascii="Calibri" w:hAnsi="Calibri" w:cs="Times New Roman"/>
      <w:sz w:val="20"/>
    </w:rPr>
  </w:style>
  <w:style w:type="paragraph" w:customStyle="1" w:styleId="TableTextBold">
    <w:name w:val="Table Text Bold"/>
    <w:basedOn w:val="TableText"/>
    <w:semiHidden/>
    <w:qFormat/>
    <w:rsid w:val="00961DBB"/>
    <w:rPr>
      <w:b/>
    </w:rPr>
  </w:style>
  <w:style w:type="paragraph" w:customStyle="1" w:styleId="TableTextBullet">
    <w:name w:val="Table Text Bullet"/>
    <w:basedOn w:val="TableText"/>
    <w:uiPriority w:val="39"/>
    <w:rsid w:val="00961DBB"/>
    <w:pPr>
      <w:numPr>
        <w:numId w:val="28"/>
      </w:numPr>
    </w:pPr>
  </w:style>
  <w:style w:type="paragraph" w:customStyle="1" w:styleId="TableTextBullet2">
    <w:name w:val="Table Text Bullet 2"/>
    <w:basedOn w:val="TableTextBullet"/>
    <w:uiPriority w:val="39"/>
    <w:rsid w:val="00961DBB"/>
    <w:pPr>
      <w:numPr>
        <w:ilvl w:val="1"/>
      </w:numPr>
    </w:pPr>
    <w:rPr>
      <w:bCs/>
    </w:rPr>
  </w:style>
  <w:style w:type="paragraph" w:customStyle="1" w:styleId="TableTextBullet3">
    <w:name w:val="Table Text Bullet 3"/>
    <w:basedOn w:val="TableTextBullet2"/>
    <w:uiPriority w:val="39"/>
    <w:rsid w:val="00961DBB"/>
    <w:pPr>
      <w:numPr>
        <w:ilvl w:val="2"/>
      </w:numPr>
    </w:pPr>
    <w:rPr>
      <w:bCs w:val="0"/>
    </w:rPr>
  </w:style>
  <w:style w:type="paragraph" w:customStyle="1" w:styleId="TableTextNumber">
    <w:name w:val="Table Text Number"/>
    <w:basedOn w:val="TableText"/>
    <w:uiPriority w:val="39"/>
    <w:rsid w:val="00961DBB"/>
    <w:pPr>
      <w:numPr>
        <w:numId w:val="31"/>
      </w:numPr>
    </w:pPr>
  </w:style>
  <w:style w:type="paragraph" w:customStyle="1" w:styleId="TableTextNumber2">
    <w:name w:val="Table Text Number 2"/>
    <w:basedOn w:val="TableTextNumber"/>
    <w:uiPriority w:val="39"/>
    <w:rsid w:val="00961DBB"/>
    <w:pPr>
      <w:numPr>
        <w:ilvl w:val="1"/>
      </w:numPr>
      <w:tabs>
        <w:tab w:val="clear" w:pos="709"/>
        <w:tab w:val="num" w:pos="680"/>
      </w:tabs>
      <w:ind w:left="680"/>
    </w:pPr>
  </w:style>
  <w:style w:type="paragraph" w:customStyle="1" w:styleId="TableTextNumber3">
    <w:name w:val="Table Text Number 3"/>
    <w:basedOn w:val="TableTextNumber2"/>
    <w:uiPriority w:val="39"/>
    <w:rsid w:val="00961DBB"/>
    <w:pPr>
      <w:numPr>
        <w:ilvl w:val="2"/>
      </w:numPr>
    </w:pPr>
  </w:style>
  <w:style w:type="paragraph" w:customStyle="1" w:styleId="TableTextRight">
    <w:name w:val="Table Text Right"/>
    <w:basedOn w:val="TableText"/>
    <w:uiPriority w:val="19"/>
    <w:qFormat/>
    <w:rsid w:val="00961DBB"/>
    <w:pPr>
      <w:jc w:val="right"/>
    </w:pPr>
  </w:style>
  <w:style w:type="paragraph" w:customStyle="1" w:styleId="TableofContents2">
    <w:name w:val="TableofContents2"/>
    <w:basedOn w:val="Normal"/>
    <w:semiHidden/>
    <w:rsid w:val="00CA0B7E"/>
    <w:pPr>
      <w:keepNext/>
      <w:spacing w:after="113"/>
    </w:pPr>
    <w:rPr>
      <w:sz w:val="28"/>
      <w:szCs w:val="28"/>
    </w:rPr>
  </w:style>
  <w:style w:type="paragraph" w:styleId="Title">
    <w:name w:val="Title"/>
    <w:basedOn w:val="Normal"/>
    <w:next w:val="Normal"/>
    <w:link w:val="TitleChar"/>
    <w:uiPriority w:val="39"/>
    <w:rsid w:val="00817406"/>
    <w:pPr>
      <w:spacing w:before="480" w:after="340" w:line="240" w:lineRule="auto"/>
    </w:pPr>
    <w:rPr>
      <w:rFonts w:asciiTheme="majorHAnsi" w:eastAsiaTheme="majorEastAsia" w:hAnsiTheme="majorHAnsi" w:cstheme="majorBidi"/>
      <w:color w:val="2B3B5F" w:themeColor="text2"/>
      <w:spacing w:val="-2"/>
      <w:sz w:val="32"/>
      <w:szCs w:val="50"/>
    </w:rPr>
  </w:style>
  <w:style w:type="character" w:customStyle="1" w:styleId="TitleChar">
    <w:name w:val="Title Char"/>
    <w:basedOn w:val="DefaultParagraphFont"/>
    <w:link w:val="Title"/>
    <w:uiPriority w:val="39"/>
    <w:rsid w:val="00AC41CF"/>
    <w:rPr>
      <w:rFonts w:asciiTheme="majorHAnsi" w:eastAsiaTheme="majorEastAsia" w:hAnsiTheme="majorHAnsi" w:cstheme="majorBidi"/>
      <w:color w:val="2B3B5F" w:themeColor="text2"/>
      <w:spacing w:val="-2"/>
      <w:sz w:val="32"/>
      <w:szCs w:val="50"/>
    </w:rPr>
  </w:style>
  <w:style w:type="paragraph" w:customStyle="1" w:styleId="Title2">
    <w:name w:val="Title 2"/>
    <w:basedOn w:val="Normal"/>
    <w:link w:val="Title2Char"/>
    <w:uiPriority w:val="39"/>
    <w:rsid w:val="00C8728F"/>
    <w:pPr>
      <w:spacing w:after="250"/>
      <w:ind w:left="397"/>
      <w:jc w:val="right"/>
    </w:pPr>
    <w:rPr>
      <w:rFonts w:asciiTheme="majorHAnsi" w:hAnsiTheme="majorHAnsi"/>
      <w:color w:val="FFFFFF"/>
      <w:spacing w:val="-2"/>
      <w:sz w:val="32"/>
    </w:rPr>
  </w:style>
  <w:style w:type="character" w:customStyle="1" w:styleId="Title2Char">
    <w:name w:val="Title 2 Char"/>
    <w:basedOn w:val="DefaultParagraphFont"/>
    <w:link w:val="Title2"/>
    <w:uiPriority w:val="39"/>
    <w:rsid w:val="00AC41CF"/>
    <w:rPr>
      <w:rFonts w:asciiTheme="majorHAnsi" w:hAnsiTheme="majorHAnsi"/>
      <w:color w:val="FFFFFF"/>
      <w:spacing w:val="-2"/>
      <w:sz w:val="32"/>
    </w:rPr>
  </w:style>
  <w:style w:type="paragraph" w:customStyle="1" w:styleId="Title3">
    <w:name w:val="Title 3"/>
    <w:basedOn w:val="Title2"/>
    <w:uiPriority w:val="39"/>
    <w:rsid w:val="00195228"/>
    <w:pPr>
      <w:framePr w:wrap="auto" w:vAnchor="page" w:hAnchor="margin" w:y="5779"/>
    </w:pPr>
    <w:rPr>
      <w:rFonts w:eastAsia="Times New Roman" w:cs="Arial"/>
      <w:i/>
      <w:spacing w:val="8"/>
      <w:lang w:eastAsia="en-AU"/>
    </w:rPr>
  </w:style>
  <w:style w:type="paragraph" w:styleId="TOC1">
    <w:name w:val="toc 1"/>
    <w:basedOn w:val="Normal"/>
    <w:next w:val="Normal"/>
    <w:uiPriority w:val="39"/>
    <w:rsid w:val="001B2C65"/>
    <w:pPr>
      <w:tabs>
        <w:tab w:val="right" w:leader="underscore" w:pos="8164"/>
      </w:tabs>
      <w:spacing w:after="227"/>
      <w:ind w:right="851"/>
    </w:pPr>
    <w:rPr>
      <w:b/>
      <w:noProof/>
      <w:color w:val="2B3B5F" w:themeColor="text2"/>
    </w:rPr>
  </w:style>
  <w:style w:type="paragraph" w:styleId="TOC2">
    <w:name w:val="toc 2"/>
    <w:basedOn w:val="Normal"/>
    <w:next w:val="Normal"/>
    <w:uiPriority w:val="39"/>
    <w:rsid w:val="001B2C65"/>
    <w:pPr>
      <w:tabs>
        <w:tab w:val="right" w:leader="underscore" w:pos="8164"/>
      </w:tabs>
      <w:spacing w:after="227"/>
      <w:ind w:left="454" w:right="851"/>
    </w:pPr>
    <w:rPr>
      <w:noProof/>
      <w:szCs w:val="28"/>
    </w:rPr>
  </w:style>
  <w:style w:type="paragraph" w:styleId="TOC3">
    <w:name w:val="toc 3"/>
    <w:basedOn w:val="Normal"/>
    <w:next w:val="Normal"/>
    <w:uiPriority w:val="39"/>
    <w:rsid w:val="001B2C65"/>
    <w:pPr>
      <w:tabs>
        <w:tab w:val="right" w:leader="underscore" w:pos="8164"/>
      </w:tabs>
      <w:spacing w:after="227"/>
      <w:ind w:left="907" w:right="851"/>
    </w:pPr>
    <w:rPr>
      <w:rFonts w:eastAsiaTheme="minorEastAsia"/>
      <w:noProof/>
    </w:rPr>
  </w:style>
  <w:style w:type="paragraph" w:styleId="TOC4">
    <w:name w:val="toc 4"/>
    <w:basedOn w:val="Normal"/>
    <w:uiPriority w:val="39"/>
    <w:rsid w:val="006C5E72"/>
    <w:pPr>
      <w:tabs>
        <w:tab w:val="right" w:leader="underscore" w:pos="8165"/>
      </w:tabs>
      <w:spacing w:after="80"/>
      <w:ind w:right="851"/>
    </w:pPr>
    <w:rPr>
      <w:noProof/>
    </w:rPr>
  </w:style>
  <w:style w:type="paragraph" w:styleId="TOC5">
    <w:name w:val="toc 5"/>
    <w:basedOn w:val="Normal"/>
    <w:next w:val="Normal"/>
    <w:autoRedefine/>
    <w:uiPriority w:val="39"/>
    <w:rsid w:val="0096618E"/>
    <w:pPr>
      <w:tabs>
        <w:tab w:val="right" w:leader="underscore" w:pos="8165"/>
      </w:tabs>
      <w:spacing w:after="227"/>
      <w:ind w:right="851"/>
    </w:pPr>
    <w:rPr>
      <w:b/>
      <w:color w:val="2B3B5F" w:themeColor="text2"/>
    </w:rPr>
  </w:style>
  <w:style w:type="paragraph" w:styleId="TOC6">
    <w:name w:val="toc 6"/>
    <w:basedOn w:val="Normal"/>
    <w:next w:val="Normal"/>
    <w:autoRedefine/>
    <w:semiHidden/>
    <w:rsid w:val="00961DBB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rsid w:val="00961DBB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rsid w:val="00961DBB"/>
    <w:pPr>
      <w:tabs>
        <w:tab w:val="right" w:leader="dot" w:pos="9582"/>
      </w:tabs>
      <w:spacing w:after="227"/>
      <w:ind w:right="907"/>
    </w:pPr>
    <w:rPr>
      <w:color w:val="2B3B5F" w:themeColor="text2"/>
    </w:rPr>
  </w:style>
  <w:style w:type="paragraph" w:styleId="TOCHeading">
    <w:name w:val="TOC Heading"/>
    <w:basedOn w:val="Normal"/>
    <w:uiPriority w:val="39"/>
    <w:rsid w:val="00733970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before="480" w:after="340" w:line="240" w:lineRule="auto"/>
    </w:pPr>
    <w:rPr>
      <w:rFonts w:asciiTheme="majorHAnsi" w:hAnsiTheme="majorHAnsi"/>
      <w:color w:val="2B3B5F" w:themeColor="text2"/>
      <w:sz w:val="40"/>
      <w:szCs w:val="40"/>
    </w:rPr>
  </w:style>
  <w:style w:type="paragraph" w:customStyle="1" w:styleId="TOFHeading">
    <w:name w:val="TOF Heading"/>
    <w:basedOn w:val="Normal"/>
    <w:uiPriority w:val="39"/>
    <w:rsid w:val="00961DBB"/>
    <w:pPr>
      <w:keepNext/>
      <w:tabs>
        <w:tab w:val="left" w:pos="2268"/>
      </w:tabs>
      <w:spacing w:before="300" w:after="120"/>
    </w:pPr>
    <w:rPr>
      <w:color w:val="2B3B5F" w:themeColor="text2"/>
      <w:sz w:val="28"/>
      <w:szCs w:val="32"/>
    </w:rPr>
  </w:style>
  <w:style w:type="paragraph" w:customStyle="1" w:styleId="xDisclaimerHeading">
    <w:name w:val="xDisclaimer Heading"/>
    <w:basedOn w:val="Normal"/>
    <w:link w:val="xDisclaimerHeadingChar"/>
    <w:uiPriority w:val="39"/>
    <w:rsid w:val="00961DBB"/>
    <w:pPr>
      <w:framePr w:hSpace="181" w:wrap="around" w:hAnchor="margin" w:y="4310"/>
      <w:spacing w:before="170" w:after="57" w:line="280" w:lineRule="atLeast"/>
      <w:suppressOverlap/>
    </w:pPr>
    <w:rPr>
      <w:b/>
    </w:rPr>
  </w:style>
  <w:style w:type="character" w:customStyle="1" w:styleId="xDisclaimerHeadingChar">
    <w:name w:val="xDisclaimer Heading Char"/>
    <w:basedOn w:val="DefaultParagraphFont"/>
    <w:link w:val="xDisclaimerHeading"/>
    <w:uiPriority w:val="39"/>
    <w:rsid w:val="00AC41CF"/>
    <w:rPr>
      <w:b/>
    </w:rPr>
  </w:style>
  <w:style w:type="paragraph" w:customStyle="1" w:styleId="xDisclaimerText">
    <w:name w:val="xDisclaimer Text"/>
    <w:basedOn w:val="Normal"/>
    <w:uiPriority w:val="39"/>
    <w:rsid w:val="00961DBB"/>
    <w:pPr>
      <w:spacing w:after="57" w:line="302" w:lineRule="atLeast"/>
    </w:pPr>
    <w:rPr>
      <w:rFonts w:cs="Times New Roman"/>
    </w:rPr>
  </w:style>
  <w:style w:type="paragraph" w:customStyle="1" w:styleId="xDisclaimerText2">
    <w:name w:val="xDisclaimer Text 2"/>
    <w:basedOn w:val="xDisclaimerHeading"/>
    <w:uiPriority w:val="39"/>
    <w:rsid w:val="00961DBB"/>
    <w:pPr>
      <w:framePr w:wrap="around"/>
      <w:spacing w:before="0" w:after="170" w:line="302" w:lineRule="atLeast"/>
    </w:pPr>
    <w:rPr>
      <w:b w:val="0"/>
    </w:rPr>
  </w:style>
  <w:style w:type="paragraph" w:customStyle="1" w:styleId="xDisclaimertext3">
    <w:name w:val="xDisclaimer text 3"/>
    <w:basedOn w:val="xDisclaimerText"/>
    <w:uiPriority w:val="39"/>
    <w:rsid w:val="00961DBB"/>
    <w:pPr>
      <w:spacing w:before="170" w:after="170"/>
    </w:pPr>
  </w:style>
  <w:style w:type="paragraph" w:customStyle="1" w:styleId="xInlineShape">
    <w:name w:val="xInlineShape"/>
    <w:basedOn w:val="Normal"/>
    <w:next w:val="BodyText"/>
    <w:uiPriority w:val="39"/>
    <w:rsid w:val="009A3E58"/>
    <w:pPr>
      <w:keepNext/>
      <w:spacing w:before="300" w:after="120" w:line="240" w:lineRule="auto"/>
    </w:pPr>
  </w:style>
  <w:style w:type="paragraph" w:customStyle="1" w:styleId="xStatus">
    <w:name w:val="xStatus"/>
    <w:basedOn w:val="Normal"/>
    <w:semiHidden/>
    <w:rsid w:val="0094468E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line="1400" w:lineRule="exact"/>
      <w:jc w:val="center"/>
    </w:pPr>
    <w:rPr>
      <w:caps/>
      <w:color w:val="EAEAEA"/>
      <w:spacing w:val="40"/>
      <w:sz w:val="140"/>
    </w:rPr>
  </w:style>
  <w:style w:type="paragraph" w:customStyle="1" w:styleId="xDisclaimerHeadingwithxDisclaimerText">
    <w:name w:val="xDisclaimer Heading (with xDisclaimer Text)"/>
    <w:basedOn w:val="xDisclaimerHeading"/>
    <w:link w:val="xDisclaimerHeadingwithxDisclaimerTextChar"/>
    <w:uiPriority w:val="39"/>
    <w:rsid w:val="00961DBB"/>
    <w:pPr>
      <w:framePr w:wrap="around"/>
    </w:pPr>
  </w:style>
  <w:style w:type="character" w:customStyle="1" w:styleId="xDisclaimerHeadingwithxDisclaimerTextChar">
    <w:name w:val="xDisclaimer Heading (with xDisclaimer Text) Char"/>
    <w:basedOn w:val="xDisclaimerHeadingChar"/>
    <w:link w:val="xDisclaimerHeadingwithxDisclaimerText"/>
    <w:uiPriority w:val="39"/>
    <w:rsid w:val="00AC41CF"/>
    <w:rPr>
      <w:b/>
    </w:rPr>
  </w:style>
  <w:style w:type="character" w:styleId="Hyperlink">
    <w:name w:val="Hyperlink"/>
    <w:basedOn w:val="DefaultParagraphFont"/>
    <w:uiPriority w:val="99"/>
    <w:unhideWhenUsed/>
    <w:rsid w:val="00903E3F"/>
    <w:rPr>
      <w:color w:val="auto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903E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E266E"/>
    <w:rPr>
      <w:rFonts w:ascii="Tahoma" w:hAnsi="Tahoma" w:cs="Tahoma"/>
      <w:sz w:val="16"/>
      <w:szCs w:val="16"/>
    </w:rPr>
  </w:style>
  <w:style w:type="paragraph" w:customStyle="1" w:styleId="CaptionBefore12pt">
    <w:name w:val="Caption + Before: 12pt"/>
    <w:basedOn w:val="Caption"/>
    <w:uiPriority w:val="39"/>
    <w:rsid w:val="00FD6119"/>
    <w:pPr>
      <w:spacing w:before="240"/>
    </w:pPr>
  </w:style>
  <w:style w:type="paragraph" w:customStyle="1" w:styleId="xBackPageWebAddress">
    <w:name w:val="xBack Page Web Address"/>
    <w:basedOn w:val="Normal"/>
    <w:uiPriority w:val="39"/>
    <w:rsid w:val="00F31392"/>
    <w:pPr>
      <w:spacing w:before="140" w:line="240" w:lineRule="atLeast"/>
    </w:pPr>
    <w:rPr>
      <w:rFonts w:asciiTheme="majorHAnsi" w:hAnsiTheme="majorHAnsi"/>
      <w:color w:val="FFFFFF"/>
      <w:spacing w:val="-6"/>
      <w:sz w:val="40"/>
      <w:szCs w:val="36"/>
    </w:rPr>
  </w:style>
  <w:style w:type="paragraph" w:customStyle="1" w:styleId="Heading1NoNumbering">
    <w:name w:val="Heading 1 No Numbering"/>
    <w:basedOn w:val="Heading1"/>
    <w:uiPriority w:val="39"/>
    <w:rsid w:val="00A12C39"/>
    <w:pPr>
      <w:numPr>
        <w:numId w:val="0"/>
      </w:numPr>
    </w:pPr>
  </w:style>
  <w:style w:type="paragraph" w:styleId="TableofFigures">
    <w:name w:val="table of figures"/>
    <w:basedOn w:val="Normal"/>
    <w:next w:val="Normal"/>
    <w:uiPriority w:val="39"/>
    <w:rsid w:val="00D64CE2"/>
    <w:pPr>
      <w:tabs>
        <w:tab w:val="right" w:leader="underscore" w:pos="8165"/>
      </w:tabs>
      <w:spacing w:after="80"/>
      <w:ind w:right="851"/>
    </w:pPr>
  </w:style>
  <w:style w:type="paragraph" w:customStyle="1" w:styleId="SectionHeadingNoTOC">
    <w:name w:val="Section Heading No TOC"/>
    <w:basedOn w:val="SectionHeading"/>
    <w:uiPriority w:val="39"/>
    <w:rsid w:val="00E45766"/>
  </w:style>
  <w:style w:type="paragraph" w:customStyle="1" w:styleId="TableTextCentred">
    <w:name w:val="Table Text Centred"/>
    <w:basedOn w:val="TableText"/>
    <w:uiPriority w:val="18"/>
    <w:qFormat/>
    <w:rsid w:val="00AE1CC1"/>
    <w:pPr>
      <w:jc w:val="center"/>
    </w:pPr>
    <w:rPr>
      <w:rFonts w:eastAsia="Times New Roman"/>
      <w:lang w:eastAsia="en-AU"/>
    </w:rPr>
  </w:style>
  <w:style w:type="paragraph" w:customStyle="1" w:styleId="FooterRightPageNumberLS">
    <w:name w:val="Footer Right Page Number LS"/>
    <w:basedOn w:val="Normal"/>
    <w:uiPriority w:val="39"/>
    <w:rsid w:val="004E0E49"/>
    <w:pPr>
      <w:framePr w:wrap="auto" w:hAnchor="text" w:x="1"/>
      <w:spacing w:before="180" w:after="120" w:line="240" w:lineRule="auto"/>
      <w:ind w:right="283"/>
      <w:jc w:val="right"/>
    </w:pPr>
    <w:rPr>
      <w:rFonts w:eastAsia="Times New Roman" w:cs="Arial"/>
      <w:b/>
      <w:noProof/>
      <w:color w:val="788184" w:themeColor="background2"/>
      <w:lang w:eastAsia="en-AU"/>
    </w:rPr>
  </w:style>
  <w:style w:type="character" w:customStyle="1" w:styleId="MyBoldItalicsUnderline">
    <w:name w:val="MyBoldItalicsUnderline"/>
    <w:uiPriority w:val="99"/>
    <w:rsid w:val="000E266E"/>
    <w:rPr>
      <w:b/>
      <w:i/>
      <w:u w:val="single"/>
      <w:vertAlign w:val="baseline"/>
    </w:rPr>
  </w:style>
  <w:style w:type="character" w:customStyle="1" w:styleId="MyBoldUnderline">
    <w:name w:val="MyBoldUnderline"/>
    <w:uiPriority w:val="99"/>
    <w:rsid w:val="000E266E"/>
    <w:rPr>
      <w:b/>
      <w:i/>
      <w:u w:val="single"/>
      <w:vertAlign w:val="baseline"/>
    </w:rPr>
  </w:style>
  <w:style w:type="character" w:customStyle="1" w:styleId="MyItalicsUnderline">
    <w:name w:val="MyItalicsUnderline"/>
    <w:uiPriority w:val="99"/>
    <w:rsid w:val="000E266E"/>
    <w:rPr>
      <w:b/>
      <w:i/>
      <w:u w:val="single"/>
      <w:vertAlign w:val="baseline"/>
    </w:rPr>
  </w:style>
  <w:style w:type="character" w:customStyle="1" w:styleId="MyUnderline">
    <w:name w:val="MyUnderline"/>
    <w:uiPriority w:val="99"/>
    <w:rsid w:val="000E266E"/>
    <w:rPr>
      <w:b w:val="0"/>
      <w:i w:val="0"/>
      <w:u w:val="single"/>
      <w:vertAlign w:val="baseline"/>
    </w:rPr>
  </w:style>
  <w:style w:type="paragraph" w:customStyle="1" w:styleId="PBOheader">
    <w:name w:val="PBO header"/>
    <w:basedOn w:val="Header"/>
    <w:uiPriority w:val="39"/>
    <w:rsid w:val="0046444F"/>
    <w:pPr>
      <w:spacing w:before="1320" w:after="114"/>
      <w:ind w:left="6521"/>
    </w:pPr>
    <w:rPr>
      <w:rFonts w:ascii="Arial" w:hAnsi="Arial" w:cs="Arial"/>
      <w:b/>
      <w:sz w:val="18"/>
      <w:szCs w:val="18"/>
    </w:rPr>
  </w:style>
  <w:style w:type="paragraph" w:customStyle="1" w:styleId="Letterfooter">
    <w:name w:val="Letter footer"/>
    <w:basedOn w:val="Footer"/>
    <w:uiPriority w:val="39"/>
    <w:rsid w:val="0046444F"/>
    <w:pPr>
      <w:tabs>
        <w:tab w:val="center" w:pos="4513"/>
        <w:tab w:val="right" w:pos="9026"/>
      </w:tabs>
      <w:spacing w:after="113"/>
      <w:ind w:right="-618" w:hanging="709"/>
      <w:jc w:val="center"/>
    </w:pPr>
    <w:rPr>
      <w:rFonts w:ascii="Arial" w:hAnsi="Arial" w:cs="Arial"/>
      <w:b w:val="0"/>
      <w:sz w:val="17"/>
      <w:szCs w:val="17"/>
    </w:rPr>
  </w:style>
  <w:style w:type="table" w:styleId="LightGrid-Accent6">
    <w:name w:val="Light Grid Accent 6"/>
    <w:basedOn w:val="TableNormal"/>
    <w:uiPriority w:val="62"/>
    <w:rsid w:val="0046444F"/>
    <w:pPr>
      <w:spacing w:line="240" w:lineRule="auto"/>
    </w:pPr>
    <w:tblPr>
      <w:tblStyleRowBandSize w:val="1"/>
      <w:tblStyleColBandSize w:val="1"/>
      <w:tblBorders>
        <w:top w:val="single" w:sz="8" w:space="0" w:color="788184" w:themeColor="accent6"/>
        <w:left w:val="single" w:sz="8" w:space="0" w:color="788184" w:themeColor="accent6"/>
        <w:bottom w:val="single" w:sz="8" w:space="0" w:color="788184" w:themeColor="accent6"/>
        <w:right w:val="single" w:sz="8" w:space="0" w:color="788184" w:themeColor="accent6"/>
        <w:insideH w:val="single" w:sz="8" w:space="0" w:color="788184" w:themeColor="accent6"/>
        <w:insideV w:val="single" w:sz="8" w:space="0" w:color="78818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8184" w:themeColor="accent6"/>
          <w:left w:val="single" w:sz="8" w:space="0" w:color="788184" w:themeColor="accent6"/>
          <w:bottom w:val="single" w:sz="18" w:space="0" w:color="788184" w:themeColor="accent6"/>
          <w:right w:val="single" w:sz="8" w:space="0" w:color="788184" w:themeColor="accent6"/>
          <w:insideH w:val="nil"/>
          <w:insideV w:val="single" w:sz="8" w:space="0" w:color="78818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88184" w:themeColor="accent6"/>
          <w:left w:val="single" w:sz="8" w:space="0" w:color="788184" w:themeColor="accent6"/>
          <w:bottom w:val="single" w:sz="8" w:space="0" w:color="788184" w:themeColor="accent6"/>
          <w:right w:val="single" w:sz="8" w:space="0" w:color="788184" w:themeColor="accent6"/>
          <w:insideH w:val="nil"/>
          <w:insideV w:val="single" w:sz="8" w:space="0" w:color="78818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8184" w:themeColor="accent6"/>
          <w:left w:val="single" w:sz="8" w:space="0" w:color="788184" w:themeColor="accent6"/>
          <w:bottom w:val="single" w:sz="8" w:space="0" w:color="788184" w:themeColor="accent6"/>
          <w:right w:val="single" w:sz="8" w:space="0" w:color="788184" w:themeColor="accent6"/>
        </w:tcBorders>
      </w:tcPr>
    </w:tblStylePr>
    <w:tblStylePr w:type="band1Vert">
      <w:tblPr/>
      <w:tcPr>
        <w:tcBorders>
          <w:top w:val="single" w:sz="8" w:space="0" w:color="788184" w:themeColor="accent6"/>
          <w:left w:val="single" w:sz="8" w:space="0" w:color="788184" w:themeColor="accent6"/>
          <w:bottom w:val="single" w:sz="8" w:space="0" w:color="788184" w:themeColor="accent6"/>
          <w:right w:val="single" w:sz="8" w:space="0" w:color="788184" w:themeColor="accent6"/>
        </w:tcBorders>
        <w:shd w:val="clear" w:color="auto" w:fill="DDDFE0" w:themeFill="accent6" w:themeFillTint="3F"/>
      </w:tcPr>
    </w:tblStylePr>
    <w:tblStylePr w:type="band1Horz">
      <w:tblPr/>
      <w:tcPr>
        <w:tcBorders>
          <w:top w:val="single" w:sz="8" w:space="0" w:color="788184" w:themeColor="accent6"/>
          <w:left w:val="single" w:sz="8" w:space="0" w:color="788184" w:themeColor="accent6"/>
          <w:bottom w:val="single" w:sz="8" w:space="0" w:color="788184" w:themeColor="accent6"/>
          <w:right w:val="single" w:sz="8" w:space="0" w:color="788184" w:themeColor="accent6"/>
          <w:insideV w:val="single" w:sz="8" w:space="0" w:color="788184" w:themeColor="accent6"/>
        </w:tcBorders>
        <w:shd w:val="clear" w:color="auto" w:fill="DDDFE0" w:themeFill="accent6" w:themeFillTint="3F"/>
      </w:tcPr>
    </w:tblStylePr>
    <w:tblStylePr w:type="band2Horz">
      <w:tblPr/>
      <w:tcPr>
        <w:tcBorders>
          <w:top w:val="single" w:sz="8" w:space="0" w:color="788184" w:themeColor="accent6"/>
          <w:left w:val="single" w:sz="8" w:space="0" w:color="788184" w:themeColor="accent6"/>
          <w:bottom w:val="single" w:sz="8" w:space="0" w:color="788184" w:themeColor="accent6"/>
          <w:right w:val="single" w:sz="8" w:space="0" w:color="788184" w:themeColor="accent6"/>
          <w:insideV w:val="single" w:sz="8" w:space="0" w:color="788184" w:themeColor="accent6"/>
        </w:tcBorders>
      </w:tcPr>
    </w:tblStylePr>
  </w:style>
  <w:style w:type="table" w:styleId="LightGrid-Accent3">
    <w:name w:val="Light Grid Accent 3"/>
    <w:basedOn w:val="TableNormal"/>
    <w:uiPriority w:val="62"/>
    <w:rsid w:val="008112CC"/>
    <w:pPr>
      <w:spacing w:line="240" w:lineRule="auto"/>
    </w:pPr>
    <w:tblPr>
      <w:tblStyleRowBandSize w:val="1"/>
      <w:tblStyleColBandSize w:val="1"/>
      <w:tblBorders>
        <w:top w:val="single" w:sz="8" w:space="0" w:color="D7DDE9" w:themeColor="accent3"/>
        <w:left w:val="single" w:sz="8" w:space="0" w:color="D7DDE9" w:themeColor="accent3"/>
        <w:bottom w:val="single" w:sz="8" w:space="0" w:color="D7DDE9" w:themeColor="accent3"/>
        <w:right w:val="single" w:sz="8" w:space="0" w:color="D7DDE9" w:themeColor="accent3"/>
        <w:insideH w:val="single" w:sz="8" w:space="0" w:color="D7DDE9" w:themeColor="accent3"/>
        <w:insideV w:val="single" w:sz="8" w:space="0" w:color="D7DDE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DDE9" w:themeColor="accent3"/>
          <w:left w:val="single" w:sz="8" w:space="0" w:color="D7DDE9" w:themeColor="accent3"/>
          <w:bottom w:val="single" w:sz="18" w:space="0" w:color="D7DDE9" w:themeColor="accent3"/>
          <w:right w:val="single" w:sz="8" w:space="0" w:color="D7DDE9" w:themeColor="accent3"/>
          <w:insideH w:val="nil"/>
          <w:insideV w:val="single" w:sz="8" w:space="0" w:color="D7DDE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7DDE9" w:themeColor="accent3"/>
          <w:left w:val="single" w:sz="8" w:space="0" w:color="D7DDE9" w:themeColor="accent3"/>
          <w:bottom w:val="single" w:sz="8" w:space="0" w:color="D7DDE9" w:themeColor="accent3"/>
          <w:right w:val="single" w:sz="8" w:space="0" w:color="D7DDE9" w:themeColor="accent3"/>
          <w:insideH w:val="nil"/>
          <w:insideV w:val="single" w:sz="8" w:space="0" w:color="D7DDE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DDE9" w:themeColor="accent3"/>
          <w:left w:val="single" w:sz="8" w:space="0" w:color="D7DDE9" w:themeColor="accent3"/>
          <w:bottom w:val="single" w:sz="8" w:space="0" w:color="D7DDE9" w:themeColor="accent3"/>
          <w:right w:val="single" w:sz="8" w:space="0" w:color="D7DDE9" w:themeColor="accent3"/>
        </w:tcBorders>
      </w:tcPr>
    </w:tblStylePr>
    <w:tblStylePr w:type="band1Vert">
      <w:tblPr/>
      <w:tcPr>
        <w:tcBorders>
          <w:top w:val="single" w:sz="8" w:space="0" w:color="D7DDE9" w:themeColor="accent3"/>
          <w:left w:val="single" w:sz="8" w:space="0" w:color="D7DDE9" w:themeColor="accent3"/>
          <w:bottom w:val="single" w:sz="8" w:space="0" w:color="D7DDE9" w:themeColor="accent3"/>
          <w:right w:val="single" w:sz="8" w:space="0" w:color="D7DDE9" w:themeColor="accent3"/>
        </w:tcBorders>
        <w:shd w:val="clear" w:color="auto" w:fill="F5F6F9" w:themeFill="accent3" w:themeFillTint="3F"/>
      </w:tcPr>
    </w:tblStylePr>
    <w:tblStylePr w:type="band1Horz">
      <w:tblPr/>
      <w:tcPr>
        <w:tcBorders>
          <w:top w:val="single" w:sz="8" w:space="0" w:color="D7DDE9" w:themeColor="accent3"/>
          <w:left w:val="single" w:sz="8" w:space="0" w:color="D7DDE9" w:themeColor="accent3"/>
          <w:bottom w:val="single" w:sz="8" w:space="0" w:color="D7DDE9" w:themeColor="accent3"/>
          <w:right w:val="single" w:sz="8" w:space="0" w:color="D7DDE9" w:themeColor="accent3"/>
          <w:insideV w:val="single" w:sz="8" w:space="0" w:color="D7DDE9" w:themeColor="accent3"/>
        </w:tcBorders>
        <w:shd w:val="clear" w:color="auto" w:fill="F5F6F9" w:themeFill="accent3" w:themeFillTint="3F"/>
      </w:tcPr>
    </w:tblStylePr>
    <w:tblStylePr w:type="band2Horz">
      <w:tblPr/>
      <w:tcPr>
        <w:tcBorders>
          <w:top w:val="single" w:sz="8" w:space="0" w:color="D7DDE9" w:themeColor="accent3"/>
          <w:left w:val="single" w:sz="8" w:space="0" w:color="D7DDE9" w:themeColor="accent3"/>
          <w:bottom w:val="single" w:sz="8" w:space="0" w:color="D7DDE9" w:themeColor="accent3"/>
          <w:right w:val="single" w:sz="8" w:space="0" w:color="D7DDE9" w:themeColor="accent3"/>
          <w:insideV w:val="single" w:sz="8" w:space="0" w:color="D7DDE9" w:themeColor="accent3"/>
        </w:tcBorders>
      </w:tcPr>
    </w:tblStylePr>
  </w:style>
  <w:style w:type="paragraph" w:customStyle="1" w:styleId="Lettertext">
    <w:name w:val="Letter text"/>
    <w:basedOn w:val="BodyText"/>
    <w:qFormat/>
    <w:rsid w:val="00E64480"/>
    <w:pPr>
      <w:spacing w:before="240" w:after="0"/>
    </w:pPr>
    <w:rPr>
      <w:rFonts w:ascii="Times New Roman" w:hAnsi="Times New Roman"/>
      <w:spacing w:val="0"/>
      <w:sz w:val="24"/>
    </w:rPr>
  </w:style>
  <w:style w:type="paragraph" w:customStyle="1" w:styleId="TableTextRightItalic">
    <w:name w:val="Table Text Right Italic"/>
    <w:basedOn w:val="TableTextRight"/>
    <w:uiPriority w:val="21"/>
    <w:qFormat/>
    <w:rsid w:val="00120A75"/>
    <w:rPr>
      <w:i/>
    </w:rPr>
  </w:style>
  <w:style w:type="character" w:styleId="FollowedHyperlink">
    <w:name w:val="FollowedHyperlink"/>
    <w:basedOn w:val="DefaultParagraphFont"/>
    <w:semiHidden/>
    <w:unhideWhenUsed/>
    <w:rsid w:val="003B47BC"/>
    <w:rPr>
      <w:color w:val="000000" w:themeColor="followedHyperlink"/>
      <w:u w:val="single"/>
    </w:rPr>
  </w:style>
  <w:style w:type="paragraph" w:customStyle="1" w:styleId="TableTextRightBold">
    <w:name w:val="Table Text Right Bold"/>
    <w:basedOn w:val="TableTextRight"/>
    <w:uiPriority w:val="20"/>
    <w:qFormat/>
    <w:rsid w:val="00066D54"/>
    <w:rPr>
      <w:b/>
    </w:rPr>
  </w:style>
  <w:style w:type="paragraph" w:styleId="Bibliography">
    <w:name w:val="Bibliography"/>
    <w:basedOn w:val="Normal"/>
    <w:next w:val="Normal"/>
    <w:uiPriority w:val="39"/>
    <w:unhideWhenUsed/>
    <w:rsid w:val="00DF2134"/>
  </w:style>
  <w:style w:type="paragraph" w:customStyle="1" w:styleId="Letterbullet">
    <w:name w:val="Letter bullet"/>
    <w:basedOn w:val="Lettertext"/>
    <w:uiPriority w:val="1"/>
    <w:qFormat/>
    <w:rsid w:val="00112F1F"/>
    <w:pPr>
      <w:numPr>
        <w:numId w:val="50"/>
      </w:numPr>
      <w:ind w:left="284" w:hanging="284"/>
    </w:pPr>
  </w:style>
  <w:style w:type="character" w:styleId="CommentReference">
    <w:name w:val="annotation reference"/>
    <w:basedOn w:val="DefaultParagraphFont"/>
    <w:semiHidden/>
    <w:unhideWhenUsed/>
    <w:rsid w:val="006479E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479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479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479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479E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300" w:lineRule="atLeast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8" w:uiPriority="39"/>
    <w:lsdException w:name="header" w:uiPriority="99"/>
    <w:lsdException w:name="caption" w:qFormat="1"/>
    <w:lsdException w:name="table of figures" w:semiHidden="0" w:uiPriority="99" w:unhideWhenUsed="0"/>
    <w:lsdException w:name="List Bullet" w:qFormat="1"/>
    <w:lsdException w:name="List Number" w:qFormat="1"/>
    <w:lsdException w:name="List Bullet 2" w:qFormat="1"/>
    <w:lsdException w:name="List Bullet 3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5" w:qFormat="1"/>
    <w:lsdException w:name="List Continue" w:qFormat="1"/>
    <w:lsdException w:name="List Continue 2" w:qFormat="1"/>
    <w:lsdException w:name="Subtitle" w:semiHidden="0" w:unhideWhenUsed="0" w:qFormat="1"/>
    <w:lsdException w:name="Hyperlink" w:uiPriority="99"/>
    <w:lsdException w:name="Strong" w:unhideWhenUsed="0" w:qFormat="1"/>
    <w:lsdException w:name="Emphasis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9" w:unhideWhenUsed="0"/>
    <w:lsdException w:name="Quote" w:semiHidden="0" w:unhideWhenUsed="0"/>
    <w:lsdException w:name="Intense Quote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TOC Heading" w:qFormat="1"/>
  </w:latentStyles>
  <w:style w:type="paragraph" w:default="1" w:styleId="Normal">
    <w:name w:val="Normal"/>
    <w:uiPriority w:val="39"/>
    <w:rsid w:val="00112F1F"/>
  </w:style>
  <w:style w:type="paragraph" w:styleId="Heading1">
    <w:name w:val="heading 1"/>
    <w:basedOn w:val="Normal"/>
    <w:next w:val="BodyText"/>
    <w:link w:val="Heading1Char"/>
    <w:uiPriority w:val="2"/>
    <w:qFormat/>
    <w:rsid w:val="0046444F"/>
    <w:pPr>
      <w:keepNext/>
      <w:keepLines/>
      <w:numPr>
        <w:numId w:val="33"/>
      </w:numPr>
      <w:tabs>
        <w:tab w:val="right" w:pos="1418"/>
        <w:tab w:val="right" w:pos="1701"/>
        <w:tab w:val="right" w:pos="1985"/>
      </w:tabs>
      <w:spacing w:before="470" w:after="228"/>
      <w:outlineLvl w:val="0"/>
    </w:pPr>
    <w:rPr>
      <w:rFonts w:asciiTheme="majorHAnsi" w:hAnsiTheme="majorHAnsi"/>
      <w:bCs/>
      <w:color w:val="2B3B5F" w:themeColor="text2"/>
      <w:spacing w:val="-6"/>
      <w:kern w:val="32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2"/>
    <w:qFormat/>
    <w:rsid w:val="00CA06C8"/>
    <w:pPr>
      <w:keepNext/>
      <w:keepLines/>
      <w:numPr>
        <w:ilvl w:val="1"/>
        <w:numId w:val="33"/>
      </w:numPr>
      <w:tabs>
        <w:tab w:val="left" w:pos="1418"/>
        <w:tab w:val="left" w:pos="1701"/>
        <w:tab w:val="left" w:pos="1985"/>
      </w:tabs>
      <w:spacing w:before="470" w:after="227"/>
      <w:outlineLvl w:val="1"/>
    </w:pPr>
    <w:rPr>
      <w:rFonts w:ascii="Calibri" w:hAnsi="Calibri"/>
      <w:b/>
      <w:bCs/>
      <w:iCs/>
      <w:color w:val="2B3B5F" w:themeColor="text2"/>
      <w:kern w:val="20"/>
      <w:sz w:val="24"/>
      <w:szCs w:val="28"/>
    </w:rPr>
  </w:style>
  <w:style w:type="paragraph" w:styleId="Heading3">
    <w:name w:val="heading 3"/>
    <w:basedOn w:val="Normal"/>
    <w:next w:val="BodyText"/>
    <w:link w:val="Heading3Char"/>
    <w:uiPriority w:val="3"/>
    <w:qFormat/>
    <w:rsid w:val="00CA06C8"/>
    <w:pPr>
      <w:keepNext/>
      <w:keepLines/>
      <w:numPr>
        <w:ilvl w:val="2"/>
        <w:numId w:val="33"/>
      </w:numPr>
      <w:tabs>
        <w:tab w:val="left" w:pos="1418"/>
        <w:tab w:val="left" w:pos="1701"/>
        <w:tab w:val="left" w:pos="1985"/>
      </w:tabs>
      <w:spacing w:before="470" w:after="227"/>
      <w:outlineLvl w:val="2"/>
    </w:pPr>
    <w:rPr>
      <w:i/>
      <w:color w:val="2B3B5F" w:themeColor="text2"/>
      <w:sz w:val="24"/>
    </w:rPr>
  </w:style>
  <w:style w:type="paragraph" w:styleId="Heading4">
    <w:name w:val="heading 4"/>
    <w:basedOn w:val="Normal"/>
    <w:next w:val="BodyText"/>
    <w:link w:val="Heading4Char"/>
    <w:uiPriority w:val="4"/>
    <w:qFormat/>
    <w:rsid w:val="00CA06C8"/>
    <w:pPr>
      <w:keepNext/>
      <w:keepLines/>
      <w:tabs>
        <w:tab w:val="left" w:pos="1418"/>
        <w:tab w:val="left" w:pos="1701"/>
        <w:tab w:val="left" w:pos="1985"/>
      </w:tabs>
      <w:spacing w:before="227" w:after="113"/>
      <w:outlineLvl w:val="3"/>
    </w:pPr>
    <w:rPr>
      <w:rFonts w:eastAsiaTheme="majorEastAsia" w:cstheme="majorBidi"/>
      <w:bCs/>
      <w:i/>
      <w:iCs/>
      <w:color w:val="788184" w:themeColor="background2"/>
      <w:sz w:val="24"/>
    </w:rPr>
  </w:style>
  <w:style w:type="paragraph" w:styleId="Heading5">
    <w:name w:val="heading 5"/>
    <w:basedOn w:val="Normal"/>
    <w:next w:val="BodyText"/>
    <w:link w:val="Heading5Char"/>
    <w:uiPriority w:val="39"/>
    <w:rsid w:val="00B620EE"/>
    <w:pPr>
      <w:keepNext/>
      <w:keepLines/>
      <w:spacing w:before="180" w:after="60"/>
      <w:outlineLvl w:val="4"/>
    </w:pPr>
    <w:rPr>
      <w:rFonts w:asciiTheme="majorHAnsi" w:eastAsiaTheme="majorEastAsia" w:hAnsiTheme="majorHAnsi" w:cstheme="majorBidi"/>
      <w:i/>
      <w:color w:val="636366"/>
      <w:sz w:val="24"/>
    </w:rPr>
  </w:style>
  <w:style w:type="paragraph" w:styleId="Heading6">
    <w:name w:val="heading 6"/>
    <w:basedOn w:val="Normal"/>
    <w:next w:val="BodyText"/>
    <w:link w:val="Heading6Char"/>
    <w:uiPriority w:val="39"/>
    <w:rsid w:val="00B620EE"/>
    <w:pPr>
      <w:keepNext/>
      <w:keepLines/>
      <w:spacing w:before="280" w:after="240"/>
      <w:outlineLvl w:val="5"/>
    </w:pPr>
    <w:rPr>
      <w:rFonts w:asciiTheme="majorHAnsi" w:eastAsiaTheme="majorEastAsia" w:hAnsiTheme="majorHAnsi" w:cstheme="majorBidi"/>
      <w:i/>
      <w:iCs/>
      <w:color w:val="2B3B5F" w:themeColor="text2"/>
      <w:sz w:val="24"/>
    </w:rPr>
  </w:style>
  <w:style w:type="paragraph" w:styleId="Heading7">
    <w:name w:val="heading 7"/>
    <w:basedOn w:val="Normal"/>
    <w:next w:val="Normal"/>
    <w:link w:val="Heading7Char"/>
    <w:semiHidden/>
    <w:rsid w:val="00961DBB"/>
    <w:pPr>
      <w:keepNext/>
      <w:keepLines/>
      <w:spacing w:before="2820" w:after="180"/>
      <w:outlineLvl w:val="6"/>
    </w:pPr>
    <w:rPr>
      <w:rFonts w:asciiTheme="majorHAnsi" w:eastAsiaTheme="majorEastAsia" w:hAnsiTheme="majorHAnsi" w:cstheme="majorBidi"/>
      <w:b/>
      <w:iCs/>
      <w:color w:val="FFFFFF"/>
    </w:rPr>
  </w:style>
  <w:style w:type="paragraph" w:styleId="Heading8">
    <w:name w:val="heading 8"/>
    <w:aliases w:val="Attachment Title"/>
    <w:basedOn w:val="Normal"/>
    <w:next w:val="BodyText"/>
    <w:link w:val="Heading8Char"/>
    <w:uiPriority w:val="31"/>
    <w:qFormat/>
    <w:rsid w:val="002D239A"/>
    <w:pPr>
      <w:keepNext/>
      <w:keepLines/>
      <w:numPr>
        <w:numId w:val="1"/>
      </w:numPr>
      <w:tabs>
        <w:tab w:val="left" w:pos="4536"/>
      </w:tabs>
      <w:spacing w:before="480" w:after="340"/>
      <w:outlineLvl w:val="7"/>
    </w:pPr>
    <w:rPr>
      <w:rFonts w:asciiTheme="majorHAnsi" w:eastAsiaTheme="majorEastAsia" w:hAnsiTheme="majorHAnsi" w:cstheme="majorBidi"/>
      <w:color w:val="2B3B5F" w:themeColor="text2"/>
      <w:sz w:val="32"/>
    </w:rPr>
  </w:style>
  <w:style w:type="paragraph" w:styleId="Heading9">
    <w:name w:val="heading 9"/>
    <w:aliases w:val="Attachment Heading 1"/>
    <w:basedOn w:val="Normal"/>
    <w:next w:val="BodyText"/>
    <w:link w:val="Heading9Char"/>
    <w:uiPriority w:val="32"/>
    <w:qFormat/>
    <w:rsid w:val="002D239A"/>
    <w:pPr>
      <w:keepNext/>
      <w:keepLines/>
      <w:numPr>
        <w:ilvl w:val="1"/>
        <w:numId w:val="1"/>
      </w:numPr>
      <w:tabs>
        <w:tab w:val="left" w:pos="1559"/>
        <w:tab w:val="left" w:pos="1843"/>
        <w:tab w:val="left" w:pos="2126"/>
        <w:tab w:val="left" w:pos="2410"/>
      </w:tabs>
      <w:spacing w:before="470" w:after="227"/>
      <w:outlineLvl w:val="8"/>
    </w:pPr>
    <w:rPr>
      <w:rFonts w:asciiTheme="majorHAnsi" w:hAnsiTheme="majorHAnsi"/>
      <w:color w:val="2B3B5F" w:themeColor="text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13"/>
    <w:rsid w:val="007834DC"/>
    <w:pPr>
      <w:tabs>
        <w:tab w:val="left" w:pos="425"/>
      </w:tabs>
      <w:spacing w:before="50" w:line="260" w:lineRule="exact"/>
      <w:ind w:left="425" w:hanging="425"/>
    </w:pPr>
    <w:rPr>
      <w:kern w:val="16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13"/>
    <w:rsid w:val="0089737A"/>
    <w:rPr>
      <w:kern w:val="16"/>
      <w:sz w:val="18"/>
    </w:rPr>
  </w:style>
  <w:style w:type="character" w:styleId="FootnoteReference">
    <w:name w:val="footnote reference"/>
    <w:basedOn w:val="DefaultParagraphFont"/>
    <w:uiPriority w:val="39"/>
    <w:rsid w:val="00961DBB"/>
    <w:rPr>
      <w:rFonts w:asciiTheme="minorHAnsi" w:hAnsiTheme="minorHAnsi"/>
      <w:color w:val="auto"/>
      <w:vertAlign w:val="superscript"/>
    </w:rPr>
  </w:style>
  <w:style w:type="paragraph" w:styleId="BodyText">
    <w:name w:val="Body Text"/>
    <w:basedOn w:val="Normal"/>
    <w:link w:val="BodyTextChar"/>
    <w:uiPriority w:val="5"/>
    <w:qFormat/>
    <w:rsid w:val="007C19C3"/>
    <w:pPr>
      <w:spacing w:before="113" w:after="113"/>
    </w:pPr>
    <w:rPr>
      <w:rFonts w:cs="Times New Roman"/>
      <w:spacing w:val="-1"/>
    </w:rPr>
  </w:style>
  <w:style w:type="character" w:customStyle="1" w:styleId="BodyTextChar">
    <w:name w:val="Body Text Char"/>
    <w:basedOn w:val="DefaultParagraphFont"/>
    <w:link w:val="BodyText"/>
    <w:uiPriority w:val="5"/>
    <w:rsid w:val="00AC41CF"/>
    <w:rPr>
      <w:rFonts w:cs="Times New Roman"/>
      <w:spacing w:val="-1"/>
    </w:rPr>
  </w:style>
  <w:style w:type="paragraph" w:customStyle="1" w:styleId="BodyText17ptAbove">
    <w:name w:val="Body Text 17pt Above"/>
    <w:basedOn w:val="BodyText"/>
    <w:next w:val="BodyText"/>
    <w:uiPriority w:val="6"/>
    <w:qFormat/>
    <w:rsid w:val="00CA4C28"/>
    <w:pPr>
      <w:spacing w:before="340"/>
    </w:pPr>
  </w:style>
  <w:style w:type="character" w:customStyle="1" w:styleId="Heading1Char">
    <w:name w:val="Heading 1 Char"/>
    <w:basedOn w:val="DefaultParagraphFont"/>
    <w:link w:val="Heading1"/>
    <w:uiPriority w:val="2"/>
    <w:rsid w:val="00112F1F"/>
    <w:rPr>
      <w:rFonts w:asciiTheme="majorHAnsi" w:hAnsiTheme="majorHAnsi"/>
      <w:bCs/>
      <w:color w:val="2B3B5F" w:themeColor="text2"/>
      <w:spacing w:val="-6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112F1F"/>
    <w:rPr>
      <w:rFonts w:ascii="Calibri" w:hAnsi="Calibri"/>
      <w:b/>
      <w:bCs/>
      <w:iCs/>
      <w:color w:val="2B3B5F" w:themeColor="text2"/>
      <w:kern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3"/>
    <w:rsid w:val="00AC41CF"/>
    <w:rPr>
      <w:i/>
      <w:color w:val="2B3B5F" w:themeColor="text2"/>
      <w:sz w:val="24"/>
    </w:rPr>
  </w:style>
  <w:style w:type="character" w:customStyle="1" w:styleId="Heading4Char">
    <w:name w:val="Heading 4 Char"/>
    <w:basedOn w:val="DefaultParagraphFont"/>
    <w:link w:val="Heading4"/>
    <w:uiPriority w:val="4"/>
    <w:rsid w:val="00AC41CF"/>
    <w:rPr>
      <w:rFonts w:eastAsiaTheme="majorEastAsia" w:cstheme="majorBidi"/>
      <w:bCs/>
      <w:i/>
      <w:iCs/>
      <w:color w:val="788184" w:themeColor="background2"/>
      <w:sz w:val="24"/>
    </w:rPr>
  </w:style>
  <w:style w:type="character" w:customStyle="1" w:styleId="Heading5Char">
    <w:name w:val="Heading 5 Char"/>
    <w:basedOn w:val="DefaultParagraphFont"/>
    <w:link w:val="Heading5"/>
    <w:uiPriority w:val="39"/>
    <w:rsid w:val="00AC41CF"/>
    <w:rPr>
      <w:rFonts w:asciiTheme="majorHAnsi" w:eastAsiaTheme="majorEastAsia" w:hAnsiTheme="majorHAnsi" w:cstheme="majorBidi"/>
      <w:i/>
      <w:color w:val="636366"/>
      <w:sz w:val="24"/>
    </w:rPr>
  </w:style>
  <w:style w:type="character" w:customStyle="1" w:styleId="Heading6Char">
    <w:name w:val="Heading 6 Char"/>
    <w:basedOn w:val="DefaultParagraphFont"/>
    <w:link w:val="Heading6"/>
    <w:uiPriority w:val="39"/>
    <w:rsid w:val="00AC41CF"/>
    <w:rPr>
      <w:rFonts w:asciiTheme="majorHAnsi" w:eastAsiaTheme="majorEastAsia" w:hAnsiTheme="majorHAnsi" w:cstheme="majorBidi"/>
      <w:i/>
      <w:iCs/>
      <w:color w:val="2B3B5F" w:themeColor="text2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0E266E"/>
    <w:rPr>
      <w:rFonts w:asciiTheme="majorHAnsi" w:eastAsiaTheme="majorEastAsia" w:hAnsiTheme="majorHAnsi" w:cstheme="majorBidi"/>
      <w:b/>
      <w:iCs/>
      <w:color w:val="FFFFFF"/>
    </w:rPr>
  </w:style>
  <w:style w:type="character" w:customStyle="1" w:styleId="Heading8Char">
    <w:name w:val="Heading 8 Char"/>
    <w:aliases w:val="Attachment Title Char"/>
    <w:basedOn w:val="DefaultParagraphFont"/>
    <w:link w:val="Heading8"/>
    <w:uiPriority w:val="31"/>
    <w:rsid w:val="0089737A"/>
    <w:rPr>
      <w:rFonts w:asciiTheme="majorHAnsi" w:eastAsiaTheme="majorEastAsia" w:hAnsiTheme="majorHAnsi" w:cstheme="majorBidi"/>
      <w:color w:val="2B3B5F" w:themeColor="text2"/>
      <w:sz w:val="32"/>
    </w:rPr>
  </w:style>
  <w:style w:type="character" w:customStyle="1" w:styleId="Heading9Char">
    <w:name w:val="Heading 9 Char"/>
    <w:aliases w:val="Attachment Heading 1 Char"/>
    <w:basedOn w:val="DefaultParagraphFont"/>
    <w:link w:val="Heading9"/>
    <w:uiPriority w:val="32"/>
    <w:rsid w:val="0089737A"/>
    <w:rPr>
      <w:rFonts w:asciiTheme="majorHAnsi" w:hAnsiTheme="majorHAnsi"/>
      <w:color w:val="2B3B5F" w:themeColor="text2"/>
      <w:sz w:val="28"/>
    </w:rPr>
  </w:style>
  <w:style w:type="paragraph" w:customStyle="1" w:styleId="AttachmentHeading2">
    <w:name w:val="Attachment Heading 2"/>
    <w:basedOn w:val="Normal"/>
    <w:next w:val="BodyText"/>
    <w:uiPriority w:val="33"/>
    <w:qFormat/>
    <w:rsid w:val="00CA5598"/>
    <w:pPr>
      <w:keepNext/>
      <w:keepLines/>
      <w:numPr>
        <w:ilvl w:val="2"/>
        <w:numId w:val="1"/>
      </w:numPr>
      <w:tabs>
        <w:tab w:val="left" w:pos="1559"/>
        <w:tab w:val="left" w:pos="1843"/>
        <w:tab w:val="left" w:pos="2126"/>
        <w:tab w:val="left" w:pos="2410"/>
      </w:tabs>
      <w:spacing w:before="470" w:after="227"/>
    </w:pPr>
    <w:rPr>
      <w:rFonts w:asciiTheme="majorHAnsi" w:hAnsiTheme="majorHAnsi"/>
      <w:color w:val="2B3B5F" w:themeColor="text2"/>
      <w:sz w:val="28"/>
    </w:rPr>
  </w:style>
  <w:style w:type="paragraph" w:customStyle="1" w:styleId="AttachmentHeading3">
    <w:name w:val="Attachment Heading 3"/>
    <w:basedOn w:val="Normal"/>
    <w:next w:val="BodyText"/>
    <w:uiPriority w:val="34"/>
    <w:qFormat/>
    <w:rsid w:val="00CA5598"/>
    <w:pPr>
      <w:keepNext/>
      <w:keepLines/>
      <w:numPr>
        <w:ilvl w:val="3"/>
        <w:numId w:val="1"/>
      </w:numPr>
      <w:tabs>
        <w:tab w:val="left" w:pos="1559"/>
        <w:tab w:val="left" w:pos="1843"/>
        <w:tab w:val="left" w:pos="2126"/>
        <w:tab w:val="left" w:pos="2410"/>
        <w:tab w:val="left" w:pos="6804"/>
      </w:tabs>
      <w:spacing w:before="227" w:after="113"/>
    </w:pPr>
    <w:rPr>
      <w:b/>
      <w:color w:val="2B3B5F" w:themeColor="text2"/>
    </w:rPr>
  </w:style>
  <w:style w:type="character" w:customStyle="1" w:styleId="Bold">
    <w:name w:val="Bold"/>
    <w:uiPriority w:val="39"/>
    <w:rsid w:val="00961DBB"/>
    <w:rPr>
      <w:b/>
    </w:rPr>
  </w:style>
  <w:style w:type="character" w:customStyle="1" w:styleId="BoldAndItalics">
    <w:name w:val="Bold And Italics"/>
    <w:uiPriority w:val="39"/>
    <w:rsid w:val="00961DBB"/>
    <w:rPr>
      <w:b/>
      <w:i/>
    </w:rPr>
  </w:style>
  <w:style w:type="paragraph" w:styleId="Caption">
    <w:name w:val="caption"/>
    <w:basedOn w:val="Normal"/>
    <w:next w:val="BodyText"/>
    <w:uiPriority w:val="13"/>
    <w:qFormat/>
    <w:rsid w:val="00961DBB"/>
    <w:pPr>
      <w:keepNext/>
      <w:spacing w:before="340" w:after="114"/>
    </w:pPr>
    <w:rPr>
      <w:b/>
      <w:bCs/>
      <w:color w:val="2B3B5F" w:themeColor="text2"/>
      <w:spacing w:val="-4"/>
    </w:rPr>
  </w:style>
  <w:style w:type="paragraph" w:styleId="Footer">
    <w:name w:val="footer"/>
    <w:basedOn w:val="Normal"/>
    <w:link w:val="FooterChar"/>
    <w:uiPriority w:val="39"/>
    <w:rsid w:val="0046444F"/>
    <w:pPr>
      <w:spacing w:line="240" w:lineRule="auto"/>
    </w:pPr>
    <w:rPr>
      <w:b/>
    </w:rPr>
  </w:style>
  <w:style w:type="character" w:customStyle="1" w:styleId="FooterChar">
    <w:name w:val="Footer Char"/>
    <w:basedOn w:val="DefaultParagraphFont"/>
    <w:link w:val="Footer"/>
    <w:uiPriority w:val="39"/>
    <w:rsid w:val="00AC41CF"/>
    <w:rPr>
      <w:b/>
    </w:rPr>
  </w:style>
  <w:style w:type="paragraph" w:customStyle="1" w:styleId="FooterLeft">
    <w:name w:val="Footer Left"/>
    <w:basedOn w:val="Footer"/>
    <w:uiPriority w:val="39"/>
    <w:rsid w:val="00961DBB"/>
    <w:pPr>
      <w:framePr w:wrap="around" w:vAnchor="page" w:hAnchor="margin" w:yAlign="bottom"/>
      <w:spacing w:before="180" w:after="120"/>
      <w:ind w:left="397"/>
    </w:pPr>
    <w:rPr>
      <w:spacing w:val="-2"/>
    </w:rPr>
  </w:style>
  <w:style w:type="paragraph" w:customStyle="1" w:styleId="FooterRight">
    <w:name w:val="Footer Right"/>
    <w:basedOn w:val="FooterLeft"/>
    <w:next w:val="Footer"/>
    <w:uiPriority w:val="39"/>
    <w:unhideWhenUsed/>
    <w:rsid w:val="00961DBB"/>
    <w:pPr>
      <w:framePr w:wrap="around" w:xAlign="right"/>
      <w:ind w:right="397"/>
      <w:jc w:val="right"/>
    </w:pPr>
  </w:style>
  <w:style w:type="paragraph" w:customStyle="1" w:styleId="FooterRightPageNumber">
    <w:name w:val="Footer Right Page Number"/>
    <w:basedOn w:val="Normal"/>
    <w:uiPriority w:val="39"/>
    <w:rsid w:val="00E915E6"/>
    <w:pPr>
      <w:spacing w:before="180" w:after="120" w:line="240" w:lineRule="auto"/>
      <w:jc w:val="right"/>
    </w:pPr>
    <w:rPr>
      <w:b/>
      <w:noProof/>
      <w:color w:val="788184" w:themeColor="background2"/>
    </w:rPr>
  </w:style>
  <w:style w:type="paragraph" w:customStyle="1" w:styleId="FooterLeftPageNumber">
    <w:name w:val="Footer Left Page Number"/>
    <w:basedOn w:val="Footer"/>
    <w:uiPriority w:val="39"/>
    <w:rsid w:val="00961DBB"/>
    <w:pPr>
      <w:framePr w:wrap="around" w:vAnchor="page" w:hAnchor="margin" w:yAlign="bottom"/>
      <w:spacing w:before="180" w:after="120"/>
      <w:ind w:right="57"/>
    </w:pPr>
  </w:style>
  <w:style w:type="paragraph" w:customStyle="1" w:styleId="FootnoteSeparator">
    <w:name w:val="Footnote Separator"/>
    <w:basedOn w:val="Normal"/>
    <w:uiPriority w:val="39"/>
    <w:unhideWhenUsed/>
    <w:rsid w:val="00961DBB"/>
    <w:pPr>
      <w:pBdr>
        <w:top w:val="single" w:sz="2" w:space="0" w:color="000000" w:themeColor="text1"/>
      </w:pBdr>
      <w:spacing w:before="120" w:line="120" w:lineRule="exact"/>
    </w:pPr>
    <w:rPr>
      <w:sz w:val="14"/>
      <w:szCs w:val="16"/>
    </w:rPr>
  </w:style>
  <w:style w:type="paragraph" w:styleId="Header">
    <w:name w:val="header"/>
    <w:basedOn w:val="Normal"/>
    <w:link w:val="HeaderChar"/>
    <w:uiPriority w:val="99"/>
    <w:rsid w:val="0046444F"/>
    <w:pPr>
      <w:spacing w:before="240" w:after="12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44F"/>
  </w:style>
  <w:style w:type="paragraph" w:customStyle="1" w:styleId="HighlightText">
    <w:name w:val="Highlight Text"/>
    <w:basedOn w:val="Normal"/>
    <w:uiPriority w:val="39"/>
    <w:rsid w:val="00961DBB"/>
    <w:pPr>
      <w:spacing w:before="120" w:after="420"/>
    </w:pPr>
    <w:rPr>
      <w:i/>
      <w:color w:val="2B3B5F" w:themeColor="text2"/>
      <w:spacing w:val="-1"/>
    </w:rPr>
  </w:style>
  <w:style w:type="paragraph" w:customStyle="1" w:styleId="Introduction">
    <w:name w:val="Introduction"/>
    <w:basedOn w:val="Normal"/>
    <w:next w:val="BodyText"/>
    <w:uiPriority w:val="39"/>
    <w:rsid w:val="00961DBB"/>
    <w:pPr>
      <w:spacing w:after="180" w:line="360" w:lineRule="atLeast"/>
    </w:pPr>
    <w:rPr>
      <w:color w:val="2B3B5F" w:themeColor="text2"/>
      <w:spacing w:val="-2"/>
      <w:sz w:val="30"/>
    </w:rPr>
  </w:style>
  <w:style w:type="character" w:customStyle="1" w:styleId="Italics">
    <w:name w:val="Italics"/>
    <w:uiPriority w:val="39"/>
    <w:rsid w:val="00961DBB"/>
    <w:rPr>
      <w:i/>
    </w:rPr>
  </w:style>
  <w:style w:type="paragraph" w:styleId="ListBullet">
    <w:name w:val="List Bullet"/>
    <w:basedOn w:val="Normal"/>
    <w:uiPriority w:val="7"/>
    <w:qFormat/>
    <w:rsid w:val="00476133"/>
    <w:pPr>
      <w:keepLines/>
      <w:numPr>
        <w:numId w:val="6"/>
      </w:numPr>
      <w:spacing w:after="120"/>
    </w:pPr>
    <w:rPr>
      <w:spacing w:val="-1"/>
    </w:rPr>
  </w:style>
  <w:style w:type="paragraph" w:styleId="ListBullet2">
    <w:name w:val="List Bullet 2"/>
    <w:basedOn w:val="ListBullet"/>
    <w:uiPriority w:val="8"/>
    <w:qFormat/>
    <w:rsid w:val="00476133"/>
    <w:pPr>
      <w:numPr>
        <w:ilvl w:val="1"/>
      </w:numPr>
      <w:ind w:left="908" w:hanging="454"/>
    </w:pPr>
  </w:style>
  <w:style w:type="paragraph" w:styleId="ListBullet3">
    <w:name w:val="List Bullet 3"/>
    <w:basedOn w:val="ListBullet2"/>
    <w:uiPriority w:val="9"/>
    <w:qFormat/>
    <w:rsid w:val="00961DBB"/>
    <w:pPr>
      <w:numPr>
        <w:ilvl w:val="2"/>
      </w:numPr>
    </w:pPr>
  </w:style>
  <w:style w:type="paragraph" w:styleId="ListContinue">
    <w:name w:val="List Continue"/>
    <w:basedOn w:val="Normal"/>
    <w:semiHidden/>
    <w:qFormat/>
    <w:rsid w:val="00961DBB"/>
    <w:pPr>
      <w:spacing w:before="220" w:after="220"/>
      <w:ind w:left="340"/>
    </w:pPr>
  </w:style>
  <w:style w:type="paragraph" w:styleId="ListContinue2">
    <w:name w:val="List Continue 2"/>
    <w:basedOn w:val="Normal"/>
    <w:semiHidden/>
    <w:qFormat/>
    <w:rsid w:val="00961DBB"/>
    <w:pPr>
      <w:spacing w:before="220" w:after="220"/>
      <w:ind w:left="680"/>
    </w:pPr>
  </w:style>
  <w:style w:type="paragraph" w:styleId="ListNumber">
    <w:name w:val="List Number"/>
    <w:basedOn w:val="Normal"/>
    <w:uiPriority w:val="10"/>
    <w:qFormat/>
    <w:rsid w:val="00476133"/>
    <w:pPr>
      <w:numPr>
        <w:numId w:val="12"/>
      </w:numPr>
      <w:spacing w:before="120" w:after="120"/>
    </w:pPr>
    <w:rPr>
      <w:spacing w:val="-1"/>
    </w:rPr>
  </w:style>
  <w:style w:type="paragraph" w:styleId="ListNumber2">
    <w:name w:val="List Number 2"/>
    <w:basedOn w:val="Normal"/>
    <w:uiPriority w:val="11"/>
    <w:qFormat/>
    <w:rsid w:val="00476133"/>
    <w:pPr>
      <w:numPr>
        <w:ilvl w:val="1"/>
        <w:numId w:val="12"/>
      </w:numPr>
      <w:spacing w:before="120" w:after="120"/>
      <w:ind w:left="908" w:hanging="454"/>
    </w:pPr>
    <w:rPr>
      <w:spacing w:val="-1"/>
    </w:rPr>
  </w:style>
  <w:style w:type="paragraph" w:styleId="ListNumber3">
    <w:name w:val="List Number 3"/>
    <w:basedOn w:val="Normal"/>
    <w:uiPriority w:val="12"/>
    <w:qFormat/>
    <w:rsid w:val="00476133"/>
    <w:pPr>
      <w:numPr>
        <w:ilvl w:val="2"/>
        <w:numId w:val="12"/>
      </w:numPr>
      <w:spacing w:before="120" w:after="120"/>
    </w:pPr>
    <w:rPr>
      <w:spacing w:val="-1"/>
    </w:rPr>
  </w:style>
  <w:style w:type="character" w:customStyle="1" w:styleId="MySubscript">
    <w:name w:val="MySubscript"/>
    <w:uiPriority w:val="99"/>
    <w:rsid w:val="00961DBB"/>
    <w:rPr>
      <w:vertAlign w:val="subscript"/>
    </w:rPr>
  </w:style>
  <w:style w:type="character" w:customStyle="1" w:styleId="MySubscriptItalics">
    <w:name w:val="MySubscript&amp;Italics"/>
    <w:uiPriority w:val="99"/>
    <w:rsid w:val="00961DBB"/>
    <w:rPr>
      <w:i/>
      <w:vertAlign w:val="subscript"/>
    </w:rPr>
  </w:style>
  <w:style w:type="character" w:customStyle="1" w:styleId="MySuperscript">
    <w:name w:val="MySuperscript"/>
    <w:uiPriority w:val="99"/>
    <w:rsid w:val="00961DBB"/>
    <w:rPr>
      <w:vertAlign w:val="superscript"/>
    </w:rPr>
  </w:style>
  <w:style w:type="character" w:customStyle="1" w:styleId="MySuperscriptItalics">
    <w:name w:val="MySuperscript&amp;Italics"/>
    <w:uiPriority w:val="99"/>
    <w:rsid w:val="00961DBB"/>
    <w:rPr>
      <w:i/>
      <w:vertAlign w:val="superscript"/>
    </w:rPr>
  </w:style>
  <w:style w:type="paragraph" w:styleId="NoSpacing">
    <w:name w:val="No Spacing"/>
    <w:next w:val="BodyText"/>
    <w:uiPriority w:val="39"/>
    <w:rsid w:val="00961DBB"/>
    <w:pPr>
      <w:spacing w:line="240" w:lineRule="auto"/>
    </w:pPr>
    <w:rPr>
      <w:rFonts w:eastAsia="Times New Roman" w:cs="Arial"/>
      <w:lang w:eastAsia="en-AU"/>
    </w:rPr>
  </w:style>
  <w:style w:type="paragraph" w:customStyle="1" w:styleId="OverviewBodyText">
    <w:name w:val="Overview Body Text"/>
    <w:basedOn w:val="Normal"/>
    <w:uiPriority w:val="39"/>
    <w:rsid w:val="00512226"/>
    <w:pPr>
      <w:spacing w:after="113"/>
    </w:pPr>
  </w:style>
  <w:style w:type="paragraph" w:customStyle="1" w:styleId="OverviewHeading2">
    <w:name w:val="Overview Heading 2"/>
    <w:basedOn w:val="Normal"/>
    <w:next w:val="OverviewBodyText"/>
    <w:uiPriority w:val="39"/>
    <w:rsid w:val="00512226"/>
    <w:pPr>
      <w:keepNext/>
      <w:keepLines/>
      <w:spacing w:before="470" w:after="227"/>
    </w:pPr>
    <w:rPr>
      <w:rFonts w:asciiTheme="majorHAnsi" w:hAnsiTheme="majorHAnsi"/>
      <w:color w:val="2B3B5F" w:themeColor="text2"/>
      <w:sz w:val="32"/>
    </w:rPr>
  </w:style>
  <w:style w:type="paragraph" w:customStyle="1" w:styleId="OverviewHeading3">
    <w:name w:val="Overview Heading 3"/>
    <w:basedOn w:val="OverviewHeading2"/>
    <w:next w:val="OverviewBodyText"/>
    <w:uiPriority w:val="39"/>
    <w:rsid w:val="00512226"/>
    <w:rPr>
      <w:sz w:val="28"/>
    </w:rPr>
  </w:style>
  <w:style w:type="character" w:styleId="PageNumber">
    <w:name w:val="page number"/>
    <w:basedOn w:val="DefaultParagraphFont"/>
    <w:semiHidden/>
    <w:rsid w:val="00961DBB"/>
    <w:rPr>
      <w:rFonts w:ascii="Arial" w:hAnsi="Arial"/>
      <w:b/>
      <w:color w:val="auto"/>
      <w:sz w:val="16"/>
    </w:rPr>
  </w:style>
  <w:style w:type="paragraph" w:customStyle="1" w:styleId="PageNumberOdd">
    <w:name w:val="Page Number Odd"/>
    <w:semiHidden/>
    <w:rsid w:val="00961DBB"/>
    <w:pPr>
      <w:ind w:right="57"/>
      <w:jc w:val="right"/>
    </w:pPr>
    <w:rPr>
      <w:rFonts w:eastAsia="Times New Roman" w:cs="Arial"/>
      <w:b/>
      <w:color w:val="2B3B5F" w:themeColor="text2"/>
      <w:sz w:val="14"/>
      <w:szCs w:val="28"/>
      <w:lang w:eastAsia="en-AU"/>
    </w:rPr>
  </w:style>
  <w:style w:type="paragraph" w:customStyle="1" w:styleId="PageNumberEven">
    <w:name w:val="Page Number Even"/>
    <w:basedOn w:val="PageNumberOdd"/>
    <w:semiHidden/>
    <w:rsid w:val="00961DBB"/>
    <w:pPr>
      <w:framePr w:hSpace="181" w:wrap="around" w:vAnchor="page" w:hAnchor="page" w:yAlign="bottom"/>
      <w:jc w:val="left"/>
    </w:pPr>
  </w:style>
  <w:style w:type="character" w:styleId="PlaceholderText">
    <w:name w:val="Placeholder Text"/>
    <w:basedOn w:val="DefaultParagraphFont"/>
    <w:uiPriority w:val="39"/>
    <w:rsid w:val="00961DBB"/>
    <w:rPr>
      <w:color w:val="808080"/>
    </w:rPr>
  </w:style>
  <w:style w:type="paragraph" w:customStyle="1" w:styleId="PullOutBoxBodyText">
    <w:name w:val="Pull Out Box Body Text"/>
    <w:basedOn w:val="Normal"/>
    <w:uiPriority w:val="24"/>
    <w:qFormat/>
    <w:rsid w:val="00476133"/>
    <w:pPr>
      <w:spacing w:before="120" w:after="120"/>
      <w:ind w:left="57" w:right="57"/>
    </w:pPr>
    <w:rPr>
      <w:spacing w:val="-1"/>
    </w:rPr>
  </w:style>
  <w:style w:type="paragraph" w:customStyle="1" w:styleId="PullOutBoxBullet">
    <w:name w:val="Pull Out Box Bullet"/>
    <w:basedOn w:val="PullOutBoxBodyText"/>
    <w:uiPriority w:val="25"/>
    <w:qFormat/>
    <w:rsid w:val="00476133"/>
    <w:pPr>
      <w:numPr>
        <w:numId w:val="19"/>
      </w:numPr>
      <w:ind w:left="397"/>
    </w:pPr>
  </w:style>
  <w:style w:type="paragraph" w:customStyle="1" w:styleId="PullOutBoxBullet2">
    <w:name w:val="Pull Out Box Bullet 2"/>
    <w:basedOn w:val="PullOutBoxBodyText"/>
    <w:uiPriority w:val="26"/>
    <w:qFormat/>
    <w:rsid w:val="008112CC"/>
    <w:pPr>
      <w:numPr>
        <w:ilvl w:val="1"/>
        <w:numId w:val="19"/>
      </w:numPr>
      <w:ind w:left="737"/>
    </w:pPr>
  </w:style>
  <w:style w:type="paragraph" w:customStyle="1" w:styleId="PullOutBoxBullet3">
    <w:name w:val="Pull Out Box Bullet 3"/>
    <w:basedOn w:val="PullOutBoxBodyText"/>
    <w:uiPriority w:val="27"/>
    <w:qFormat/>
    <w:rsid w:val="00476133"/>
    <w:pPr>
      <w:numPr>
        <w:ilvl w:val="2"/>
        <w:numId w:val="19"/>
      </w:numPr>
      <w:ind w:left="1077"/>
    </w:pPr>
  </w:style>
  <w:style w:type="paragraph" w:customStyle="1" w:styleId="PullOutBoxHeading">
    <w:name w:val="Pull Out Box Heading"/>
    <w:basedOn w:val="PullOutBoxBodyText"/>
    <w:uiPriority w:val="23"/>
    <w:qFormat/>
    <w:rsid w:val="00476133"/>
    <w:pPr>
      <w:keepNext/>
      <w:keepLines/>
    </w:pPr>
    <w:rPr>
      <w:b/>
    </w:rPr>
  </w:style>
  <w:style w:type="paragraph" w:customStyle="1" w:styleId="PullOutBoxNumber">
    <w:name w:val="Pull Out Box Number"/>
    <w:basedOn w:val="PullOutBoxBodyText"/>
    <w:uiPriority w:val="28"/>
    <w:qFormat/>
    <w:rsid w:val="00476133"/>
    <w:pPr>
      <w:numPr>
        <w:numId w:val="22"/>
      </w:numPr>
      <w:ind w:left="397"/>
    </w:pPr>
  </w:style>
  <w:style w:type="paragraph" w:customStyle="1" w:styleId="PullOutBoxNumber2">
    <w:name w:val="Pull Out Box Number 2"/>
    <w:basedOn w:val="PullOutBoxBodyText"/>
    <w:uiPriority w:val="29"/>
    <w:qFormat/>
    <w:rsid w:val="008112CC"/>
    <w:pPr>
      <w:numPr>
        <w:ilvl w:val="1"/>
        <w:numId w:val="22"/>
      </w:numPr>
      <w:ind w:left="737"/>
    </w:pPr>
  </w:style>
  <w:style w:type="paragraph" w:customStyle="1" w:styleId="PullOutBoxNumber3">
    <w:name w:val="Pull Out Box Number 3"/>
    <w:basedOn w:val="PullOutBoxBodyText"/>
    <w:uiPriority w:val="30"/>
    <w:qFormat/>
    <w:rsid w:val="008112CC"/>
    <w:pPr>
      <w:numPr>
        <w:ilvl w:val="2"/>
        <w:numId w:val="22"/>
      </w:numPr>
      <w:ind w:left="1077"/>
    </w:pPr>
  </w:style>
  <w:style w:type="table" w:customStyle="1" w:styleId="PullOutBoxTable">
    <w:name w:val="Pull Out Box Table"/>
    <w:basedOn w:val="TableNormal"/>
    <w:uiPriority w:val="99"/>
    <w:rsid w:val="00961DBB"/>
    <w:pPr>
      <w:spacing w:line="240" w:lineRule="auto"/>
    </w:pPr>
    <w:rPr>
      <w:rFonts w:eastAsia="Times New Roman" w:cs="Arial"/>
      <w:lang w:eastAsia="en-AU"/>
    </w:rPr>
    <w:tblPr>
      <w:tblBorders>
        <w:top w:val="single" w:sz="4" w:space="0" w:color="D7DDE9" w:themeColor="accent3"/>
        <w:left w:val="single" w:sz="4" w:space="0" w:color="D7DDE9" w:themeColor="accent3"/>
        <w:bottom w:val="single" w:sz="4" w:space="0" w:color="D7DDE9" w:themeColor="accent3"/>
        <w:right w:val="single" w:sz="4" w:space="0" w:color="D7DDE9" w:themeColor="accent3"/>
        <w:insideH w:val="single" w:sz="4" w:space="0" w:color="D7DDE9" w:themeColor="accent3"/>
        <w:insideV w:val="single" w:sz="4" w:space="0" w:color="D7DDE9" w:themeColor="accent3"/>
      </w:tblBorders>
      <w:tblCellMar>
        <w:top w:w="28" w:type="dxa"/>
        <w:left w:w="0" w:type="dxa"/>
        <w:bottom w:w="28" w:type="dxa"/>
        <w:right w:w="0" w:type="dxa"/>
      </w:tblCellMar>
    </w:tblPr>
    <w:tcPr>
      <w:shd w:val="clear" w:color="auto" w:fill="D7DDE9" w:themeFill="accent3"/>
    </w:tcPr>
  </w:style>
  <w:style w:type="paragraph" w:styleId="Quote">
    <w:name w:val="Quote"/>
    <w:basedOn w:val="Normal"/>
    <w:link w:val="QuoteChar"/>
    <w:uiPriority w:val="39"/>
    <w:rsid w:val="00961DBB"/>
    <w:pPr>
      <w:tabs>
        <w:tab w:val="left" w:pos="1134"/>
      </w:tabs>
      <w:spacing w:before="240" w:after="240"/>
      <w:ind w:left="284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39"/>
    <w:rsid w:val="00AC41CF"/>
    <w:rPr>
      <w:i/>
      <w:iCs/>
    </w:rPr>
  </w:style>
  <w:style w:type="paragraph" w:customStyle="1" w:styleId="QuoteBullet">
    <w:name w:val="Quote Bullet"/>
    <w:basedOn w:val="Quote"/>
    <w:uiPriority w:val="39"/>
    <w:rsid w:val="00961DBB"/>
    <w:pPr>
      <w:numPr>
        <w:numId w:val="24"/>
      </w:numPr>
    </w:pPr>
  </w:style>
  <w:style w:type="paragraph" w:customStyle="1" w:styleId="QuoteBullet2">
    <w:name w:val="Quote Bullet 2"/>
    <w:basedOn w:val="Quote"/>
    <w:uiPriority w:val="39"/>
    <w:rsid w:val="00961DBB"/>
    <w:pPr>
      <w:numPr>
        <w:ilvl w:val="1"/>
        <w:numId w:val="24"/>
      </w:numPr>
      <w:tabs>
        <w:tab w:val="clear" w:pos="1134"/>
      </w:tabs>
    </w:pPr>
  </w:style>
  <w:style w:type="paragraph" w:customStyle="1" w:styleId="SectionHeading">
    <w:name w:val="Section Heading"/>
    <w:basedOn w:val="Normal"/>
    <w:next w:val="BodyText"/>
    <w:uiPriority w:val="39"/>
    <w:rsid w:val="00E45766"/>
    <w:pPr>
      <w:keepLines/>
      <w:spacing w:before="4320" w:line="360" w:lineRule="auto"/>
      <w:ind w:left="1701"/>
      <w:jc w:val="right"/>
      <w:outlineLvl w:val="0"/>
    </w:pPr>
    <w:rPr>
      <w:rFonts w:asciiTheme="majorHAnsi" w:hAnsiTheme="majorHAnsi"/>
      <w:noProof/>
      <w:color w:val="2B3B5F" w:themeColor="text2"/>
      <w:sz w:val="50"/>
      <w:szCs w:val="40"/>
    </w:rPr>
  </w:style>
  <w:style w:type="character" w:customStyle="1" w:styleId="SectionSubtitle">
    <w:name w:val="Section Subtitle"/>
    <w:uiPriority w:val="39"/>
    <w:rsid w:val="00E45766"/>
    <w:rPr>
      <w:color w:val="751D71" w:themeColor="accent4"/>
      <w:sz w:val="40"/>
    </w:rPr>
  </w:style>
  <w:style w:type="paragraph" w:styleId="Subtitle">
    <w:name w:val="Subtitle"/>
    <w:basedOn w:val="Normal"/>
    <w:next w:val="Normal"/>
    <w:link w:val="SubtitleChar"/>
    <w:uiPriority w:val="39"/>
    <w:rsid w:val="00961DBB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39"/>
    <w:rsid w:val="00AC41CF"/>
    <w:rPr>
      <w:rFonts w:asciiTheme="majorHAnsi" w:eastAsiaTheme="majorEastAsia" w:hAnsiTheme="majorHAnsi" w:cstheme="majorBidi"/>
      <w:iCs/>
      <w:spacing w:val="15"/>
    </w:rPr>
  </w:style>
  <w:style w:type="character" w:customStyle="1" w:styleId="Superscript">
    <w:name w:val="Superscript"/>
    <w:uiPriority w:val="39"/>
    <w:rsid w:val="00961DBB"/>
    <w:rPr>
      <w:vertAlign w:val="superscript"/>
    </w:rPr>
  </w:style>
  <w:style w:type="table" w:customStyle="1" w:styleId="TableAsPlaceholder">
    <w:name w:val="Table As Placeholder"/>
    <w:basedOn w:val="TableNormal"/>
    <w:uiPriority w:val="99"/>
    <w:qFormat/>
    <w:rsid w:val="00961DBB"/>
    <w:rPr>
      <w:rFonts w:eastAsia="Times New Roman" w:cs="Arial"/>
      <w:lang w:eastAsia="en-AU"/>
    </w:rPr>
    <w:tblPr>
      <w:tblCellMar>
        <w:left w:w="0" w:type="dxa"/>
        <w:right w:w="0" w:type="dxa"/>
      </w:tblCellMar>
    </w:tblPr>
  </w:style>
  <w:style w:type="paragraph" w:customStyle="1" w:styleId="TableFootnotes">
    <w:name w:val="Table Footnotes"/>
    <w:basedOn w:val="Normal"/>
    <w:uiPriority w:val="22"/>
    <w:qFormat/>
    <w:rsid w:val="0056001A"/>
    <w:pPr>
      <w:keepLines/>
      <w:numPr>
        <w:numId w:val="25"/>
      </w:numPr>
      <w:spacing w:after="50" w:line="260" w:lineRule="atLeast"/>
      <w:contextualSpacing/>
    </w:pPr>
    <w:rPr>
      <w:sz w:val="20"/>
    </w:rPr>
  </w:style>
  <w:style w:type="table" w:styleId="TableGrid">
    <w:name w:val="Table Grid"/>
    <w:basedOn w:val="TableNormal"/>
    <w:rsid w:val="00F85D29"/>
    <w:pPr>
      <w:spacing w:before="70" w:after="70" w:line="260" w:lineRule="atLeast"/>
      <w:ind w:left="113" w:right="113"/>
    </w:pPr>
    <w:rPr>
      <w:rFonts w:eastAsia="Times New Roman" w:cs="Times New Roman"/>
      <w:sz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Theme="minorHAnsi" w:hAnsiTheme="minorHAnsi"/>
        <w:b w:val="0"/>
        <w:i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 w:themeFill="text2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 w:themeFill="accent3"/>
      </w:tcPr>
    </w:tblStylePr>
    <w:tblStylePr w:type="nwCell">
      <w:pPr>
        <w:jc w:val="left"/>
      </w:pPr>
      <w:tblPr/>
      <w:tcPr>
        <w:vAlign w:val="top"/>
      </w:tcPr>
    </w:tblStylePr>
  </w:style>
  <w:style w:type="paragraph" w:customStyle="1" w:styleId="TableHeading">
    <w:name w:val="Table Heading"/>
    <w:basedOn w:val="Normal"/>
    <w:uiPriority w:val="14"/>
    <w:qFormat/>
    <w:rsid w:val="00476133"/>
    <w:pPr>
      <w:keepNext/>
      <w:keepLines/>
      <w:spacing w:before="70" w:after="70" w:line="260" w:lineRule="atLeast"/>
      <w:ind w:left="57" w:right="57"/>
    </w:pPr>
    <w:rPr>
      <w:rFonts w:ascii="Calibri" w:hAnsi="Calibri" w:cs="Times New Roman"/>
      <w:b/>
      <w:sz w:val="20"/>
    </w:rPr>
  </w:style>
  <w:style w:type="paragraph" w:customStyle="1" w:styleId="TableHeadingCentred">
    <w:name w:val="Table Heading Centred"/>
    <w:basedOn w:val="TableHeading"/>
    <w:uiPriority w:val="15"/>
    <w:qFormat/>
    <w:rsid w:val="005B0970"/>
    <w:pPr>
      <w:jc w:val="center"/>
    </w:pPr>
  </w:style>
  <w:style w:type="paragraph" w:customStyle="1" w:styleId="TableHeadingRight">
    <w:name w:val="Table Heading Right"/>
    <w:basedOn w:val="TableHeading"/>
    <w:uiPriority w:val="16"/>
    <w:qFormat/>
    <w:rsid w:val="00956D5A"/>
    <w:pPr>
      <w:jc w:val="right"/>
    </w:pPr>
  </w:style>
  <w:style w:type="paragraph" w:customStyle="1" w:styleId="Source">
    <w:name w:val="Source"/>
    <w:basedOn w:val="Normal"/>
    <w:next w:val="BodyText17ptAbove"/>
    <w:uiPriority w:val="39"/>
    <w:rsid w:val="00035ADE"/>
    <w:pPr>
      <w:spacing w:before="180" w:after="114"/>
      <w:contextualSpacing/>
    </w:pPr>
    <w:rPr>
      <w:rFonts w:cs="Times New Roman"/>
      <w:color w:val="788184" w:themeColor="background2"/>
      <w:sz w:val="20"/>
      <w:szCs w:val="14"/>
    </w:rPr>
  </w:style>
  <w:style w:type="paragraph" w:customStyle="1" w:styleId="TableText">
    <w:name w:val="Table Text"/>
    <w:basedOn w:val="Normal"/>
    <w:uiPriority w:val="17"/>
    <w:qFormat/>
    <w:rsid w:val="005B0970"/>
    <w:pPr>
      <w:spacing w:before="70" w:after="70" w:line="260" w:lineRule="atLeast"/>
      <w:ind w:left="57" w:right="57"/>
    </w:pPr>
    <w:rPr>
      <w:rFonts w:ascii="Calibri" w:hAnsi="Calibri" w:cs="Times New Roman"/>
      <w:sz w:val="20"/>
    </w:rPr>
  </w:style>
  <w:style w:type="paragraph" w:customStyle="1" w:styleId="TableTextBold">
    <w:name w:val="Table Text Bold"/>
    <w:basedOn w:val="TableText"/>
    <w:semiHidden/>
    <w:qFormat/>
    <w:rsid w:val="00961DBB"/>
    <w:rPr>
      <w:b/>
    </w:rPr>
  </w:style>
  <w:style w:type="paragraph" w:customStyle="1" w:styleId="TableTextBullet">
    <w:name w:val="Table Text Bullet"/>
    <w:basedOn w:val="TableText"/>
    <w:uiPriority w:val="39"/>
    <w:rsid w:val="00961DBB"/>
    <w:pPr>
      <w:numPr>
        <w:numId w:val="28"/>
      </w:numPr>
    </w:pPr>
  </w:style>
  <w:style w:type="paragraph" w:customStyle="1" w:styleId="TableTextBullet2">
    <w:name w:val="Table Text Bullet 2"/>
    <w:basedOn w:val="TableTextBullet"/>
    <w:uiPriority w:val="39"/>
    <w:rsid w:val="00961DBB"/>
    <w:pPr>
      <w:numPr>
        <w:ilvl w:val="1"/>
      </w:numPr>
    </w:pPr>
    <w:rPr>
      <w:bCs/>
    </w:rPr>
  </w:style>
  <w:style w:type="paragraph" w:customStyle="1" w:styleId="TableTextBullet3">
    <w:name w:val="Table Text Bullet 3"/>
    <w:basedOn w:val="TableTextBullet2"/>
    <w:uiPriority w:val="39"/>
    <w:rsid w:val="00961DBB"/>
    <w:pPr>
      <w:numPr>
        <w:ilvl w:val="2"/>
      </w:numPr>
    </w:pPr>
    <w:rPr>
      <w:bCs w:val="0"/>
    </w:rPr>
  </w:style>
  <w:style w:type="paragraph" w:customStyle="1" w:styleId="TableTextNumber">
    <w:name w:val="Table Text Number"/>
    <w:basedOn w:val="TableText"/>
    <w:uiPriority w:val="39"/>
    <w:rsid w:val="00961DBB"/>
    <w:pPr>
      <w:numPr>
        <w:numId w:val="31"/>
      </w:numPr>
    </w:pPr>
  </w:style>
  <w:style w:type="paragraph" w:customStyle="1" w:styleId="TableTextNumber2">
    <w:name w:val="Table Text Number 2"/>
    <w:basedOn w:val="TableTextNumber"/>
    <w:uiPriority w:val="39"/>
    <w:rsid w:val="00961DBB"/>
    <w:pPr>
      <w:numPr>
        <w:ilvl w:val="1"/>
      </w:numPr>
      <w:tabs>
        <w:tab w:val="clear" w:pos="709"/>
        <w:tab w:val="num" w:pos="680"/>
      </w:tabs>
      <w:ind w:left="680"/>
    </w:pPr>
  </w:style>
  <w:style w:type="paragraph" w:customStyle="1" w:styleId="TableTextNumber3">
    <w:name w:val="Table Text Number 3"/>
    <w:basedOn w:val="TableTextNumber2"/>
    <w:uiPriority w:val="39"/>
    <w:rsid w:val="00961DBB"/>
    <w:pPr>
      <w:numPr>
        <w:ilvl w:val="2"/>
      </w:numPr>
    </w:pPr>
  </w:style>
  <w:style w:type="paragraph" w:customStyle="1" w:styleId="TableTextRight">
    <w:name w:val="Table Text Right"/>
    <w:basedOn w:val="TableText"/>
    <w:uiPriority w:val="19"/>
    <w:qFormat/>
    <w:rsid w:val="00961DBB"/>
    <w:pPr>
      <w:jc w:val="right"/>
    </w:pPr>
  </w:style>
  <w:style w:type="paragraph" w:customStyle="1" w:styleId="TableofContents2">
    <w:name w:val="TableofContents2"/>
    <w:basedOn w:val="Normal"/>
    <w:semiHidden/>
    <w:rsid w:val="00CA0B7E"/>
    <w:pPr>
      <w:keepNext/>
      <w:spacing w:after="113"/>
    </w:pPr>
    <w:rPr>
      <w:sz w:val="28"/>
      <w:szCs w:val="28"/>
    </w:rPr>
  </w:style>
  <w:style w:type="paragraph" w:styleId="Title">
    <w:name w:val="Title"/>
    <w:basedOn w:val="Normal"/>
    <w:next w:val="Normal"/>
    <w:link w:val="TitleChar"/>
    <w:uiPriority w:val="39"/>
    <w:rsid w:val="00817406"/>
    <w:pPr>
      <w:spacing w:before="480" w:after="340" w:line="240" w:lineRule="auto"/>
    </w:pPr>
    <w:rPr>
      <w:rFonts w:asciiTheme="majorHAnsi" w:eastAsiaTheme="majorEastAsia" w:hAnsiTheme="majorHAnsi" w:cstheme="majorBidi"/>
      <w:color w:val="2B3B5F" w:themeColor="text2"/>
      <w:spacing w:val="-2"/>
      <w:sz w:val="32"/>
      <w:szCs w:val="50"/>
    </w:rPr>
  </w:style>
  <w:style w:type="character" w:customStyle="1" w:styleId="TitleChar">
    <w:name w:val="Title Char"/>
    <w:basedOn w:val="DefaultParagraphFont"/>
    <w:link w:val="Title"/>
    <w:uiPriority w:val="39"/>
    <w:rsid w:val="00AC41CF"/>
    <w:rPr>
      <w:rFonts w:asciiTheme="majorHAnsi" w:eastAsiaTheme="majorEastAsia" w:hAnsiTheme="majorHAnsi" w:cstheme="majorBidi"/>
      <w:color w:val="2B3B5F" w:themeColor="text2"/>
      <w:spacing w:val="-2"/>
      <w:sz w:val="32"/>
      <w:szCs w:val="50"/>
    </w:rPr>
  </w:style>
  <w:style w:type="paragraph" w:customStyle="1" w:styleId="Title2">
    <w:name w:val="Title 2"/>
    <w:basedOn w:val="Normal"/>
    <w:link w:val="Title2Char"/>
    <w:uiPriority w:val="39"/>
    <w:rsid w:val="00C8728F"/>
    <w:pPr>
      <w:spacing w:after="250"/>
      <w:ind w:left="397"/>
      <w:jc w:val="right"/>
    </w:pPr>
    <w:rPr>
      <w:rFonts w:asciiTheme="majorHAnsi" w:hAnsiTheme="majorHAnsi"/>
      <w:color w:val="FFFFFF"/>
      <w:spacing w:val="-2"/>
      <w:sz w:val="32"/>
    </w:rPr>
  </w:style>
  <w:style w:type="character" w:customStyle="1" w:styleId="Title2Char">
    <w:name w:val="Title 2 Char"/>
    <w:basedOn w:val="DefaultParagraphFont"/>
    <w:link w:val="Title2"/>
    <w:uiPriority w:val="39"/>
    <w:rsid w:val="00AC41CF"/>
    <w:rPr>
      <w:rFonts w:asciiTheme="majorHAnsi" w:hAnsiTheme="majorHAnsi"/>
      <w:color w:val="FFFFFF"/>
      <w:spacing w:val="-2"/>
      <w:sz w:val="32"/>
    </w:rPr>
  </w:style>
  <w:style w:type="paragraph" w:customStyle="1" w:styleId="Title3">
    <w:name w:val="Title 3"/>
    <w:basedOn w:val="Title2"/>
    <w:uiPriority w:val="39"/>
    <w:rsid w:val="00195228"/>
    <w:pPr>
      <w:framePr w:wrap="auto" w:vAnchor="page" w:hAnchor="margin" w:y="5779"/>
    </w:pPr>
    <w:rPr>
      <w:rFonts w:eastAsia="Times New Roman" w:cs="Arial"/>
      <w:i/>
      <w:spacing w:val="8"/>
      <w:lang w:eastAsia="en-AU"/>
    </w:rPr>
  </w:style>
  <w:style w:type="paragraph" w:styleId="TOC1">
    <w:name w:val="toc 1"/>
    <w:basedOn w:val="Normal"/>
    <w:next w:val="Normal"/>
    <w:uiPriority w:val="39"/>
    <w:rsid w:val="001B2C65"/>
    <w:pPr>
      <w:tabs>
        <w:tab w:val="right" w:leader="underscore" w:pos="8164"/>
      </w:tabs>
      <w:spacing w:after="227"/>
      <w:ind w:right="851"/>
    </w:pPr>
    <w:rPr>
      <w:b/>
      <w:noProof/>
      <w:color w:val="2B3B5F" w:themeColor="text2"/>
    </w:rPr>
  </w:style>
  <w:style w:type="paragraph" w:styleId="TOC2">
    <w:name w:val="toc 2"/>
    <w:basedOn w:val="Normal"/>
    <w:next w:val="Normal"/>
    <w:uiPriority w:val="39"/>
    <w:rsid w:val="001B2C65"/>
    <w:pPr>
      <w:tabs>
        <w:tab w:val="right" w:leader="underscore" w:pos="8164"/>
      </w:tabs>
      <w:spacing w:after="227"/>
      <w:ind w:left="454" w:right="851"/>
    </w:pPr>
    <w:rPr>
      <w:noProof/>
      <w:szCs w:val="28"/>
    </w:rPr>
  </w:style>
  <w:style w:type="paragraph" w:styleId="TOC3">
    <w:name w:val="toc 3"/>
    <w:basedOn w:val="Normal"/>
    <w:next w:val="Normal"/>
    <w:uiPriority w:val="39"/>
    <w:rsid w:val="001B2C65"/>
    <w:pPr>
      <w:tabs>
        <w:tab w:val="right" w:leader="underscore" w:pos="8164"/>
      </w:tabs>
      <w:spacing w:after="227"/>
      <w:ind w:left="907" w:right="851"/>
    </w:pPr>
    <w:rPr>
      <w:rFonts w:eastAsiaTheme="minorEastAsia"/>
      <w:noProof/>
    </w:rPr>
  </w:style>
  <w:style w:type="paragraph" w:styleId="TOC4">
    <w:name w:val="toc 4"/>
    <w:basedOn w:val="Normal"/>
    <w:uiPriority w:val="39"/>
    <w:rsid w:val="006C5E72"/>
    <w:pPr>
      <w:tabs>
        <w:tab w:val="right" w:leader="underscore" w:pos="8165"/>
      </w:tabs>
      <w:spacing w:after="80"/>
      <w:ind w:right="851"/>
    </w:pPr>
    <w:rPr>
      <w:noProof/>
    </w:rPr>
  </w:style>
  <w:style w:type="paragraph" w:styleId="TOC5">
    <w:name w:val="toc 5"/>
    <w:basedOn w:val="Normal"/>
    <w:next w:val="Normal"/>
    <w:autoRedefine/>
    <w:uiPriority w:val="39"/>
    <w:rsid w:val="0096618E"/>
    <w:pPr>
      <w:tabs>
        <w:tab w:val="right" w:leader="underscore" w:pos="8165"/>
      </w:tabs>
      <w:spacing w:after="227"/>
      <w:ind w:right="851"/>
    </w:pPr>
    <w:rPr>
      <w:b/>
      <w:color w:val="2B3B5F" w:themeColor="text2"/>
    </w:rPr>
  </w:style>
  <w:style w:type="paragraph" w:styleId="TOC6">
    <w:name w:val="toc 6"/>
    <w:basedOn w:val="Normal"/>
    <w:next w:val="Normal"/>
    <w:autoRedefine/>
    <w:semiHidden/>
    <w:rsid w:val="00961DBB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rsid w:val="00961DBB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rsid w:val="00961DBB"/>
    <w:pPr>
      <w:tabs>
        <w:tab w:val="right" w:leader="dot" w:pos="9582"/>
      </w:tabs>
      <w:spacing w:after="227"/>
      <w:ind w:right="907"/>
    </w:pPr>
    <w:rPr>
      <w:color w:val="2B3B5F" w:themeColor="text2"/>
    </w:rPr>
  </w:style>
  <w:style w:type="paragraph" w:styleId="TOCHeading">
    <w:name w:val="TOC Heading"/>
    <w:basedOn w:val="Normal"/>
    <w:uiPriority w:val="39"/>
    <w:rsid w:val="00733970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before="480" w:after="340" w:line="240" w:lineRule="auto"/>
    </w:pPr>
    <w:rPr>
      <w:rFonts w:asciiTheme="majorHAnsi" w:hAnsiTheme="majorHAnsi"/>
      <w:color w:val="2B3B5F" w:themeColor="text2"/>
      <w:sz w:val="40"/>
      <w:szCs w:val="40"/>
    </w:rPr>
  </w:style>
  <w:style w:type="paragraph" w:customStyle="1" w:styleId="TOFHeading">
    <w:name w:val="TOF Heading"/>
    <w:basedOn w:val="Normal"/>
    <w:uiPriority w:val="39"/>
    <w:rsid w:val="00961DBB"/>
    <w:pPr>
      <w:keepNext/>
      <w:tabs>
        <w:tab w:val="left" w:pos="2268"/>
      </w:tabs>
      <w:spacing w:before="300" w:after="120"/>
    </w:pPr>
    <w:rPr>
      <w:color w:val="2B3B5F" w:themeColor="text2"/>
      <w:sz w:val="28"/>
      <w:szCs w:val="32"/>
    </w:rPr>
  </w:style>
  <w:style w:type="paragraph" w:customStyle="1" w:styleId="xDisclaimerHeading">
    <w:name w:val="xDisclaimer Heading"/>
    <w:basedOn w:val="Normal"/>
    <w:link w:val="xDisclaimerHeadingChar"/>
    <w:uiPriority w:val="39"/>
    <w:rsid w:val="00961DBB"/>
    <w:pPr>
      <w:framePr w:hSpace="181" w:wrap="around" w:hAnchor="margin" w:y="4310"/>
      <w:spacing w:before="170" w:after="57" w:line="280" w:lineRule="atLeast"/>
      <w:suppressOverlap/>
    </w:pPr>
    <w:rPr>
      <w:b/>
    </w:rPr>
  </w:style>
  <w:style w:type="character" w:customStyle="1" w:styleId="xDisclaimerHeadingChar">
    <w:name w:val="xDisclaimer Heading Char"/>
    <w:basedOn w:val="DefaultParagraphFont"/>
    <w:link w:val="xDisclaimerHeading"/>
    <w:uiPriority w:val="39"/>
    <w:rsid w:val="00AC41CF"/>
    <w:rPr>
      <w:b/>
    </w:rPr>
  </w:style>
  <w:style w:type="paragraph" w:customStyle="1" w:styleId="xDisclaimerText">
    <w:name w:val="xDisclaimer Text"/>
    <w:basedOn w:val="Normal"/>
    <w:uiPriority w:val="39"/>
    <w:rsid w:val="00961DBB"/>
    <w:pPr>
      <w:spacing w:after="57" w:line="302" w:lineRule="atLeast"/>
    </w:pPr>
    <w:rPr>
      <w:rFonts w:cs="Times New Roman"/>
    </w:rPr>
  </w:style>
  <w:style w:type="paragraph" w:customStyle="1" w:styleId="xDisclaimerText2">
    <w:name w:val="xDisclaimer Text 2"/>
    <w:basedOn w:val="xDisclaimerHeading"/>
    <w:uiPriority w:val="39"/>
    <w:rsid w:val="00961DBB"/>
    <w:pPr>
      <w:framePr w:wrap="around"/>
      <w:spacing w:before="0" w:after="170" w:line="302" w:lineRule="atLeast"/>
    </w:pPr>
    <w:rPr>
      <w:b w:val="0"/>
    </w:rPr>
  </w:style>
  <w:style w:type="paragraph" w:customStyle="1" w:styleId="xDisclaimertext3">
    <w:name w:val="xDisclaimer text 3"/>
    <w:basedOn w:val="xDisclaimerText"/>
    <w:uiPriority w:val="39"/>
    <w:rsid w:val="00961DBB"/>
    <w:pPr>
      <w:spacing w:before="170" w:after="170"/>
    </w:pPr>
  </w:style>
  <w:style w:type="paragraph" w:customStyle="1" w:styleId="xInlineShape">
    <w:name w:val="xInlineShape"/>
    <w:basedOn w:val="Normal"/>
    <w:next w:val="BodyText"/>
    <w:uiPriority w:val="39"/>
    <w:rsid w:val="009A3E58"/>
    <w:pPr>
      <w:keepNext/>
      <w:spacing w:before="300" w:after="120" w:line="240" w:lineRule="auto"/>
    </w:pPr>
  </w:style>
  <w:style w:type="paragraph" w:customStyle="1" w:styleId="xStatus">
    <w:name w:val="xStatus"/>
    <w:basedOn w:val="Normal"/>
    <w:semiHidden/>
    <w:rsid w:val="0094468E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line="1400" w:lineRule="exact"/>
      <w:jc w:val="center"/>
    </w:pPr>
    <w:rPr>
      <w:caps/>
      <w:color w:val="EAEAEA"/>
      <w:spacing w:val="40"/>
      <w:sz w:val="140"/>
    </w:rPr>
  </w:style>
  <w:style w:type="paragraph" w:customStyle="1" w:styleId="xDisclaimerHeadingwithxDisclaimerText">
    <w:name w:val="xDisclaimer Heading (with xDisclaimer Text)"/>
    <w:basedOn w:val="xDisclaimerHeading"/>
    <w:link w:val="xDisclaimerHeadingwithxDisclaimerTextChar"/>
    <w:uiPriority w:val="39"/>
    <w:rsid w:val="00961DBB"/>
    <w:pPr>
      <w:framePr w:wrap="around"/>
    </w:pPr>
  </w:style>
  <w:style w:type="character" w:customStyle="1" w:styleId="xDisclaimerHeadingwithxDisclaimerTextChar">
    <w:name w:val="xDisclaimer Heading (with xDisclaimer Text) Char"/>
    <w:basedOn w:val="xDisclaimerHeadingChar"/>
    <w:link w:val="xDisclaimerHeadingwithxDisclaimerText"/>
    <w:uiPriority w:val="39"/>
    <w:rsid w:val="00AC41CF"/>
    <w:rPr>
      <w:b/>
    </w:rPr>
  </w:style>
  <w:style w:type="character" w:styleId="Hyperlink">
    <w:name w:val="Hyperlink"/>
    <w:basedOn w:val="DefaultParagraphFont"/>
    <w:uiPriority w:val="99"/>
    <w:unhideWhenUsed/>
    <w:rsid w:val="00903E3F"/>
    <w:rPr>
      <w:color w:val="auto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903E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E266E"/>
    <w:rPr>
      <w:rFonts w:ascii="Tahoma" w:hAnsi="Tahoma" w:cs="Tahoma"/>
      <w:sz w:val="16"/>
      <w:szCs w:val="16"/>
    </w:rPr>
  </w:style>
  <w:style w:type="paragraph" w:customStyle="1" w:styleId="CaptionBefore12pt">
    <w:name w:val="Caption + Before: 12pt"/>
    <w:basedOn w:val="Caption"/>
    <w:uiPriority w:val="39"/>
    <w:rsid w:val="00FD6119"/>
    <w:pPr>
      <w:spacing w:before="240"/>
    </w:pPr>
  </w:style>
  <w:style w:type="paragraph" w:customStyle="1" w:styleId="xBackPageWebAddress">
    <w:name w:val="xBack Page Web Address"/>
    <w:basedOn w:val="Normal"/>
    <w:uiPriority w:val="39"/>
    <w:rsid w:val="00F31392"/>
    <w:pPr>
      <w:spacing w:before="140" w:line="240" w:lineRule="atLeast"/>
    </w:pPr>
    <w:rPr>
      <w:rFonts w:asciiTheme="majorHAnsi" w:hAnsiTheme="majorHAnsi"/>
      <w:color w:val="FFFFFF"/>
      <w:spacing w:val="-6"/>
      <w:sz w:val="40"/>
      <w:szCs w:val="36"/>
    </w:rPr>
  </w:style>
  <w:style w:type="paragraph" w:customStyle="1" w:styleId="Heading1NoNumbering">
    <w:name w:val="Heading 1 No Numbering"/>
    <w:basedOn w:val="Heading1"/>
    <w:uiPriority w:val="39"/>
    <w:rsid w:val="00A12C39"/>
    <w:pPr>
      <w:numPr>
        <w:numId w:val="0"/>
      </w:numPr>
    </w:pPr>
  </w:style>
  <w:style w:type="paragraph" w:styleId="TableofFigures">
    <w:name w:val="table of figures"/>
    <w:basedOn w:val="Normal"/>
    <w:next w:val="Normal"/>
    <w:uiPriority w:val="39"/>
    <w:rsid w:val="00D64CE2"/>
    <w:pPr>
      <w:tabs>
        <w:tab w:val="right" w:leader="underscore" w:pos="8165"/>
      </w:tabs>
      <w:spacing w:after="80"/>
      <w:ind w:right="851"/>
    </w:pPr>
  </w:style>
  <w:style w:type="paragraph" w:customStyle="1" w:styleId="SectionHeadingNoTOC">
    <w:name w:val="Section Heading No TOC"/>
    <w:basedOn w:val="SectionHeading"/>
    <w:uiPriority w:val="39"/>
    <w:rsid w:val="00E45766"/>
  </w:style>
  <w:style w:type="paragraph" w:customStyle="1" w:styleId="TableTextCentred">
    <w:name w:val="Table Text Centred"/>
    <w:basedOn w:val="TableText"/>
    <w:uiPriority w:val="18"/>
    <w:qFormat/>
    <w:rsid w:val="00AE1CC1"/>
    <w:pPr>
      <w:jc w:val="center"/>
    </w:pPr>
    <w:rPr>
      <w:rFonts w:eastAsia="Times New Roman"/>
      <w:lang w:eastAsia="en-AU"/>
    </w:rPr>
  </w:style>
  <w:style w:type="paragraph" w:customStyle="1" w:styleId="FooterRightPageNumberLS">
    <w:name w:val="Footer Right Page Number LS"/>
    <w:basedOn w:val="Normal"/>
    <w:uiPriority w:val="39"/>
    <w:rsid w:val="004E0E49"/>
    <w:pPr>
      <w:framePr w:wrap="auto" w:hAnchor="text" w:x="1"/>
      <w:spacing w:before="180" w:after="120" w:line="240" w:lineRule="auto"/>
      <w:ind w:right="283"/>
      <w:jc w:val="right"/>
    </w:pPr>
    <w:rPr>
      <w:rFonts w:eastAsia="Times New Roman" w:cs="Arial"/>
      <w:b/>
      <w:noProof/>
      <w:color w:val="788184" w:themeColor="background2"/>
      <w:lang w:eastAsia="en-AU"/>
    </w:rPr>
  </w:style>
  <w:style w:type="character" w:customStyle="1" w:styleId="MyBoldItalicsUnderline">
    <w:name w:val="MyBoldItalicsUnderline"/>
    <w:uiPriority w:val="99"/>
    <w:rsid w:val="000E266E"/>
    <w:rPr>
      <w:b/>
      <w:i/>
      <w:u w:val="single"/>
      <w:vertAlign w:val="baseline"/>
    </w:rPr>
  </w:style>
  <w:style w:type="character" w:customStyle="1" w:styleId="MyBoldUnderline">
    <w:name w:val="MyBoldUnderline"/>
    <w:uiPriority w:val="99"/>
    <w:rsid w:val="000E266E"/>
    <w:rPr>
      <w:b/>
      <w:i/>
      <w:u w:val="single"/>
      <w:vertAlign w:val="baseline"/>
    </w:rPr>
  </w:style>
  <w:style w:type="character" w:customStyle="1" w:styleId="MyItalicsUnderline">
    <w:name w:val="MyItalicsUnderline"/>
    <w:uiPriority w:val="99"/>
    <w:rsid w:val="000E266E"/>
    <w:rPr>
      <w:b/>
      <w:i/>
      <w:u w:val="single"/>
      <w:vertAlign w:val="baseline"/>
    </w:rPr>
  </w:style>
  <w:style w:type="character" w:customStyle="1" w:styleId="MyUnderline">
    <w:name w:val="MyUnderline"/>
    <w:uiPriority w:val="99"/>
    <w:rsid w:val="000E266E"/>
    <w:rPr>
      <w:b w:val="0"/>
      <w:i w:val="0"/>
      <w:u w:val="single"/>
      <w:vertAlign w:val="baseline"/>
    </w:rPr>
  </w:style>
  <w:style w:type="paragraph" w:customStyle="1" w:styleId="PBOheader">
    <w:name w:val="PBO header"/>
    <w:basedOn w:val="Header"/>
    <w:uiPriority w:val="39"/>
    <w:rsid w:val="0046444F"/>
    <w:pPr>
      <w:spacing w:before="1320" w:after="114"/>
      <w:ind w:left="6521"/>
    </w:pPr>
    <w:rPr>
      <w:rFonts w:ascii="Arial" w:hAnsi="Arial" w:cs="Arial"/>
      <w:b/>
      <w:sz w:val="18"/>
      <w:szCs w:val="18"/>
    </w:rPr>
  </w:style>
  <w:style w:type="paragraph" w:customStyle="1" w:styleId="Letterfooter">
    <w:name w:val="Letter footer"/>
    <w:basedOn w:val="Footer"/>
    <w:uiPriority w:val="39"/>
    <w:rsid w:val="0046444F"/>
    <w:pPr>
      <w:tabs>
        <w:tab w:val="center" w:pos="4513"/>
        <w:tab w:val="right" w:pos="9026"/>
      </w:tabs>
      <w:spacing w:after="113"/>
      <w:ind w:right="-618" w:hanging="709"/>
      <w:jc w:val="center"/>
    </w:pPr>
    <w:rPr>
      <w:rFonts w:ascii="Arial" w:hAnsi="Arial" w:cs="Arial"/>
      <w:b w:val="0"/>
      <w:sz w:val="17"/>
      <w:szCs w:val="17"/>
    </w:rPr>
  </w:style>
  <w:style w:type="table" w:styleId="LightGrid-Accent6">
    <w:name w:val="Light Grid Accent 6"/>
    <w:basedOn w:val="TableNormal"/>
    <w:uiPriority w:val="62"/>
    <w:rsid w:val="0046444F"/>
    <w:pPr>
      <w:spacing w:line="240" w:lineRule="auto"/>
    </w:pPr>
    <w:tblPr>
      <w:tblStyleRowBandSize w:val="1"/>
      <w:tblStyleColBandSize w:val="1"/>
      <w:tblBorders>
        <w:top w:val="single" w:sz="8" w:space="0" w:color="788184" w:themeColor="accent6"/>
        <w:left w:val="single" w:sz="8" w:space="0" w:color="788184" w:themeColor="accent6"/>
        <w:bottom w:val="single" w:sz="8" w:space="0" w:color="788184" w:themeColor="accent6"/>
        <w:right w:val="single" w:sz="8" w:space="0" w:color="788184" w:themeColor="accent6"/>
        <w:insideH w:val="single" w:sz="8" w:space="0" w:color="788184" w:themeColor="accent6"/>
        <w:insideV w:val="single" w:sz="8" w:space="0" w:color="78818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8184" w:themeColor="accent6"/>
          <w:left w:val="single" w:sz="8" w:space="0" w:color="788184" w:themeColor="accent6"/>
          <w:bottom w:val="single" w:sz="18" w:space="0" w:color="788184" w:themeColor="accent6"/>
          <w:right w:val="single" w:sz="8" w:space="0" w:color="788184" w:themeColor="accent6"/>
          <w:insideH w:val="nil"/>
          <w:insideV w:val="single" w:sz="8" w:space="0" w:color="78818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88184" w:themeColor="accent6"/>
          <w:left w:val="single" w:sz="8" w:space="0" w:color="788184" w:themeColor="accent6"/>
          <w:bottom w:val="single" w:sz="8" w:space="0" w:color="788184" w:themeColor="accent6"/>
          <w:right w:val="single" w:sz="8" w:space="0" w:color="788184" w:themeColor="accent6"/>
          <w:insideH w:val="nil"/>
          <w:insideV w:val="single" w:sz="8" w:space="0" w:color="78818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8184" w:themeColor="accent6"/>
          <w:left w:val="single" w:sz="8" w:space="0" w:color="788184" w:themeColor="accent6"/>
          <w:bottom w:val="single" w:sz="8" w:space="0" w:color="788184" w:themeColor="accent6"/>
          <w:right w:val="single" w:sz="8" w:space="0" w:color="788184" w:themeColor="accent6"/>
        </w:tcBorders>
      </w:tcPr>
    </w:tblStylePr>
    <w:tblStylePr w:type="band1Vert">
      <w:tblPr/>
      <w:tcPr>
        <w:tcBorders>
          <w:top w:val="single" w:sz="8" w:space="0" w:color="788184" w:themeColor="accent6"/>
          <w:left w:val="single" w:sz="8" w:space="0" w:color="788184" w:themeColor="accent6"/>
          <w:bottom w:val="single" w:sz="8" w:space="0" w:color="788184" w:themeColor="accent6"/>
          <w:right w:val="single" w:sz="8" w:space="0" w:color="788184" w:themeColor="accent6"/>
        </w:tcBorders>
        <w:shd w:val="clear" w:color="auto" w:fill="DDDFE0" w:themeFill="accent6" w:themeFillTint="3F"/>
      </w:tcPr>
    </w:tblStylePr>
    <w:tblStylePr w:type="band1Horz">
      <w:tblPr/>
      <w:tcPr>
        <w:tcBorders>
          <w:top w:val="single" w:sz="8" w:space="0" w:color="788184" w:themeColor="accent6"/>
          <w:left w:val="single" w:sz="8" w:space="0" w:color="788184" w:themeColor="accent6"/>
          <w:bottom w:val="single" w:sz="8" w:space="0" w:color="788184" w:themeColor="accent6"/>
          <w:right w:val="single" w:sz="8" w:space="0" w:color="788184" w:themeColor="accent6"/>
          <w:insideV w:val="single" w:sz="8" w:space="0" w:color="788184" w:themeColor="accent6"/>
        </w:tcBorders>
        <w:shd w:val="clear" w:color="auto" w:fill="DDDFE0" w:themeFill="accent6" w:themeFillTint="3F"/>
      </w:tcPr>
    </w:tblStylePr>
    <w:tblStylePr w:type="band2Horz">
      <w:tblPr/>
      <w:tcPr>
        <w:tcBorders>
          <w:top w:val="single" w:sz="8" w:space="0" w:color="788184" w:themeColor="accent6"/>
          <w:left w:val="single" w:sz="8" w:space="0" w:color="788184" w:themeColor="accent6"/>
          <w:bottom w:val="single" w:sz="8" w:space="0" w:color="788184" w:themeColor="accent6"/>
          <w:right w:val="single" w:sz="8" w:space="0" w:color="788184" w:themeColor="accent6"/>
          <w:insideV w:val="single" w:sz="8" w:space="0" w:color="788184" w:themeColor="accent6"/>
        </w:tcBorders>
      </w:tcPr>
    </w:tblStylePr>
  </w:style>
  <w:style w:type="table" w:styleId="LightGrid-Accent3">
    <w:name w:val="Light Grid Accent 3"/>
    <w:basedOn w:val="TableNormal"/>
    <w:uiPriority w:val="62"/>
    <w:rsid w:val="008112CC"/>
    <w:pPr>
      <w:spacing w:line="240" w:lineRule="auto"/>
    </w:pPr>
    <w:tblPr>
      <w:tblStyleRowBandSize w:val="1"/>
      <w:tblStyleColBandSize w:val="1"/>
      <w:tblBorders>
        <w:top w:val="single" w:sz="8" w:space="0" w:color="D7DDE9" w:themeColor="accent3"/>
        <w:left w:val="single" w:sz="8" w:space="0" w:color="D7DDE9" w:themeColor="accent3"/>
        <w:bottom w:val="single" w:sz="8" w:space="0" w:color="D7DDE9" w:themeColor="accent3"/>
        <w:right w:val="single" w:sz="8" w:space="0" w:color="D7DDE9" w:themeColor="accent3"/>
        <w:insideH w:val="single" w:sz="8" w:space="0" w:color="D7DDE9" w:themeColor="accent3"/>
        <w:insideV w:val="single" w:sz="8" w:space="0" w:color="D7DDE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DDE9" w:themeColor="accent3"/>
          <w:left w:val="single" w:sz="8" w:space="0" w:color="D7DDE9" w:themeColor="accent3"/>
          <w:bottom w:val="single" w:sz="18" w:space="0" w:color="D7DDE9" w:themeColor="accent3"/>
          <w:right w:val="single" w:sz="8" w:space="0" w:color="D7DDE9" w:themeColor="accent3"/>
          <w:insideH w:val="nil"/>
          <w:insideV w:val="single" w:sz="8" w:space="0" w:color="D7DDE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7DDE9" w:themeColor="accent3"/>
          <w:left w:val="single" w:sz="8" w:space="0" w:color="D7DDE9" w:themeColor="accent3"/>
          <w:bottom w:val="single" w:sz="8" w:space="0" w:color="D7DDE9" w:themeColor="accent3"/>
          <w:right w:val="single" w:sz="8" w:space="0" w:color="D7DDE9" w:themeColor="accent3"/>
          <w:insideH w:val="nil"/>
          <w:insideV w:val="single" w:sz="8" w:space="0" w:color="D7DDE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DDE9" w:themeColor="accent3"/>
          <w:left w:val="single" w:sz="8" w:space="0" w:color="D7DDE9" w:themeColor="accent3"/>
          <w:bottom w:val="single" w:sz="8" w:space="0" w:color="D7DDE9" w:themeColor="accent3"/>
          <w:right w:val="single" w:sz="8" w:space="0" w:color="D7DDE9" w:themeColor="accent3"/>
        </w:tcBorders>
      </w:tcPr>
    </w:tblStylePr>
    <w:tblStylePr w:type="band1Vert">
      <w:tblPr/>
      <w:tcPr>
        <w:tcBorders>
          <w:top w:val="single" w:sz="8" w:space="0" w:color="D7DDE9" w:themeColor="accent3"/>
          <w:left w:val="single" w:sz="8" w:space="0" w:color="D7DDE9" w:themeColor="accent3"/>
          <w:bottom w:val="single" w:sz="8" w:space="0" w:color="D7DDE9" w:themeColor="accent3"/>
          <w:right w:val="single" w:sz="8" w:space="0" w:color="D7DDE9" w:themeColor="accent3"/>
        </w:tcBorders>
        <w:shd w:val="clear" w:color="auto" w:fill="F5F6F9" w:themeFill="accent3" w:themeFillTint="3F"/>
      </w:tcPr>
    </w:tblStylePr>
    <w:tblStylePr w:type="band1Horz">
      <w:tblPr/>
      <w:tcPr>
        <w:tcBorders>
          <w:top w:val="single" w:sz="8" w:space="0" w:color="D7DDE9" w:themeColor="accent3"/>
          <w:left w:val="single" w:sz="8" w:space="0" w:color="D7DDE9" w:themeColor="accent3"/>
          <w:bottom w:val="single" w:sz="8" w:space="0" w:color="D7DDE9" w:themeColor="accent3"/>
          <w:right w:val="single" w:sz="8" w:space="0" w:color="D7DDE9" w:themeColor="accent3"/>
          <w:insideV w:val="single" w:sz="8" w:space="0" w:color="D7DDE9" w:themeColor="accent3"/>
        </w:tcBorders>
        <w:shd w:val="clear" w:color="auto" w:fill="F5F6F9" w:themeFill="accent3" w:themeFillTint="3F"/>
      </w:tcPr>
    </w:tblStylePr>
    <w:tblStylePr w:type="band2Horz">
      <w:tblPr/>
      <w:tcPr>
        <w:tcBorders>
          <w:top w:val="single" w:sz="8" w:space="0" w:color="D7DDE9" w:themeColor="accent3"/>
          <w:left w:val="single" w:sz="8" w:space="0" w:color="D7DDE9" w:themeColor="accent3"/>
          <w:bottom w:val="single" w:sz="8" w:space="0" w:color="D7DDE9" w:themeColor="accent3"/>
          <w:right w:val="single" w:sz="8" w:space="0" w:color="D7DDE9" w:themeColor="accent3"/>
          <w:insideV w:val="single" w:sz="8" w:space="0" w:color="D7DDE9" w:themeColor="accent3"/>
        </w:tcBorders>
      </w:tcPr>
    </w:tblStylePr>
  </w:style>
  <w:style w:type="paragraph" w:customStyle="1" w:styleId="Lettertext">
    <w:name w:val="Letter text"/>
    <w:basedOn w:val="BodyText"/>
    <w:qFormat/>
    <w:rsid w:val="00E64480"/>
    <w:pPr>
      <w:spacing w:before="240" w:after="0"/>
    </w:pPr>
    <w:rPr>
      <w:rFonts w:ascii="Times New Roman" w:hAnsi="Times New Roman"/>
      <w:spacing w:val="0"/>
      <w:sz w:val="24"/>
    </w:rPr>
  </w:style>
  <w:style w:type="paragraph" w:customStyle="1" w:styleId="TableTextRightItalic">
    <w:name w:val="Table Text Right Italic"/>
    <w:basedOn w:val="TableTextRight"/>
    <w:uiPriority w:val="21"/>
    <w:qFormat/>
    <w:rsid w:val="00120A75"/>
    <w:rPr>
      <w:i/>
    </w:rPr>
  </w:style>
  <w:style w:type="character" w:styleId="FollowedHyperlink">
    <w:name w:val="FollowedHyperlink"/>
    <w:basedOn w:val="DefaultParagraphFont"/>
    <w:semiHidden/>
    <w:unhideWhenUsed/>
    <w:rsid w:val="003B47BC"/>
    <w:rPr>
      <w:color w:val="000000" w:themeColor="followedHyperlink"/>
      <w:u w:val="single"/>
    </w:rPr>
  </w:style>
  <w:style w:type="paragraph" w:customStyle="1" w:styleId="TableTextRightBold">
    <w:name w:val="Table Text Right Bold"/>
    <w:basedOn w:val="TableTextRight"/>
    <w:uiPriority w:val="20"/>
    <w:qFormat/>
    <w:rsid w:val="00066D54"/>
    <w:rPr>
      <w:b/>
    </w:rPr>
  </w:style>
  <w:style w:type="paragraph" w:styleId="Bibliography">
    <w:name w:val="Bibliography"/>
    <w:basedOn w:val="Normal"/>
    <w:next w:val="Normal"/>
    <w:uiPriority w:val="39"/>
    <w:unhideWhenUsed/>
    <w:rsid w:val="00DF2134"/>
  </w:style>
  <w:style w:type="paragraph" w:customStyle="1" w:styleId="Letterbullet">
    <w:name w:val="Letter bullet"/>
    <w:basedOn w:val="Lettertext"/>
    <w:uiPriority w:val="1"/>
    <w:qFormat/>
    <w:rsid w:val="00112F1F"/>
    <w:pPr>
      <w:numPr>
        <w:numId w:val="50"/>
      </w:numPr>
      <w:ind w:left="284" w:hanging="284"/>
    </w:pPr>
  </w:style>
  <w:style w:type="character" w:styleId="CommentReference">
    <w:name w:val="annotation reference"/>
    <w:basedOn w:val="DefaultParagraphFont"/>
    <w:semiHidden/>
    <w:unhideWhenUsed/>
    <w:rsid w:val="006479E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479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479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479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479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PBO v1">
      <a:dk1>
        <a:srgbClr val="000000"/>
      </a:dk1>
      <a:lt1>
        <a:srgbClr val="FFFFFF"/>
      </a:lt1>
      <a:dk2>
        <a:srgbClr val="2B3B5F"/>
      </a:dk2>
      <a:lt2>
        <a:srgbClr val="788184"/>
      </a:lt2>
      <a:accent1>
        <a:srgbClr val="2B3B5F"/>
      </a:accent1>
      <a:accent2>
        <a:srgbClr val="95A4C6"/>
      </a:accent2>
      <a:accent3>
        <a:srgbClr val="D7DDE9"/>
      </a:accent3>
      <a:accent4>
        <a:srgbClr val="751D71"/>
      </a:accent4>
      <a:accent5>
        <a:srgbClr val="B267B3"/>
      </a:accent5>
      <a:accent6>
        <a:srgbClr val="788184"/>
      </a:accent6>
      <a:hlink>
        <a:srgbClr val="000000"/>
      </a:hlink>
      <a:folHlink>
        <a:srgbClr val="000000"/>
      </a:folHlink>
    </a:clrScheme>
    <a:fontScheme name="PBO v1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>
  <b:Source>
    <b:Tag>Com16</b:Tag>
    <b:SourceType>Report</b:SourceType>
    <b:Guid>{5B4EC681-07DE-47A5-8D75-A81C9B5C55A0}</b:Guid>
    <b:Author>
      <b:Author>
        <b:Corporate>Commonwealth of Australia</b:Corporate>
      </b:Author>
    </b:Author>
    <b:Title>2016-17 Budget</b:Title>
    <b:Year>2016</b:Year>
    <b:Publisher>Commonwealth of Australia</b:Publisher>
    <b:City>Canberra</b:City>
    <b:RefOrder>1</b:RefOrder>
  </b:Source>
  <b:Source>
    <b:Tag>Com15</b:Tag>
    <b:SourceType>Report</b:SourceType>
    <b:Guid>{B69C28C8-7F89-43BD-8BAE-39B735C8DA9D}</b:Guid>
    <b:Title>2014-15 Annual Report </b:Title>
    <b:Year>2015</b:Year>
    <b:City>Canberra</b:City>
    <b:Publisher>Commonwealth of Australia</b:Publisher>
    <b:Author>
      <b:Author>
        <b:Corporate>Commonwealth of Australia</b:Corporate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6B167BDA-957E-426B-8D32-8CF8B9686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Foreign investment</vt:lpstr>
    </vt:vector>
  </TitlesOfParts>
  <Company>Parliament of Australia</Company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Foreign investment</dc:title>
  <dc:creator>Parliamentary Budget Office</dc:creator>
  <cp:lastModifiedBy>Pratley, Lauren (PBO)</cp:lastModifiedBy>
  <cp:revision>5</cp:revision>
  <cp:lastPrinted>2016-11-10T02:45:00Z</cp:lastPrinted>
  <dcterms:created xsi:type="dcterms:W3CDTF">2017-08-25T00:39:00Z</dcterms:created>
  <dcterms:modified xsi:type="dcterms:W3CDTF">2017-09-07T02:32:00Z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Status">
    <vt:lpwstr/>
  </property>
  <property fmtid="{D5CDD505-2E9C-101B-9397-08002B2CF9AE}" pid="3" name="xTOCH2">
    <vt:lpwstr>Y</vt:lpwstr>
  </property>
  <property fmtid="{D5CDD505-2E9C-101B-9397-08002B2CF9AE}" pid="4" name="xTOCH3">
    <vt:lpwstr>N</vt:lpwstr>
  </property>
  <property fmtid="{D5CDD505-2E9C-101B-9397-08002B2CF9AE}" pid="5" name="xTOCTable">
    <vt:lpwstr>H</vt:lpwstr>
  </property>
  <property fmtid="{D5CDD505-2E9C-101B-9397-08002B2CF9AE}" pid="6" name="xTOCFigure">
    <vt:lpwstr>H</vt:lpwstr>
  </property>
  <property fmtid="{D5CDD505-2E9C-101B-9397-08002B2CF9AE}" pid="7" name="xTOCApp">
    <vt:lpwstr>H</vt:lpwstr>
  </property>
  <property fmtid="{D5CDD505-2E9C-101B-9397-08002B2CF9AE}" pid="8" name="xNumberedBodyText">
    <vt:lpwstr>False</vt:lpwstr>
  </property>
  <property fmtid="{D5CDD505-2E9C-101B-9397-08002B2CF9AE}" pid="9" name="xCR">
    <vt:lpwstr>Heading</vt:lpwstr>
  </property>
  <property fmtid="{D5CDD505-2E9C-101B-9397-08002B2CF9AE}" pid="10" name="xHeadingsNumbered">
    <vt:lpwstr>0</vt:lpwstr>
  </property>
  <property fmtid="{D5CDD505-2E9C-101B-9397-08002B2CF9AE}" pid="11" name="xAppendixName">
    <vt:lpwstr>Attachment</vt:lpwstr>
  </property>
  <property fmtid="{D5CDD505-2E9C-101B-9397-08002B2CF9AE}" pid="12" name="_MarkAsFinal">
    <vt:bool>true</vt:bool>
  </property>
</Properties>
</file>