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8DB" w:rsidRPr="0030524B" w:rsidRDefault="0046444F" w:rsidP="0030524B">
      <w:pPr>
        <w:pStyle w:val="Title"/>
      </w:pPr>
      <w:r w:rsidRPr="008D77AF">
        <w:t>Policy costing—outside the caretaker period</w:t>
      </w:r>
    </w:p>
    <w:tbl>
      <w:tblPr>
        <w:tblStyle w:val="LightGrid-Accent6"/>
        <w:tblW w:w="5000" w:type="pct"/>
        <w:tblLook w:val="0600" w:firstRow="0" w:lastRow="0" w:firstColumn="0" w:lastColumn="0" w:noHBand="1" w:noVBand="1"/>
      </w:tblPr>
      <w:tblGrid>
        <w:gridCol w:w="3085"/>
        <w:gridCol w:w="1276"/>
        <w:gridCol w:w="4167"/>
      </w:tblGrid>
      <w:tr w:rsidR="0098222F" w:rsidRPr="008D77AF" w:rsidTr="008112CC">
        <w:tc>
          <w:tcPr>
            <w:tcW w:w="1809" w:type="pct"/>
            <w:shd w:val="clear" w:color="auto" w:fill="D7DDE9" w:themeFill="accent3"/>
          </w:tcPr>
          <w:p w:rsidR="0098222F" w:rsidRPr="008D77AF" w:rsidRDefault="0098222F" w:rsidP="0098222F">
            <w:pPr>
              <w:pStyle w:val="PullOutBoxHeading"/>
            </w:pPr>
            <w:r w:rsidRPr="008D77AF">
              <w:t>Name of proposal:</w:t>
            </w:r>
          </w:p>
        </w:tc>
        <w:tc>
          <w:tcPr>
            <w:tcW w:w="3191" w:type="pct"/>
            <w:gridSpan w:val="2"/>
            <w:shd w:val="clear" w:color="auto" w:fill="D7DDE9" w:themeFill="accent3"/>
          </w:tcPr>
          <w:p w:rsidR="004B3022" w:rsidRPr="008D77AF" w:rsidRDefault="006D465A" w:rsidP="0030524B">
            <w:pPr>
              <w:pStyle w:val="PullOutBoxHeading"/>
            </w:pPr>
            <w:r>
              <w:t>Foreign Aid</w:t>
            </w:r>
          </w:p>
        </w:tc>
      </w:tr>
      <w:tr w:rsidR="0098222F" w:rsidRPr="008D77AF" w:rsidTr="008112CC">
        <w:tc>
          <w:tcPr>
            <w:tcW w:w="1809" w:type="pct"/>
          </w:tcPr>
          <w:p w:rsidR="0098222F" w:rsidRPr="008D77AF" w:rsidRDefault="0098222F" w:rsidP="0098222F">
            <w:pPr>
              <w:pStyle w:val="PullOutBoxBodyText"/>
            </w:pPr>
            <w:r w:rsidRPr="008D77AF">
              <w:t>Summary of proposal:</w:t>
            </w:r>
          </w:p>
        </w:tc>
        <w:tc>
          <w:tcPr>
            <w:tcW w:w="3191" w:type="pct"/>
            <w:gridSpan w:val="2"/>
          </w:tcPr>
          <w:p w:rsidR="008112CC" w:rsidRDefault="00657CAB" w:rsidP="00DB1DD2">
            <w:pPr>
              <w:pStyle w:val="PullOutBoxBodyText"/>
            </w:pPr>
            <w:r>
              <w:t>The proposal would a</w:t>
            </w:r>
            <w:r w:rsidRPr="006D465A">
              <w:t>bolish</w:t>
            </w:r>
            <w:r>
              <w:t xml:space="preserve"> </w:t>
            </w:r>
            <w:r w:rsidR="00191002">
              <w:t xml:space="preserve">all </w:t>
            </w:r>
            <w:r w:rsidR="006D465A">
              <w:t xml:space="preserve">foreign aid </w:t>
            </w:r>
            <w:r w:rsidR="00F71DCC">
              <w:t xml:space="preserve">payments </w:t>
            </w:r>
            <w:r w:rsidR="00191002">
              <w:t>except for</w:t>
            </w:r>
            <w:r w:rsidR="006D465A">
              <w:t xml:space="preserve"> </w:t>
            </w:r>
            <w:r w:rsidR="00F71DCC">
              <w:t xml:space="preserve">short term </w:t>
            </w:r>
            <w:r w:rsidR="006D465A">
              <w:t>humanitarian relief following natural disasters</w:t>
            </w:r>
            <w:r w:rsidR="00FD4018">
              <w:t>.</w:t>
            </w:r>
          </w:p>
          <w:p w:rsidR="006D465A" w:rsidRDefault="00FD4018" w:rsidP="00DB1DD2">
            <w:pPr>
              <w:pStyle w:val="PullOutBoxBodyText"/>
            </w:pPr>
            <w:r>
              <w:t>The proposal would also w</w:t>
            </w:r>
            <w:r w:rsidR="006D465A">
              <w:t xml:space="preserve">ithdraw </w:t>
            </w:r>
            <w:r w:rsidR="00F05484">
              <w:t xml:space="preserve">Australia’s </w:t>
            </w:r>
            <w:r w:rsidR="006D465A">
              <w:t>membership</w:t>
            </w:r>
            <w:r>
              <w:t xml:space="preserve"> </w:t>
            </w:r>
            <w:r w:rsidR="00F71DCC">
              <w:t xml:space="preserve">and cease </w:t>
            </w:r>
            <w:r w:rsidR="006D465A">
              <w:t>capital contributions and funding</w:t>
            </w:r>
            <w:r w:rsidR="00D11467">
              <w:t xml:space="preserve"> t</w:t>
            </w:r>
            <w:r>
              <w:t>o the</w:t>
            </w:r>
            <w:r w:rsidR="00D11467">
              <w:t>:</w:t>
            </w:r>
          </w:p>
          <w:p w:rsidR="006D465A" w:rsidRDefault="006D465A" w:rsidP="00D25DD1">
            <w:pPr>
              <w:pStyle w:val="PullOutBoxBullet"/>
              <w:tabs>
                <w:tab w:val="clear" w:pos="340"/>
              </w:tabs>
              <w:ind w:left="397"/>
            </w:pPr>
            <w:r>
              <w:t>Asian Development Bank</w:t>
            </w:r>
            <w:r w:rsidR="00E640FC">
              <w:t xml:space="preserve"> (AD</w:t>
            </w:r>
            <w:r w:rsidR="00FD68D1">
              <w:t>B</w:t>
            </w:r>
            <w:r w:rsidR="00E640FC">
              <w:t>)</w:t>
            </w:r>
          </w:p>
          <w:p w:rsidR="006D465A" w:rsidRDefault="006D465A" w:rsidP="00D25DD1">
            <w:pPr>
              <w:pStyle w:val="PullOutBoxBullet"/>
              <w:tabs>
                <w:tab w:val="clear" w:pos="340"/>
              </w:tabs>
              <w:ind w:left="397"/>
            </w:pPr>
            <w:r>
              <w:t>Asian Infrastructure</w:t>
            </w:r>
            <w:r w:rsidR="00517677">
              <w:t xml:space="preserve"> Investment Bank</w:t>
            </w:r>
            <w:r w:rsidR="00E640FC">
              <w:t xml:space="preserve"> (AIIB)</w:t>
            </w:r>
          </w:p>
          <w:p w:rsidR="00517677" w:rsidRDefault="00517677" w:rsidP="00D25DD1">
            <w:pPr>
              <w:pStyle w:val="PullOutBoxBullet"/>
              <w:tabs>
                <w:tab w:val="clear" w:pos="340"/>
              </w:tabs>
              <w:ind w:left="397"/>
            </w:pPr>
            <w:r>
              <w:t>European Bank for Reconstruction and Development</w:t>
            </w:r>
            <w:r w:rsidR="004D1DBC">
              <w:t xml:space="preserve"> </w:t>
            </w:r>
            <w:r w:rsidR="00E640FC">
              <w:t>(EBRD)</w:t>
            </w:r>
          </w:p>
          <w:p w:rsidR="00517677" w:rsidRDefault="00517677" w:rsidP="00D25DD1">
            <w:pPr>
              <w:pStyle w:val="PullOutBoxBullet"/>
              <w:tabs>
                <w:tab w:val="clear" w:pos="340"/>
              </w:tabs>
              <w:ind w:left="397"/>
            </w:pPr>
            <w:r>
              <w:t>World Bank Group</w:t>
            </w:r>
            <w:r w:rsidR="00E640FC">
              <w:t xml:space="preserve"> (WBG) </w:t>
            </w:r>
          </w:p>
          <w:p w:rsidR="00517677" w:rsidRDefault="00D11467" w:rsidP="00D25DD1">
            <w:pPr>
              <w:pStyle w:val="PullOutBoxBullet"/>
              <w:tabs>
                <w:tab w:val="clear" w:pos="340"/>
              </w:tabs>
              <w:ind w:left="397"/>
            </w:pPr>
            <w:r>
              <w:t>International Monetary Fund</w:t>
            </w:r>
            <w:r w:rsidR="00E640FC">
              <w:t xml:space="preserve"> (IMF)</w:t>
            </w:r>
            <w:r w:rsidR="00657CAB">
              <w:t>.</w:t>
            </w:r>
          </w:p>
          <w:p w:rsidR="00B9784C" w:rsidRDefault="00B9784C" w:rsidP="00C24CE8">
            <w:pPr>
              <w:pStyle w:val="PullOutBoxBodyText"/>
            </w:pPr>
            <w:r>
              <w:t xml:space="preserve">This proposal would </w:t>
            </w:r>
            <w:r w:rsidR="00C24CE8">
              <w:t>have effect</w:t>
            </w:r>
            <w:r>
              <w:t xml:space="preserve"> </w:t>
            </w:r>
            <w:r w:rsidR="00C24CE8">
              <w:t>from</w:t>
            </w:r>
            <w:r>
              <w:t xml:space="preserve"> 1 July 2017.</w:t>
            </w:r>
          </w:p>
          <w:p w:rsidR="008874B4" w:rsidRPr="008D77AF" w:rsidRDefault="008874B4" w:rsidP="00F05484">
            <w:pPr>
              <w:pStyle w:val="PullOutBoxBodyText"/>
            </w:pPr>
            <w:r>
              <w:t>The request sought medium term estimates to 2026-27.</w:t>
            </w:r>
          </w:p>
        </w:tc>
      </w:tr>
      <w:tr w:rsidR="0098222F" w:rsidRPr="008D77AF" w:rsidTr="008112CC">
        <w:tc>
          <w:tcPr>
            <w:tcW w:w="1809" w:type="pct"/>
          </w:tcPr>
          <w:p w:rsidR="0098222F" w:rsidRPr="008D77AF" w:rsidRDefault="0098222F" w:rsidP="0098222F">
            <w:pPr>
              <w:pStyle w:val="PullOutBoxBodyText"/>
            </w:pPr>
            <w:r w:rsidRPr="008D77AF">
              <w:t>Person/party requesting the costing:</w:t>
            </w:r>
          </w:p>
        </w:tc>
        <w:tc>
          <w:tcPr>
            <w:tcW w:w="3191" w:type="pct"/>
            <w:gridSpan w:val="2"/>
          </w:tcPr>
          <w:p w:rsidR="0098222F" w:rsidRPr="008D77AF" w:rsidRDefault="006D465A" w:rsidP="00850C25">
            <w:pPr>
              <w:pStyle w:val="PullOutBoxBodyText"/>
            </w:pPr>
            <w:r>
              <w:t xml:space="preserve">Senator David Leyonhjelm, </w:t>
            </w:r>
            <w:r w:rsidR="00657CAB">
              <w:t>Liberal Democratic Party</w:t>
            </w:r>
          </w:p>
        </w:tc>
      </w:tr>
      <w:tr w:rsidR="008112CC" w:rsidRPr="008D77AF" w:rsidTr="008112CC">
        <w:tc>
          <w:tcPr>
            <w:tcW w:w="1809" w:type="pct"/>
          </w:tcPr>
          <w:p w:rsidR="008112CC" w:rsidRPr="008D77AF" w:rsidRDefault="008112CC" w:rsidP="0056001A">
            <w:pPr>
              <w:pStyle w:val="PullOutBoxBodyText"/>
            </w:pPr>
            <w:r w:rsidRPr="008D77AF">
              <w:t>Did the applicant request the costing be confidential:</w:t>
            </w:r>
          </w:p>
        </w:tc>
        <w:tc>
          <w:tcPr>
            <w:tcW w:w="748" w:type="pct"/>
            <w:tcBorders>
              <w:right w:val="nil"/>
            </w:tcBorders>
          </w:tcPr>
          <w:p w:rsidR="008112CC" w:rsidRPr="008D77AF" w:rsidRDefault="00841D28" w:rsidP="0056001A">
            <w:pPr>
              <w:pStyle w:val="PullOutBoxBodyText"/>
            </w:pPr>
            <w:sdt>
              <w:sdtPr>
                <w:id w:val="330037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24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112CC" w:rsidRPr="008D77AF">
              <w:t xml:space="preserve"> Yes</w:t>
            </w:r>
          </w:p>
        </w:tc>
        <w:tc>
          <w:tcPr>
            <w:tcW w:w="2443" w:type="pct"/>
            <w:tcBorders>
              <w:left w:val="nil"/>
              <w:right w:val="single" w:sz="4" w:space="0" w:color="auto"/>
            </w:tcBorders>
          </w:tcPr>
          <w:p w:rsidR="008112CC" w:rsidRPr="008D77AF" w:rsidRDefault="00841D28" w:rsidP="0056001A">
            <w:pPr>
              <w:pStyle w:val="PullOutBoxBodyText"/>
            </w:pPr>
            <w:sdt>
              <w:sdtPr>
                <w:id w:val="-86413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2CC" w:rsidRPr="008D77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12CC" w:rsidRPr="008D77AF">
              <w:t xml:space="preserve"> No</w:t>
            </w:r>
          </w:p>
        </w:tc>
      </w:tr>
      <w:tr w:rsidR="008112CC" w:rsidRPr="008D77AF" w:rsidTr="0056001A">
        <w:tc>
          <w:tcPr>
            <w:tcW w:w="1809" w:type="pct"/>
          </w:tcPr>
          <w:p w:rsidR="008112CC" w:rsidRPr="008D77AF" w:rsidRDefault="008112CC" w:rsidP="0056001A">
            <w:pPr>
              <w:pStyle w:val="PullOutBoxBodyText"/>
            </w:pPr>
            <w:r w:rsidRPr="008D77AF">
              <w:t>Date costing request received:</w:t>
            </w:r>
          </w:p>
        </w:tc>
        <w:tc>
          <w:tcPr>
            <w:tcW w:w="3191" w:type="pct"/>
            <w:gridSpan w:val="2"/>
          </w:tcPr>
          <w:p w:rsidR="008112CC" w:rsidRPr="008D77AF" w:rsidRDefault="006D465A" w:rsidP="0056001A">
            <w:pPr>
              <w:pStyle w:val="PullOutBoxBodyText"/>
            </w:pPr>
            <w:r>
              <w:t>9 August 2016</w:t>
            </w:r>
          </w:p>
        </w:tc>
      </w:tr>
      <w:tr w:rsidR="008112CC" w:rsidRPr="008D77AF" w:rsidTr="008112CC">
        <w:tc>
          <w:tcPr>
            <w:tcW w:w="1809" w:type="pct"/>
          </w:tcPr>
          <w:p w:rsidR="008112CC" w:rsidRPr="008D77AF" w:rsidRDefault="008112CC" w:rsidP="0098222F">
            <w:pPr>
              <w:pStyle w:val="PullOutBoxBodyText"/>
            </w:pPr>
            <w:r w:rsidRPr="008D77AF">
              <w:t>Date costing completed:</w:t>
            </w:r>
          </w:p>
        </w:tc>
        <w:tc>
          <w:tcPr>
            <w:tcW w:w="3191" w:type="pct"/>
            <w:gridSpan w:val="2"/>
          </w:tcPr>
          <w:p w:rsidR="008112CC" w:rsidRPr="007C5067" w:rsidRDefault="00425E86" w:rsidP="005D57CE">
            <w:pPr>
              <w:pStyle w:val="PullOutBoxBodyText"/>
              <w:rPr>
                <w:highlight w:val="yellow"/>
              </w:rPr>
            </w:pPr>
            <w:r>
              <w:t>19</w:t>
            </w:r>
            <w:r w:rsidR="005D57CE" w:rsidRPr="00E5507F">
              <w:t xml:space="preserve"> </w:t>
            </w:r>
            <w:r w:rsidR="005D57CE">
              <w:t xml:space="preserve">April </w:t>
            </w:r>
            <w:r w:rsidR="007A06CD" w:rsidRPr="00E5507F">
              <w:t>201</w:t>
            </w:r>
            <w:r w:rsidR="006457CB" w:rsidRPr="00E5507F">
              <w:t>7</w:t>
            </w:r>
          </w:p>
        </w:tc>
      </w:tr>
      <w:tr w:rsidR="008112CC" w:rsidRPr="008D77AF" w:rsidTr="008112CC">
        <w:tc>
          <w:tcPr>
            <w:tcW w:w="1809" w:type="pct"/>
          </w:tcPr>
          <w:p w:rsidR="008112CC" w:rsidRPr="008D77AF" w:rsidRDefault="008112CC" w:rsidP="0098222F">
            <w:pPr>
              <w:pStyle w:val="PullOutBoxBodyText"/>
            </w:pPr>
            <w:r w:rsidRPr="008D77AF">
              <w:t>Expiry date of the costing:</w:t>
            </w:r>
          </w:p>
        </w:tc>
        <w:tc>
          <w:tcPr>
            <w:tcW w:w="3191" w:type="pct"/>
            <w:gridSpan w:val="2"/>
          </w:tcPr>
          <w:p w:rsidR="008112CC" w:rsidRPr="008D77AF" w:rsidRDefault="008112CC" w:rsidP="0098222F">
            <w:pPr>
              <w:pStyle w:val="PullOutBoxBodyText"/>
            </w:pPr>
            <w:r w:rsidRPr="008D77AF">
              <w:t>Release of the next economic and fiscal outlook report.</w:t>
            </w:r>
          </w:p>
        </w:tc>
      </w:tr>
    </w:tbl>
    <w:p w:rsidR="0046444F" w:rsidRPr="008D77AF" w:rsidRDefault="0046444F" w:rsidP="0046444F">
      <w:pPr>
        <w:pStyle w:val="Heading1"/>
      </w:pPr>
      <w:r w:rsidRPr="008D77AF">
        <w:t>Costing overview</w:t>
      </w:r>
    </w:p>
    <w:p w:rsidR="00E36686" w:rsidRDefault="00ED2DC9" w:rsidP="006C3668">
      <w:pPr>
        <w:pStyle w:val="BodyText"/>
      </w:pPr>
      <w:r>
        <w:t>T</w:t>
      </w:r>
      <w:r w:rsidR="006F2F42" w:rsidRPr="006F2F42">
        <w:t xml:space="preserve">his proposal would be expected to </w:t>
      </w:r>
      <w:r w:rsidR="0052773D">
        <w:t>in</w:t>
      </w:r>
      <w:r w:rsidR="00BE24A5">
        <w:t>crease</w:t>
      </w:r>
      <w:r w:rsidR="00BE24A5" w:rsidRPr="006F2F42">
        <w:t xml:space="preserve"> </w:t>
      </w:r>
      <w:r w:rsidR="006F2F42" w:rsidRPr="006F2F42">
        <w:t>the fiscal balance by $</w:t>
      </w:r>
      <w:r>
        <w:t>11</w:t>
      </w:r>
      <w:r w:rsidR="00B90F0D">
        <w:t>,</w:t>
      </w:r>
      <w:r>
        <w:t>620</w:t>
      </w:r>
      <w:r w:rsidRPr="006F2F42">
        <w:t xml:space="preserve"> </w:t>
      </w:r>
      <w:r w:rsidR="006F2F42" w:rsidRPr="006F2F42">
        <w:t>million</w:t>
      </w:r>
      <w:r w:rsidR="00FD4018">
        <w:t xml:space="preserve">, </w:t>
      </w:r>
      <w:r w:rsidR="00BE24A5">
        <w:t xml:space="preserve">increase </w:t>
      </w:r>
      <w:r w:rsidR="006F2F42" w:rsidRPr="006F2F42">
        <w:t>the underlying cash balance by $</w:t>
      </w:r>
      <w:r>
        <w:t>11</w:t>
      </w:r>
      <w:r w:rsidR="0034076E">
        <w:t>,</w:t>
      </w:r>
      <w:r>
        <w:t>220 </w:t>
      </w:r>
      <w:r w:rsidR="006F2F42" w:rsidRPr="006F2F42">
        <w:t xml:space="preserve">million </w:t>
      </w:r>
      <w:r w:rsidR="00A8473C">
        <w:t>and</w:t>
      </w:r>
      <w:r w:rsidR="00DB6F6E">
        <w:t xml:space="preserve"> increase</w:t>
      </w:r>
      <w:r w:rsidR="00A8473C">
        <w:t xml:space="preserve"> the headline cash balance by $</w:t>
      </w:r>
      <w:r>
        <w:t>12</w:t>
      </w:r>
      <w:r w:rsidR="00E41F75">
        <w:t>,</w:t>
      </w:r>
      <w:r>
        <w:t xml:space="preserve">420 </w:t>
      </w:r>
      <w:r w:rsidR="00A8473C">
        <w:t xml:space="preserve">million </w:t>
      </w:r>
      <w:r w:rsidR="006F2F42" w:rsidRPr="006F2F42">
        <w:t>over</w:t>
      </w:r>
      <w:r w:rsidR="00274C59">
        <w:t xml:space="preserve"> the</w:t>
      </w:r>
      <w:r w:rsidR="006F2F42" w:rsidRPr="006F2F42">
        <w:t xml:space="preserve"> </w:t>
      </w:r>
      <w:r w:rsidR="00BE24A5">
        <w:t>2016-17 Budget forward estimates period</w:t>
      </w:r>
      <w:r w:rsidR="004A36A3">
        <w:t xml:space="preserve">. </w:t>
      </w:r>
      <w:r w:rsidR="00ED7360">
        <w:t xml:space="preserve"> </w:t>
      </w:r>
    </w:p>
    <w:p w:rsidR="00FD68D1" w:rsidRDefault="00274C59" w:rsidP="00F86B84">
      <w:pPr>
        <w:pStyle w:val="BodyText"/>
        <w:keepNext/>
      </w:pPr>
      <w:r>
        <w:lastRenderedPageBreak/>
        <w:t>The fiscal, underlying cash and headline cash balance</w:t>
      </w:r>
      <w:r w:rsidR="005D57CE">
        <w:t>s</w:t>
      </w:r>
      <w:r>
        <w:t xml:space="preserve"> differ for </w:t>
      </w:r>
      <w:r w:rsidR="00651B05">
        <w:t>the following</w:t>
      </w:r>
      <w:r>
        <w:t xml:space="preserve"> reasons: </w:t>
      </w:r>
    </w:p>
    <w:p w:rsidR="00196DFE" w:rsidRDefault="004A7455" w:rsidP="00F86B84">
      <w:pPr>
        <w:pStyle w:val="ListBullet"/>
        <w:keepNext/>
      </w:pPr>
      <w:r>
        <w:t>Funding c</w:t>
      </w:r>
      <w:r w:rsidR="00ED2DC9">
        <w:t>ommitments to multilateral organisations</w:t>
      </w:r>
      <w:r w:rsidR="00196DFE">
        <w:t xml:space="preserve"> </w:t>
      </w:r>
      <w:r w:rsidR="00ED7360">
        <w:t>ha</w:t>
      </w:r>
      <w:r w:rsidR="00497A9E">
        <w:t>ve</w:t>
      </w:r>
      <w:r w:rsidR="00ED7360">
        <w:t xml:space="preserve"> an </w:t>
      </w:r>
      <w:r w:rsidR="00196DFE">
        <w:t>impact</w:t>
      </w:r>
      <w:r w:rsidR="00ED7360">
        <w:t xml:space="preserve"> on</w:t>
      </w:r>
      <w:r w:rsidR="00196DFE">
        <w:t xml:space="preserve"> the fiscal balance when </w:t>
      </w:r>
      <w:r w:rsidR="003E66B7">
        <w:t>a commitment</w:t>
      </w:r>
      <w:r w:rsidR="00196DFE">
        <w:t xml:space="preserve"> to make future payments </w:t>
      </w:r>
      <w:r w:rsidR="004D1DBC">
        <w:t>is</w:t>
      </w:r>
      <w:r w:rsidR="00196DFE">
        <w:t xml:space="preserve"> entered into </w:t>
      </w:r>
      <w:r w:rsidR="00ED7360">
        <w:t>and</w:t>
      </w:r>
      <w:r w:rsidR="00196DFE">
        <w:t xml:space="preserve"> impact</w:t>
      </w:r>
      <w:r w:rsidR="003E66B7">
        <w:t>s</w:t>
      </w:r>
      <w:r w:rsidR="00196DFE">
        <w:t xml:space="preserve"> </w:t>
      </w:r>
      <w:r w:rsidR="00ED7360">
        <w:t xml:space="preserve">on </w:t>
      </w:r>
      <w:r w:rsidR="00196DFE">
        <w:t>the underlying cash and headline cash balance basis when the payments are made.</w:t>
      </w:r>
    </w:p>
    <w:p w:rsidR="00082CE8" w:rsidRDefault="00324E94" w:rsidP="00B90F0D">
      <w:pPr>
        <w:pStyle w:val="ListBullet"/>
      </w:pPr>
      <w:r>
        <w:t>Paid-in capital</w:t>
      </w:r>
      <w:r w:rsidR="00B90F0D">
        <w:t xml:space="preserve"> would not impact on either the fiscal or underlying cash balances</w:t>
      </w:r>
      <w:r w:rsidR="00C05E76">
        <w:t xml:space="preserve"> as </w:t>
      </w:r>
      <w:r w:rsidR="004D1DBC">
        <w:t>it is</w:t>
      </w:r>
      <w:r w:rsidR="00C05E76">
        <w:t xml:space="preserve"> treated as a financial asset</w:t>
      </w:r>
      <w:r w:rsidR="004D1DBC">
        <w:t xml:space="preserve">.  </w:t>
      </w:r>
      <w:r w:rsidR="004A7455">
        <w:t xml:space="preserve">Paid-in capital would </w:t>
      </w:r>
      <w:r w:rsidR="00082CE8">
        <w:t xml:space="preserve">impact </w:t>
      </w:r>
      <w:r w:rsidR="00ED7360">
        <w:t xml:space="preserve">on </w:t>
      </w:r>
      <w:r w:rsidR="00082CE8">
        <w:t xml:space="preserve">the </w:t>
      </w:r>
      <w:r w:rsidR="00B90F0D">
        <w:t xml:space="preserve">headline cash </w:t>
      </w:r>
      <w:r w:rsidR="003E66B7">
        <w:t xml:space="preserve">balance </w:t>
      </w:r>
      <w:r w:rsidR="00B90F0D">
        <w:t xml:space="preserve">only </w:t>
      </w:r>
      <w:r w:rsidR="003E66B7">
        <w:t xml:space="preserve">when </w:t>
      </w:r>
      <w:r w:rsidR="00B90F0D">
        <w:t>payments are made</w:t>
      </w:r>
      <w:r w:rsidR="003E66B7">
        <w:t>.</w:t>
      </w:r>
      <w:r w:rsidR="00546E01">
        <w:t xml:space="preserve"> </w:t>
      </w:r>
    </w:p>
    <w:p w:rsidR="00FD68D1" w:rsidRDefault="00FD68D1" w:rsidP="002654A7">
      <w:pPr>
        <w:pStyle w:val="BodyText"/>
      </w:pPr>
      <w:r>
        <w:t xml:space="preserve">As requested, medium term estimates </w:t>
      </w:r>
      <w:r w:rsidR="00021CA4">
        <w:t>for</w:t>
      </w:r>
      <w:r>
        <w:t xml:space="preserve"> this proposal to 2026-27 </w:t>
      </w:r>
      <w:r w:rsidR="00021CA4">
        <w:t>are</w:t>
      </w:r>
      <w:r w:rsidRPr="00F74227">
        <w:t xml:space="preserve"> at </w:t>
      </w:r>
      <w:r w:rsidRPr="00F74227">
        <w:rPr>
          <w:u w:val="single"/>
        </w:rPr>
        <w:t>Attachment A</w:t>
      </w:r>
      <w:r w:rsidRPr="00F74227">
        <w:t>.</w:t>
      </w:r>
    </w:p>
    <w:p w:rsidR="0016475B" w:rsidRPr="00082CE8" w:rsidRDefault="00753BFB" w:rsidP="00596521">
      <w:pPr>
        <w:pStyle w:val="BodyText"/>
      </w:pPr>
      <w:r>
        <w:t>W</w:t>
      </w:r>
      <w:r w:rsidR="00BE24A5">
        <w:t>ithdraw</w:t>
      </w:r>
      <w:r w:rsidR="00CF6693">
        <w:t>ing</w:t>
      </w:r>
      <w:r w:rsidR="00BE24A5">
        <w:t xml:space="preserve"> contributions and membership </w:t>
      </w:r>
      <w:r w:rsidR="00BE24A5" w:rsidRPr="00196DFE">
        <w:t xml:space="preserve">from </w:t>
      </w:r>
      <w:r w:rsidR="00C05E76">
        <w:t xml:space="preserve">each </w:t>
      </w:r>
      <w:r w:rsidR="00BE24A5" w:rsidRPr="00196DFE">
        <w:t xml:space="preserve">multilateral </w:t>
      </w:r>
      <w:r w:rsidR="00E12A88">
        <w:t>organisation</w:t>
      </w:r>
      <w:r w:rsidR="000012D8">
        <w:t xml:space="preserve"> would be subject to complex negotiations</w:t>
      </w:r>
      <w:r w:rsidR="009405A2">
        <w:t xml:space="preserve"> </w:t>
      </w:r>
      <w:r w:rsidR="00C05E76">
        <w:t xml:space="preserve">with </w:t>
      </w:r>
      <w:r w:rsidR="006B0693">
        <w:t xml:space="preserve">variable </w:t>
      </w:r>
      <w:r>
        <w:t xml:space="preserve">timing and </w:t>
      </w:r>
      <w:r w:rsidR="009405A2">
        <w:t>outcomes</w:t>
      </w:r>
      <w:r w:rsidR="00BE24A5" w:rsidRPr="00196DFE">
        <w:t>.</w:t>
      </w:r>
      <w:r w:rsidR="00596521">
        <w:t xml:space="preserve">  </w:t>
      </w:r>
      <w:r w:rsidR="000A46C9">
        <w:t>The financial implications of this proposal would be sensitive to these factors.</w:t>
      </w:r>
    </w:p>
    <w:p w:rsidR="0046444F" w:rsidRPr="000B1C55" w:rsidRDefault="008112CC" w:rsidP="008112CC">
      <w:pPr>
        <w:pStyle w:val="Caption"/>
        <w:rPr>
          <w:vertAlign w:val="superscript"/>
        </w:rPr>
      </w:pPr>
      <w:r w:rsidRPr="008112CC">
        <w:t xml:space="preserve">Table </w:t>
      </w:r>
      <w:r w:rsidR="00841D28">
        <w:fldChar w:fldCharType="begin"/>
      </w:r>
      <w:r w:rsidR="00841D28">
        <w:instrText xml:space="preserve"> SEQ Table \* ARABIC \s 1 </w:instrText>
      </w:r>
      <w:r w:rsidR="00841D28">
        <w:fldChar w:fldCharType="separate"/>
      </w:r>
      <w:r w:rsidR="00FA2756">
        <w:rPr>
          <w:noProof/>
        </w:rPr>
        <w:t>1</w:t>
      </w:r>
      <w:r w:rsidR="00841D28">
        <w:rPr>
          <w:noProof/>
        </w:rPr>
        <w:fldChar w:fldCharType="end"/>
      </w:r>
      <w:r w:rsidRPr="008112CC">
        <w:t xml:space="preserve">: </w:t>
      </w:r>
      <w:r>
        <w:t>Financial implications (outturn prices</w:t>
      </w:r>
      <w:proofErr w:type="gramStart"/>
      <w:r>
        <w:t>)</w:t>
      </w:r>
      <w:r w:rsidR="000B1C55">
        <w:rPr>
          <w:vertAlign w:val="superscript"/>
        </w:rPr>
        <w:t>(</w:t>
      </w:r>
      <w:proofErr w:type="gramEnd"/>
      <w:r w:rsidR="000B1C55">
        <w:rPr>
          <w:vertAlign w:val="superscript"/>
        </w:rPr>
        <w:t>a)</w:t>
      </w:r>
      <w:r w:rsidR="008474CF">
        <w:rPr>
          <w:vertAlign w:val="superscript"/>
        </w:rPr>
        <w:t>(b)</w:t>
      </w:r>
    </w:p>
    <w:tbl>
      <w:tblPr>
        <w:tblStyle w:val="LightGrid-Accent6"/>
        <w:tblW w:w="5090" w:type="pct"/>
        <w:tblLook w:val="0680" w:firstRow="0" w:lastRow="0" w:firstColumn="1" w:lastColumn="0" w:noHBand="1" w:noVBand="1"/>
      </w:tblPr>
      <w:tblGrid>
        <w:gridCol w:w="2337"/>
        <w:gridCol w:w="1174"/>
        <w:gridCol w:w="1242"/>
        <w:gridCol w:w="1242"/>
        <w:gridCol w:w="1242"/>
        <w:gridCol w:w="1445"/>
      </w:tblGrid>
      <w:tr w:rsidR="005B0970" w:rsidTr="000B1C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pct"/>
            <w:shd w:val="clear" w:color="auto" w:fill="D7DDE9" w:themeFill="accent3"/>
            <w:vAlign w:val="center"/>
          </w:tcPr>
          <w:p w:rsidR="005B0970" w:rsidRPr="005B0970" w:rsidRDefault="005B0970" w:rsidP="005B0970">
            <w:pPr>
              <w:pStyle w:val="TableHeading"/>
            </w:pPr>
            <w:r w:rsidRPr="005B0970">
              <w:t>Impact on ($m)</w:t>
            </w:r>
          </w:p>
        </w:tc>
        <w:tc>
          <w:tcPr>
            <w:tcW w:w="676" w:type="pct"/>
            <w:shd w:val="clear" w:color="auto" w:fill="D7DDE9" w:themeFill="accent3"/>
            <w:vAlign w:val="center"/>
          </w:tcPr>
          <w:p w:rsidR="005B0970" w:rsidRPr="005B0970" w:rsidRDefault="005B0970" w:rsidP="005B0970">
            <w:pPr>
              <w:pStyle w:val="TableHeading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B0970">
              <w:rPr>
                <w:b w:val="0"/>
              </w:rPr>
              <w:t>2016–17</w:t>
            </w:r>
          </w:p>
        </w:tc>
        <w:tc>
          <w:tcPr>
            <w:tcW w:w="715" w:type="pct"/>
            <w:shd w:val="clear" w:color="auto" w:fill="D7DDE9" w:themeFill="accent3"/>
            <w:vAlign w:val="center"/>
          </w:tcPr>
          <w:p w:rsidR="005B0970" w:rsidRPr="005B0970" w:rsidRDefault="005B0970" w:rsidP="005B0970">
            <w:pPr>
              <w:pStyle w:val="TableHeading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B0970">
              <w:rPr>
                <w:b w:val="0"/>
              </w:rPr>
              <w:t>2017–18</w:t>
            </w:r>
          </w:p>
        </w:tc>
        <w:tc>
          <w:tcPr>
            <w:tcW w:w="715" w:type="pct"/>
            <w:shd w:val="clear" w:color="auto" w:fill="D7DDE9" w:themeFill="accent3"/>
            <w:vAlign w:val="center"/>
          </w:tcPr>
          <w:p w:rsidR="005B0970" w:rsidRPr="005B0970" w:rsidRDefault="005B0970" w:rsidP="005B0970">
            <w:pPr>
              <w:pStyle w:val="TableHeading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B0970">
              <w:rPr>
                <w:b w:val="0"/>
              </w:rPr>
              <w:t>2018–19</w:t>
            </w:r>
          </w:p>
        </w:tc>
        <w:tc>
          <w:tcPr>
            <w:tcW w:w="715" w:type="pct"/>
            <w:shd w:val="clear" w:color="auto" w:fill="D7DDE9" w:themeFill="accent3"/>
            <w:vAlign w:val="center"/>
          </w:tcPr>
          <w:p w:rsidR="005B0970" w:rsidRPr="005B0970" w:rsidRDefault="005B0970" w:rsidP="005B0970">
            <w:pPr>
              <w:pStyle w:val="TableHeading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B0970">
              <w:rPr>
                <w:b w:val="0"/>
              </w:rPr>
              <w:t>2019–20</w:t>
            </w:r>
          </w:p>
        </w:tc>
        <w:tc>
          <w:tcPr>
            <w:tcW w:w="832" w:type="pct"/>
            <w:shd w:val="clear" w:color="auto" w:fill="D7DDE9" w:themeFill="accent3"/>
            <w:vAlign w:val="center"/>
          </w:tcPr>
          <w:p w:rsidR="005B0970" w:rsidRPr="005B0970" w:rsidRDefault="005B0970" w:rsidP="005B0970">
            <w:pPr>
              <w:pStyle w:val="TableHeading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0970">
              <w:t>Total to 2019–20</w:t>
            </w:r>
          </w:p>
        </w:tc>
      </w:tr>
      <w:tr w:rsidR="000E79B6" w:rsidTr="00AD7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pct"/>
            <w:vAlign w:val="center"/>
          </w:tcPr>
          <w:p w:rsidR="000E79B6" w:rsidRPr="005B0970" w:rsidRDefault="000E79B6" w:rsidP="005B0970">
            <w:pPr>
              <w:pStyle w:val="TableHeading"/>
              <w:rPr>
                <w:rFonts w:asciiTheme="majorHAnsi" w:hAnsiTheme="majorHAnsi"/>
              </w:rPr>
            </w:pPr>
            <w:r w:rsidRPr="005B0970">
              <w:t>Fiscal balance</w:t>
            </w:r>
          </w:p>
        </w:tc>
        <w:tc>
          <w:tcPr>
            <w:tcW w:w="676" w:type="pct"/>
          </w:tcPr>
          <w:p w:rsidR="000E79B6" w:rsidRPr="000E79B6" w:rsidRDefault="000E79B6" w:rsidP="000E79B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79B6">
              <w:t>-</w:t>
            </w:r>
          </w:p>
        </w:tc>
        <w:tc>
          <w:tcPr>
            <w:tcW w:w="715" w:type="pct"/>
          </w:tcPr>
          <w:p w:rsidR="000E79B6" w:rsidRPr="000E79B6" w:rsidRDefault="000E79B6" w:rsidP="000E79B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79B6">
              <w:t>3,350</w:t>
            </w:r>
          </w:p>
        </w:tc>
        <w:tc>
          <w:tcPr>
            <w:tcW w:w="715" w:type="pct"/>
          </w:tcPr>
          <w:p w:rsidR="000E79B6" w:rsidRPr="000E79B6" w:rsidRDefault="000E79B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79B6">
              <w:t>3,460</w:t>
            </w:r>
          </w:p>
        </w:tc>
        <w:tc>
          <w:tcPr>
            <w:tcW w:w="715" w:type="pct"/>
          </w:tcPr>
          <w:p w:rsidR="000E79B6" w:rsidRPr="000E79B6" w:rsidRDefault="000E79B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79B6">
              <w:t>4,810</w:t>
            </w:r>
          </w:p>
        </w:tc>
        <w:tc>
          <w:tcPr>
            <w:tcW w:w="832" w:type="pct"/>
          </w:tcPr>
          <w:p w:rsidR="000E79B6" w:rsidRPr="000E79B6" w:rsidRDefault="000E79B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4E94">
              <w:rPr>
                <w:b/>
              </w:rPr>
              <w:t>11,620</w:t>
            </w:r>
          </w:p>
        </w:tc>
      </w:tr>
      <w:tr w:rsidR="000E79B6" w:rsidTr="00AD7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pct"/>
            <w:vAlign w:val="center"/>
          </w:tcPr>
          <w:p w:rsidR="000E79B6" w:rsidRPr="005B0970" w:rsidRDefault="000E79B6" w:rsidP="005B0970">
            <w:pPr>
              <w:pStyle w:val="TableHeading"/>
            </w:pPr>
            <w:r w:rsidRPr="005B0970">
              <w:t>Underlying cash balance</w:t>
            </w:r>
          </w:p>
        </w:tc>
        <w:tc>
          <w:tcPr>
            <w:tcW w:w="676" w:type="pct"/>
          </w:tcPr>
          <w:p w:rsidR="000E79B6" w:rsidRPr="000E79B6" w:rsidRDefault="000E79B6" w:rsidP="000E79B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79B6">
              <w:t>-</w:t>
            </w:r>
          </w:p>
        </w:tc>
        <w:tc>
          <w:tcPr>
            <w:tcW w:w="715" w:type="pct"/>
          </w:tcPr>
          <w:p w:rsidR="000E79B6" w:rsidRPr="000E79B6" w:rsidRDefault="000E79B6" w:rsidP="000E79B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79B6">
              <w:t>3,350</w:t>
            </w:r>
          </w:p>
        </w:tc>
        <w:tc>
          <w:tcPr>
            <w:tcW w:w="715" w:type="pct"/>
          </w:tcPr>
          <w:p w:rsidR="000E79B6" w:rsidRPr="000E79B6" w:rsidRDefault="000E79B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79B6">
              <w:t>3,860</w:t>
            </w:r>
          </w:p>
        </w:tc>
        <w:tc>
          <w:tcPr>
            <w:tcW w:w="715" w:type="pct"/>
          </w:tcPr>
          <w:p w:rsidR="000E79B6" w:rsidRPr="000E79B6" w:rsidRDefault="000E79B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79B6">
              <w:t>4,010</w:t>
            </w:r>
          </w:p>
        </w:tc>
        <w:tc>
          <w:tcPr>
            <w:tcW w:w="832" w:type="pct"/>
          </w:tcPr>
          <w:p w:rsidR="000E79B6" w:rsidRPr="000E79B6" w:rsidRDefault="000E79B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4E94">
              <w:rPr>
                <w:b/>
              </w:rPr>
              <w:t>11,220</w:t>
            </w:r>
          </w:p>
        </w:tc>
      </w:tr>
      <w:tr w:rsidR="000E79B6" w:rsidTr="00AD7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pct"/>
            <w:vAlign w:val="center"/>
          </w:tcPr>
          <w:p w:rsidR="000E79B6" w:rsidRPr="005B0970" w:rsidRDefault="000E79B6" w:rsidP="008F35C0">
            <w:pPr>
              <w:pStyle w:val="TableHeading"/>
            </w:pPr>
            <w:r>
              <w:t>Headline</w:t>
            </w:r>
            <w:r w:rsidRPr="005B0970">
              <w:t xml:space="preserve"> cash balance</w:t>
            </w:r>
          </w:p>
        </w:tc>
        <w:tc>
          <w:tcPr>
            <w:tcW w:w="676" w:type="pct"/>
          </w:tcPr>
          <w:p w:rsidR="000E79B6" w:rsidRPr="000E79B6" w:rsidRDefault="000E79B6" w:rsidP="000E79B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79B6">
              <w:t>-</w:t>
            </w:r>
          </w:p>
        </w:tc>
        <w:tc>
          <w:tcPr>
            <w:tcW w:w="715" w:type="pct"/>
          </w:tcPr>
          <w:p w:rsidR="000E79B6" w:rsidRPr="000E79B6" w:rsidRDefault="000E79B6" w:rsidP="000E79B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79B6">
              <w:t>3,350</w:t>
            </w:r>
          </w:p>
        </w:tc>
        <w:tc>
          <w:tcPr>
            <w:tcW w:w="715" w:type="pct"/>
          </w:tcPr>
          <w:p w:rsidR="000E79B6" w:rsidRPr="000E79B6" w:rsidRDefault="000E79B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79B6">
              <w:t>4,060</w:t>
            </w:r>
          </w:p>
        </w:tc>
        <w:tc>
          <w:tcPr>
            <w:tcW w:w="715" w:type="pct"/>
          </w:tcPr>
          <w:p w:rsidR="000E79B6" w:rsidRPr="000E79B6" w:rsidRDefault="000E79B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79B6">
              <w:t>5,010</w:t>
            </w:r>
          </w:p>
        </w:tc>
        <w:tc>
          <w:tcPr>
            <w:tcW w:w="832" w:type="pct"/>
          </w:tcPr>
          <w:p w:rsidR="000E79B6" w:rsidRPr="000E79B6" w:rsidRDefault="000E79B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4E94">
              <w:rPr>
                <w:b/>
              </w:rPr>
              <w:t>12,420</w:t>
            </w:r>
          </w:p>
        </w:tc>
      </w:tr>
    </w:tbl>
    <w:p w:rsidR="000B1C55" w:rsidRDefault="000B1C55" w:rsidP="000B1C55">
      <w:pPr>
        <w:pStyle w:val="TableFootnotes"/>
        <w:keepNext/>
      </w:pPr>
      <w:r>
        <w:t>A positive number represents an increase in the relevant bu</w:t>
      </w:r>
      <w:r w:rsidR="008474CF">
        <w:t xml:space="preserve">dget balance; a negative number </w:t>
      </w:r>
      <w:r>
        <w:t>represents a decrease.</w:t>
      </w:r>
    </w:p>
    <w:p w:rsidR="008474CF" w:rsidRDefault="008474CF" w:rsidP="008474CF">
      <w:pPr>
        <w:pStyle w:val="TableFootnotes"/>
        <w:keepNext/>
      </w:pPr>
      <w:r>
        <w:t>Figures may not sum to totals due to rounding.</w:t>
      </w:r>
    </w:p>
    <w:p w:rsidR="005B0970" w:rsidRDefault="005B0970" w:rsidP="00B04231">
      <w:pPr>
        <w:pStyle w:val="TableFootnotes"/>
        <w:keepLines w:val="0"/>
        <w:numPr>
          <w:ilvl w:val="0"/>
          <w:numId w:val="11"/>
        </w:numPr>
        <w:ind w:left="284" w:hanging="284"/>
      </w:pPr>
      <w:r>
        <w:t>Indicates nil.</w:t>
      </w:r>
    </w:p>
    <w:p w:rsidR="00FE3B13" w:rsidRPr="00CA06C8" w:rsidRDefault="00FE3B13" w:rsidP="00B9784C">
      <w:pPr>
        <w:pStyle w:val="Heading1"/>
      </w:pPr>
      <w:r w:rsidRPr="00CA06C8">
        <w:t>Key assumptions</w:t>
      </w:r>
    </w:p>
    <w:p w:rsidR="006B0DD7" w:rsidRDefault="00412341" w:rsidP="006B0DD7">
      <w:pPr>
        <w:pStyle w:val="BodyText"/>
      </w:pPr>
      <w:r>
        <w:t>The financial implication</w:t>
      </w:r>
      <w:r w:rsidR="00DF14FA">
        <w:t>s</w:t>
      </w:r>
      <w:r>
        <w:t xml:space="preserve"> of this proposal were </w:t>
      </w:r>
      <w:r w:rsidR="00805FD4">
        <w:t>estimated based on the following</w:t>
      </w:r>
      <w:r w:rsidR="006B0DD7">
        <w:t xml:space="preserve"> assumptions:</w:t>
      </w:r>
    </w:p>
    <w:p w:rsidR="00B27891" w:rsidRDefault="006B0DD7" w:rsidP="004C4CF9">
      <w:pPr>
        <w:pStyle w:val="ListBullet"/>
      </w:pPr>
      <w:r>
        <w:t xml:space="preserve">The Australian Government would </w:t>
      </w:r>
      <w:r w:rsidR="005B0FD5">
        <w:t xml:space="preserve">notify organisations of its intention to </w:t>
      </w:r>
      <w:r w:rsidR="009B7903">
        <w:t xml:space="preserve">cease membership </w:t>
      </w:r>
      <w:r w:rsidR="009A4AE1">
        <w:t>(</w:t>
      </w:r>
      <w:r w:rsidR="009B7903">
        <w:t xml:space="preserve">without </w:t>
      </w:r>
      <w:r w:rsidR="00DD3B09">
        <w:t xml:space="preserve">entering into </w:t>
      </w:r>
      <w:r w:rsidR="00412341">
        <w:t xml:space="preserve">any </w:t>
      </w:r>
      <w:r w:rsidR="00DD3B09">
        <w:t>new commitments</w:t>
      </w:r>
      <w:r w:rsidR="009A4AE1">
        <w:t>)</w:t>
      </w:r>
      <w:r w:rsidR="00B27891">
        <w:t xml:space="preserve"> on 1 July 2017.</w:t>
      </w:r>
    </w:p>
    <w:p w:rsidR="00135420" w:rsidRDefault="00135420" w:rsidP="004C4CF9">
      <w:pPr>
        <w:pStyle w:val="ListBullet"/>
      </w:pPr>
      <w:r>
        <w:t xml:space="preserve">All </w:t>
      </w:r>
      <w:r w:rsidR="00C05E76">
        <w:t>current</w:t>
      </w:r>
      <w:r w:rsidR="004A7455">
        <w:t xml:space="preserve"> </w:t>
      </w:r>
      <w:r w:rsidR="00C05E76">
        <w:t>commitments</w:t>
      </w:r>
      <w:r>
        <w:t xml:space="preserve"> to mult</w:t>
      </w:r>
      <w:r w:rsidR="00C05E76">
        <w:t xml:space="preserve">ilateral organisations would </w:t>
      </w:r>
      <w:r w:rsidR="00324E94">
        <w:t>not be paid</w:t>
      </w:r>
      <w:r>
        <w:t>.</w:t>
      </w:r>
    </w:p>
    <w:p w:rsidR="00791014" w:rsidRDefault="00BF4709" w:rsidP="005B0FD5">
      <w:pPr>
        <w:pStyle w:val="ListBullet"/>
      </w:pPr>
      <w:r>
        <w:t>Australia’s paid-in share capital would be</w:t>
      </w:r>
      <w:r w:rsidR="005B0FD5">
        <w:t xml:space="preserve"> </w:t>
      </w:r>
      <w:r w:rsidR="00B27891">
        <w:t>returned</w:t>
      </w:r>
      <w:r>
        <w:t xml:space="preserve"> over a period of 1</w:t>
      </w:r>
      <w:r w:rsidR="006B0DD7">
        <w:t>0</w:t>
      </w:r>
      <w:r>
        <w:t> </w:t>
      </w:r>
      <w:r w:rsidR="006B0DD7">
        <w:t>years</w:t>
      </w:r>
      <w:r>
        <w:t xml:space="preserve"> </w:t>
      </w:r>
      <w:r w:rsidR="005B0FD5">
        <w:t>from 1 July 2019 (it is assumed that it would ta</w:t>
      </w:r>
      <w:r w:rsidR="004D1DBC">
        <w:t>ke two years for the multilateral</w:t>
      </w:r>
      <w:r w:rsidR="005B0FD5">
        <w:t xml:space="preserve"> organisations to commence the refund of paid</w:t>
      </w:r>
      <w:r w:rsidR="005D57CE">
        <w:t>-</w:t>
      </w:r>
      <w:r w:rsidR="005B0FD5">
        <w:t>in shares)</w:t>
      </w:r>
      <w:r w:rsidR="004C4CF9">
        <w:t>.</w:t>
      </w:r>
    </w:p>
    <w:p w:rsidR="00DD3B09" w:rsidRDefault="00DD3B09" w:rsidP="004C4CF9">
      <w:pPr>
        <w:pStyle w:val="ListBullet"/>
      </w:pPr>
      <w:r>
        <w:t xml:space="preserve">The costing does not consider potential flow-on financial and economic impacts on Australia’s international relationships resulting from the proposal. </w:t>
      </w:r>
    </w:p>
    <w:p w:rsidR="00FE3B13" w:rsidRDefault="00FE3B13" w:rsidP="0056001A">
      <w:pPr>
        <w:pStyle w:val="Heading1"/>
      </w:pPr>
      <w:r>
        <w:lastRenderedPageBreak/>
        <w:t>Methodology</w:t>
      </w:r>
    </w:p>
    <w:p w:rsidR="00EB5803" w:rsidRDefault="0016475B" w:rsidP="00D25DD1">
      <w:pPr>
        <w:pStyle w:val="BodyText"/>
        <w:keepLines/>
      </w:pPr>
      <w:r>
        <w:t xml:space="preserve">The impact of this proposal was derived by </w:t>
      </w:r>
      <w:r w:rsidR="007B17E7">
        <w:t xml:space="preserve">estimating the financial impact of ceasing </w:t>
      </w:r>
      <w:r w:rsidR="001668D6">
        <w:t>all</w:t>
      </w:r>
      <w:r w:rsidR="00EB5803">
        <w:t xml:space="preserve"> future</w:t>
      </w:r>
      <w:r w:rsidR="00B27891">
        <w:t xml:space="preserve"> </w:t>
      </w:r>
      <w:r w:rsidR="004D1DBC">
        <w:t xml:space="preserve">Overseas Development Assistance </w:t>
      </w:r>
      <w:r w:rsidR="00521FCE">
        <w:t xml:space="preserve">(ODA) </w:t>
      </w:r>
      <w:r w:rsidR="00FE2976">
        <w:t>funding</w:t>
      </w:r>
      <w:r w:rsidR="00196DFE">
        <w:t xml:space="preserve"> </w:t>
      </w:r>
      <w:r w:rsidR="00B27891">
        <w:t>(</w:t>
      </w:r>
      <w:r w:rsidR="009A4F48">
        <w:t xml:space="preserve">excluding the </w:t>
      </w:r>
      <w:r w:rsidR="009A4F48">
        <w:rPr>
          <w:i/>
        </w:rPr>
        <w:t>Emergency Humanitarian and Refugee Programme</w:t>
      </w:r>
      <w:r w:rsidR="00196DFE">
        <w:t>)</w:t>
      </w:r>
      <w:r w:rsidR="00FE2976">
        <w:t xml:space="preserve"> </w:t>
      </w:r>
      <w:r w:rsidR="004A7455">
        <w:t>from 1 </w:t>
      </w:r>
      <w:r w:rsidR="007B17E7">
        <w:t xml:space="preserve">July 2017 </w:t>
      </w:r>
      <w:r w:rsidR="004A7455">
        <w:t xml:space="preserve">and the return of paid-in capital </w:t>
      </w:r>
      <w:r w:rsidR="0001721C">
        <w:t>over</w:t>
      </w:r>
      <w:r w:rsidR="007B17E7">
        <w:t xml:space="preserve"> the</w:t>
      </w:r>
      <w:r w:rsidR="0001721C">
        <w:t xml:space="preserve"> </w:t>
      </w:r>
      <w:r w:rsidR="006C157A">
        <w:t>2016-17 Budget forward estimates</w:t>
      </w:r>
      <w:r w:rsidR="007B17E7">
        <w:t xml:space="preserve"> period</w:t>
      </w:r>
      <w:r w:rsidR="006C157A">
        <w:t xml:space="preserve"> and</w:t>
      </w:r>
      <w:r w:rsidR="007B17E7">
        <w:t xml:space="preserve"> the</w:t>
      </w:r>
      <w:r w:rsidR="0001721C">
        <w:t xml:space="preserve"> medium term</w:t>
      </w:r>
      <w:r w:rsidR="002A61C2">
        <w:t xml:space="preserve">. </w:t>
      </w:r>
      <w:r w:rsidR="007B17E7">
        <w:t xml:space="preserve"> </w:t>
      </w:r>
    </w:p>
    <w:p w:rsidR="009D6216" w:rsidRDefault="00A35714" w:rsidP="009D6216">
      <w:pPr>
        <w:pStyle w:val="BodyText"/>
      </w:pPr>
      <w:r>
        <w:t>Administered expenses have</w:t>
      </w:r>
      <w:r w:rsidR="002A61C2">
        <w:t xml:space="preserve"> been rounded to the nearest $100</w:t>
      </w:r>
      <w:r w:rsidR="00E548A1">
        <w:t> </w:t>
      </w:r>
      <w:r w:rsidR="002A61C2">
        <w:t>million.</w:t>
      </w:r>
      <w:r w:rsidRPr="00A35714">
        <w:t xml:space="preserve"> </w:t>
      </w:r>
      <w:r>
        <w:t xml:space="preserve"> </w:t>
      </w:r>
      <w:r w:rsidR="009D6216">
        <w:t>Departmental expenses have been rounded to the nearest $10</w:t>
      </w:r>
      <w:r w:rsidR="00E548A1">
        <w:t> </w:t>
      </w:r>
      <w:r w:rsidR="009D6216">
        <w:t>million.</w:t>
      </w:r>
    </w:p>
    <w:p w:rsidR="00FE3B13" w:rsidRDefault="00FE3B13" w:rsidP="00FE3B13">
      <w:pPr>
        <w:pStyle w:val="Heading1"/>
      </w:pPr>
      <w:r>
        <w:t>Data sources</w:t>
      </w:r>
    </w:p>
    <w:p w:rsidR="00E1320E" w:rsidRDefault="007B17E7" w:rsidP="004D1DBC">
      <w:pPr>
        <w:pStyle w:val="BodyText17ptAbove"/>
      </w:pPr>
      <w:r>
        <w:t xml:space="preserve">The </w:t>
      </w:r>
      <w:r w:rsidR="00E1320E">
        <w:t>Department of Foreign Affairs and Trade provided</w:t>
      </w:r>
      <w:r w:rsidR="008601BD">
        <w:t xml:space="preserve"> </w:t>
      </w:r>
      <w:r w:rsidR="00B671F9">
        <w:t xml:space="preserve">2016-17 </w:t>
      </w:r>
      <w:r w:rsidR="005D57CE">
        <w:t xml:space="preserve">Mid-Year </w:t>
      </w:r>
      <w:r w:rsidR="00324E94">
        <w:t>Economic and</w:t>
      </w:r>
      <w:r w:rsidR="005D57CE">
        <w:t xml:space="preserve"> Fiscal Outlook (</w:t>
      </w:r>
      <w:r w:rsidR="006457CB">
        <w:t>MYEFO</w:t>
      </w:r>
      <w:r w:rsidR="005D57CE">
        <w:t>)</w:t>
      </w:r>
      <w:r w:rsidR="006457CB">
        <w:t xml:space="preserve"> </w:t>
      </w:r>
      <w:r w:rsidR="00B671F9">
        <w:t>t</w:t>
      </w:r>
      <w:r w:rsidR="00E1320E">
        <w:t xml:space="preserve">otal </w:t>
      </w:r>
      <w:r w:rsidR="00521FCE">
        <w:t>ODA</w:t>
      </w:r>
      <w:r w:rsidR="00E1320E">
        <w:t xml:space="preserve"> estimates</w:t>
      </w:r>
      <w:r w:rsidR="00841D0C">
        <w:t xml:space="preserve"> over the medium term</w:t>
      </w:r>
      <w:r w:rsidR="00021CA4">
        <w:t>.</w:t>
      </w:r>
    </w:p>
    <w:p w:rsidR="00EB5803" w:rsidRDefault="00EB5803" w:rsidP="00D25DD1">
      <w:pPr>
        <w:pStyle w:val="BodyText"/>
      </w:pPr>
      <w:r>
        <w:t>The Department of the Treasury provided estimates of the pa</w:t>
      </w:r>
      <w:r w:rsidR="002654A7">
        <w:t>id-in and unpaid capital shares</w:t>
      </w:r>
      <w:r w:rsidR="00231BDE">
        <w:t xml:space="preserve"> for the multilateral organisation</w:t>
      </w:r>
      <w:r w:rsidR="005D57CE">
        <w:t>s</w:t>
      </w:r>
      <w:r w:rsidR="00231BDE">
        <w:t xml:space="preserve"> listed in the proposal</w:t>
      </w:r>
      <w:r w:rsidR="006457CB">
        <w:t xml:space="preserve"> as at January 2017.</w:t>
      </w:r>
    </w:p>
    <w:p w:rsidR="00EB5803" w:rsidRDefault="00EB5803" w:rsidP="00D25DD1">
      <w:pPr>
        <w:pStyle w:val="BodyText"/>
        <w:sectPr w:rsidR="00EB5803" w:rsidSect="00A530D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361" w:right="1797" w:bottom="1474" w:left="1797" w:header="284" w:footer="454" w:gutter="0"/>
          <w:pgNumType w:start="1"/>
          <w:cols w:space="708"/>
          <w:titlePg/>
          <w:docGrid w:linePitch="360"/>
        </w:sectPr>
      </w:pPr>
    </w:p>
    <w:p w:rsidR="004E51B1" w:rsidRPr="002D239A" w:rsidRDefault="004E51B1" w:rsidP="00773087">
      <w:pPr>
        <w:pStyle w:val="Heading8"/>
      </w:pPr>
      <w:r w:rsidRPr="002D239A">
        <w:lastRenderedPageBreak/>
        <w:t xml:space="preserve">– </w:t>
      </w:r>
      <w:r w:rsidR="00773087" w:rsidRPr="00773087">
        <w:t>Foreign Aid</w:t>
      </w:r>
      <w:r w:rsidRPr="002D239A">
        <w:t>—financial implications</w:t>
      </w:r>
    </w:p>
    <w:p w:rsidR="00120A75" w:rsidRPr="003509E4" w:rsidRDefault="003E1562" w:rsidP="003509E4">
      <w:pPr>
        <w:pStyle w:val="Caption"/>
        <w:keepLines/>
        <w:rPr>
          <w:vertAlign w:val="superscript"/>
        </w:rPr>
      </w:pPr>
      <w:r w:rsidRPr="002D239A">
        <w:t xml:space="preserve">Table </w:t>
      </w:r>
      <w:r w:rsidR="00841D28">
        <w:fldChar w:fldCharType="begin"/>
      </w:r>
      <w:r w:rsidR="00841D28">
        <w:instrText xml:space="preserve"> STYLEREF 8 \s </w:instrText>
      </w:r>
      <w:r w:rsidR="00841D28">
        <w:fldChar w:fldCharType="separate"/>
      </w:r>
      <w:r w:rsidR="00FA2756">
        <w:rPr>
          <w:noProof/>
        </w:rPr>
        <w:t>A</w:t>
      </w:r>
      <w:r w:rsidR="00841D28">
        <w:rPr>
          <w:noProof/>
        </w:rPr>
        <w:fldChar w:fldCharType="end"/>
      </w:r>
      <w:r w:rsidR="00841D28">
        <w:fldChar w:fldCharType="begin"/>
      </w:r>
      <w:r w:rsidR="00841D28">
        <w:instrText xml:space="preserve"> SEQ AppendixTable\s 8 </w:instrText>
      </w:r>
      <w:r w:rsidR="00841D28">
        <w:fldChar w:fldCharType="separate"/>
      </w:r>
      <w:r w:rsidR="00FA2756">
        <w:rPr>
          <w:noProof/>
        </w:rPr>
        <w:t>1</w:t>
      </w:r>
      <w:r w:rsidR="00841D28">
        <w:rPr>
          <w:noProof/>
        </w:rPr>
        <w:fldChar w:fldCharType="end"/>
      </w:r>
      <w:r w:rsidRPr="002D239A">
        <w:t xml:space="preserve">: </w:t>
      </w:r>
      <w:r w:rsidR="008F35C0">
        <w:t>Fiscal balance</w:t>
      </w:r>
      <w:r>
        <w:t>—Financial implications (outturn prices</w:t>
      </w:r>
      <w:proofErr w:type="gramStart"/>
      <w:r>
        <w:t>)</w:t>
      </w:r>
      <w:r w:rsidRPr="002D239A">
        <w:rPr>
          <w:vertAlign w:val="superscript"/>
        </w:rPr>
        <w:t>(</w:t>
      </w:r>
      <w:proofErr w:type="gramEnd"/>
      <w:r w:rsidRPr="002D239A">
        <w:rPr>
          <w:vertAlign w:val="superscript"/>
        </w:rPr>
        <w:t>a)(b)</w:t>
      </w:r>
    </w:p>
    <w:tbl>
      <w:tblPr>
        <w:tblStyle w:val="LightGrid-Accent6"/>
        <w:tblW w:w="0" w:type="auto"/>
        <w:tblLayout w:type="fixed"/>
        <w:tblLook w:val="0680" w:firstRow="0" w:lastRow="0" w:firstColumn="1" w:lastColumn="0" w:noHBand="1" w:noVBand="1"/>
      </w:tblPr>
      <w:tblGrid>
        <w:gridCol w:w="2660"/>
        <w:gridCol w:w="818"/>
        <w:gridCol w:w="890"/>
        <w:gridCol w:w="864"/>
        <w:gridCol w:w="913"/>
        <w:gridCol w:w="913"/>
        <w:gridCol w:w="913"/>
        <w:gridCol w:w="913"/>
        <w:gridCol w:w="913"/>
        <w:gridCol w:w="913"/>
        <w:gridCol w:w="912"/>
        <w:gridCol w:w="912"/>
        <w:gridCol w:w="912"/>
        <w:gridCol w:w="990"/>
      </w:tblGrid>
      <w:tr w:rsidR="00ED2DC9" w:rsidRPr="002E5975" w:rsidTr="000E7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D7DDE9" w:themeFill="accent3"/>
            <w:vAlign w:val="center"/>
          </w:tcPr>
          <w:p w:rsidR="001E33C2" w:rsidRPr="002E5975" w:rsidRDefault="001E33C2" w:rsidP="007B57C9">
            <w:pPr>
              <w:pStyle w:val="TableHeading"/>
              <w:ind w:left="-57" w:right="-57"/>
            </w:pPr>
            <w:r w:rsidRPr="002E5975">
              <w:t>($</w:t>
            </w:r>
            <w:r w:rsidR="00A838D2" w:rsidRPr="002E5975">
              <w:t>m</w:t>
            </w:r>
            <w:r w:rsidRPr="002E5975">
              <w:t>)</w:t>
            </w:r>
          </w:p>
        </w:tc>
        <w:tc>
          <w:tcPr>
            <w:tcW w:w="818" w:type="dxa"/>
            <w:shd w:val="clear" w:color="auto" w:fill="D7DDE9" w:themeFill="accent3"/>
            <w:vAlign w:val="center"/>
          </w:tcPr>
          <w:p w:rsidR="001E33C2" w:rsidRPr="002E5975" w:rsidRDefault="001E33C2" w:rsidP="002551A8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E5975">
              <w:rPr>
                <w:b w:val="0"/>
              </w:rPr>
              <w:t>2016–17</w:t>
            </w:r>
          </w:p>
        </w:tc>
        <w:tc>
          <w:tcPr>
            <w:tcW w:w="890" w:type="dxa"/>
            <w:shd w:val="clear" w:color="auto" w:fill="D7DDE9" w:themeFill="accent3"/>
            <w:vAlign w:val="center"/>
          </w:tcPr>
          <w:p w:rsidR="001E33C2" w:rsidRPr="002E5975" w:rsidRDefault="001E33C2" w:rsidP="002551A8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E5975">
              <w:rPr>
                <w:b w:val="0"/>
              </w:rPr>
              <w:t>2017–18</w:t>
            </w:r>
          </w:p>
        </w:tc>
        <w:tc>
          <w:tcPr>
            <w:tcW w:w="864" w:type="dxa"/>
            <w:shd w:val="clear" w:color="auto" w:fill="D7DDE9" w:themeFill="accent3"/>
            <w:vAlign w:val="center"/>
          </w:tcPr>
          <w:p w:rsidR="001E33C2" w:rsidRPr="002E5975" w:rsidRDefault="001E33C2" w:rsidP="002551A8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E5975">
              <w:rPr>
                <w:b w:val="0"/>
              </w:rPr>
              <w:t>2018–19</w:t>
            </w:r>
          </w:p>
        </w:tc>
        <w:tc>
          <w:tcPr>
            <w:tcW w:w="913" w:type="dxa"/>
            <w:shd w:val="clear" w:color="auto" w:fill="D7DDE9" w:themeFill="accent3"/>
            <w:vAlign w:val="center"/>
          </w:tcPr>
          <w:p w:rsidR="001E33C2" w:rsidRPr="002E5975" w:rsidRDefault="001E33C2" w:rsidP="002551A8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E5975">
              <w:rPr>
                <w:b w:val="0"/>
              </w:rPr>
              <w:t>2019–20</w:t>
            </w:r>
          </w:p>
        </w:tc>
        <w:tc>
          <w:tcPr>
            <w:tcW w:w="913" w:type="dxa"/>
            <w:shd w:val="clear" w:color="auto" w:fill="D7DDE9" w:themeFill="accent3"/>
            <w:vAlign w:val="center"/>
          </w:tcPr>
          <w:p w:rsidR="001E33C2" w:rsidRPr="002E5975" w:rsidRDefault="001E33C2" w:rsidP="002551A8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5975">
              <w:t>Total to 2019–20</w:t>
            </w:r>
          </w:p>
        </w:tc>
        <w:tc>
          <w:tcPr>
            <w:tcW w:w="913" w:type="dxa"/>
            <w:shd w:val="clear" w:color="auto" w:fill="D7DDE9" w:themeFill="accent3"/>
            <w:vAlign w:val="center"/>
          </w:tcPr>
          <w:p w:rsidR="001E33C2" w:rsidRPr="002E5975" w:rsidRDefault="007B57C9" w:rsidP="002551A8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E5975">
              <w:rPr>
                <w:b w:val="0"/>
              </w:rPr>
              <w:t>2020–21</w:t>
            </w:r>
          </w:p>
        </w:tc>
        <w:tc>
          <w:tcPr>
            <w:tcW w:w="913" w:type="dxa"/>
            <w:shd w:val="clear" w:color="auto" w:fill="D7DDE9" w:themeFill="accent3"/>
            <w:vAlign w:val="center"/>
          </w:tcPr>
          <w:p w:rsidR="001E33C2" w:rsidRPr="002E5975" w:rsidRDefault="007B57C9" w:rsidP="002551A8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E5975">
              <w:rPr>
                <w:b w:val="0"/>
              </w:rPr>
              <w:t>2021–22</w:t>
            </w:r>
          </w:p>
        </w:tc>
        <w:tc>
          <w:tcPr>
            <w:tcW w:w="913" w:type="dxa"/>
            <w:shd w:val="clear" w:color="auto" w:fill="D7DDE9" w:themeFill="accent3"/>
            <w:vAlign w:val="center"/>
          </w:tcPr>
          <w:p w:rsidR="001E33C2" w:rsidRPr="002E5975" w:rsidRDefault="007B57C9" w:rsidP="002551A8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E5975">
              <w:rPr>
                <w:b w:val="0"/>
              </w:rPr>
              <w:t>2022–23</w:t>
            </w:r>
          </w:p>
        </w:tc>
        <w:tc>
          <w:tcPr>
            <w:tcW w:w="913" w:type="dxa"/>
            <w:shd w:val="clear" w:color="auto" w:fill="D7DDE9" w:themeFill="accent3"/>
            <w:vAlign w:val="center"/>
          </w:tcPr>
          <w:p w:rsidR="001E33C2" w:rsidRPr="002E5975" w:rsidRDefault="007B57C9" w:rsidP="002551A8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E5975">
              <w:rPr>
                <w:b w:val="0"/>
              </w:rPr>
              <w:t>2023–24</w:t>
            </w:r>
          </w:p>
        </w:tc>
        <w:tc>
          <w:tcPr>
            <w:tcW w:w="912" w:type="dxa"/>
            <w:shd w:val="clear" w:color="auto" w:fill="D7DDE9" w:themeFill="accent3"/>
            <w:vAlign w:val="center"/>
          </w:tcPr>
          <w:p w:rsidR="001E33C2" w:rsidRPr="002E5975" w:rsidRDefault="007B57C9" w:rsidP="002551A8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E5975">
              <w:rPr>
                <w:b w:val="0"/>
              </w:rPr>
              <w:t>2024–25</w:t>
            </w:r>
          </w:p>
        </w:tc>
        <w:tc>
          <w:tcPr>
            <w:tcW w:w="912" w:type="dxa"/>
            <w:shd w:val="clear" w:color="auto" w:fill="D7DDE9" w:themeFill="accent3"/>
            <w:vAlign w:val="center"/>
          </w:tcPr>
          <w:p w:rsidR="001E33C2" w:rsidRPr="002E5975" w:rsidRDefault="007B57C9" w:rsidP="002551A8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E5975">
              <w:rPr>
                <w:b w:val="0"/>
              </w:rPr>
              <w:t>2025–26</w:t>
            </w:r>
          </w:p>
        </w:tc>
        <w:tc>
          <w:tcPr>
            <w:tcW w:w="912" w:type="dxa"/>
            <w:shd w:val="clear" w:color="auto" w:fill="D7DDE9" w:themeFill="accent3"/>
            <w:vAlign w:val="center"/>
          </w:tcPr>
          <w:p w:rsidR="001E33C2" w:rsidRPr="002E5975" w:rsidRDefault="007B57C9" w:rsidP="002551A8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E5975">
              <w:rPr>
                <w:b w:val="0"/>
              </w:rPr>
              <w:t>2026–27</w:t>
            </w:r>
          </w:p>
        </w:tc>
        <w:tc>
          <w:tcPr>
            <w:tcW w:w="990" w:type="dxa"/>
            <w:shd w:val="clear" w:color="auto" w:fill="D7DDE9" w:themeFill="accent3"/>
            <w:vAlign w:val="center"/>
          </w:tcPr>
          <w:p w:rsidR="001E33C2" w:rsidRPr="00570596" w:rsidRDefault="007B57C9" w:rsidP="002551A8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0596">
              <w:t>Total to 2026–27</w:t>
            </w:r>
          </w:p>
        </w:tc>
      </w:tr>
      <w:tr w:rsidR="000E79B6" w:rsidRPr="004D1DBC" w:rsidTr="00324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:rsidR="000E79B6" w:rsidRPr="00D25DD1" w:rsidRDefault="000E79B6" w:rsidP="002551A8">
            <w:pPr>
              <w:pStyle w:val="TableText"/>
              <w:rPr>
                <w:b w:val="0"/>
              </w:rPr>
            </w:pPr>
            <w:r w:rsidRPr="00D25DD1">
              <w:rPr>
                <w:b w:val="0"/>
              </w:rPr>
              <w:t>Administered expenses</w:t>
            </w:r>
          </w:p>
        </w:tc>
        <w:tc>
          <w:tcPr>
            <w:tcW w:w="818" w:type="dxa"/>
          </w:tcPr>
          <w:p w:rsidR="000E79B6" w:rsidRPr="004D1DBC" w:rsidRDefault="000E79B6" w:rsidP="00324E9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>-</w:t>
            </w:r>
          </w:p>
        </w:tc>
        <w:tc>
          <w:tcPr>
            <w:tcW w:w="890" w:type="dxa"/>
          </w:tcPr>
          <w:p w:rsidR="000E79B6" w:rsidRPr="004D1DBC" w:rsidRDefault="000E79B6" w:rsidP="00324E9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>3,100</w:t>
            </w:r>
          </w:p>
        </w:tc>
        <w:tc>
          <w:tcPr>
            <w:tcW w:w="864" w:type="dxa"/>
          </w:tcPr>
          <w:p w:rsidR="000E79B6" w:rsidRPr="004D1DBC" w:rsidRDefault="000E79B6" w:rsidP="00E41F75">
            <w:pPr>
              <w:pStyle w:val="TableText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>3,200</w:t>
            </w:r>
          </w:p>
        </w:tc>
        <w:tc>
          <w:tcPr>
            <w:tcW w:w="913" w:type="dxa"/>
          </w:tcPr>
          <w:p w:rsidR="000E79B6" w:rsidRPr="004D1DBC" w:rsidRDefault="000E79B6" w:rsidP="00E41F75">
            <w:pPr>
              <w:pStyle w:val="TableText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>4,550</w:t>
            </w:r>
          </w:p>
        </w:tc>
        <w:tc>
          <w:tcPr>
            <w:tcW w:w="913" w:type="dxa"/>
          </w:tcPr>
          <w:p w:rsidR="000E79B6" w:rsidRPr="004D1DBC" w:rsidRDefault="000E79B6" w:rsidP="00324E94">
            <w:pPr>
              <w:pStyle w:val="TableTextRightBo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>10,850</w:t>
            </w:r>
          </w:p>
        </w:tc>
        <w:tc>
          <w:tcPr>
            <w:tcW w:w="913" w:type="dxa"/>
          </w:tcPr>
          <w:p w:rsidR="000E79B6" w:rsidRPr="004D1DBC" w:rsidRDefault="000E79B6" w:rsidP="00E41F75">
            <w:pPr>
              <w:pStyle w:val="TableText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>3,350</w:t>
            </w:r>
          </w:p>
        </w:tc>
        <w:tc>
          <w:tcPr>
            <w:tcW w:w="913" w:type="dxa"/>
          </w:tcPr>
          <w:p w:rsidR="000E79B6" w:rsidRPr="004D1DBC" w:rsidRDefault="000E79B6" w:rsidP="00E41F75">
            <w:pPr>
              <w:pStyle w:val="TableText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>3,500</w:t>
            </w:r>
          </w:p>
        </w:tc>
        <w:tc>
          <w:tcPr>
            <w:tcW w:w="913" w:type="dxa"/>
          </w:tcPr>
          <w:p w:rsidR="000E79B6" w:rsidRPr="004D1DBC" w:rsidRDefault="000E79B6" w:rsidP="00E41F75">
            <w:pPr>
              <w:pStyle w:val="TableText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>4,850</w:t>
            </w:r>
          </w:p>
        </w:tc>
        <w:tc>
          <w:tcPr>
            <w:tcW w:w="913" w:type="dxa"/>
          </w:tcPr>
          <w:p w:rsidR="000E79B6" w:rsidRPr="004D1DBC" w:rsidRDefault="000E79B6" w:rsidP="00E41F75">
            <w:pPr>
              <w:pStyle w:val="TableText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>3,700</w:t>
            </w:r>
          </w:p>
        </w:tc>
        <w:tc>
          <w:tcPr>
            <w:tcW w:w="912" w:type="dxa"/>
          </w:tcPr>
          <w:p w:rsidR="000E79B6" w:rsidRPr="004D1DBC" w:rsidRDefault="000E79B6" w:rsidP="00E41F75">
            <w:pPr>
              <w:pStyle w:val="TableText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>3,800</w:t>
            </w:r>
          </w:p>
        </w:tc>
        <w:tc>
          <w:tcPr>
            <w:tcW w:w="912" w:type="dxa"/>
          </w:tcPr>
          <w:p w:rsidR="000E79B6" w:rsidRPr="004D1DBC" w:rsidRDefault="000E79B6" w:rsidP="00E41F75">
            <w:pPr>
              <w:pStyle w:val="TableText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>5,150</w:t>
            </w:r>
          </w:p>
        </w:tc>
        <w:tc>
          <w:tcPr>
            <w:tcW w:w="912" w:type="dxa"/>
          </w:tcPr>
          <w:p w:rsidR="000E79B6" w:rsidRPr="004D1DBC" w:rsidRDefault="000E79B6" w:rsidP="00E41F75">
            <w:pPr>
              <w:pStyle w:val="TableText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>4,000</w:t>
            </w:r>
          </w:p>
        </w:tc>
        <w:tc>
          <w:tcPr>
            <w:tcW w:w="990" w:type="dxa"/>
          </w:tcPr>
          <w:p w:rsidR="000E79B6" w:rsidRPr="004D1DBC" w:rsidRDefault="000E79B6" w:rsidP="00324E94">
            <w:pPr>
              <w:pStyle w:val="TableTextRightBo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>39,200</w:t>
            </w:r>
          </w:p>
        </w:tc>
      </w:tr>
      <w:tr w:rsidR="000E79B6" w:rsidRPr="004D1DBC" w:rsidTr="00324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:rsidR="000E79B6" w:rsidRPr="00D25DD1" w:rsidRDefault="000E79B6" w:rsidP="00324E94">
            <w:pPr>
              <w:pStyle w:val="TableTextRightBold"/>
              <w:jc w:val="left"/>
            </w:pPr>
            <w:r w:rsidRPr="00D25DD1">
              <w:t>Departmental expenses</w:t>
            </w:r>
          </w:p>
        </w:tc>
        <w:tc>
          <w:tcPr>
            <w:tcW w:w="818" w:type="dxa"/>
          </w:tcPr>
          <w:p w:rsidR="000E79B6" w:rsidRPr="004D1DBC" w:rsidRDefault="000E79B6" w:rsidP="00B90F0D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>-</w:t>
            </w:r>
          </w:p>
        </w:tc>
        <w:tc>
          <w:tcPr>
            <w:tcW w:w="890" w:type="dxa"/>
          </w:tcPr>
          <w:p w:rsidR="000E79B6" w:rsidRPr="004D1DBC" w:rsidRDefault="000E79B6" w:rsidP="00B90F0D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>250</w:t>
            </w:r>
          </w:p>
        </w:tc>
        <w:tc>
          <w:tcPr>
            <w:tcW w:w="864" w:type="dxa"/>
          </w:tcPr>
          <w:p w:rsidR="000E79B6" w:rsidRPr="004D1DBC" w:rsidRDefault="000E79B6" w:rsidP="00B90F0D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>260</w:t>
            </w:r>
          </w:p>
        </w:tc>
        <w:tc>
          <w:tcPr>
            <w:tcW w:w="913" w:type="dxa"/>
          </w:tcPr>
          <w:p w:rsidR="000E79B6" w:rsidRPr="004D1DBC" w:rsidRDefault="000E79B6" w:rsidP="00B90F0D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>260</w:t>
            </w:r>
          </w:p>
        </w:tc>
        <w:tc>
          <w:tcPr>
            <w:tcW w:w="913" w:type="dxa"/>
          </w:tcPr>
          <w:p w:rsidR="000E79B6" w:rsidRPr="004D1DBC" w:rsidRDefault="000E79B6" w:rsidP="00324E94">
            <w:pPr>
              <w:pStyle w:val="TableTextRightBo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>770</w:t>
            </w:r>
          </w:p>
        </w:tc>
        <w:tc>
          <w:tcPr>
            <w:tcW w:w="913" w:type="dxa"/>
          </w:tcPr>
          <w:p w:rsidR="000E79B6" w:rsidRPr="004D1DBC" w:rsidRDefault="000E79B6" w:rsidP="00B90F0D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>270</w:t>
            </w:r>
          </w:p>
        </w:tc>
        <w:tc>
          <w:tcPr>
            <w:tcW w:w="913" w:type="dxa"/>
          </w:tcPr>
          <w:p w:rsidR="000E79B6" w:rsidRPr="004D1DBC" w:rsidRDefault="000E79B6" w:rsidP="00B90F0D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>270</w:t>
            </w:r>
          </w:p>
        </w:tc>
        <w:tc>
          <w:tcPr>
            <w:tcW w:w="913" w:type="dxa"/>
          </w:tcPr>
          <w:p w:rsidR="000E79B6" w:rsidRPr="004D1DBC" w:rsidRDefault="000E79B6" w:rsidP="00B90F0D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>280</w:t>
            </w:r>
          </w:p>
        </w:tc>
        <w:tc>
          <w:tcPr>
            <w:tcW w:w="913" w:type="dxa"/>
          </w:tcPr>
          <w:p w:rsidR="000E79B6" w:rsidRPr="004D1DBC" w:rsidRDefault="000E79B6" w:rsidP="00B90F0D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>290</w:t>
            </w:r>
          </w:p>
        </w:tc>
        <w:tc>
          <w:tcPr>
            <w:tcW w:w="912" w:type="dxa"/>
          </w:tcPr>
          <w:p w:rsidR="000E79B6" w:rsidRPr="004D1DBC" w:rsidRDefault="000E79B6" w:rsidP="00B90F0D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>290</w:t>
            </w:r>
          </w:p>
        </w:tc>
        <w:tc>
          <w:tcPr>
            <w:tcW w:w="912" w:type="dxa"/>
          </w:tcPr>
          <w:p w:rsidR="000E79B6" w:rsidRPr="004D1DBC" w:rsidRDefault="000E79B6" w:rsidP="00B90F0D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>300</w:t>
            </w:r>
          </w:p>
        </w:tc>
        <w:tc>
          <w:tcPr>
            <w:tcW w:w="912" w:type="dxa"/>
          </w:tcPr>
          <w:p w:rsidR="000E79B6" w:rsidRPr="004D1DBC" w:rsidRDefault="000E79B6" w:rsidP="00B90F0D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>310</w:t>
            </w:r>
          </w:p>
        </w:tc>
        <w:tc>
          <w:tcPr>
            <w:tcW w:w="990" w:type="dxa"/>
          </w:tcPr>
          <w:p w:rsidR="000E79B6" w:rsidRPr="004D1DBC" w:rsidRDefault="000E79B6" w:rsidP="00324E94">
            <w:pPr>
              <w:pStyle w:val="TableTextRightBo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>2,780</w:t>
            </w:r>
          </w:p>
        </w:tc>
      </w:tr>
      <w:tr w:rsidR="00ED2DC9" w:rsidRPr="00B90F0D" w:rsidTr="000E7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D7DDE9" w:themeFill="accent3"/>
            <w:vAlign w:val="center"/>
          </w:tcPr>
          <w:p w:rsidR="000E79B6" w:rsidRPr="00B90F0D" w:rsidRDefault="000E79B6" w:rsidP="007C5067">
            <w:pPr>
              <w:pStyle w:val="TableTextRight"/>
              <w:jc w:val="left"/>
            </w:pPr>
            <w:r w:rsidRPr="00B90F0D">
              <w:t>Total</w:t>
            </w:r>
          </w:p>
        </w:tc>
        <w:tc>
          <w:tcPr>
            <w:tcW w:w="818" w:type="dxa"/>
            <w:shd w:val="clear" w:color="auto" w:fill="D7DDE9" w:themeFill="accent3"/>
          </w:tcPr>
          <w:p w:rsidR="000E79B6" w:rsidRPr="00B90F0D" w:rsidRDefault="000E79B6" w:rsidP="00324E94">
            <w:pPr>
              <w:pStyle w:val="TableTextRightBo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7AFD">
              <w:t>-</w:t>
            </w:r>
          </w:p>
        </w:tc>
        <w:tc>
          <w:tcPr>
            <w:tcW w:w="890" w:type="dxa"/>
            <w:shd w:val="clear" w:color="auto" w:fill="D7DDE9" w:themeFill="accent3"/>
          </w:tcPr>
          <w:p w:rsidR="000E79B6" w:rsidRPr="00B90F0D" w:rsidRDefault="000E79B6" w:rsidP="00324E94">
            <w:pPr>
              <w:pStyle w:val="TableTextRightBo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7AFD">
              <w:t>3,350</w:t>
            </w:r>
          </w:p>
        </w:tc>
        <w:tc>
          <w:tcPr>
            <w:tcW w:w="864" w:type="dxa"/>
            <w:shd w:val="clear" w:color="auto" w:fill="D7DDE9" w:themeFill="accent3"/>
          </w:tcPr>
          <w:p w:rsidR="000E79B6" w:rsidRPr="00B90F0D" w:rsidRDefault="000E79B6" w:rsidP="00324E94">
            <w:pPr>
              <w:pStyle w:val="TableTextRightBo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7AFD">
              <w:t>3,460</w:t>
            </w:r>
          </w:p>
        </w:tc>
        <w:tc>
          <w:tcPr>
            <w:tcW w:w="913" w:type="dxa"/>
            <w:shd w:val="clear" w:color="auto" w:fill="D7DDE9" w:themeFill="accent3"/>
          </w:tcPr>
          <w:p w:rsidR="000E79B6" w:rsidRPr="00B90F0D" w:rsidRDefault="000E79B6" w:rsidP="00324E94">
            <w:pPr>
              <w:pStyle w:val="TableTextRightBo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7AFD">
              <w:t>4,810</w:t>
            </w:r>
          </w:p>
        </w:tc>
        <w:tc>
          <w:tcPr>
            <w:tcW w:w="913" w:type="dxa"/>
            <w:shd w:val="clear" w:color="auto" w:fill="D7DDE9" w:themeFill="accent3"/>
          </w:tcPr>
          <w:p w:rsidR="000E79B6" w:rsidRPr="00B90F0D" w:rsidRDefault="000E79B6" w:rsidP="00324E94">
            <w:pPr>
              <w:pStyle w:val="TableTextRightBo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7AFD">
              <w:t>11,620</w:t>
            </w:r>
          </w:p>
        </w:tc>
        <w:tc>
          <w:tcPr>
            <w:tcW w:w="913" w:type="dxa"/>
            <w:shd w:val="clear" w:color="auto" w:fill="D7DDE9" w:themeFill="accent3"/>
          </w:tcPr>
          <w:p w:rsidR="000E79B6" w:rsidRPr="00B90F0D" w:rsidRDefault="000E79B6" w:rsidP="00324E94">
            <w:pPr>
              <w:pStyle w:val="TableTextRightBo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7AFD">
              <w:t>3,620</w:t>
            </w:r>
          </w:p>
        </w:tc>
        <w:tc>
          <w:tcPr>
            <w:tcW w:w="913" w:type="dxa"/>
            <w:shd w:val="clear" w:color="auto" w:fill="D7DDE9" w:themeFill="accent3"/>
          </w:tcPr>
          <w:p w:rsidR="000E79B6" w:rsidRPr="00B90F0D" w:rsidRDefault="000E79B6" w:rsidP="00324E94">
            <w:pPr>
              <w:pStyle w:val="TableTextRightBo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7AFD">
              <w:t>3,770</w:t>
            </w:r>
          </w:p>
        </w:tc>
        <w:tc>
          <w:tcPr>
            <w:tcW w:w="913" w:type="dxa"/>
            <w:shd w:val="clear" w:color="auto" w:fill="D7DDE9" w:themeFill="accent3"/>
          </w:tcPr>
          <w:p w:rsidR="000E79B6" w:rsidRPr="00B90F0D" w:rsidRDefault="000E79B6" w:rsidP="00324E94">
            <w:pPr>
              <w:pStyle w:val="TableTextRightBo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7AFD">
              <w:t>5,130</w:t>
            </w:r>
          </w:p>
        </w:tc>
        <w:tc>
          <w:tcPr>
            <w:tcW w:w="913" w:type="dxa"/>
            <w:shd w:val="clear" w:color="auto" w:fill="D7DDE9" w:themeFill="accent3"/>
          </w:tcPr>
          <w:p w:rsidR="000E79B6" w:rsidRPr="00B90F0D" w:rsidRDefault="000E79B6" w:rsidP="00324E94">
            <w:pPr>
              <w:pStyle w:val="TableTextRightBo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7AFD">
              <w:t>3,990</w:t>
            </w:r>
          </w:p>
        </w:tc>
        <w:tc>
          <w:tcPr>
            <w:tcW w:w="912" w:type="dxa"/>
            <w:shd w:val="clear" w:color="auto" w:fill="D7DDE9" w:themeFill="accent3"/>
          </w:tcPr>
          <w:p w:rsidR="000E79B6" w:rsidRPr="00B90F0D" w:rsidRDefault="000E79B6" w:rsidP="00324E94">
            <w:pPr>
              <w:pStyle w:val="TableTextRightBo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7AFD">
              <w:t>4,090</w:t>
            </w:r>
          </w:p>
        </w:tc>
        <w:tc>
          <w:tcPr>
            <w:tcW w:w="912" w:type="dxa"/>
            <w:shd w:val="clear" w:color="auto" w:fill="D7DDE9" w:themeFill="accent3"/>
          </w:tcPr>
          <w:p w:rsidR="000E79B6" w:rsidRPr="00B90F0D" w:rsidRDefault="000E79B6" w:rsidP="00324E94">
            <w:pPr>
              <w:pStyle w:val="TableTextRightBo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7AFD">
              <w:t>5,450</w:t>
            </w:r>
          </w:p>
        </w:tc>
        <w:tc>
          <w:tcPr>
            <w:tcW w:w="912" w:type="dxa"/>
            <w:shd w:val="clear" w:color="auto" w:fill="D7DDE9" w:themeFill="accent3"/>
          </w:tcPr>
          <w:p w:rsidR="000E79B6" w:rsidRPr="00B90F0D" w:rsidRDefault="000E79B6" w:rsidP="00324E94">
            <w:pPr>
              <w:pStyle w:val="TableTextRightBo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7AFD">
              <w:t>4,310</w:t>
            </w:r>
          </w:p>
        </w:tc>
        <w:tc>
          <w:tcPr>
            <w:tcW w:w="990" w:type="dxa"/>
            <w:shd w:val="clear" w:color="auto" w:fill="D7DDE9" w:themeFill="accent3"/>
          </w:tcPr>
          <w:p w:rsidR="000E79B6" w:rsidRPr="00B90F0D" w:rsidRDefault="000E79B6" w:rsidP="00324E94">
            <w:pPr>
              <w:pStyle w:val="TableTextRightBo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7AFD">
              <w:t>41,980</w:t>
            </w:r>
          </w:p>
        </w:tc>
      </w:tr>
    </w:tbl>
    <w:p w:rsidR="00773087" w:rsidRPr="00D7192D" w:rsidRDefault="00773087" w:rsidP="00D25DD1">
      <w:pPr>
        <w:pStyle w:val="TableFootnotes"/>
        <w:numPr>
          <w:ilvl w:val="0"/>
          <w:numId w:val="15"/>
        </w:numPr>
        <w:ind w:left="284" w:hanging="284"/>
      </w:pPr>
      <w:r w:rsidRPr="004336E0">
        <w:t>A positive number for the fiscal balance indicates an increase in revenue or a decrease in expenses or net capital investment in accrual terms</w:t>
      </w:r>
      <w:r w:rsidR="002A61C2" w:rsidRPr="00D7192D">
        <w:t xml:space="preserve">.  </w:t>
      </w:r>
      <w:r w:rsidRPr="00D7192D">
        <w:t xml:space="preserve">A negative number for the fiscal balance indicates a decrease in revenue or an increase in expenses or net capital investment in accrual terms </w:t>
      </w:r>
    </w:p>
    <w:p w:rsidR="003E1562" w:rsidRPr="009307A8" w:rsidRDefault="003E1562" w:rsidP="00D25DD1">
      <w:pPr>
        <w:pStyle w:val="TableFootnotes"/>
        <w:ind w:left="284" w:hanging="284"/>
      </w:pPr>
      <w:r w:rsidRPr="009307A8">
        <w:t>Figures may not sum to totals due to rounding.</w:t>
      </w:r>
    </w:p>
    <w:p w:rsidR="004D1DBC" w:rsidRDefault="004D1DBC" w:rsidP="00D25DD1">
      <w:pPr>
        <w:pStyle w:val="TableFootnotes"/>
        <w:keepLines w:val="0"/>
        <w:numPr>
          <w:ilvl w:val="0"/>
          <w:numId w:val="11"/>
        </w:numPr>
        <w:ind w:left="284" w:hanging="284"/>
      </w:pPr>
      <w:r>
        <w:t>Indicates nil.</w:t>
      </w:r>
    </w:p>
    <w:p w:rsidR="008F35C0" w:rsidRPr="003509E4" w:rsidRDefault="008F35C0" w:rsidP="008F35C0">
      <w:pPr>
        <w:pStyle w:val="Caption"/>
        <w:keepLines/>
        <w:rPr>
          <w:vertAlign w:val="superscript"/>
        </w:rPr>
      </w:pPr>
      <w:r w:rsidRPr="002D239A">
        <w:t xml:space="preserve">Table </w:t>
      </w:r>
      <w:r w:rsidR="00841D28">
        <w:fldChar w:fldCharType="begin"/>
      </w:r>
      <w:r w:rsidR="00841D28">
        <w:instrText xml:space="preserve"> STYLEREF 8 \s </w:instrText>
      </w:r>
      <w:r w:rsidR="00841D28">
        <w:fldChar w:fldCharType="separate"/>
      </w:r>
      <w:r w:rsidR="00FA2756">
        <w:rPr>
          <w:noProof/>
        </w:rPr>
        <w:t>A</w:t>
      </w:r>
      <w:r w:rsidR="00841D28">
        <w:rPr>
          <w:noProof/>
        </w:rPr>
        <w:fldChar w:fldCharType="end"/>
      </w:r>
      <w:r w:rsidR="00841D28">
        <w:fldChar w:fldCharType="begin"/>
      </w:r>
      <w:r w:rsidR="00841D28">
        <w:instrText xml:space="preserve"> SEQ AppendixTable\s 8 </w:instrText>
      </w:r>
      <w:r w:rsidR="00841D28">
        <w:fldChar w:fldCharType="separate"/>
      </w:r>
      <w:r w:rsidR="00FA2756">
        <w:rPr>
          <w:noProof/>
        </w:rPr>
        <w:t>2</w:t>
      </w:r>
      <w:r w:rsidR="00841D28">
        <w:rPr>
          <w:noProof/>
        </w:rPr>
        <w:fldChar w:fldCharType="end"/>
      </w:r>
      <w:r w:rsidRPr="002D239A">
        <w:t xml:space="preserve">: </w:t>
      </w:r>
      <w:r>
        <w:t>Underlying cash balance—Financial implications (outturn prices</w:t>
      </w:r>
      <w:proofErr w:type="gramStart"/>
      <w:r>
        <w:t>)</w:t>
      </w:r>
      <w:r w:rsidRPr="002D239A">
        <w:rPr>
          <w:vertAlign w:val="superscript"/>
        </w:rPr>
        <w:t>(</w:t>
      </w:r>
      <w:proofErr w:type="gramEnd"/>
      <w:r w:rsidRPr="002D239A">
        <w:rPr>
          <w:vertAlign w:val="superscript"/>
        </w:rPr>
        <w:t>a)(b</w:t>
      </w:r>
      <w:r w:rsidR="00D25DD1">
        <w:rPr>
          <w:vertAlign w:val="superscript"/>
        </w:rPr>
        <w:t>)</w:t>
      </w:r>
    </w:p>
    <w:tbl>
      <w:tblPr>
        <w:tblStyle w:val="LightGrid-Accent6"/>
        <w:tblW w:w="0" w:type="auto"/>
        <w:tblLayout w:type="fixed"/>
        <w:tblLook w:val="0680" w:firstRow="0" w:lastRow="0" w:firstColumn="1" w:lastColumn="0" w:noHBand="1" w:noVBand="1"/>
      </w:tblPr>
      <w:tblGrid>
        <w:gridCol w:w="2660"/>
        <w:gridCol w:w="874"/>
        <w:gridCol w:w="874"/>
        <w:gridCol w:w="874"/>
        <w:gridCol w:w="875"/>
        <w:gridCol w:w="889"/>
        <w:gridCol w:w="864"/>
        <w:gridCol w:w="875"/>
        <w:gridCol w:w="878"/>
        <w:gridCol w:w="878"/>
        <w:gridCol w:w="878"/>
        <w:gridCol w:w="878"/>
        <w:gridCol w:w="878"/>
        <w:gridCol w:w="889"/>
      </w:tblGrid>
      <w:tr w:rsidR="00ED2DC9" w:rsidTr="000E7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D7DDE9" w:themeFill="accent3"/>
            <w:vAlign w:val="center"/>
          </w:tcPr>
          <w:p w:rsidR="008F35C0" w:rsidRPr="002D239A" w:rsidRDefault="008F35C0" w:rsidP="008F35C0">
            <w:pPr>
              <w:pStyle w:val="TableHeading"/>
              <w:ind w:left="-57" w:right="-57"/>
            </w:pPr>
            <w:r>
              <w:t>($m)</w:t>
            </w:r>
          </w:p>
        </w:tc>
        <w:tc>
          <w:tcPr>
            <w:tcW w:w="874" w:type="dxa"/>
            <w:shd w:val="clear" w:color="auto" w:fill="D7DDE9" w:themeFill="accent3"/>
            <w:vAlign w:val="center"/>
          </w:tcPr>
          <w:p w:rsidR="008F35C0" w:rsidRPr="002D239A" w:rsidRDefault="008F35C0" w:rsidP="009179B9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2016–17</w:t>
            </w:r>
          </w:p>
        </w:tc>
        <w:tc>
          <w:tcPr>
            <w:tcW w:w="874" w:type="dxa"/>
            <w:shd w:val="clear" w:color="auto" w:fill="D7DDE9" w:themeFill="accent3"/>
            <w:vAlign w:val="center"/>
          </w:tcPr>
          <w:p w:rsidR="008F35C0" w:rsidRPr="002D239A" w:rsidRDefault="008F35C0" w:rsidP="009179B9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2017–18</w:t>
            </w:r>
          </w:p>
        </w:tc>
        <w:tc>
          <w:tcPr>
            <w:tcW w:w="874" w:type="dxa"/>
            <w:shd w:val="clear" w:color="auto" w:fill="D7DDE9" w:themeFill="accent3"/>
            <w:vAlign w:val="center"/>
          </w:tcPr>
          <w:p w:rsidR="008F35C0" w:rsidRPr="002D239A" w:rsidRDefault="008F35C0" w:rsidP="00767DF6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2018–19</w:t>
            </w:r>
          </w:p>
        </w:tc>
        <w:tc>
          <w:tcPr>
            <w:tcW w:w="875" w:type="dxa"/>
            <w:shd w:val="clear" w:color="auto" w:fill="D7DDE9" w:themeFill="accent3"/>
            <w:vAlign w:val="center"/>
          </w:tcPr>
          <w:p w:rsidR="008F35C0" w:rsidRPr="002D239A" w:rsidRDefault="008F35C0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2019–20</w:t>
            </w:r>
          </w:p>
        </w:tc>
        <w:tc>
          <w:tcPr>
            <w:tcW w:w="889" w:type="dxa"/>
            <w:shd w:val="clear" w:color="auto" w:fill="D7DDE9" w:themeFill="accent3"/>
            <w:vAlign w:val="center"/>
          </w:tcPr>
          <w:p w:rsidR="008F35C0" w:rsidRPr="000E79B6" w:rsidRDefault="008F35C0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79B6">
              <w:t>Total to 2019–20</w:t>
            </w:r>
          </w:p>
        </w:tc>
        <w:tc>
          <w:tcPr>
            <w:tcW w:w="864" w:type="dxa"/>
            <w:shd w:val="clear" w:color="auto" w:fill="D7DDE9" w:themeFill="accent3"/>
            <w:vAlign w:val="center"/>
          </w:tcPr>
          <w:p w:rsidR="008F35C0" w:rsidRPr="007B57C9" w:rsidRDefault="008F35C0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2020–21</w:t>
            </w:r>
          </w:p>
        </w:tc>
        <w:tc>
          <w:tcPr>
            <w:tcW w:w="875" w:type="dxa"/>
            <w:shd w:val="clear" w:color="auto" w:fill="D7DDE9" w:themeFill="accent3"/>
            <w:vAlign w:val="center"/>
          </w:tcPr>
          <w:p w:rsidR="008F35C0" w:rsidRPr="007B57C9" w:rsidRDefault="008F35C0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2021–22</w:t>
            </w:r>
          </w:p>
        </w:tc>
        <w:tc>
          <w:tcPr>
            <w:tcW w:w="878" w:type="dxa"/>
            <w:shd w:val="clear" w:color="auto" w:fill="D7DDE9" w:themeFill="accent3"/>
            <w:vAlign w:val="center"/>
          </w:tcPr>
          <w:p w:rsidR="008F35C0" w:rsidRPr="007B57C9" w:rsidRDefault="008F35C0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2022–23</w:t>
            </w:r>
          </w:p>
        </w:tc>
        <w:tc>
          <w:tcPr>
            <w:tcW w:w="878" w:type="dxa"/>
            <w:shd w:val="clear" w:color="auto" w:fill="D7DDE9" w:themeFill="accent3"/>
            <w:vAlign w:val="center"/>
          </w:tcPr>
          <w:p w:rsidR="008F35C0" w:rsidRPr="007B57C9" w:rsidRDefault="008F35C0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2023–24</w:t>
            </w:r>
          </w:p>
        </w:tc>
        <w:tc>
          <w:tcPr>
            <w:tcW w:w="878" w:type="dxa"/>
            <w:shd w:val="clear" w:color="auto" w:fill="D7DDE9" w:themeFill="accent3"/>
            <w:vAlign w:val="center"/>
          </w:tcPr>
          <w:p w:rsidR="008F35C0" w:rsidRPr="007B57C9" w:rsidRDefault="008F35C0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2024–25</w:t>
            </w:r>
          </w:p>
        </w:tc>
        <w:tc>
          <w:tcPr>
            <w:tcW w:w="878" w:type="dxa"/>
            <w:shd w:val="clear" w:color="auto" w:fill="D7DDE9" w:themeFill="accent3"/>
            <w:vAlign w:val="center"/>
          </w:tcPr>
          <w:p w:rsidR="008F35C0" w:rsidRPr="007B57C9" w:rsidRDefault="008F35C0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2025–26</w:t>
            </w:r>
          </w:p>
        </w:tc>
        <w:tc>
          <w:tcPr>
            <w:tcW w:w="878" w:type="dxa"/>
            <w:shd w:val="clear" w:color="auto" w:fill="D7DDE9" w:themeFill="accent3"/>
            <w:vAlign w:val="center"/>
          </w:tcPr>
          <w:p w:rsidR="008F35C0" w:rsidRPr="007B57C9" w:rsidRDefault="008F35C0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2026–27</w:t>
            </w:r>
          </w:p>
        </w:tc>
        <w:tc>
          <w:tcPr>
            <w:tcW w:w="889" w:type="dxa"/>
            <w:shd w:val="clear" w:color="auto" w:fill="D7DDE9" w:themeFill="accent3"/>
            <w:vAlign w:val="center"/>
          </w:tcPr>
          <w:p w:rsidR="008F35C0" w:rsidRPr="002D239A" w:rsidRDefault="008F35C0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Total to 2026–27</w:t>
            </w:r>
          </w:p>
        </w:tc>
      </w:tr>
      <w:tr w:rsidR="000E79B6" w:rsidRPr="004D1DBC" w:rsidTr="00324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:rsidR="000E79B6" w:rsidRPr="00D25DD1" w:rsidRDefault="000E79B6" w:rsidP="00324E94">
            <w:pPr>
              <w:pStyle w:val="TableTextRight"/>
              <w:jc w:val="left"/>
              <w:rPr>
                <w:b w:val="0"/>
              </w:rPr>
            </w:pPr>
            <w:r w:rsidRPr="00D25DD1">
              <w:rPr>
                <w:b w:val="0"/>
              </w:rPr>
              <w:t>Administered outlays</w:t>
            </w:r>
          </w:p>
        </w:tc>
        <w:tc>
          <w:tcPr>
            <w:tcW w:w="874" w:type="dxa"/>
          </w:tcPr>
          <w:p w:rsidR="000E79B6" w:rsidRPr="004D1DBC" w:rsidRDefault="000E79B6" w:rsidP="00324E9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>-</w:t>
            </w:r>
          </w:p>
        </w:tc>
        <w:tc>
          <w:tcPr>
            <w:tcW w:w="874" w:type="dxa"/>
          </w:tcPr>
          <w:p w:rsidR="000E79B6" w:rsidRPr="004D1DBC" w:rsidRDefault="000E79B6" w:rsidP="00324E9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>3,100</w:t>
            </w:r>
          </w:p>
        </w:tc>
        <w:tc>
          <w:tcPr>
            <w:tcW w:w="874" w:type="dxa"/>
          </w:tcPr>
          <w:p w:rsidR="000E79B6" w:rsidRPr="004D1DBC" w:rsidRDefault="000E79B6" w:rsidP="00324E9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>3,600</w:t>
            </w:r>
          </w:p>
        </w:tc>
        <w:tc>
          <w:tcPr>
            <w:tcW w:w="875" w:type="dxa"/>
          </w:tcPr>
          <w:p w:rsidR="000E79B6" w:rsidRPr="004D1DBC" w:rsidRDefault="000E79B6" w:rsidP="00324E9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>3,750</w:t>
            </w:r>
          </w:p>
        </w:tc>
        <w:tc>
          <w:tcPr>
            <w:tcW w:w="889" w:type="dxa"/>
          </w:tcPr>
          <w:p w:rsidR="000E79B6" w:rsidRPr="004D1DBC" w:rsidRDefault="000E79B6" w:rsidP="00324E9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4D1DBC">
              <w:rPr>
                <w:b/>
                <w:i/>
              </w:rPr>
              <w:t>10,450</w:t>
            </w:r>
          </w:p>
        </w:tc>
        <w:tc>
          <w:tcPr>
            <w:tcW w:w="864" w:type="dxa"/>
          </w:tcPr>
          <w:p w:rsidR="000E79B6" w:rsidRPr="004D1DBC" w:rsidRDefault="000E79B6" w:rsidP="00324E9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>3,850</w:t>
            </w:r>
          </w:p>
        </w:tc>
        <w:tc>
          <w:tcPr>
            <w:tcW w:w="875" w:type="dxa"/>
          </w:tcPr>
          <w:p w:rsidR="000E79B6" w:rsidRPr="004D1DBC" w:rsidRDefault="000E79B6" w:rsidP="00324E9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>3,950</w:t>
            </w:r>
          </w:p>
        </w:tc>
        <w:tc>
          <w:tcPr>
            <w:tcW w:w="878" w:type="dxa"/>
          </w:tcPr>
          <w:p w:rsidR="000E79B6" w:rsidRPr="004D1DBC" w:rsidRDefault="000E79B6" w:rsidP="00324E9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>4,050</w:t>
            </w:r>
          </w:p>
        </w:tc>
        <w:tc>
          <w:tcPr>
            <w:tcW w:w="878" w:type="dxa"/>
          </w:tcPr>
          <w:p w:rsidR="000E79B6" w:rsidRPr="004D1DBC" w:rsidRDefault="000E79B6" w:rsidP="00324E9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>4,150</w:t>
            </w:r>
          </w:p>
        </w:tc>
        <w:tc>
          <w:tcPr>
            <w:tcW w:w="878" w:type="dxa"/>
          </w:tcPr>
          <w:p w:rsidR="000E79B6" w:rsidRPr="004D1DBC" w:rsidRDefault="000E79B6" w:rsidP="00324E9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>4,250</w:t>
            </w:r>
          </w:p>
        </w:tc>
        <w:tc>
          <w:tcPr>
            <w:tcW w:w="878" w:type="dxa"/>
          </w:tcPr>
          <w:p w:rsidR="000E79B6" w:rsidRPr="004D1DBC" w:rsidRDefault="000E79B6" w:rsidP="00324E9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>4,400</w:t>
            </w:r>
          </w:p>
        </w:tc>
        <w:tc>
          <w:tcPr>
            <w:tcW w:w="878" w:type="dxa"/>
          </w:tcPr>
          <w:p w:rsidR="000E79B6" w:rsidRPr="004D1DBC" w:rsidRDefault="000E79B6" w:rsidP="00324E9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>4,500</w:t>
            </w:r>
          </w:p>
        </w:tc>
        <w:tc>
          <w:tcPr>
            <w:tcW w:w="889" w:type="dxa"/>
          </w:tcPr>
          <w:p w:rsidR="000E79B6" w:rsidRPr="004D1DBC" w:rsidRDefault="000E79B6" w:rsidP="00324E9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4D1DBC">
              <w:rPr>
                <w:b/>
                <w:i/>
              </w:rPr>
              <w:t>39,600</w:t>
            </w:r>
          </w:p>
        </w:tc>
      </w:tr>
      <w:tr w:rsidR="000E79B6" w:rsidRPr="004D1DBC" w:rsidTr="00324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:rsidR="000E79B6" w:rsidRPr="00D25DD1" w:rsidRDefault="000E79B6" w:rsidP="00324E94">
            <w:pPr>
              <w:pStyle w:val="TableTextRight"/>
              <w:jc w:val="left"/>
              <w:rPr>
                <w:b w:val="0"/>
              </w:rPr>
            </w:pPr>
            <w:r w:rsidRPr="00D25DD1">
              <w:rPr>
                <w:b w:val="0"/>
              </w:rPr>
              <w:t>Departmental outlays</w:t>
            </w:r>
          </w:p>
        </w:tc>
        <w:tc>
          <w:tcPr>
            <w:tcW w:w="874" w:type="dxa"/>
          </w:tcPr>
          <w:p w:rsidR="000E79B6" w:rsidRPr="004D1DBC" w:rsidRDefault="000E79B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>-</w:t>
            </w:r>
          </w:p>
        </w:tc>
        <w:tc>
          <w:tcPr>
            <w:tcW w:w="874" w:type="dxa"/>
          </w:tcPr>
          <w:p w:rsidR="000E79B6" w:rsidRPr="004D1DBC" w:rsidRDefault="000E79B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>250</w:t>
            </w:r>
          </w:p>
        </w:tc>
        <w:tc>
          <w:tcPr>
            <w:tcW w:w="874" w:type="dxa"/>
          </w:tcPr>
          <w:p w:rsidR="000E79B6" w:rsidRPr="004D1DBC" w:rsidRDefault="000E79B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>260</w:t>
            </w:r>
          </w:p>
        </w:tc>
        <w:tc>
          <w:tcPr>
            <w:tcW w:w="875" w:type="dxa"/>
          </w:tcPr>
          <w:p w:rsidR="000E79B6" w:rsidRPr="004D1DBC" w:rsidRDefault="000E79B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>260</w:t>
            </w:r>
          </w:p>
        </w:tc>
        <w:tc>
          <w:tcPr>
            <w:tcW w:w="889" w:type="dxa"/>
          </w:tcPr>
          <w:p w:rsidR="000E79B6" w:rsidRPr="004D1DBC" w:rsidRDefault="000E79B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4D1DBC">
              <w:rPr>
                <w:b/>
                <w:i/>
              </w:rPr>
              <w:t>770</w:t>
            </w:r>
          </w:p>
        </w:tc>
        <w:tc>
          <w:tcPr>
            <w:tcW w:w="864" w:type="dxa"/>
          </w:tcPr>
          <w:p w:rsidR="000E79B6" w:rsidRPr="004D1DBC" w:rsidRDefault="000E79B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>250</w:t>
            </w:r>
          </w:p>
        </w:tc>
        <w:tc>
          <w:tcPr>
            <w:tcW w:w="875" w:type="dxa"/>
          </w:tcPr>
          <w:p w:rsidR="000E79B6" w:rsidRPr="004D1DBC" w:rsidRDefault="000E79B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>270</w:t>
            </w:r>
          </w:p>
        </w:tc>
        <w:tc>
          <w:tcPr>
            <w:tcW w:w="878" w:type="dxa"/>
          </w:tcPr>
          <w:p w:rsidR="000E79B6" w:rsidRPr="004D1DBC" w:rsidRDefault="000E79B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>280</w:t>
            </w:r>
          </w:p>
        </w:tc>
        <w:tc>
          <w:tcPr>
            <w:tcW w:w="878" w:type="dxa"/>
          </w:tcPr>
          <w:p w:rsidR="000E79B6" w:rsidRPr="004D1DBC" w:rsidRDefault="000E79B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>290</w:t>
            </w:r>
          </w:p>
        </w:tc>
        <w:tc>
          <w:tcPr>
            <w:tcW w:w="878" w:type="dxa"/>
          </w:tcPr>
          <w:p w:rsidR="000E79B6" w:rsidRPr="004D1DBC" w:rsidRDefault="000E79B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>290</w:t>
            </w:r>
          </w:p>
        </w:tc>
        <w:tc>
          <w:tcPr>
            <w:tcW w:w="878" w:type="dxa"/>
          </w:tcPr>
          <w:p w:rsidR="000E79B6" w:rsidRPr="004D1DBC" w:rsidRDefault="000E79B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>300</w:t>
            </w:r>
          </w:p>
        </w:tc>
        <w:tc>
          <w:tcPr>
            <w:tcW w:w="878" w:type="dxa"/>
          </w:tcPr>
          <w:p w:rsidR="000E79B6" w:rsidRPr="004D1DBC" w:rsidRDefault="000E79B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>310</w:t>
            </w:r>
          </w:p>
        </w:tc>
        <w:tc>
          <w:tcPr>
            <w:tcW w:w="889" w:type="dxa"/>
          </w:tcPr>
          <w:p w:rsidR="000E79B6" w:rsidRPr="004D1DBC" w:rsidRDefault="000E79B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4D1DBC">
              <w:rPr>
                <w:b/>
                <w:i/>
              </w:rPr>
              <w:t>2,760</w:t>
            </w:r>
          </w:p>
        </w:tc>
      </w:tr>
      <w:tr w:rsidR="000E79B6" w:rsidRPr="002551A8" w:rsidTr="000E7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D7DDE9" w:themeFill="accent3"/>
            <w:vAlign w:val="center"/>
          </w:tcPr>
          <w:p w:rsidR="000E79B6" w:rsidRPr="00C24B2E" w:rsidRDefault="000E79B6" w:rsidP="00C24B2E">
            <w:pPr>
              <w:pStyle w:val="TableText"/>
            </w:pPr>
            <w:r w:rsidRPr="00C24B2E">
              <w:t>Total</w:t>
            </w:r>
          </w:p>
        </w:tc>
        <w:tc>
          <w:tcPr>
            <w:tcW w:w="874" w:type="dxa"/>
            <w:shd w:val="clear" w:color="auto" w:fill="D7DDE9" w:themeFill="accent3"/>
          </w:tcPr>
          <w:p w:rsidR="000E79B6" w:rsidRPr="000E79B6" w:rsidRDefault="000E79B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E79B6">
              <w:rPr>
                <w:b/>
              </w:rPr>
              <w:t>-</w:t>
            </w:r>
          </w:p>
        </w:tc>
        <w:tc>
          <w:tcPr>
            <w:tcW w:w="874" w:type="dxa"/>
            <w:shd w:val="clear" w:color="auto" w:fill="D7DDE9" w:themeFill="accent3"/>
          </w:tcPr>
          <w:p w:rsidR="000E79B6" w:rsidRPr="000E79B6" w:rsidRDefault="000E79B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4E94">
              <w:rPr>
                <w:b/>
              </w:rPr>
              <w:t>3,350</w:t>
            </w:r>
          </w:p>
        </w:tc>
        <w:tc>
          <w:tcPr>
            <w:tcW w:w="874" w:type="dxa"/>
            <w:shd w:val="clear" w:color="auto" w:fill="D7DDE9" w:themeFill="accent3"/>
          </w:tcPr>
          <w:p w:rsidR="000E79B6" w:rsidRPr="000E79B6" w:rsidRDefault="000E79B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4E94">
              <w:rPr>
                <w:b/>
              </w:rPr>
              <w:t>3,860</w:t>
            </w:r>
          </w:p>
        </w:tc>
        <w:tc>
          <w:tcPr>
            <w:tcW w:w="875" w:type="dxa"/>
            <w:shd w:val="clear" w:color="auto" w:fill="D7DDE9" w:themeFill="accent3"/>
          </w:tcPr>
          <w:p w:rsidR="000E79B6" w:rsidRPr="000E79B6" w:rsidRDefault="000E79B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4E94">
              <w:rPr>
                <w:b/>
              </w:rPr>
              <w:t>4,010</w:t>
            </w:r>
          </w:p>
        </w:tc>
        <w:tc>
          <w:tcPr>
            <w:tcW w:w="889" w:type="dxa"/>
            <w:shd w:val="clear" w:color="auto" w:fill="D7DDE9" w:themeFill="accent3"/>
          </w:tcPr>
          <w:p w:rsidR="000E79B6" w:rsidRPr="000E79B6" w:rsidRDefault="000E79B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4E94">
              <w:rPr>
                <w:b/>
              </w:rPr>
              <w:t>11,220</w:t>
            </w:r>
          </w:p>
        </w:tc>
        <w:tc>
          <w:tcPr>
            <w:tcW w:w="864" w:type="dxa"/>
            <w:shd w:val="clear" w:color="auto" w:fill="D7DDE9" w:themeFill="accent3"/>
          </w:tcPr>
          <w:p w:rsidR="000E79B6" w:rsidRPr="000E79B6" w:rsidRDefault="000E79B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4E94">
              <w:rPr>
                <w:b/>
              </w:rPr>
              <w:t>4,100</w:t>
            </w:r>
          </w:p>
        </w:tc>
        <w:tc>
          <w:tcPr>
            <w:tcW w:w="875" w:type="dxa"/>
            <w:shd w:val="clear" w:color="auto" w:fill="D7DDE9" w:themeFill="accent3"/>
          </w:tcPr>
          <w:p w:rsidR="000E79B6" w:rsidRPr="000E79B6" w:rsidRDefault="000E79B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4E94">
              <w:rPr>
                <w:b/>
              </w:rPr>
              <w:t>4,220</w:t>
            </w:r>
          </w:p>
        </w:tc>
        <w:tc>
          <w:tcPr>
            <w:tcW w:w="878" w:type="dxa"/>
            <w:shd w:val="clear" w:color="auto" w:fill="D7DDE9" w:themeFill="accent3"/>
          </w:tcPr>
          <w:p w:rsidR="000E79B6" w:rsidRPr="000E79B6" w:rsidRDefault="000E79B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4E94">
              <w:rPr>
                <w:b/>
              </w:rPr>
              <w:t>4,330</w:t>
            </w:r>
          </w:p>
        </w:tc>
        <w:tc>
          <w:tcPr>
            <w:tcW w:w="878" w:type="dxa"/>
            <w:shd w:val="clear" w:color="auto" w:fill="D7DDE9" w:themeFill="accent3"/>
          </w:tcPr>
          <w:p w:rsidR="000E79B6" w:rsidRPr="000E79B6" w:rsidRDefault="000E79B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4E94">
              <w:rPr>
                <w:b/>
              </w:rPr>
              <w:t>4,440</w:t>
            </w:r>
          </w:p>
        </w:tc>
        <w:tc>
          <w:tcPr>
            <w:tcW w:w="878" w:type="dxa"/>
            <w:shd w:val="clear" w:color="auto" w:fill="D7DDE9" w:themeFill="accent3"/>
          </w:tcPr>
          <w:p w:rsidR="000E79B6" w:rsidRPr="000E79B6" w:rsidRDefault="000E79B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4E94">
              <w:rPr>
                <w:b/>
              </w:rPr>
              <w:t>4,540</w:t>
            </w:r>
          </w:p>
        </w:tc>
        <w:tc>
          <w:tcPr>
            <w:tcW w:w="878" w:type="dxa"/>
            <w:shd w:val="clear" w:color="auto" w:fill="D7DDE9" w:themeFill="accent3"/>
          </w:tcPr>
          <w:p w:rsidR="000E79B6" w:rsidRPr="000E79B6" w:rsidRDefault="000E79B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4E94">
              <w:rPr>
                <w:b/>
              </w:rPr>
              <w:t>4,700</w:t>
            </w:r>
          </w:p>
        </w:tc>
        <w:tc>
          <w:tcPr>
            <w:tcW w:w="878" w:type="dxa"/>
            <w:shd w:val="clear" w:color="auto" w:fill="D7DDE9" w:themeFill="accent3"/>
          </w:tcPr>
          <w:p w:rsidR="000E79B6" w:rsidRPr="000E79B6" w:rsidRDefault="000E79B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4E94">
              <w:rPr>
                <w:b/>
              </w:rPr>
              <w:t>4,810</w:t>
            </w:r>
          </w:p>
        </w:tc>
        <w:tc>
          <w:tcPr>
            <w:tcW w:w="889" w:type="dxa"/>
            <w:shd w:val="clear" w:color="auto" w:fill="D7DDE9" w:themeFill="accent3"/>
          </w:tcPr>
          <w:p w:rsidR="000E79B6" w:rsidRPr="000E79B6" w:rsidRDefault="000E79B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4E94">
              <w:rPr>
                <w:b/>
              </w:rPr>
              <w:t>42,360</w:t>
            </w:r>
          </w:p>
        </w:tc>
      </w:tr>
    </w:tbl>
    <w:p w:rsidR="00773087" w:rsidRPr="00773087" w:rsidRDefault="00773087" w:rsidP="00D25DD1">
      <w:pPr>
        <w:pStyle w:val="TableFootnotes"/>
        <w:numPr>
          <w:ilvl w:val="0"/>
          <w:numId w:val="26"/>
        </w:numPr>
        <w:ind w:left="284" w:hanging="284"/>
      </w:pPr>
      <w:r w:rsidRPr="00773087">
        <w:t>A positive number for the underlying cash balance indicates an increase in receipts or a decrease in outlays or net capital investment in cash terms</w:t>
      </w:r>
      <w:r w:rsidR="002A61C2">
        <w:t xml:space="preserve">.  </w:t>
      </w:r>
      <w:r w:rsidRPr="00773087">
        <w:t>A negative number for the underlying cash balance indicates a decrease in receipts or an increase in outlays or net capital investment in cash terms.</w:t>
      </w:r>
    </w:p>
    <w:p w:rsidR="008F35C0" w:rsidRDefault="008F35C0" w:rsidP="00D25DD1">
      <w:pPr>
        <w:pStyle w:val="TableFootnotes"/>
        <w:keepNext/>
        <w:ind w:left="284" w:hanging="284"/>
      </w:pPr>
      <w:r>
        <w:t>Figures may not sum to totals due to rounding.</w:t>
      </w:r>
    </w:p>
    <w:p w:rsidR="008F35C0" w:rsidRDefault="008F35C0" w:rsidP="00D25DD1">
      <w:pPr>
        <w:pStyle w:val="TableFootnotes"/>
        <w:keepLines w:val="0"/>
        <w:numPr>
          <w:ilvl w:val="0"/>
          <w:numId w:val="11"/>
        </w:numPr>
        <w:ind w:left="284" w:hanging="284"/>
      </w:pPr>
      <w:r>
        <w:t>Indicates nil.</w:t>
      </w:r>
    </w:p>
    <w:p w:rsidR="008F35C0" w:rsidRPr="003509E4" w:rsidRDefault="008F35C0" w:rsidP="008F35C0">
      <w:pPr>
        <w:pStyle w:val="Caption"/>
        <w:keepLines/>
        <w:rPr>
          <w:vertAlign w:val="superscript"/>
        </w:rPr>
      </w:pPr>
      <w:r w:rsidRPr="002D239A">
        <w:lastRenderedPageBreak/>
        <w:t xml:space="preserve">Table </w:t>
      </w:r>
      <w:r w:rsidR="00841D28">
        <w:fldChar w:fldCharType="begin"/>
      </w:r>
      <w:r w:rsidR="00841D28">
        <w:instrText xml:space="preserve"> STYLEREF 8 \s </w:instrText>
      </w:r>
      <w:r w:rsidR="00841D28">
        <w:fldChar w:fldCharType="separate"/>
      </w:r>
      <w:r w:rsidR="00FA2756">
        <w:rPr>
          <w:noProof/>
        </w:rPr>
        <w:t>A</w:t>
      </w:r>
      <w:r w:rsidR="00841D28">
        <w:rPr>
          <w:noProof/>
        </w:rPr>
        <w:fldChar w:fldCharType="end"/>
      </w:r>
      <w:r w:rsidR="00841D28">
        <w:fldChar w:fldCharType="begin"/>
      </w:r>
      <w:r w:rsidR="00841D28">
        <w:instrText xml:space="preserve"> SEQ AppendixTable\s 8 </w:instrText>
      </w:r>
      <w:r w:rsidR="00841D28">
        <w:fldChar w:fldCharType="separate"/>
      </w:r>
      <w:r w:rsidR="00FA2756">
        <w:rPr>
          <w:noProof/>
        </w:rPr>
        <w:t>3</w:t>
      </w:r>
      <w:r w:rsidR="00841D28">
        <w:rPr>
          <w:noProof/>
        </w:rPr>
        <w:fldChar w:fldCharType="end"/>
      </w:r>
      <w:r w:rsidRPr="002D239A">
        <w:t xml:space="preserve">: </w:t>
      </w:r>
      <w:r>
        <w:t>Headline cash balance—Financial implications (outturn prices</w:t>
      </w:r>
      <w:proofErr w:type="gramStart"/>
      <w:r>
        <w:t>)</w:t>
      </w:r>
      <w:r w:rsidRPr="002D239A">
        <w:rPr>
          <w:vertAlign w:val="superscript"/>
        </w:rPr>
        <w:t>(</w:t>
      </w:r>
      <w:proofErr w:type="gramEnd"/>
      <w:r w:rsidRPr="002D239A">
        <w:rPr>
          <w:vertAlign w:val="superscript"/>
        </w:rPr>
        <w:t>a)(b)</w:t>
      </w:r>
    </w:p>
    <w:tbl>
      <w:tblPr>
        <w:tblStyle w:val="LightGrid-Accent6"/>
        <w:tblW w:w="14385" w:type="dxa"/>
        <w:tblLayout w:type="fixed"/>
        <w:tblLook w:val="0680" w:firstRow="0" w:lastRow="0" w:firstColumn="1" w:lastColumn="0" w:noHBand="1" w:noVBand="1"/>
      </w:tblPr>
      <w:tblGrid>
        <w:gridCol w:w="2662"/>
        <w:gridCol w:w="886"/>
        <w:gridCol w:w="886"/>
        <w:gridCol w:w="921"/>
        <w:gridCol w:w="852"/>
        <w:gridCol w:w="995"/>
        <w:gridCol w:w="883"/>
        <w:gridCol w:w="883"/>
        <w:gridCol w:w="883"/>
        <w:gridCol w:w="886"/>
        <w:gridCol w:w="886"/>
        <w:gridCol w:w="886"/>
        <w:gridCol w:w="886"/>
        <w:gridCol w:w="990"/>
      </w:tblGrid>
      <w:tr w:rsidR="000E79B6" w:rsidTr="000E7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2" w:type="dxa"/>
            <w:shd w:val="clear" w:color="auto" w:fill="D7DDE9" w:themeFill="accent3"/>
            <w:vAlign w:val="center"/>
          </w:tcPr>
          <w:p w:rsidR="008F35C0" w:rsidRPr="002D239A" w:rsidRDefault="008F35C0" w:rsidP="009179B9">
            <w:pPr>
              <w:pStyle w:val="TableHeading"/>
              <w:ind w:left="-57" w:right="-57"/>
            </w:pPr>
            <w:r>
              <w:t>($m)</w:t>
            </w:r>
          </w:p>
        </w:tc>
        <w:tc>
          <w:tcPr>
            <w:tcW w:w="886" w:type="dxa"/>
            <w:shd w:val="clear" w:color="auto" w:fill="D7DDE9" w:themeFill="accent3"/>
            <w:vAlign w:val="center"/>
          </w:tcPr>
          <w:p w:rsidR="008F35C0" w:rsidRPr="002D239A" w:rsidRDefault="008F35C0" w:rsidP="007661A7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2016–17</w:t>
            </w:r>
          </w:p>
        </w:tc>
        <w:tc>
          <w:tcPr>
            <w:tcW w:w="886" w:type="dxa"/>
            <w:shd w:val="clear" w:color="auto" w:fill="D7DDE9" w:themeFill="accent3"/>
            <w:vAlign w:val="center"/>
          </w:tcPr>
          <w:p w:rsidR="008F35C0" w:rsidRPr="002D239A" w:rsidRDefault="008F35C0" w:rsidP="007661A7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2017–18</w:t>
            </w:r>
          </w:p>
        </w:tc>
        <w:tc>
          <w:tcPr>
            <w:tcW w:w="921" w:type="dxa"/>
            <w:shd w:val="clear" w:color="auto" w:fill="D7DDE9" w:themeFill="accent3"/>
            <w:vAlign w:val="center"/>
          </w:tcPr>
          <w:p w:rsidR="008F35C0" w:rsidRPr="002D239A" w:rsidRDefault="008F35C0" w:rsidP="007661A7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2018–19</w:t>
            </w:r>
          </w:p>
        </w:tc>
        <w:tc>
          <w:tcPr>
            <w:tcW w:w="852" w:type="dxa"/>
            <w:shd w:val="clear" w:color="auto" w:fill="D7DDE9" w:themeFill="accent3"/>
            <w:vAlign w:val="center"/>
          </w:tcPr>
          <w:p w:rsidR="008F35C0" w:rsidRPr="002D239A" w:rsidRDefault="008F35C0" w:rsidP="007661A7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2019–20</w:t>
            </w:r>
          </w:p>
        </w:tc>
        <w:tc>
          <w:tcPr>
            <w:tcW w:w="995" w:type="dxa"/>
            <w:shd w:val="clear" w:color="auto" w:fill="D7DDE9" w:themeFill="accent3"/>
            <w:vAlign w:val="center"/>
          </w:tcPr>
          <w:p w:rsidR="008F35C0" w:rsidRPr="002D239A" w:rsidRDefault="008F35C0" w:rsidP="007661A7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Total to 2019–20</w:t>
            </w:r>
          </w:p>
        </w:tc>
        <w:tc>
          <w:tcPr>
            <w:tcW w:w="883" w:type="dxa"/>
            <w:shd w:val="clear" w:color="auto" w:fill="D7DDE9" w:themeFill="accent3"/>
            <w:vAlign w:val="center"/>
          </w:tcPr>
          <w:p w:rsidR="008F35C0" w:rsidRPr="007B57C9" w:rsidRDefault="008F35C0" w:rsidP="007661A7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2020–21</w:t>
            </w:r>
          </w:p>
        </w:tc>
        <w:tc>
          <w:tcPr>
            <w:tcW w:w="883" w:type="dxa"/>
            <w:shd w:val="clear" w:color="auto" w:fill="D7DDE9" w:themeFill="accent3"/>
            <w:vAlign w:val="center"/>
          </w:tcPr>
          <w:p w:rsidR="008F35C0" w:rsidRPr="007B57C9" w:rsidRDefault="008F35C0" w:rsidP="007661A7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2021–22</w:t>
            </w:r>
          </w:p>
        </w:tc>
        <w:tc>
          <w:tcPr>
            <w:tcW w:w="883" w:type="dxa"/>
            <w:shd w:val="clear" w:color="auto" w:fill="D7DDE9" w:themeFill="accent3"/>
            <w:vAlign w:val="center"/>
          </w:tcPr>
          <w:p w:rsidR="008F35C0" w:rsidRPr="007B57C9" w:rsidRDefault="008F35C0" w:rsidP="007661A7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2022–23</w:t>
            </w:r>
          </w:p>
        </w:tc>
        <w:tc>
          <w:tcPr>
            <w:tcW w:w="886" w:type="dxa"/>
            <w:shd w:val="clear" w:color="auto" w:fill="D7DDE9" w:themeFill="accent3"/>
            <w:vAlign w:val="center"/>
          </w:tcPr>
          <w:p w:rsidR="008F35C0" w:rsidRPr="007B57C9" w:rsidRDefault="008F35C0" w:rsidP="007661A7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2023–24</w:t>
            </w:r>
          </w:p>
        </w:tc>
        <w:tc>
          <w:tcPr>
            <w:tcW w:w="886" w:type="dxa"/>
            <w:shd w:val="clear" w:color="auto" w:fill="D7DDE9" w:themeFill="accent3"/>
            <w:vAlign w:val="center"/>
          </w:tcPr>
          <w:p w:rsidR="008F35C0" w:rsidRPr="007B57C9" w:rsidRDefault="008F35C0" w:rsidP="007661A7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2024–25</w:t>
            </w:r>
          </w:p>
        </w:tc>
        <w:tc>
          <w:tcPr>
            <w:tcW w:w="886" w:type="dxa"/>
            <w:shd w:val="clear" w:color="auto" w:fill="D7DDE9" w:themeFill="accent3"/>
            <w:vAlign w:val="center"/>
          </w:tcPr>
          <w:p w:rsidR="008F35C0" w:rsidRPr="007B57C9" w:rsidRDefault="008F35C0" w:rsidP="007661A7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2025–26</w:t>
            </w:r>
          </w:p>
        </w:tc>
        <w:tc>
          <w:tcPr>
            <w:tcW w:w="886" w:type="dxa"/>
            <w:shd w:val="clear" w:color="auto" w:fill="D7DDE9" w:themeFill="accent3"/>
            <w:vAlign w:val="center"/>
          </w:tcPr>
          <w:p w:rsidR="008F35C0" w:rsidRPr="007B57C9" w:rsidRDefault="008F35C0" w:rsidP="007661A7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2026–27</w:t>
            </w:r>
          </w:p>
        </w:tc>
        <w:tc>
          <w:tcPr>
            <w:tcW w:w="990" w:type="dxa"/>
            <w:shd w:val="clear" w:color="auto" w:fill="D7DDE9" w:themeFill="accent3"/>
            <w:vAlign w:val="center"/>
          </w:tcPr>
          <w:p w:rsidR="008F35C0" w:rsidRPr="002D239A" w:rsidRDefault="008F35C0" w:rsidP="007661A7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Total to 2026–27</w:t>
            </w:r>
          </w:p>
        </w:tc>
      </w:tr>
      <w:tr w:rsidR="00C05E76" w:rsidRPr="004D1DBC" w:rsidTr="00324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2" w:type="dxa"/>
            <w:vAlign w:val="center"/>
          </w:tcPr>
          <w:p w:rsidR="00C05E76" w:rsidRPr="00D25DD1" w:rsidRDefault="00C05E76" w:rsidP="002551A8">
            <w:pPr>
              <w:pStyle w:val="TableText"/>
              <w:rPr>
                <w:b w:val="0"/>
              </w:rPr>
            </w:pPr>
            <w:r w:rsidRPr="00D25DD1">
              <w:rPr>
                <w:b w:val="0"/>
              </w:rPr>
              <w:t>Return of paid-in capital</w:t>
            </w:r>
          </w:p>
        </w:tc>
        <w:tc>
          <w:tcPr>
            <w:tcW w:w="886" w:type="dxa"/>
          </w:tcPr>
          <w:p w:rsidR="00C05E76" w:rsidRPr="004D1DBC" w:rsidRDefault="00C05E76" w:rsidP="00C05E7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>-</w:t>
            </w:r>
          </w:p>
        </w:tc>
        <w:tc>
          <w:tcPr>
            <w:tcW w:w="886" w:type="dxa"/>
          </w:tcPr>
          <w:p w:rsidR="00C05E76" w:rsidRPr="004D1DBC" w:rsidRDefault="00C05E76" w:rsidP="00C05E7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>-</w:t>
            </w:r>
          </w:p>
        </w:tc>
        <w:tc>
          <w:tcPr>
            <w:tcW w:w="921" w:type="dxa"/>
          </w:tcPr>
          <w:p w:rsidR="00C05E76" w:rsidRPr="004D1DBC" w:rsidRDefault="00C05E76" w:rsidP="00C05E7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 xml:space="preserve">200 </w:t>
            </w:r>
          </w:p>
        </w:tc>
        <w:tc>
          <w:tcPr>
            <w:tcW w:w="852" w:type="dxa"/>
          </w:tcPr>
          <w:p w:rsidR="00C05E76" w:rsidRPr="004D1DBC" w:rsidRDefault="00C05E76" w:rsidP="00C05E7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 xml:space="preserve">1,000 </w:t>
            </w:r>
          </w:p>
        </w:tc>
        <w:tc>
          <w:tcPr>
            <w:tcW w:w="995" w:type="dxa"/>
          </w:tcPr>
          <w:p w:rsidR="00C05E76" w:rsidRPr="004D1DBC" w:rsidRDefault="00C05E76" w:rsidP="00C05E7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4D1DBC">
              <w:rPr>
                <w:b/>
                <w:i/>
              </w:rPr>
              <w:t xml:space="preserve">1,200 </w:t>
            </w:r>
          </w:p>
        </w:tc>
        <w:tc>
          <w:tcPr>
            <w:tcW w:w="883" w:type="dxa"/>
          </w:tcPr>
          <w:p w:rsidR="00C05E76" w:rsidRPr="004D1DBC" w:rsidRDefault="00C05E76" w:rsidP="00C05E7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 xml:space="preserve">800 </w:t>
            </w:r>
          </w:p>
        </w:tc>
        <w:tc>
          <w:tcPr>
            <w:tcW w:w="883" w:type="dxa"/>
          </w:tcPr>
          <w:p w:rsidR="00C05E76" w:rsidRPr="004D1DBC" w:rsidRDefault="00C05E76" w:rsidP="00C05E7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 xml:space="preserve">800 </w:t>
            </w:r>
          </w:p>
        </w:tc>
        <w:tc>
          <w:tcPr>
            <w:tcW w:w="883" w:type="dxa"/>
          </w:tcPr>
          <w:p w:rsidR="00C05E76" w:rsidRPr="004D1DBC" w:rsidRDefault="00C05E76" w:rsidP="00C05E7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 xml:space="preserve">800 </w:t>
            </w:r>
          </w:p>
        </w:tc>
        <w:tc>
          <w:tcPr>
            <w:tcW w:w="886" w:type="dxa"/>
          </w:tcPr>
          <w:p w:rsidR="00C05E76" w:rsidRPr="004D1DBC" w:rsidRDefault="00C05E76" w:rsidP="00C05E7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 xml:space="preserve">800 </w:t>
            </w:r>
          </w:p>
        </w:tc>
        <w:tc>
          <w:tcPr>
            <w:tcW w:w="886" w:type="dxa"/>
          </w:tcPr>
          <w:p w:rsidR="00C05E76" w:rsidRPr="004D1DBC" w:rsidRDefault="00C05E76" w:rsidP="00C05E7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 xml:space="preserve">800 </w:t>
            </w:r>
          </w:p>
        </w:tc>
        <w:tc>
          <w:tcPr>
            <w:tcW w:w="886" w:type="dxa"/>
          </w:tcPr>
          <w:p w:rsidR="00C05E76" w:rsidRPr="004D1DBC" w:rsidRDefault="00C05E76" w:rsidP="00C05E7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 xml:space="preserve">800 </w:t>
            </w:r>
          </w:p>
        </w:tc>
        <w:tc>
          <w:tcPr>
            <w:tcW w:w="886" w:type="dxa"/>
          </w:tcPr>
          <w:p w:rsidR="00C05E76" w:rsidRPr="004D1DBC" w:rsidRDefault="00C05E76" w:rsidP="00C05E7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 xml:space="preserve">800 </w:t>
            </w:r>
          </w:p>
        </w:tc>
        <w:tc>
          <w:tcPr>
            <w:tcW w:w="990" w:type="dxa"/>
          </w:tcPr>
          <w:p w:rsidR="00C05E76" w:rsidRPr="004D1DBC" w:rsidRDefault="00C05E76" w:rsidP="00C05E7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4D1DBC">
              <w:rPr>
                <w:b/>
                <w:i/>
              </w:rPr>
              <w:t xml:space="preserve">6,800 </w:t>
            </w:r>
          </w:p>
        </w:tc>
      </w:tr>
      <w:tr w:rsidR="00C05E76" w:rsidRPr="004D1DBC" w:rsidTr="00324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2" w:type="dxa"/>
            <w:vAlign w:val="center"/>
          </w:tcPr>
          <w:p w:rsidR="00C05E76" w:rsidRPr="00D25DD1" w:rsidRDefault="00C05E76" w:rsidP="002551A8">
            <w:pPr>
              <w:pStyle w:val="TableText"/>
              <w:rPr>
                <w:b w:val="0"/>
              </w:rPr>
            </w:pPr>
            <w:r w:rsidRPr="00D25DD1">
              <w:rPr>
                <w:b w:val="0"/>
              </w:rPr>
              <w:t>Administered outlays</w:t>
            </w:r>
          </w:p>
        </w:tc>
        <w:tc>
          <w:tcPr>
            <w:tcW w:w="886" w:type="dxa"/>
          </w:tcPr>
          <w:p w:rsidR="00C05E76" w:rsidRPr="004D1DBC" w:rsidRDefault="00C05E76" w:rsidP="00C05E7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>-</w:t>
            </w:r>
          </w:p>
        </w:tc>
        <w:tc>
          <w:tcPr>
            <w:tcW w:w="886" w:type="dxa"/>
          </w:tcPr>
          <w:p w:rsidR="00C05E76" w:rsidRPr="004D1DBC" w:rsidRDefault="00C05E76" w:rsidP="00C05E7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 xml:space="preserve">3,100 </w:t>
            </w:r>
          </w:p>
        </w:tc>
        <w:tc>
          <w:tcPr>
            <w:tcW w:w="921" w:type="dxa"/>
          </w:tcPr>
          <w:p w:rsidR="00C05E76" w:rsidRPr="004D1DBC" w:rsidRDefault="00C05E76" w:rsidP="00C05E7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 xml:space="preserve">3,600 </w:t>
            </w:r>
          </w:p>
        </w:tc>
        <w:tc>
          <w:tcPr>
            <w:tcW w:w="852" w:type="dxa"/>
          </w:tcPr>
          <w:p w:rsidR="00C05E76" w:rsidRPr="004D1DBC" w:rsidRDefault="00C05E76" w:rsidP="00C05E7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 xml:space="preserve">3,750 </w:t>
            </w:r>
          </w:p>
        </w:tc>
        <w:tc>
          <w:tcPr>
            <w:tcW w:w="995" w:type="dxa"/>
          </w:tcPr>
          <w:p w:rsidR="00C05E76" w:rsidRPr="004D1DBC" w:rsidRDefault="00C05E76" w:rsidP="00C05E7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4D1DBC">
              <w:rPr>
                <w:b/>
                <w:i/>
              </w:rPr>
              <w:t xml:space="preserve">10,450 </w:t>
            </w:r>
          </w:p>
        </w:tc>
        <w:tc>
          <w:tcPr>
            <w:tcW w:w="883" w:type="dxa"/>
          </w:tcPr>
          <w:p w:rsidR="00C05E76" w:rsidRPr="004D1DBC" w:rsidRDefault="00C05E76" w:rsidP="00C05E7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 xml:space="preserve">3,850 </w:t>
            </w:r>
          </w:p>
        </w:tc>
        <w:tc>
          <w:tcPr>
            <w:tcW w:w="883" w:type="dxa"/>
          </w:tcPr>
          <w:p w:rsidR="00C05E76" w:rsidRPr="004D1DBC" w:rsidRDefault="00C05E76" w:rsidP="00C05E7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 xml:space="preserve">3,950 </w:t>
            </w:r>
          </w:p>
        </w:tc>
        <w:tc>
          <w:tcPr>
            <w:tcW w:w="883" w:type="dxa"/>
          </w:tcPr>
          <w:p w:rsidR="00C05E76" w:rsidRPr="004D1DBC" w:rsidRDefault="00C05E76" w:rsidP="00C05E7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 xml:space="preserve">4,050 </w:t>
            </w:r>
          </w:p>
        </w:tc>
        <w:tc>
          <w:tcPr>
            <w:tcW w:w="886" w:type="dxa"/>
          </w:tcPr>
          <w:p w:rsidR="00C05E76" w:rsidRPr="004D1DBC" w:rsidRDefault="00C05E76" w:rsidP="00C05E7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 xml:space="preserve">4,150 </w:t>
            </w:r>
          </w:p>
        </w:tc>
        <w:tc>
          <w:tcPr>
            <w:tcW w:w="886" w:type="dxa"/>
          </w:tcPr>
          <w:p w:rsidR="00C05E76" w:rsidRPr="004D1DBC" w:rsidRDefault="00C05E76" w:rsidP="00C05E7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 xml:space="preserve">4,250 </w:t>
            </w:r>
          </w:p>
        </w:tc>
        <w:tc>
          <w:tcPr>
            <w:tcW w:w="886" w:type="dxa"/>
          </w:tcPr>
          <w:p w:rsidR="00C05E76" w:rsidRPr="004D1DBC" w:rsidRDefault="00C05E76" w:rsidP="00C05E7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 xml:space="preserve">4,400 </w:t>
            </w:r>
          </w:p>
        </w:tc>
        <w:tc>
          <w:tcPr>
            <w:tcW w:w="886" w:type="dxa"/>
          </w:tcPr>
          <w:p w:rsidR="00C05E76" w:rsidRPr="004D1DBC" w:rsidRDefault="00C05E76" w:rsidP="00C05E7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 xml:space="preserve">4,500 </w:t>
            </w:r>
          </w:p>
        </w:tc>
        <w:tc>
          <w:tcPr>
            <w:tcW w:w="990" w:type="dxa"/>
          </w:tcPr>
          <w:p w:rsidR="00C05E76" w:rsidRPr="004D1DBC" w:rsidRDefault="00C05E76" w:rsidP="00C05E7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4D1DBC">
              <w:rPr>
                <w:b/>
                <w:i/>
              </w:rPr>
              <w:t xml:space="preserve">39,600 </w:t>
            </w:r>
          </w:p>
        </w:tc>
      </w:tr>
      <w:tr w:rsidR="00C05E76" w:rsidRPr="004D1DBC" w:rsidTr="00324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2" w:type="dxa"/>
            <w:shd w:val="clear" w:color="auto" w:fill="auto"/>
            <w:vAlign w:val="center"/>
          </w:tcPr>
          <w:p w:rsidR="00C05E76" w:rsidRPr="00D25DD1" w:rsidRDefault="00C05E76">
            <w:pPr>
              <w:pStyle w:val="TableText"/>
              <w:rPr>
                <w:b w:val="0"/>
              </w:rPr>
            </w:pPr>
            <w:r w:rsidRPr="00D25DD1">
              <w:rPr>
                <w:b w:val="0"/>
              </w:rPr>
              <w:t>Departmental outlays</w:t>
            </w:r>
          </w:p>
        </w:tc>
        <w:tc>
          <w:tcPr>
            <w:tcW w:w="886" w:type="dxa"/>
            <w:shd w:val="clear" w:color="auto" w:fill="auto"/>
          </w:tcPr>
          <w:p w:rsidR="00C05E76" w:rsidRPr="004D1DBC" w:rsidRDefault="00C05E76" w:rsidP="00C05E7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>-</w:t>
            </w:r>
          </w:p>
        </w:tc>
        <w:tc>
          <w:tcPr>
            <w:tcW w:w="886" w:type="dxa"/>
            <w:shd w:val="clear" w:color="auto" w:fill="auto"/>
          </w:tcPr>
          <w:p w:rsidR="00C05E76" w:rsidRPr="004D1DBC" w:rsidRDefault="00C05E76" w:rsidP="00C05E7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 xml:space="preserve">250 </w:t>
            </w:r>
          </w:p>
        </w:tc>
        <w:tc>
          <w:tcPr>
            <w:tcW w:w="921" w:type="dxa"/>
            <w:shd w:val="clear" w:color="auto" w:fill="auto"/>
          </w:tcPr>
          <w:p w:rsidR="00C05E76" w:rsidRPr="004D1DBC" w:rsidRDefault="00C05E76" w:rsidP="00C05E7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 xml:space="preserve">260 </w:t>
            </w:r>
          </w:p>
        </w:tc>
        <w:tc>
          <w:tcPr>
            <w:tcW w:w="852" w:type="dxa"/>
            <w:shd w:val="clear" w:color="auto" w:fill="auto"/>
          </w:tcPr>
          <w:p w:rsidR="00C05E76" w:rsidRPr="004D1DBC" w:rsidRDefault="00C05E76" w:rsidP="00C05E7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 xml:space="preserve">260 </w:t>
            </w:r>
          </w:p>
        </w:tc>
        <w:tc>
          <w:tcPr>
            <w:tcW w:w="995" w:type="dxa"/>
            <w:shd w:val="clear" w:color="auto" w:fill="auto"/>
          </w:tcPr>
          <w:p w:rsidR="00C05E76" w:rsidRPr="004D1DBC" w:rsidRDefault="00C05E76" w:rsidP="00C05E7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4D1DBC">
              <w:rPr>
                <w:b/>
                <w:i/>
              </w:rPr>
              <w:t xml:space="preserve">770 </w:t>
            </w:r>
          </w:p>
        </w:tc>
        <w:tc>
          <w:tcPr>
            <w:tcW w:w="883" w:type="dxa"/>
            <w:shd w:val="clear" w:color="auto" w:fill="auto"/>
          </w:tcPr>
          <w:p w:rsidR="00C05E76" w:rsidRPr="004D1DBC" w:rsidRDefault="00C05E76" w:rsidP="00C05E7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 xml:space="preserve">270 </w:t>
            </w:r>
          </w:p>
        </w:tc>
        <w:tc>
          <w:tcPr>
            <w:tcW w:w="883" w:type="dxa"/>
            <w:shd w:val="clear" w:color="auto" w:fill="auto"/>
          </w:tcPr>
          <w:p w:rsidR="00C05E76" w:rsidRPr="004D1DBC" w:rsidRDefault="00C05E76" w:rsidP="00C05E7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 xml:space="preserve">270 </w:t>
            </w:r>
          </w:p>
        </w:tc>
        <w:tc>
          <w:tcPr>
            <w:tcW w:w="883" w:type="dxa"/>
            <w:shd w:val="clear" w:color="auto" w:fill="auto"/>
          </w:tcPr>
          <w:p w:rsidR="00C05E76" w:rsidRPr="004D1DBC" w:rsidRDefault="00C05E76" w:rsidP="00C05E7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 xml:space="preserve">280 </w:t>
            </w:r>
          </w:p>
        </w:tc>
        <w:tc>
          <w:tcPr>
            <w:tcW w:w="886" w:type="dxa"/>
            <w:shd w:val="clear" w:color="auto" w:fill="auto"/>
          </w:tcPr>
          <w:p w:rsidR="00C05E76" w:rsidRPr="004D1DBC" w:rsidRDefault="00C05E76" w:rsidP="00C05E7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 xml:space="preserve">290 </w:t>
            </w:r>
          </w:p>
        </w:tc>
        <w:tc>
          <w:tcPr>
            <w:tcW w:w="886" w:type="dxa"/>
            <w:shd w:val="clear" w:color="auto" w:fill="auto"/>
          </w:tcPr>
          <w:p w:rsidR="00C05E76" w:rsidRPr="004D1DBC" w:rsidRDefault="00C05E76" w:rsidP="00C05E7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 xml:space="preserve">290 </w:t>
            </w:r>
          </w:p>
        </w:tc>
        <w:tc>
          <w:tcPr>
            <w:tcW w:w="886" w:type="dxa"/>
            <w:shd w:val="clear" w:color="auto" w:fill="auto"/>
          </w:tcPr>
          <w:p w:rsidR="00C05E76" w:rsidRPr="004D1DBC" w:rsidRDefault="00C05E76" w:rsidP="00C05E7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 xml:space="preserve">300 </w:t>
            </w:r>
          </w:p>
        </w:tc>
        <w:tc>
          <w:tcPr>
            <w:tcW w:w="886" w:type="dxa"/>
            <w:shd w:val="clear" w:color="auto" w:fill="auto"/>
          </w:tcPr>
          <w:p w:rsidR="00C05E76" w:rsidRPr="004D1DBC" w:rsidRDefault="00C05E76" w:rsidP="00C05E7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1DBC">
              <w:rPr>
                <w:i/>
              </w:rPr>
              <w:t xml:space="preserve">310 </w:t>
            </w:r>
          </w:p>
        </w:tc>
        <w:tc>
          <w:tcPr>
            <w:tcW w:w="990" w:type="dxa"/>
            <w:shd w:val="clear" w:color="auto" w:fill="auto"/>
          </w:tcPr>
          <w:p w:rsidR="00C05E76" w:rsidRPr="004D1DBC" w:rsidRDefault="00C05E76" w:rsidP="00C05E7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4D1DBC">
              <w:rPr>
                <w:b/>
                <w:i/>
              </w:rPr>
              <w:t xml:space="preserve">2,780 </w:t>
            </w:r>
          </w:p>
        </w:tc>
      </w:tr>
      <w:tr w:rsidR="00C05E76" w:rsidRPr="007661A7" w:rsidTr="000E7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2" w:type="dxa"/>
            <w:shd w:val="clear" w:color="auto" w:fill="D7DDE9" w:themeFill="accent3"/>
            <w:vAlign w:val="center"/>
          </w:tcPr>
          <w:p w:rsidR="00C05E76" w:rsidRPr="007661A7" w:rsidRDefault="00C05E76" w:rsidP="002551A8">
            <w:pPr>
              <w:pStyle w:val="TableText"/>
            </w:pPr>
            <w:r w:rsidRPr="007661A7">
              <w:t>Total</w:t>
            </w:r>
          </w:p>
        </w:tc>
        <w:tc>
          <w:tcPr>
            <w:tcW w:w="886" w:type="dxa"/>
            <w:shd w:val="clear" w:color="auto" w:fill="D7DDE9" w:themeFill="accent3"/>
          </w:tcPr>
          <w:p w:rsidR="00C05E76" w:rsidRPr="00F86B84" w:rsidRDefault="00C05E76" w:rsidP="00C05E7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86B84">
              <w:rPr>
                <w:b/>
              </w:rPr>
              <w:t>-</w:t>
            </w:r>
          </w:p>
        </w:tc>
        <w:tc>
          <w:tcPr>
            <w:tcW w:w="886" w:type="dxa"/>
            <w:shd w:val="clear" w:color="auto" w:fill="D7DDE9" w:themeFill="accent3"/>
          </w:tcPr>
          <w:p w:rsidR="00C05E76" w:rsidRPr="00F86B84" w:rsidRDefault="00C05E76" w:rsidP="00C05E7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86B84">
              <w:rPr>
                <w:b/>
              </w:rPr>
              <w:t xml:space="preserve">3,350 </w:t>
            </w:r>
          </w:p>
        </w:tc>
        <w:tc>
          <w:tcPr>
            <w:tcW w:w="921" w:type="dxa"/>
            <w:shd w:val="clear" w:color="auto" w:fill="D7DDE9" w:themeFill="accent3"/>
          </w:tcPr>
          <w:p w:rsidR="00C05E76" w:rsidRPr="00F86B84" w:rsidRDefault="00C05E76" w:rsidP="00C05E7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86B84">
              <w:rPr>
                <w:b/>
              </w:rPr>
              <w:t xml:space="preserve">4,060 </w:t>
            </w:r>
          </w:p>
        </w:tc>
        <w:tc>
          <w:tcPr>
            <w:tcW w:w="852" w:type="dxa"/>
            <w:shd w:val="clear" w:color="auto" w:fill="D7DDE9" w:themeFill="accent3"/>
          </w:tcPr>
          <w:p w:rsidR="00C05E76" w:rsidRPr="00F86B84" w:rsidRDefault="00C05E76" w:rsidP="00C05E7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86B84">
              <w:rPr>
                <w:b/>
              </w:rPr>
              <w:t xml:space="preserve">5,010 </w:t>
            </w:r>
          </w:p>
        </w:tc>
        <w:tc>
          <w:tcPr>
            <w:tcW w:w="995" w:type="dxa"/>
            <w:shd w:val="clear" w:color="auto" w:fill="D7DDE9" w:themeFill="accent3"/>
          </w:tcPr>
          <w:p w:rsidR="00C05E76" w:rsidRPr="00F86B84" w:rsidRDefault="00C05E76" w:rsidP="00C05E7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86B84">
              <w:rPr>
                <w:b/>
              </w:rPr>
              <w:t xml:space="preserve">12,420 </w:t>
            </w:r>
          </w:p>
        </w:tc>
        <w:tc>
          <w:tcPr>
            <w:tcW w:w="883" w:type="dxa"/>
            <w:shd w:val="clear" w:color="auto" w:fill="D7DDE9" w:themeFill="accent3"/>
          </w:tcPr>
          <w:p w:rsidR="00C05E76" w:rsidRPr="00F86B84" w:rsidRDefault="00C05E76" w:rsidP="00C05E7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86B84">
              <w:rPr>
                <w:b/>
              </w:rPr>
              <w:t xml:space="preserve">4,920 </w:t>
            </w:r>
          </w:p>
        </w:tc>
        <w:tc>
          <w:tcPr>
            <w:tcW w:w="883" w:type="dxa"/>
            <w:shd w:val="clear" w:color="auto" w:fill="D7DDE9" w:themeFill="accent3"/>
          </w:tcPr>
          <w:p w:rsidR="00C05E76" w:rsidRPr="00F86B84" w:rsidRDefault="00C05E76" w:rsidP="00C05E7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86B84">
              <w:rPr>
                <w:b/>
              </w:rPr>
              <w:t xml:space="preserve">5,020 </w:t>
            </w:r>
          </w:p>
        </w:tc>
        <w:tc>
          <w:tcPr>
            <w:tcW w:w="883" w:type="dxa"/>
            <w:shd w:val="clear" w:color="auto" w:fill="D7DDE9" w:themeFill="accent3"/>
          </w:tcPr>
          <w:p w:rsidR="00C05E76" w:rsidRPr="00F86B84" w:rsidRDefault="00C05E76" w:rsidP="00C05E7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86B84">
              <w:rPr>
                <w:b/>
              </w:rPr>
              <w:t xml:space="preserve">5,130 </w:t>
            </w:r>
          </w:p>
        </w:tc>
        <w:tc>
          <w:tcPr>
            <w:tcW w:w="886" w:type="dxa"/>
            <w:shd w:val="clear" w:color="auto" w:fill="D7DDE9" w:themeFill="accent3"/>
          </w:tcPr>
          <w:p w:rsidR="00C05E76" w:rsidRPr="00F86B84" w:rsidRDefault="00C05E76" w:rsidP="00C05E7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86B84">
              <w:rPr>
                <w:b/>
              </w:rPr>
              <w:t xml:space="preserve">5,240 </w:t>
            </w:r>
          </w:p>
        </w:tc>
        <w:tc>
          <w:tcPr>
            <w:tcW w:w="886" w:type="dxa"/>
            <w:shd w:val="clear" w:color="auto" w:fill="D7DDE9" w:themeFill="accent3"/>
          </w:tcPr>
          <w:p w:rsidR="00C05E76" w:rsidRPr="00F86B84" w:rsidRDefault="00C05E76" w:rsidP="00C05E7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86B84">
              <w:rPr>
                <w:b/>
              </w:rPr>
              <w:t xml:space="preserve">5,340 </w:t>
            </w:r>
          </w:p>
        </w:tc>
        <w:tc>
          <w:tcPr>
            <w:tcW w:w="886" w:type="dxa"/>
            <w:shd w:val="clear" w:color="auto" w:fill="D7DDE9" w:themeFill="accent3"/>
          </w:tcPr>
          <w:p w:rsidR="00C05E76" w:rsidRPr="00F86B84" w:rsidRDefault="00C05E76" w:rsidP="00C05E7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86B84">
              <w:rPr>
                <w:b/>
              </w:rPr>
              <w:t xml:space="preserve">5,500 </w:t>
            </w:r>
          </w:p>
        </w:tc>
        <w:tc>
          <w:tcPr>
            <w:tcW w:w="886" w:type="dxa"/>
            <w:shd w:val="clear" w:color="auto" w:fill="D7DDE9" w:themeFill="accent3"/>
          </w:tcPr>
          <w:p w:rsidR="00C05E76" w:rsidRPr="00F86B84" w:rsidRDefault="00C05E76" w:rsidP="00C05E7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86B84">
              <w:rPr>
                <w:b/>
              </w:rPr>
              <w:t xml:space="preserve">5,610 </w:t>
            </w:r>
          </w:p>
        </w:tc>
        <w:tc>
          <w:tcPr>
            <w:tcW w:w="990" w:type="dxa"/>
            <w:shd w:val="clear" w:color="auto" w:fill="D7DDE9" w:themeFill="accent3"/>
          </w:tcPr>
          <w:p w:rsidR="00C05E76" w:rsidRPr="00F86B84" w:rsidRDefault="00C05E76" w:rsidP="00C05E76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86B84">
              <w:rPr>
                <w:b/>
              </w:rPr>
              <w:t xml:space="preserve">49,180 </w:t>
            </w:r>
          </w:p>
        </w:tc>
      </w:tr>
    </w:tbl>
    <w:p w:rsidR="00773087" w:rsidRPr="00773087" w:rsidRDefault="00773087" w:rsidP="00D25DD1">
      <w:pPr>
        <w:pStyle w:val="TableFootnotes"/>
        <w:numPr>
          <w:ilvl w:val="0"/>
          <w:numId w:val="27"/>
        </w:numPr>
        <w:ind w:left="284" w:hanging="284"/>
      </w:pPr>
      <w:r w:rsidRPr="00773087">
        <w:t>A positive number for the headline cash balance indicates an increase in cash flows</w:t>
      </w:r>
      <w:r w:rsidR="002A61C2">
        <w:t>.</w:t>
      </w:r>
      <w:r w:rsidR="00D91BF7">
        <w:t xml:space="preserve"> </w:t>
      </w:r>
      <w:r w:rsidRPr="00773087">
        <w:t>A negative number for the headline cash balance indicates a decrease in cash flows.</w:t>
      </w:r>
    </w:p>
    <w:p w:rsidR="008F35C0" w:rsidRDefault="008F35C0" w:rsidP="00D25DD1">
      <w:pPr>
        <w:pStyle w:val="TableFootnotes"/>
        <w:keepNext/>
        <w:ind w:left="284" w:hanging="284"/>
      </w:pPr>
      <w:r>
        <w:t>Figures may not sum to totals due to rounding.</w:t>
      </w:r>
    </w:p>
    <w:p w:rsidR="008F35C0" w:rsidRDefault="008F35C0" w:rsidP="00D25DD1">
      <w:pPr>
        <w:pStyle w:val="TableFootnotes"/>
        <w:keepLines w:val="0"/>
        <w:numPr>
          <w:ilvl w:val="0"/>
          <w:numId w:val="11"/>
        </w:numPr>
        <w:ind w:left="284" w:hanging="284"/>
      </w:pPr>
      <w:r>
        <w:t>Indicates nil.</w:t>
      </w:r>
    </w:p>
    <w:p w:rsidR="008F35C0" w:rsidRDefault="008F35C0" w:rsidP="008F35C0">
      <w:pPr>
        <w:pStyle w:val="TableFootnotes"/>
        <w:keepLines w:val="0"/>
        <w:numPr>
          <w:ilvl w:val="0"/>
          <w:numId w:val="0"/>
        </w:numPr>
      </w:pPr>
    </w:p>
    <w:sectPr w:rsidR="008F35C0" w:rsidSect="004D1DBC">
      <w:headerReference w:type="even" r:id="rId15"/>
      <w:footerReference w:type="even" r:id="rId16"/>
      <w:headerReference w:type="first" r:id="rId17"/>
      <w:footerReference w:type="first" r:id="rId18"/>
      <w:pgSz w:w="16839" w:h="11907" w:orient="landscape" w:code="9"/>
      <w:pgMar w:top="1414" w:right="1361" w:bottom="1797" w:left="1474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DC9" w:rsidRDefault="00ED2DC9" w:rsidP="00A20802">
      <w:pPr>
        <w:spacing w:line="240" w:lineRule="auto"/>
      </w:pPr>
      <w:r>
        <w:separator/>
      </w:r>
    </w:p>
    <w:p w:rsidR="00ED2DC9" w:rsidRDefault="00ED2DC9"/>
  </w:endnote>
  <w:endnote w:type="continuationSeparator" w:id="0">
    <w:p w:rsidR="00ED2DC9" w:rsidRDefault="00ED2DC9" w:rsidP="00A20802">
      <w:pPr>
        <w:spacing w:line="240" w:lineRule="auto"/>
      </w:pPr>
      <w:r>
        <w:continuationSeparator/>
      </w:r>
    </w:p>
    <w:p w:rsidR="00ED2DC9" w:rsidRDefault="00ED2D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B16" w:rsidRDefault="00E97B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988" w:rsidRDefault="009D4988" w:rsidP="002C4DA6">
    <w:pPr>
      <w:pStyle w:val="Footer"/>
      <w:ind w:left="7286" w:hanging="3714"/>
      <w:jc w:val="right"/>
      <w:rPr>
        <w:rStyle w:val="FooterChar"/>
        <w:b/>
      </w:rPr>
    </w:pPr>
    <w:r w:rsidRPr="002C4DA6">
      <w:rPr>
        <w:rStyle w:val="FooterChar"/>
        <w:b/>
      </w:rPr>
      <w:t xml:space="preserve">Page </w:t>
    </w:r>
    <w:r w:rsidRPr="002C4DA6">
      <w:rPr>
        <w:rStyle w:val="FooterChar"/>
        <w:b/>
      </w:rPr>
      <w:fldChar w:fldCharType="begin"/>
    </w:r>
    <w:r w:rsidRPr="002C4DA6">
      <w:rPr>
        <w:rStyle w:val="FooterChar"/>
        <w:b/>
      </w:rPr>
      <w:instrText xml:space="preserve"> PAGE  \* Arabic  \* MERGEFORMAT </w:instrText>
    </w:r>
    <w:r w:rsidRPr="002C4DA6">
      <w:rPr>
        <w:rStyle w:val="FooterChar"/>
        <w:b/>
      </w:rPr>
      <w:fldChar w:fldCharType="separate"/>
    </w:r>
    <w:r w:rsidR="00841D28">
      <w:rPr>
        <w:rStyle w:val="FooterChar"/>
        <w:b/>
        <w:noProof/>
      </w:rPr>
      <w:t>2</w:t>
    </w:r>
    <w:r w:rsidRPr="002C4DA6">
      <w:rPr>
        <w:rStyle w:val="FooterChar"/>
        <w:b/>
      </w:rPr>
      <w:fldChar w:fldCharType="end"/>
    </w:r>
    <w:r w:rsidRPr="002C4DA6">
      <w:rPr>
        <w:rStyle w:val="FooterChar"/>
        <w:b/>
      </w:rPr>
      <w:t xml:space="preserve"> of </w:t>
    </w:r>
    <w:r>
      <w:rPr>
        <w:rStyle w:val="FooterChar"/>
        <w:b/>
      </w:rPr>
      <w:t>5</w:t>
    </w:r>
  </w:p>
  <w:p w:rsidR="009D4988" w:rsidRPr="00E97B16" w:rsidRDefault="009D4988" w:rsidP="0000071C">
    <w:pPr>
      <w:pStyle w:val="Footer"/>
      <w:ind w:left="3714" w:hanging="3714"/>
      <w:jc w:val="center"/>
      <w:rPr>
        <w:rFonts w:cs="Arial"/>
        <w:strike/>
        <w:color w:val="FF0000"/>
        <w:sz w:val="40"/>
        <w:szCs w:val="40"/>
      </w:rPr>
    </w:pPr>
    <w:bookmarkStart w:id="0" w:name="_GoBack"/>
    <w:r w:rsidRPr="00E97B16">
      <w:rPr>
        <w:rStyle w:val="FooterChar"/>
        <w:rFonts w:cs="Arial"/>
        <w:b/>
        <w:strike/>
        <w:color w:val="FF0000"/>
        <w:sz w:val="40"/>
        <w:szCs w:val="40"/>
      </w:rPr>
      <w:t>Sensitive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DC9" w:rsidRDefault="00ED2DC9" w:rsidP="00476133">
    <w:pPr>
      <w:pStyle w:val="Footer"/>
      <w:ind w:left="7286" w:hanging="3714"/>
      <w:jc w:val="right"/>
      <w:rPr>
        <w:rStyle w:val="FooterChar"/>
        <w:b/>
      </w:rPr>
    </w:pPr>
    <w:r w:rsidRPr="002C4DA6">
      <w:rPr>
        <w:rStyle w:val="FooterChar"/>
        <w:b/>
      </w:rPr>
      <w:t xml:space="preserve">Page </w:t>
    </w:r>
    <w:r w:rsidRPr="002C4DA6">
      <w:rPr>
        <w:rStyle w:val="FooterChar"/>
        <w:b/>
      </w:rPr>
      <w:fldChar w:fldCharType="begin"/>
    </w:r>
    <w:r w:rsidRPr="002C4DA6">
      <w:rPr>
        <w:rStyle w:val="FooterChar"/>
        <w:b/>
      </w:rPr>
      <w:instrText xml:space="preserve"> PAGE  \* Arabic  \* MERGEFORMAT </w:instrText>
    </w:r>
    <w:r w:rsidRPr="002C4DA6">
      <w:rPr>
        <w:rStyle w:val="FooterChar"/>
        <w:b/>
      </w:rPr>
      <w:fldChar w:fldCharType="separate"/>
    </w:r>
    <w:r w:rsidR="00841D28">
      <w:rPr>
        <w:rStyle w:val="FooterChar"/>
        <w:b/>
        <w:noProof/>
      </w:rPr>
      <w:t>1</w:t>
    </w:r>
    <w:r w:rsidRPr="002C4DA6">
      <w:rPr>
        <w:rStyle w:val="FooterChar"/>
        <w:b/>
      </w:rPr>
      <w:fldChar w:fldCharType="end"/>
    </w:r>
    <w:r w:rsidRPr="002C4DA6">
      <w:rPr>
        <w:rStyle w:val="FooterChar"/>
        <w:b/>
      </w:rPr>
      <w:t xml:space="preserve"> of </w:t>
    </w:r>
    <w:r w:rsidR="00A530D6">
      <w:rPr>
        <w:rStyle w:val="FooterChar"/>
        <w:b/>
      </w:rPr>
      <w:t>5</w:t>
    </w:r>
  </w:p>
  <w:p w:rsidR="00ED2DC9" w:rsidRPr="00E97B16" w:rsidRDefault="00ED2DC9" w:rsidP="00EF0A00">
    <w:pPr>
      <w:pStyle w:val="Footer"/>
      <w:ind w:left="3714" w:hanging="3714"/>
      <w:jc w:val="center"/>
      <w:rPr>
        <w:rFonts w:cs="Arial"/>
        <w:strike/>
        <w:color w:val="FF0000"/>
        <w:sz w:val="40"/>
        <w:szCs w:val="40"/>
      </w:rPr>
    </w:pPr>
    <w:r w:rsidRPr="00E97B16">
      <w:rPr>
        <w:rStyle w:val="FooterChar"/>
        <w:rFonts w:cs="Arial"/>
        <w:b/>
        <w:strike/>
        <w:color w:val="FF0000"/>
        <w:sz w:val="40"/>
        <w:szCs w:val="40"/>
      </w:rPr>
      <w:t>Sensitive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AsPlaceholder"/>
      <w:tblpPr w:bottomFromText="283" w:vertAnchor="page" w:horzAnchor="margin" w:tblpYSpec="bottom"/>
      <w:tblW w:w="8731" w:type="dxa"/>
      <w:tblLayout w:type="fixed"/>
      <w:tblCellMar>
        <w:top w:w="28" w:type="dxa"/>
      </w:tblCellMar>
      <w:tblLook w:val="04A0" w:firstRow="1" w:lastRow="0" w:firstColumn="1" w:lastColumn="0" w:noHBand="0" w:noVBand="1"/>
    </w:tblPr>
    <w:tblGrid>
      <w:gridCol w:w="567"/>
      <w:gridCol w:w="8164"/>
    </w:tblGrid>
    <w:tr w:rsidR="00ED2DC9" w:rsidRPr="00EB388E" w:rsidTr="002D239A">
      <w:trPr>
        <w:trHeight w:val="340"/>
      </w:trPr>
      <w:tc>
        <w:tcPr>
          <w:tcW w:w="567" w:type="dxa"/>
          <w:tcBorders>
            <w:right w:val="single" w:sz="4" w:space="0" w:color="788184" w:themeColor="background2"/>
          </w:tcBorders>
          <w:vAlign w:val="center"/>
        </w:tcPr>
        <w:p w:rsidR="00ED2DC9" w:rsidRPr="00CB70DF" w:rsidRDefault="00ED2DC9" w:rsidP="002D239A">
          <w:pPr>
            <w:pStyle w:val="FooterLeftPageNumber"/>
            <w:framePr w:wrap="auto" w:vAnchor="margin" w:hAnchor="text" w:yAlign="inline"/>
          </w:pPr>
          <w:r w:rsidRPr="00EB388E">
            <w:fldChar w:fldCharType="begin"/>
          </w:r>
          <w:r w:rsidRPr="00EB388E">
            <w:instrText xml:space="preserve"> PAGE   \* MERGEFORMAT </w:instrText>
          </w:r>
          <w:r w:rsidRPr="00EB388E">
            <w:fldChar w:fldCharType="separate"/>
          </w:r>
          <w:r w:rsidR="00FA2756">
            <w:rPr>
              <w:noProof/>
            </w:rPr>
            <w:t>7</w:t>
          </w:r>
          <w:r w:rsidRPr="00EB388E">
            <w:fldChar w:fldCharType="end"/>
          </w:r>
        </w:p>
      </w:tc>
      <w:tc>
        <w:tcPr>
          <w:tcW w:w="8164" w:type="dxa"/>
          <w:tcBorders>
            <w:left w:val="single" w:sz="4" w:space="0" w:color="788184" w:themeColor="background2"/>
          </w:tcBorders>
          <w:vAlign w:val="center"/>
        </w:tcPr>
        <w:p w:rsidR="00ED2DC9" w:rsidRPr="00CB70DF" w:rsidRDefault="00841D28" w:rsidP="002D239A">
          <w:pPr>
            <w:pStyle w:val="FooterLeft"/>
            <w:framePr w:wrap="auto" w:vAnchor="margin" w:hAnchor="text" w:yAlign="inline"/>
          </w:pPr>
          <w:r>
            <w:fldChar w:fldCharType="begin"/>
          </w:r>
          <w:r>
            <w:instrText xml:space="preserve"> STYLEREF  Title  \* MERGEFORMAT </w:instrText>
          </w:r>
          <w:r>
            <w:fldChar w:fldCharType="separate"/>
          </w:r>
          <w:r w:rsidR="00FA2756">
            <w:rPr>
              <w:noProof/>
            </w:rPr>
            <w:t>Policy costing—outside the caretaker period</w:t>
          </w:r>
          <w:r>
            <w:rPr>
              <w:noProof/>
            </w:rPr>
            <w:fldChar w:fldCharType="end"/>
          </w:r>
        </w:p>
      </w:tc>
    </w:tr>
    <w:tr w:rsidR="00ED2DC9" w:rsidRPr="00EB388E" w:rsidTr="002D239A">
      <w:trPr>
        <w:trHeight w:hRule="exact" w:val="403"/>
      </w:trPr>
      <w:tc>
        <w:tcPr>
          <w:tcW w:w="567" w:type="dxa"/>
          <w:tcMar>
            <w:bottom w:w="284" w:type="dxa"/>
          </w:tcMar>
        </w:tcPr>
        <w:p w:rsidR="00ED2DC9" w:rsidRPr="00EB388E" w:rsidRDefault="00ED2DC9" w:rsidP="002D239A">
          <w:pPr>
            <w:pStyle w:val="FooterRightPageNumber"/>
          </w:pPr>
        </w:p>
      </w:tc>
      <w:tc>
        <w:tcPr>
          <w:tcW w:w="8164" w:type="dxa"/>
          <w:tcMar>
            <w:bottom w:w="284" w:type="dxa"/>
          </w:tcMar>
        </w:tcPr>
        <w:p w:rsidR="00ED2DC9" w:rsidRPr="00090E70" w:rsidRDefault="00ED2DC9" w:rsidP="002D239A"/>
      </w:tc>
    </w:tr>
  </w:tbl>
  <w:p w:rsidR="00ED2DC9" w:rsidRDefault="00ED2DC9">
    <w:pPr>
      <w:pStyle w:val="Footer"/>
    </w:pPr>
  </w:p>
  <w:p w:rsidR="00ED2DC9" w:rsidRPr="004816D7" w:rsidRDefault="00ED2DC9" w:rsidP="0056001A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DC9" w:rsidRPr="0046444F" w:rsidRDefault="00ED2DC9" w:rsidP="0046444F">
    <w:pPr>
      <w:pStyle w:val="Header"/>
      <w:spacing w:after="240"/>
      <w:ind w:left="7309" w:hanging="7309"/>
    </w:pPr>
    <w:r w:rsidRPr="0092572B">
      <w:rPr>
        <w:b/>
        <w:color w:val="FF0000"/>
        <w:sz w:val="28"/>
        <w:szCs w:val="28"/>
      </w:rPr>
      <w:t>Sensitive</w:t>
    </w:r>
    <w:r>
      <w:rPr>
        <w:b/>
        <w:color w:val="FF0000"/>
        <w:sz w:val="28"/>
        <w:szCs w:val="28"/>
      </w:rPr>
      <w:tab/>
    </w:r>
    <w:r w:rsidRPr="00D67648">
      <w:rPr>
        <w:rStyle w:val="FooterChar"/>
      </w:rPr>
      <w:t xml:space="preserve">Page </w:t>
    </w:r>
    <w:r w:rsidRPr="00D67648">
      <w:rPr>
        <w:rStyle w:val="FooterChar"/>
      </w:rPr>
      <w:fldChar w:fldCharType="begin"/>
    </w:r>
    <w:r w:rsidRPr="00D67648">
      <w:rPr>
        <w:rStyle w:val="FooterChar"/>
      </w:rPr>
      <w:instrText xml:space="preserve"> PAGE  \* Arabic  \* MERGEFORMAT </w:instrText>
    </w:r>
    <w:r w:rsidRPr="00D67648">
      <w:rPr>
        <w:rStyle w:val="FooterChar"/>
      </w:rPr>
      <w:fldChar w:fldCharType="separate"/>
    </w:r>
    <w:r w:rsidR="00FA2756">
      <w:rPr>
        <w:rStyle w:val="FooterChar"/>
        <w:noProof/>
      </w:rPr>
      <w:t>7</w:t>
    </w:r>
    <w:r w:rsidRPr="00D67648">
      <w:rPr>
        <w:rStyle w:val="FooterChar"/>
      </w:rPr>
      <w:fldChar w:fldCharType="end"/>
    </w:r>
    <w:r w:rsidRPr="00D67648">
      <w:rPr>
        <w:rStyle w:val="FooterChar"/>
      </w:rPr>
      <w:t xml:space="preserve"> of </w:t>
    </w:r>
    <w:r w:rsidRPr="00D67648">
      <w:rPr>
        <w:rStyle w:val="FooterChar"/>
      </w:rPr>
      <w:fldChar w:fldCharType="begin"/>
    </w:r>
    <w:r w:rsidRPr="00D67648">
      <w:rPr>
        <w:rStyle w:val="FooterChar"/>
      </w:rPr>
      <w:instrText xml:space="preserve"> NUMPAGES  \* Arabic  \* MERGEFORMAT </w:instrText>
    </w:r>
    <w:r w:rsidRPr="00D67648">
      <w:rPr>
        <w:rStyle w:val="FooterChar"/>
      </w:rPr>
      <w:fldChar w:fldCharType="separate"/>
    </w:r>
    <w:r w:rsidR="00FA2756">
      <w:rPr>
        <w:rStyle w:val="FooterChar"/>
        <w:noProof/>
      </w:rPr>
      <w:t>7</w:t>
    </w:r>
    <w:r w:rsidRPr="00D67648">
      <w:rPr>
        <w:rStyle w:val="FooterCha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DC9" w:rsidRPr="000557A7" w:rsidRDefault="00ED2DC9" w:rsidP="008D5A11">
      <w:pPr>
        <w:pBdr>
          <w:top w:val="single" w:sz="4" w:space="1" w:color="auto"/>
        </w:pBdr>
        <w:spacing w:before="240" w:line="60" w:lineRule="exact"/>
        <w:rPr>
          <w:sz w:val="16"/>
          <w:szCs w:val="16"/>
        </w:rPr>
      </w:pPr>
    </w:p>
  </w:footnote>
  <w:footnote w:type="continuationSeparator" w:id="0">
    <w:p w:rsidR="00ED2DC9" w:rsidRDefault="00ED2DC9" w:rsidP="00A20802">
      <w:pPr>
        <w:spacing w:line="240" w:lineRule="auto"/>
      </w:pPr>
      <w:r>
        <w:continuationSeparator/>
      </w:r>
    </w:p>
    <w:p w:rsidR="00ED2DC9" w:rsidRDefault="00ED2DC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B16" w:rsidRDefault="00E97B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988" w:rsidRPr="00E97B16" w:rsidRDefault="009D4988" w:rsidP="002C4DA6">
    <w:pPr>
      <w:pStyle w:val="Header"/>
      <w:jc w:val="center"/>
      <w:rPr>
        <w:b/>
        <w:strike/>
        <w:color w:val="FF0000"/>
        <w:sz w:val="40"/>
        <w:szCs w:val="40"/>
      </w:rPr>
    </w:pPr>
    <w:r w:rsidRPr="00E97B16">
      <w:rPr>
        <w:b/>
        <w:strike/>
        <w:color w:val="FF0000"/>
        <w:sz w:val="40"/>
        <w:szCs w:val="40"/>
      </w:rPr>
      <w:t>Sensitive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DC9" w:rsidRPr="00E97B16" w:rsidRDefault="00ED2DC9" w:rsidP="002C4DA6">
    <w:pPr>
      <w:pStyle w:val="Header"/>
      <w:jc w:val="center"/>
      <w:rPr>
        <w:b/>
        <w:strike/>
        <w:color w:val="FF0000"/>
        <w:sz w:val="40"/>
        <w:szCs w:val="40"/>
      </w:rPr>
    </w:pPr>
    <w:r w:rsidRPr="00E97B16">
      <w:rPr>
        <w:b/>
        <w:strike/>
        <w:color w:val="FF0000"/>
        <w:sz w:val="40"/>
        <w:szCs w:val="40"/>
      </w:rPr>
      <w:t>Sensitive</w:t>
    </w:r>
  </w:p>
  <w:p w:rsidR="00ED2DC9" w:rsidRPr="0046444F" w:rsidRDefault="00ED2DC9" w:rsidP="0046444F">
    <w:pPr>
      <w:pStyle w:val="Header"/>
    </w:pPr>
    <w:r>
      <w:rPr>
        <w:noProof/>
        <w:lang w:eastAsia="en-AU"/>
      </w:rPr>
      <w:drawing>
        <wp:inline distT="0" distB="0" distL="0" distR="0" wp14:anchorId="24A068A8" wp14:editId="38DBB8FE">
          <wp:extent cx="2696845" cy="572135"/>
          <wp:effectExtent l="0" t="0" r="8255" b="0"/>
          <wp:docPr id="2" name="Picture 2" title="Parliamentary Budget Off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BO Logo inline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6845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DC9" w:rsidRDefault="00ED2DC9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3056" behindDoc="1" locked="1" layoutInCell="1" allowOverlap="1" wp14:anchorId="54F85DE9" wp14:editId="57378E1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60000" cy="1796400"/>
              <wp:effectExtent l="0" t="0" r="0" b="0"/>
              <wp:wrapNone/>
              <wp:docPr id="25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17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DC9" w:rsidRPr="0001226A" w:rsidRDefault="00ED2DC9" w:rsidP="00F45442">
                          <w:pPr>
                            <w:pStyle w:val="xStatus"/>
                            <w:rPr>
                              <w:szCs w:val="1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0;width:595.3pt;height:141.45pt;z-index:-2516234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" filled="f" stroked="f">
              <v:textbox>
                <w:txbxContent>
                  <w:p w:rsidR="00ED2DC9" w:rsidRPr="0001226A" w:rsidRDefault="00ED2DC9" w:rsidP="00F45442">
                    <w:pPr>
                      <w:pStyle w:val="xStatus"/>
                      <w:rPr>
                        <w:szCs w:val="120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DC9" w:rsidRDefault="00ED2DC9" w:rsidP="0046444F">
    <w:pPr>
      <w:pStyle w:val="Header"/>
      <w:jc w:val="right"/>
      <w:rPr>
        <w:b/>
        <w:color w:val="FF0000"/>
        <w:sz w:val="28"/>
        <w:szCs w:val="28"/>
      </w:rPr>
    </w:pPr>
    <w:r w:rsidRPr="0092572B">
      <w:rPr>
        <w:b/>
        <w:color w:val="FF0000"/>
        <w:sz w:val="28"/>
        <w:szCs w:val="28"/>
      </w:rPr>
      <w:t>Sensitive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E30B5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68B37FE"/>
    <w:multiLevelType w:val="multilevel"/>
    <w:tmpl w:val="D1A2BED4"/>
    <w:name w:val="Bullets"/>
    <w:lvl w:ilvl="0">
      <w:start w:val="1"/>
      <w:numFmt w:val="bullet"/>
      <w:pStyle w:val="ListBullet"/>
      <w:lvlText w:val="•"/>
      <w:lvlJc w:val="left"/>
      <w:pPr>
        <w:tabs>
          <w:tab w:val="num" w:pos="454"/>
        </w:tabs>
        <w:ind w:left="454" w:hanging="454"/>
      </w:pPr>
      <w:rPr>
        <w:rFonts w:ascii="Calibri" w:hAnsi="Calibri" w:hint="default"/>
        <w:b w:val="0"/>
        <w:i w:val="0"/>
        <w:color w:val="auto"/>
        <w:position w:val="0"/>
        <w:sz w:val="22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907"/>
        </w:tabs>
        <w:ind w:left="907" w:hanging="453"/>
      </w:pPr>
      <w:rPr>
        <w:rFonts w:ascii="Calibri" w:hAnsi="Calibri" w:hint="default"/>
        <w:b w:val="0"/>
        <w:i w:val="0"/>
        <w:color w:val="auto"/>
        <w:position w:val="0"/>
        <w:sz w:val="22"/>
      </w:rPr>
    </w:lvl>
    <w:lvl w:ilvl="2">
      <w:start w:val="1"/>
      <w:numFmt w:val="bullet"/>
      <w:pStyle w:val="ListBullet3"/>
      <w:lvlText w:val="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  <w:b w:val="0"/>
        <w:i w:val="0"/>
        <w:color w:val="auto"/>
        <w:spacing w:val="0"/>
        <w:w w:val="100"/>
        <w:position w:val="1"/>
        <w:sz w:val="22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2">
    <w:nsid w:val="0AB16348"/>
    <w:multiLevelType w:val="hybridMultilevel"/>
    <w:tmpl w:val="34C48E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745448"/>
    <w:multiLevelType w:val="multilevel"/>
    <w:tmpl w:val="CE3A3256"/>
    <w:name w:val="PBOHeadings"/>
    <w:lvl w:ilvl="0">
      <w:start w:val="1"/>
      <w:numFmt w:val="none"/>
      <w:lvlRestart w:val="0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4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5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6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7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8">
      <w:start w:val="1"/>
      <w:numFmt w:val="none"/>
      <w:lvlText w:val=""/>
      <w:lvlJc w:val="left"/>
      <w:pPr>
        <w:ind w:left="765" w:hanging="765"/>
      </w:pPr>
      <w:rPr>
        <w:rFonts w:hint="default"/>
      </w:rPr>
    </w:lvl>
  </w:abstractNum>
  <w:abstractNum w:abstractNumId="4">
    <w:nsid w:val="0FB2573F"/>
    <w:multiLevelType w:val="multilevel"/>
    <w:tmpl w:val="42C63352"/>
    <w:name w:val="TableFootnotes"/>
    <w:lvl w:ilvl="0">
      <w:start w:val="1"/>
      <w:numFmt w:val="lowerLetter"/>
      <w:pStyle w:val="TableFootnotes"/>
      <w:lvlText w:val="(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spacing w:val="0"/>
        <w:w w:val="100"/>
        <w:kern w:val="0"/>
        <w:position w:val="0"/>
      </w:rPr>
    </w:lvl>
    <w:lvl w:ilvl="2">
      <w:start w:val="1"/>
      <w:numFmt w:val="bullet"/>
      <w:lvlRestart w:val="1"/>
      <w:lvlText w:val="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709" w:firstLine="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lowerRoman"/>
      <w:lvlRestart w:val="1"/>
      <w:lvlText w:val="%7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7"/>
        </w:tabs>
        <w:ind w:left="737" w:hanging="368"/>
      </w:pPr>
      <w:rPr>
        <w:rFonts w:hint="default"/>
        <w:position w:val="0"/>
      </w:rPr>
    </w:lvl>
    <w:lvl w:ilvl="8">
      <w:start w:val="1"/>
      <w:numFmt w:val="bullet"/>
      <w:lvlText w:val=""/>
      <w:lvlJc w:val="left"/>
      <w:pPr>
        <w:tabs>
          <w:tab w:val="num" w:pos="1106"/>
        </w:tabs>
        <w:ind w:left="1106" w:hanging="369"/>
      </w:pPr>
      <w:rPr>
        <w:rFonts w:ascii="Symbol" w:hAnsi="Symbol" w:hint="default"/>
        <w:position w:val="2"/>
        <w:sz w:val="20"/>
        <w:szCs w:val="20"/>
      </w:rPr>
    </w:lvl>
  </w:abstractNum>
  <w:abstractNum w:abstractNumId="5">
    <w:nsid w:val="194A695C"/>
    <w:multiLevelType w:val="multilevel"/>
    <w:tmpl w:val="9710D28A"/>
    <w:name w:val="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color w:val="auto"/>
        <w:position w:val="2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  <w:b w:val="0"/>
        <w:i w:val="0"/>
        <w:color w:val="auto"/>
        <w:sz w:val="20"/>
        <w:szCs w:val="18"/>
      </w:rPr>
    </w:lvl>
    <w:lvl w:ilvl="2">
      <w:start w:val="1"/>
      <w:numFmt w:val="bullet"/>
      <w:pStyle w:val="TableTextBullet3"/>
      <w:lvlText w:val="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  <w:color w:val="auto"/>
        <w:position w:val="1"/>
        <w:sz w:val="20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6">
    <w:nsid w:val="1D975442"/>
    <w:multiLevelType w:val="hybridMultilevel"/>
    <w:tmpl w:val="7E50674C"/>
    <w:lvl w:ilvl="0" w:tplc="535C60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2580B"/>
    <w:multiLevelType w:val="multilevel"/>
    <w:tmpl w:val="A1605A0E"/>
    <w:name w:val="PullOutNumbering"/>
    <w:lvl w:ilvl="0">
      <w:start w:val="1"/>
      <w:numFmt w:val="decimal"/>
      <w:pStyle w:val="PullOutBoxNumber"/>
      <w:lvlText w:val="%1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>
      <w:start w:val="1"/>
      <w:numFmt w:val="lowerLetter"/>
      <w:pStyle w:val="PullOutBoxNumber2"/>
      <w:lvlText w:val="%2"/>
      <w:lvlJc w:val="left"/>
      <w:pPr>
        <w:tabs>
          <w:tab w:val="num" w:pos="964"/>
        </w:tabs>
        <w:ind w:left="964" w:hanging="340"/>
      </w:pPr>
      <w:rPr>
        <w:rFonts w:hint="default"/>
        <w:color w:val="auto"/>
      </w:rPr>
    </w:lvl>
    <w:lvl w:ilvl="2">
      <w:start w:val="1"/>
      <w:numFmt w:val="lowerRoman"/>
      <w:pStyle w:val="PullOutBoxNumber3"/>
      <w:lvlText w:val="%3"/>
      <w:lvlJc w:val="left"/>
      <w:pPr>
        <w:tabs>
          <w:tab w:val="num" w:pos="1304"/>
        </w:tabs>
        <w:ind w:left="1304" w:hanging="340"/>
      </w:pPr>
      <w:rPr>
        <w:rFonts w:hint="default"/>
        <w:color w:val="auto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>
    <w:nsid w:val="38723AD4"/>
    <w:multiLevelType w:val="multilevel"/>
    <w:tmpl w:val="CC2400A2"/>
    <w:lvl w:ilvl="0">
      <w:start w:val="1"/>
      <w:numFmt w:val="bullet"/>
      <w:pStyle w:val="PullOutBoxBullet"/>
      <w:lvlText w:val="•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color w:val="auto"/>
        <w:sz w:val="22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  <w:color w:val="auto"/>
        <w:sz w:val="22"/>
      </w:rPr>
    </w:lvl>
    <w:lvl w:ilvl="2">
      <w:start w:val="1"/>
      <w:numFmt w:val="bullet"/>
      <w:pStyle w:val="PullOutBoxBullet3"/>
      <w:lvlText w:val=""/>
      <w:lvlJc w:val="left"/>
      <w:pPr>
        <w:tabs>
          <w:tab w:val="num" w:pos="1020"/>
        </w:tabs>
        <w:ind w:left="1020" w:hanging="340"/>
      </w:pPr>
      <w:rPr>
        <w:rFonts w:ascii="Wingdings" w:hAnsi="Wingdings" w:hint="default"/>
        <w:color w:val="auto"/>
        <w:position w:val="0"/>
        <w:sz w:val="22"/>
      </w:rPr>
    </w:lvl>
    <w:lvl w:ilvl="3">
      <w:start w:val="1"/>
      <w:numFmt w:val="none"/>
      <w:lvlText w:val=""/>
      <w:lvlJc w:val="left"/>
      <w:pPr>
        <w:ind w:left="-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28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28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28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284" w:firstLine="0"/>
      </w:pPr>
      <w:rPr>
        <w:rFonts w:hint="default"/>
      </w:rPr>
    </w:lvl>
  </w:abstractNum>
  <w:abstractNum w:abstractNumId="9">
    <w:nsid w:val="5D0540A9"/>
    <w:multiLevelType w:val="multilevel"/>
    <w:tmpl w:val="E4D434E6"/>
    <w:name w:val="AppendicesNumbering"/>
    <w:lvl w:ilvl="0">
      <w:start w:val="1"/>
      <w:numFmt w:val="upperLetter"/>
      <w:lvlRestart w:val="0"/>
      <w:pStyle w:val="Heading8"/>
      <w:suff w:val="space"/>
      <w:lvlText w:val="Attachment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26"/>
      </w:rPr>
    </w:lvl>
    <w:lvl w:ilvl="2">
      <w:start w:val="1"/>
      <w:numFmt w:val="none"/>
      <w:pStyle w:val="AttachmentHeading2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2"/>
      <w:pStyle w:val="AttachmentHeading3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765" w:hanging="765"/>
      </w:pPr>
      <w:rPr>
        <w:rFonts w:hint="default"/>
      </w:rPr>
    </w:lvl>
    <w:lvl w:ilvl="5">
      <w:start w:val="1"/>
      <w:numFmt w:val="none"/>
      <w:lvlText w:val=""/>
      <w:lvlJc w:val="right"/>
      <w:pPr>
        <w:ind w:left="765" w:hanging="765"/>
      </w:pPr>
      <w:rPr>
        <w:rFonts w:hint="default"/>
      </w:rPr>
    </w:lvl>
    <w:lvl w:ilvl="6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7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8">
      <w:start w:val="1"/>
      <w:numFmt w:val="none"/>
      <w:lvlText w:val=""/>
      <w:lvlJc w:val="right"/>
      <w:pPr>
        <w:ind w:left="765" w:hanging="765"/>
      </w:pPr>
      <w:rPr>
        <w:rFonts w:hint="default"/>
      </w:rPr>
    </w:lvl>
  </w:abstractNum>
  <w:abstractNum w:abstractNumId="10">
    <w:nsid w:val="6D1D40AC"/>
    <w:multiLevelType w:val="multilevel"/>
    <w:tmpl w:val="D18C6390"/>
    <w:name w:val="TableNumbering"/>
    <w:lvl w:ilvl="0">
      <w:start w:val="1"/>
      <w:numFmt w:val="decimal"/>
      <w:pStyle w:val="TableTextNumber"/>
      <w:lvlText w:val="%1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TextNumber2"/>
      <w:lvlText w:val="%2"/>
      <w:lvlJc w:val="left"/>
      <w:pPr>
        <w:tabs>
          <w:tab w:val="num" w:pos="709"/>
        </w:tabs>
        <w:ind w:left="709" w:hanging="283"/>
      </w:pPr>
      <w:rPr>
        <w:rFonts w:hint="default"/>
      </w:rPr>
    </w:lvl>
    <w:lvl w:ilvl="2">
      <w:start w:val="1"/>
      <w:numFmt w:val="lowerRoman"/>
      <w:pStyle w:val="TableTextNumber3"/>
      <w:lvlText w:val="%3"/>
      <w:lvlJc w:val="left"/>
      <w:pPr>
        <w:tabs>
          <w:tab w:val="num" w:pos="964"/>
        </w:tabs>
        <w:ind w:left="96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>
    <w:nsid w:val="70250B03"/>
    <w:multiLevelType w:val="multilevel"/>
    <w:tmpl w:val="5796740A"/>
    <w:name w:val="QuoteBullets"/>
    <w:lvl w:ilvl="0">
      <w:start w:val="1"/>
      <w:numFmt w:val="bullet"/>
      <w:pStyle w:val="Quote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  <w:sz w:val="18"/>
      </w:rPr>
    </w:lvl>
    <w:lvl w:ilvl="1">
      <w:start w:val="1"/>
      <w:numFmt w:val="bullet"/>
      <w:pStyle w:val="QuoteBullet2"/>
      <w:lvlText w:val="‒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  <w:color w:val="auto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2B3B5F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12">
    <w:nsid w:val="7839021E"/>
    <w:multiLevelType w:val="multilevel"/>
    <w:tmpl w:val="C186E662"/>
    <w:name w:val="ListNumbering"/>
    <w:lvl w:ilvl="0">
      <w:start w:val="1"/>
      <w:numFmt w:val="decimal"/>
      <w:pStyle w:val="ListNumber"/>
      <w:lvlText w:val="%1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spacing w:val="0"/>
        <w:sz w:val="22"/>
      </w:rPr>
    </w:lvl>
    <w:lvl w:ilvl="1">
      <w:start w:val="1"/>
      <w:numFmt w:val="lowerLetter"/>
      <w:pStyle w:val="ListNumber2"/>
      <w:lvlText w:val="%2"/>
      <w:lvlJc w:val="left"/>
      <w:pPr>
        <w:tabs>
          <w:tab w:val="num" w:pos="907"/>
        </w:tabs>
        <w:ind w:left="907" w:hanging="453"/>
      </w:pPr>
      <w:rPr>
        <w:rFonts w:hint="default"/>
        <w:color w:val="auto"/>
        <w:spacing w:val="0"/>
        <w:sz w:val="22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361"/>
        </w:tabs>
        <w:ind w:left="1361" w:hanging="454"/>
      </w:pPr>
      <w:rPr>
        <w:rFonts w:hint="default"/>
        <w:color w:val="auto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3">
    <w:nsid w:val="7ADD4117"/>
    <w:multiLevelType w:val="hybridMultilevel"/>
    <w:tmpl w:val="60144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8"/>
  </w:num>
  <w:num w:numId="5">
    <w:abstractNumId w:val="7"/>
  </w:num>
  <w:num w:numId="6">
    <w:abstractNumId w:val="11"/>
  </w:num>
  <w:num w:numId="7">
    <w:abstractNumId w:val="4"/>
  </w:num>
  <w:num w:numId="8">
    <w:abstractNumId w:val="5"/>
  </w:num>
  <w:num w:numId="9">
    <w:abstractNumId w:val="10"/>
  </w:num>
  <w:num w:numId="10">
    <w:abstractNumId w:val="3"/>
  </w:num>
  <w:num w:numId="11">
    <w:abstractNumId w:val="6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3"/>
  </w:num>
  <w:num w:numId="25">
    <w:abstractNumId w:val="8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8"/>
  </w:num>
  <w:num w:numId="30">
    <w:abstractNumId w:val="13"/>
  </w:num>
  <w:num w:numId="31">
    <w:abstractNumId w:val="8"/>
  </w:num>
  <w:num w:numId="32">
    <w:abstractNumId w:val="0"/>
  </w:num>
  <w:num w:numId="33">
    <w:abstractNumId w:val="8"/>
  </w:num>
  <w:num w:numId="34">
    <w:abstractNumId w:val="8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endices" w:val="True"/>
    <w:docVar w:name="AppendixName" w:val="Attachment"/>
    <w:docVar w:name="Disclaimer" w:val="False"/>
    <w:docVar w:name="Foreword" w:val="True"/>
    <w:docVar w:name="Heading1Numbered" w:val="False"/>
    <w:docVar w:name="Heading2Numbered" w:val="False"/>
    <w:docVar w:name="Heading3Numbered" w:val="False"/>
    <w:docVar w:name="IsWordingOverview" w:val="True"/>
    <w:docVar w:name="NumberedBodyText" w:val="False"/>
    <w:docVar w:name="optHeading1OddPage" w:val="False"/>
    <w:docVar w:name="Overview" w:val="False"/>
    <w:docVar w:name="PageSetup" w:val="Double"/>
    <w:docVar w:name="RibbonLabel" w:val="Appendix"/>
    <w:docVar w:name="TOC" w:val="True"/>
    <w:docVar w:name="TOCNew" w:val="True"/>
    <w:docVar w:name="Version" w:val="Version 1"/>
  </w:docVars>
  <w:rsids>
    <w:rsidRoot w:val="0030524B"/>
    <w:rsid w:val="0000071C"/>
    <w:rsid w:val="000012D8"/>
    <w:rsid w:val="000020AB"/>
    <w:rsid w:val="0000322C"/>
    <w:rsid w:val="00003CDD"/>
    <w:rsid w:val="0001406F"/>
    <w:rsid w:val="000149BC"/>
    <w:rsid w:val="000168A7"/>
    <w:rsid w:val="00016D53"/>
    <w:rsid w:val="0001721C"/>
    <w:rsid w:val="00021CA4"/>
    <w:rsid w:val="00022FF2"/>
    <w:rsid w:val="000278D0"/>
    <w:rsid w:val="00027E62"/>
    <w:rsid w:val="000307C8"/>
    <w:rsid w:val="00030F73"/>
    <w:rsid w:val="00033940"/>
    <w:rsid w:val="00035527"/>
    <w:rsid w:val="00035ADE"/>
    <w:rsid w:val="00035F5D"/>
    <w:rsid w:val="00037B2B"/>
    <w:rsid w:val="0004224B"/>
    <w:rsid w:val="00046226"/>
    <w:rsid w:val="0005330D"/>
    <w:rsid w:val="000534F1"/>
    <w:rsid w:val="000557A7"/>
    <w:rsid w:val="00055805"/>
    <w:rsid w:val="00055BB3"/>
    <w:rsid w:val="00056CB3"/>
    <w:rsid w:val="00066D54"/>
    <w:rsid w:val="00067A28"/>
    <w:rsid w:val="0007260F"/>
    <w:rsid w:val="00074622"/>
    <w:rsid w:val="00075DD0"/>
    <w:rsid w:val="000805D5"/>
    <w:rsid w:val="0008103B"/>
    <w:rsid w:val="00082CE8"/>
    <w:rsid w:val="00085F97"/>
    <w:rsid w:val="00092A33"/>
    <w:rsid w:val="000956D3"/>
    <w:rsid w:val="00096D0E"/>
    <w:rsid w:val="000973F9"/>
    <w:rsid w:val="000A2FEC"/>
    <w:rsid w:val="000A348F"/>
    <w:rsid w:val="000A46C9"/>
    <w:rsid w:val="000B1C55"/>
    <w:rsid w:val="000B6942"/>
    <w:rsid w:val="000C09FA"/>
    <w:rsid w:val="000C37A9"/>
    <w:rsid w:val="000C6728"/>
    <w:rsid w:val="000C6738"/>
    <w:rsid w:val="000C702E"/>
    <w:rsid w:val="000D15E9"/>
    <w:rsid w:val="000D3182"/>
    <w:rsid w:val="000D45C4"/>
    <w:rsid w:val="000E18F3"/>
    <w:rsid w:val="000E266E"/>
    <w:rsid w:val="000E79B6"/>
    <w:rsid w:val="000F1515"/>
    <w:rsid w:val="000F16B5"/>
    <w:rsid w:val="000F1742"/>
    <w:rsid w:val="000F616E"/>
    <w:rsid w:val="0010249A"/>
    <w:rsid w:val="00110D43"/>
    <w:rsid w:val="001159EA"/>
    <w:rsid w:val="00120A75"/>
    <w:rsid w:val="00125410"/>
    <w:rsid w:val="00130858"/>
    <w:rsid w:val="00135420"/>
    <w:rsid w:val="00136C26"/>
    <w:rsid w:val="0014059F"/>
    <w:rsid w:val="00141551"/>
    <w:rsid w:val="001417CE"/>
    <w:rsid w:val="0014479F"/>
    <w:rsid w:val="00146EAD"/>
    <w:rsid w:val="001475DC"/>
    <w:rsid w:val="00154DC5"/>
    <w:rsid w:val="00160C8D"/>
    <w:rsid w:val="001629C0"/>
    <w:rsid w:val="00162A1F"/>
    <w:rsid w:val="0016475B"/>
    <w:rsid w:val="00165122"/>
    <w:rsid w:val="00165854"/>
    <w:rsid w:val="001668D6"/>
    <w:rsid w:val="00166C41"/>
    <w:rsid w:val="00167D57"/>
    <w:rsid w:val="001738DB"/>
    <w:rsid w:val="00173DFD"/>
    <w:rsid w:val="00177BC8"/>
    <w:rsid w:val="00180FF9"/>
    <w:rsid w:val="001815FF"/>
    <w:rsid w:val="001825FE"/>
    <w:rsid w:val="00184D9F"/>
    <w:rsid w:val="00191002"/>
    <w:rsid w:val="00195228"/>
    <w:rsid w:val="00195696"/>
    <w:rsid w:val="00196532"/>
    <w:rsid w:val="00196DFE"/>
    <w:rsid w:val="001A1EFC"/>
    <w:rsid w:val="001A48EF"/>
    <w:rsid w:val="001A49CC"/>
    <w:rsid w:val="001A5553"/>
    <w:rsid w:val="001A716E"/>
    <w:rsid w:val="001B2C65"/>
    <w:rsid w:val="001B4255"/>
    <w:rsid w:val="001B4667"/>
    <w:rsid w:val="001B7058"/>
    <w:rsid w:val="001C3A4F"/>
    <w:rsid w:val="001C4121"/>
    <w:rsid w:val="001C48DE"/>
    <w:rsid w:val="001D0330"/>
    <w:rsid w:val="001D30C1"/>
    <w:rsid w:val="001D52E3"/>
    <w:rsid w:val="001D576F"/>
    <w:rsid w:val="001D7C29"/>
    <w:rsid w:val="001E0475"/>
    <w:rsid w:val="001E33C2"/>
    <w:rsid w:val="001E6756"/>
    <w:rsid w:val="001F5B0B"/>
    <w:rsid w:val="001F5C90"/>
    <w:rsid w:val="001F767C"/>
    <w:rsid w:val="00204FDF"/>
    <w:rsid w:val="00210FCF"/>
    <w:rsid w:val="00222EFF"/>
    <w:rsid w:val="002240D5"/>
    <w:rsid w:val="002261A7"/>
    <w:rsid w:val="00226AEC"/>
    <w:rsid w:val="00226C11"/>
    <w:rsid w:val="00231BDE"/>
    <w:rsid w:val="00234456"/>
    <w:rsid w:val="00242293"/>
    <w:rsid w:val="0024320C"/>
    <w:rsid w:val="00245A99"/>
    <w:rsid w:val="0025199B"/>
    <w:rsid w:val="00253099"/>
    <w:rsid w:val="00253B04"/>
    <w:rsid w:val="002545F3"/>
    <w:rsid w:val="002551A8"/>
    <w:rsid w:val="00257A0D"/>
    <w:rsid w:val="00262DDC"/>
    <w:rsid w:val="0026344F"/>
    <w:rsid w:val="002654A7"/>
    <w:rsid w:val="00266A17"/>
    <w:rsid w:val="00270372"/>
    <w:rsid w:val="00271467"/>
    <w:rsid w:val="00271D07"/>
    <w:rsid w:val="0027302F"/>
    <w:rsid w:val="00274C59"/>
    <w:rsid w:val="00275534"/>
    <w:rsid w:val="00277075"/>
    <w:rsid w:val="002775D2"/>
    <w:rsid w:val="00281ADD"/>
    <w:rsid w:val="0028563E"/>
    <w:rsid w:val="00285A60"/>
    <w:rsid w:val="00293E0D"/>
    <w:rsid w:val="00293E80"/>
    <w:rsid w:val="002973B0"/>
    <w:rsid w:val="00297C14"/>
    <w:rsid w:val="002A220F"/>
    <w:rsid w:val="002A24F1"/>
    <w:rsid w:val="002A3442"/>
    <w:rsid w:val="002A5778"/>
    <w:rsid w:val="002A61C2"/>
    <w:rsid w:val="002A6E3B"/>
    <w:rsid w:val="002B1E84"/>
    <w:rsid w:val="002B2085"/>
    <w:rsid w:val="002B3EC4"/>
    <w:rsid w:val="002C37D5"/>
    <w:rsid w:val="002C4DA6"/>
    <w:rsid w:val="002D239A"/>
    <w:rsid w:val="002D34DB"/>
    <w:rsid w:val="002D408C"/>
    <w:rsid w:val="002D4B11"/>
    <w:rsid w:val="002D7A76"/>
    <w:rsid w:val="002E1690"/>
    <w:rsid w:val="002E5633"/>
    <w:rsid w:val="002E5975"/>
    <w:rsid w:val="002F1963"/>
    <w:rsid w:val="002F4680"/>
    <w:rsid w:val="002F5B6E"/>
    <w:rsid w:val="002F61B5"/>
    <w:rsid w:val="00300066"/>
    <w:rsid w:val="0030209B"/>
    <w:rsid w:val="0030524B"/>
    <w:rsid w:val="00306F89"/>
    <w:rsid w:val="003072CD"/>
    <w:rsid w:val="003127E4"/>
    <w:rsid w:val="00313215"/>
    <w:rsid w:val="003174C3"/>
    <w:rsid w:val="003242D6"/>
    <w:rsid w:val="00324E94"/>
    <w:rsid w:val="0032557A"/>
    <w:rsid w:val="0034076E"/>
    <w:rsid w:val="00340778"/>
    <w:rsid w:val="00344D2C"/>
    <w:rsid w:val="003458CE"/>
    <w:rsid w:val="00345A57"/>
    <w:rsid w:val="003469EE"/>
    <w:rsid w:val="00346D90"/>
    <w:rsid w:val="00346E24"/>
    <w:rsid w:val="00347B50"/>
    <w:rsid w:val="003509E4"/>
    <w:rsid w:val="00351645"/>
    <w:rsid w:val="00351F62"/>
    <w:rsid w:val="00353D9A"/>
    <w:rsid w:val="00355AA4"/>
    <w:rsid w:val="003571EF"/>
    <w:rsid w:val="003601F4"/>
    <w:rsid w:val="003671E2"/>
    <w:rsid w:val="00372AE6"/>
    <w:rsid w:val="00376C3A"/>
    <w:rsid w:val="003837E1"/>
    <w:rsid w:val="0038584D"/>
    <w:rsid w:val="0039257F"/>
    <w:rsid w:val="003931DE"/>
    <w:rsid w:val="00396B6D"/>
    <w:rsid w:val="00397D1A"/>
    <w:rsid w:val="003A163C"/>
    <w:rsid w:val="003A2B4E"/>
    <w:rsid w:val="003A2FBB"/>
    <w:rsid w:val="003A3799"/>
    <w:rsid w:val="003A42EA"/>
    <w:rsid w:val="003A4913"/>
    <w:rsid w:val="003A54A9"/>
    <w:rsid w:val="003A7083"/>
    <w:rsid w:val="003A7AB2"/>
    <w:rsid w:val="003B09D1"/>
    <w:rsid w:val="003B300F"/>
    <w:rsid w:val="003B3103"/>
    <w:rsid w:val="003B38B3"/>
    <w:rsid w:val="003B3A97"/>
    <w:rsid w:val="003B3D44"/>
    <w:rsid w:val="003B47BC"/>
    <w:rsid w:val="003C0BB1"/>
    <w:rsid w:val="003C5479"/>
    <w:rsid w:val="003C6BB5"/>
    <w:rsid w:val="003C7CC2"/>
    <w:rsid w:val="003D50B6"/>
    <w:rsid w:val="003E05DF"/>
    <w:rsid w:val="003E1562"/>
    <w:rsid w:val="003E6014"/>
    <w:rsid w:val="003E6085"/>
    <w:rsid w:val="003E66B7"/>
    <w:rsid w:val="003E6CA3"/>
    <w:rsid w:val="003F4C96"/>
    <w:rsid w:val="00401C49"/>
    <w:rsid w:val="00406002"/>
    <w:rsid w:val="00406AD3"/>
    <w:rsid w:val="00412341"/>
    <w:rsid w:val="00412AC8"/>
    <w:rsid w:val="00412E42"/>
    <w:rsid w:val="00421D88"/>
    <w:rsid w:val="00425C05"/>
    <w:rsid w:val="00425E86"/>
    <w:rsid w:val="00426356"/>
    <w:rsid w:val="00426929"/>
    <w:rsid w:val="004336E0"/>
    <w:rsid w:val="00442C16"/>
    <w:rsid w:val="00445410"/>
    <w:rsid w:val="00445B8E"/>
    <w:rsid w:val="00446439"/>
    <w:rsid w:val="00450BDA"/>
    <w:rsid w:val="00453A3E"/>
    <w:rsid w:val="0045452F"/>
    <w:rsid w:val="0045766B"/>
    <w:rsid w:val="0046444F"/>
    <w:rsid w:val="00466159"/>
    <w:rsid w:val="00474BB7"/>
    <w:rsid w:val="00476133"/>
    <w:rsid w:val="004816D7"/>
    <w:rsid w:val="0048342E"/>
    <w:rsid w:val="00486F83"/>
    <w:rsid w:val="00487478"/>
    <w:rsid w:val="0048782D"/>
    <w:rsid w:val="004918D9"/>
    <w:rsid w:val="00494DC1"/>
    <w:rsid w:val="00495DB9"/>
    <w:rsid w:val="00497A9E"/>
    <w:rsid w:val="004A284C"/>
    <w:rsid w:val="004A36A3"/>
    <w:rsid w:val="004A3F56"/>
    <w:rsid w:val="004A5E21"/>
    <w:rsid w:val="004A666A"/>
    <w:rsid w:val="004A6D90"/>
    <w:rsid w:val="004A7455"/>
    <w:rsid w:val="004B143F"/>
    <w:rsid w:val="004B3022"/>
    <w:rsid w:val="004B49A0"/>
    <w:rsid w:val="004B7456"/>
    <w:rsid w:val="004C4CF9"/>
    <w:rsid w:val="004C6306"/>
    <w:rsid w:val="004C6C25"/>
    <w:rsid w:val="004C6F5E"/>
    <w:rsid w:val="004C7E94"/>
    <w:rsid w:val="004D1DBC"/>
    <w:rsid w:val="004D7CF8"/>
    <w:rsid w:val="004D7EDA"/>
    <w:rsid w:val="004E0E49"/>
    <w:rsid w:val="004E197A"/>
    <w:rsid w:val="004E51B1"/>
    <w:rsid w:val="004E5D52"/>
    <w:rsid w:val="004F07D7"/>
    <w:rsid w:val="004F1297"/>
    <w:rsid w:val="004F16DB"/>
    <w:rsid w:val="004F4D7E"/>
    <w:rsid w:val="004F5B16"/>
    <w:rsid w:val="004F5D9D"/>
    <w:rsid w:val="004F68E5"/>
    <w:rsid w:val="004F7037"/>
    <w:rsid w:val="004F741B"/>
    <w:rsid w:val="00503253"/>
    <w:rsid w:val="00503BB0"/>
    <w:rsid w:val="00503E03"/>
    <w:rsid w:val="00512226"/>
    <w:rsid w:val="005147C6"/>
    <w:rsid w:val="005159B1"/>
    <w:rsid w:val="00517677"/>
    <w:rsid w:val="005213B1"/>
    <w:rsid w:val="00521FCE"/>
    <w:rsid w:val="00522502"/>
    <w:rsid w:val="0052413B"/>
    <w:rsid w:val="005255A1"/>
    <w:rsid w:val="00525825"/>
    <w:rsid w:val="0052641C"/>
    <w:rsid w:val="0052773D"/>
    <w:rsid w:val="005327D3"/>
    <w:rsid w:val="0053795D"/>
    <w:rsid w:val="00544522"/>
    <w:rsid w:val="0054456D"/>
    <w:rsid w:val="005468AB"/>
    <w:rsid w:val="00546E01"/>
    <w:rsid w:val="005501A0"/>
    <w:rsid w:val="00550249"/>
    <w:rsid w:val="00550831"/>
    <w:rsid w:val="00551424"/>
    <w:rsid w:val="00551ECF"/>
    <w:rsid w:val="00552F3A"/>
    <w:rsid w:val="00554273"/>
    <w:rsid w:val="00556D49"/>
    <w:rsid w:val="0056001A"/>
    <w:rsid w:val="005642B6"/>
    <w:rsid w:val="00570596"/>
    <w:rsid w:val="0057129D"/>
    <w:rsid w:val="00571D5E"/>
    <w:rsid w:val="00573DA8"/>
    <w:rsid w:val="005823D0"/>
    <w:rsid w:val="005835D5"/>
    <w:rsid w:val="00591B22"/>
    <w:rsid w:val="00596521"/>
    <w:rsid w:val="005A2748"/>
    <w:rsid w:val="005A4243"/>
    <w:rsid w:val="005A443F"/>
    <w:rsid w:val="005A7C26"/>
    <w:rsid w:val="005B0970"/>
    <w:rsid w:val="005B0FD5"/>
    <w:rsid w:val="005B52F1"/>
    <w:rsid w:val="005B58D4"/>
    <w:rsid w:val="005C07B3"/>
    <w:rsid w:val="005C284E"/>
    <w:rsid w:val="005C47D4"/>
    <w:rsid w:val="005D3608"/>
    <w:rsid w:val="005D51D0"/>
    <w:rsid w:val="005D57CE"/>
    <w:rsid w:val="005D6F83"/>
    <w:rsid w:val="005D7877"/>
    <w:rsid w:val="005D7CCF"/>
    <w:rsid w:val="005E04CF"/>
    <w:rsid w:val="005E23D6"/>
    <w:rsid w:val="005E58C4"/>
    <w:rsid w:val="005E5D8F"/>
    <w:rsid w:val="005E6F3F"/>
    <w:rsid w:val="005E7E11"/>
    <w:rsid w:val="005F0A43"/>
    <w:rsid w:val="005F4E3C"/>
    <w:rsid w:val="005F5A5C"/>
    <w:rsid w:val="005F5CD9"/>
    <w:rsid w:val="00602996"/>
    <w:rsid w:val="00605E88"/>
    <w:rsid w:val="0061135C"/>
    <w:rsid w:val="006136DD"/>
    <w:rsid w:val="006149F0"/>
    <w:rsid w:val="006220A5"/>
    <w:rsid w:val="00622D86"/>
    <w:rsid w:val="00624AC8"/>
    <w:rsid w:val="00633812"/>
    <w:rsid w:val="00633C60"/>
    <w:rsid w:val="0064126D"/>
    <w:rsid w:val="006451B8"/>
    <w:rsid w:val="00645722"/>
    <w:rsid w:val="006457CB"/>
    <w:rsid w:val="00651B05"/>
    <w:rsid w:val="00652432"/>
    <w:rsid w:val="00653E07"/>
    <w:rsid w:val="00654EF4"/>
    <w:rsid w:val="00657840"/>
    <w:rsid w:val="00657CAB"/>
    <w:rsid w:val="0066003C"/>
    <w:rsid w:val="0066041E"/>
    <w:rsid w:val="00673CCC"/>
    <w:rsid w:val="00675C98"/>
    <w:rsid w:val="0069026B"/>
    <w:rsid w:val="006956EA"/>
    <w:rsid w:val="006A18F9"/>
    <w:rsid w:val="006A490C"/>
    <w:rsid w:val="006A54B1"/>
    <w:rsid w:val="006B0693"/>
    <w:rsid w:val="006B0DD7"/>
    <w:rsid w:val="006B4F7D"/>
    <w:rsid w:val="006B5CD4"/>
    <w:rsid w:val="006B79E1"/>
    <w:rsid w:val="006C114C"/>
    <w:rsid w:val="006C157A"/>
    <w:rsid w:val="006C3668"/>
    <w:rsid w:val="006C3864"/>
    <w:rsid w:val="006C5383"/>
    <w:rsid w:val="006C5E72"/>
    <w:rsid w:val="006C6349"/>
    <w:rsid w:val="006D2AEC"/>
    <w:rsid w:val="006D465A"/>
    <w:rsid w:val="006D4C8E"/>
    <w:rsid w:val="006E19D1"/>
    <w:rsid w:val="006E1CBB"/>
    <w:rsid w:val="006E76B8"/>
    <w:rsid w:val="006F100B"/>
    <w:rsid w:val="006F239A"/>
    <w:rsid w:val="006F2B62"/>
    <w:rsid w:val="006F2C9D"/>
    <w:rsid w:val="006F2F42"/>
    <w:rsid w:val="006F5E3A"/>
    <w:rsid w:val="006F6B51"/>
    <w:rsid w:val="007003C9"/>
    <w:rsid w:val="0070637D"/>
    <w:rsid w:val="007071DD"/>
    <w:rsid w:val="0070771F"/>
    <w:rsid w:val="00712A14"/>
    <w:rsid w:val="00716C04"/>
    <w:rsid w:val="00717180"/>
    <w:rsid w:val="007179D2"/>
    <w:rsid w:val="00720750"/>
    <w:rsid w:val="0072549C"/>
    <w:rsid w:val="00725A80"/>
    <w:rsid w:val="007262C8"/>
    <w:rsid w:val="00733970"/>
    <w:rsid w:val="00737DD3"/>
    <w:rsid w:val="00741D0B"/>
    <w:rsid w:val="0075185B"/>
    <w:rsid w:val="00752CE2"/>
    <w:rsid w:val="00753BFB"/>
    <w:rsid w:val="00753CFD"/>
    <w:rsid w:val="00754C58"/>
    <w:rsid w:val="007661A7"/>
    <w:rsid w:val="00767DF6"/>
    <w:rsid w:val="007722DF"/>
    <w:rsid w:val="00773087"/>
    <w:rsid w:val="00776E78"/>
    <w:rsid w:val="0078138A"/>
    <w:rsid w:val="00783014"/>
    <w:rsid w:val="007834DC"/>
    <w:rsid w:val="00790BC2"/>
    <w:rsid w:val="00791014"/>
    <w:rsid w:val="007959D8"/>
    <w:rsid w:val="0079630F"/>
    <w:rsid w:val="007A04C2"/>
    <w:rsid w:val="007A06CD"/>
    <w:rsid w:val="007A0ECB"/>
    <w:rsid w:val="007B146A"/>
    <w:rsid w:val="007B17E7"/>
    <w:rsid w:val="007B278A"/>
    <w:rsid w:val="007B57C9"/>
    <w:rsid w:val="007C0E7C"/>
    <w:rsid w:val="007C0EAA"/>
    <w:rsid w:val="007C19C3"/>
    <w:rsid w:val="007C44B2"/>
    <w:rsid w:val="007C4A47"/>
    <w:rsid w:val="007C5067"/>
    <w:rsid w:val="007C6496"/>
    <w:rsid w:val="007C745E"/>
    <w:rsid w:val="007D0ABE"/>
    <w:rsid w:val="007D6203"/>
    <w:rsid w:val="007E356F"/>
    <w:rsid w:val="007E3F8C"/>
    <w:rsid w:val="007F2058"/>
    <w:rsid w:val="007F30E0"/>
    <w:rsid w:val="007F7685"/>
    <w:rsid w:val="0080011D"/>
    <w:rsid w:val="00800EA5"/>
    <w:rsid w:val="00801C01"/>
    <w:rsid w:val="00805FD4"/>
    <w:rsid w:val="008065E3"/>
    <w:rsid w:val="008112CC"/>
    <w:rsid w:val="008130BB"/>
    <w:rsid w:val="00817406"/>
    <w:rsid w:val="00821C30"/>
    <w:rsid w:val="008237FA"/>
    <w:rsid w:val="00825D37"/>
    <w:rsid w:val="0083165E"/>
    <w:rsid w:val="008369B0"/>
    <w:rsid w:val="008372D1"/>
    <w:rsid w:val="00840E9A"/>
    <w:rsid w:val="00841D0C"/>
    <w:rsid w:val="00841D28"/>
    <w:rsid w:val="008474CF"/>
    <w:rsid w:val="00850C25"/>
    <w:rsid w:val="00853159"/>
    <w:rsid w:val="00856C0B"/>
    <w:rsid w:val="0085732C"/>
    <w:rsid w:val="008601BD"/>
    <w:rsid w:val="00860B45"/>
    <w:rsid w:val="00863860"/>
    <w:rsid w:val="008638B5"/>
    <w:rsid w:val="008734DB"/>
    <w:rsid w:val="0087390B"/>
    <w:rsid w:val="008745A1"/>
    <w:rsid w:val="008768E9"/>
    <w:rsid w:val="0087751B"/>
    <w:rsid w:val="008850E8"/>
    <w:rsid w:val="008874B4"/>
    <w:rsid w:val="00890995"/>
    <w:rsid w:val="008914FB"/>
    <w:rsid w:val="008926E6"/>
    <w:rsid w:val="008959F1"/>
    <w:rsid w:val="0089737A"/>
    <w:rsid w:val="00897E99"/>
    <w:rsid w:val="008A4829"/>
    <w:rsid w:val="008A7C3C"/>
    <w:rsid w:val="008B2384"/>
    <w:rsid w:val="008B38D6"/>
    <w:rsid w:val="008B4802"/>
    <w:rsid w:val="008B69E3"/>
    <w:rsid w:val="008C1FD1"/>
    <w:rsid w:val="008C24A8"/>
    <w:rsid w:val="008C35EF"/>
    <w:rsid w:val="008C447F"/>
    <w:rsid w:val="008C5996"/>
    <w:rsid w:val="008D3BB6"/>
    <w:rsid w:val="008D5A11"/>
    <w:rsid w:val="008D5E23"/>
    <w:rsid w:val="008D77AF"/>
    <w:rsid w:val="008D7A45"/>
    <w:rsid w:val="008E0ACA"/>
    <w:rsid w:val="008E3DE5"/>
    <w:rsid w:val="008E6D59"/>
    <w:rsid w:val="008F0B90"/>
    <w:rsid w:val="008F16BB"/>
    <w:rsid w:val="008F2849"/>
    <w:rsid w:val="008F30C7"/>
    <w:rsid w:val="008F35C0"/>
    <w:rsid w:val="008F5D66"/>
    <w:rsid w:val="009028AA"/>
    <w:rsid w:val="00903E3F"/>
    <w:rsid w:val="009049C3"/>
    <w:rsid w:val="009057D9"/>
    <w:rsid w:val="0090774A"/>
    <w:rsid w:val="00910D07"/>
    <w:rsid w:val="00914B2F"/>
    <w:rsid w:val="009150E6"/>
    <w:rsid w:val="009179B9"/>
    <w:rsid w:val="00917F89"/>
    <w:rsid w:val="009255EE"/>
    <w:rsid w:val="00925603"/>
    <w:rsid w:val="00925F76"/>
    <w:rsid w:val="009307A8"/>
    <w:rsid w:val="00932E89"/>
    <w:rsid w:val="0093359D"/>
    <w:rsid w:val="00933F2B"/>
    <w:rsid w:val="009365B9"/>
    <w:rsid w:val="009405A2"/>
    <w:rsid w:val="00941561"/>
    <w:rsid w:val="00942EEB"/>
    <w:rsid w:val="0094468E"/>
    <w:rsid w:val="00945261"/>
    <w:rsid w:val="009506A5"/>
    <w:rsid w:val="009541CC"/>
    <w:rsid w:val="00955924"/>
    <w:rsid w:val="00956564"/>
    <w:rsid w:val="009567A6"/>
    <w:rsid w:val="00956D5A"/>
    <w:rsid w:val="00957762"/>
    <w:rsid w:val="00961B2C"/>
    <w:rsid w:val="00961DBB"/>
    <w:rsid w:val="00963564"/>
    <w:rsid w:val="0096618E"/>
    <w:rsid w:val="00981433"/>
    <w:rsid w:val="0098222F"/>
    <w:rsid w:val="00985C07"/>
    <w:rsid w:val="00987084"/>
    <w:rsid w:val="00991BFB"/>
    <w:rsid w:val="00995B4F"/>
    <w:rsid w:val="00997582"/>
    <w:rsid w:val="009A2C21"/>
    <w:rsid w:val="009A3E58"/>
    <w:rsid w:val="009A4AE1"/>
    <w:rsid w:val="009A4F48"/>
    <w:rsid w:val="009A5F02"/>
    <w:rsid w:val="009A7AB1"/>
    <w:rsid w:val="009B6F35"/>
    <w:rsid w:val="009B7903"/>
    <w:rsid w:val="009C48C6"/>
    <w:rsid w:val="009C6DAA"/>
    <w:rsid w:val="009D0E74"/>
    <w:rsid w:val="009D1A96"/>
    <w:rsid w:val="009D370B"/>
    <w:rsid w:val="009D4988"/>
    <w:rsid w:val="009D6216"/>
    <w:rsid w:val="009E2087"/>
    <w:rsid w:val="009E252B"/>
    <w:rsid w:val="009E3265"/>
    <w:rsid w:val="009E3353"/>
    <w:rsid w:val="009E446D"/>
    <w:rsid w:val="009E7C09"/>
    <w:rsid w:val="009F146D"/>
    <w:rsid w:val="009F2B91"/>
    <w:rsid w:val="009F4F1E"/>
    <w:rsid w:val="009F553C"/>
    <w:rsid w:val="00A015E4"/>
    <w:rsid w:val="00A01842"/>
    <w:rsid w:val="00A018D4"/>
    <w:rsid w:val="00A075BC"/>
    <w:rsid w:val="00A10083"/>
    <w:rsid w:val="00A11222"/>
    <w:rsid w:val="00A12542"/>
    <w:rsid w:val="00A12C39"/>
    <w:rsid w:val="00A134FB"/>
    <w:rsid w:val="00A20802"/>
    <w:rsid w:val="00A25B4F"/>
    <w:rsid w:val="00A27E8B"/>
    <w:rsid w:val="00A31512"/>
    <w:rsid w:val="00A35714"/>
    <w:rsid w:val="00A442BF"/>
    <w:rsid w:val="00A517D0"/>
    <w:rsid w:val="00A52F1F"/>
    <w:rsid w:val="00A530D6"/>
    <w:rsid w:val="00A53716"/>
    <w:rsid w:val="00A5485F"/>
    <w:rsid w:val="00A5629E"/>
    <w:rsid w:val="00A64832"/>
    <w:rsid w:val="00A66D96"/>
    <w:rsid w:val="00A732DB"/>
    <w:rsid w:val="00A838D2"/>
    <w:rsid w:val="00A8473C"/>
    <w:rsid w:val="00A85693"/>
    <w:rsid w:val="00A86F04"/>
    <w:rsid w:val="00A946C4"/>
    <w:rsid w:val="00A94D22"/>
    <w:rsid w:val="00A969D2"/>
    <w:rsid w:val="00AA2662"/>
    <w:rsid w:val="00AB1980"/>
    <w:rsid w:val="00AC01F8"/>
    <w:rsid w:val="00AC059A"/>
    <w:rsid w:val="00AC41CF"/>
    <w:rsid w:val="00AD0308"/>
    <w:rsid w:val="00AD377A"/>
    <w:rsid w:val="00AD59DF"/>
    <w:rsid w:val="00AD67BB"/>
    <w:rsid w:val="00AD7278"/>
    <w:rsid w:val="00AD789D"/>
    <w:rsid w:val="00AD7EFE"/>
    <w:rsid w:val="00AE1CC1"/>
    <w:rsid w:val="00AE3EA4"/>
    <w:rsid w:val="00AE6B8A"/>
    <w:rsid w:val="00AF1B02"/>
    <w:rsid w:val="00AF41E4"/>
    <w:rsid w:val="00AF568A"/>
    <w:rsid w:val="00AF5DD8"/>
    <w:rsid w:val="00AF6A43"/>
    <w:rsid w:val="00B04231"/>
    <w:rsid w:val="00B06A75"/>
    <w:rsid w:val="00B06BC3"/>
    <w:rsid w:val="00B15A0F"/>
    <w:rsid w:val="00B15C73"/>
    <w:rsid w:val="00B20236"/>
    <w:rsid w:val="00B20937"/>
    <w:rsid w:val="00B220A0"/>
    <w:rsid w:val="00B22B64"/>
    <w:rsid w:val="00B22FEA"/>
    <w:rsid w:val="00B24321"/>
    <w:rsid w:val="00B27891"/>
    <w:rsid w:val="00B30FEB"/>
    <w:rsid w:val="00B311BA"/>
    <w:rsid w:val="00B35B47"/>
    <w:rsid w:val="00B40AA3"/>
    <w:rsid w:val="00B44478"/>
    <w:rsid w:val="00B4609C"/>
    <w:rsid w:val="00B6002C"/>
    <w:rsid w:val="00B620EE"/>
    <w:rsid w:val="00B671F9"/>
    <w:rsid w:val="00B85366"/>
    <w:rsid w:val="00B87F60"/>
    <w:rsid w:val="00B90F0D"/>
    <w:rsid w:val="00B93D3D"/>
    <w:rsid w:val="00B9784C"/>
    <w:rsid w:val="00BA1EE5"/>
    <w:rsid w:val="00BA393A"/>
    <w:rsid w:val="00BA471F"/>
    <w:rsid w:val="00BB31ED"/>
    <w:rsid w:val="00BB5013"/>
    <w:rsid w:val="00BB528E"/>
    <w:rsid w:val="00BB615A"/>
    <w:rsid w:val="00BC0E11"/>
    <w:rsid w:val="00BC2600"/>
    <w:rsid w:val="00BC36F0"/>
    <w:rsid w:val="00BC3E99"/>
    <w:rsid w:val="00BC4FA7"/>
    <w:rsid w:val="00BC5E30"/>
    <w:rsid w:val="00BD02C5"/>
    <w:rsid w:val="00BD068D"/>
    <w:rsid w:val="00BE0D9A"/>
    <w:rsid w:val="00BE1A50"/>
    <w:rsid w:val="00BE24A5"/>
    <w:rsid w:val="00BE259E"/>
    <w:rsid w:val="00BE2F0D"/>
    <w:rsid w:val="00BF0BD5"/>
    <w:rsid w:val="00BF4709"/>
    <w:rsid w:val="00BF55F8"/>
    <w:rsid w:val="00C051FD"/>
    <w:rsid w:val="00C05E76"/>
    <w:rsid w:val="00C20C7D"/>
    <w:rsid w:val="00C20DEF"/>
    <w:rsid w:val="00C24B25"/>
    <w:rsid w:val="00C24B2E"/>
    <w:rsid w:val="00C24CE8"/>
    <w:rsid w:val="00C24E89"/>
    <w:rsid w:val="00C32C2F"/>
    <w:rsid w:val="00C3738A"/>
    <w:rsid w:val="00C4315A"/>
    <w:rsid w:val="00C43F5E"/>
    <w:rsid w:val="00C44074"/>
    <w:rsid w:val="00C4651F"/>
    <w:rsid w:val="00C47AA5"/>
    <w:rsid w:val="00C51D0B"/>
    <w:rsid w:val="00C52207"/>
    <w:rsid w:val="00C52A50"/>
    <w:rsid w:val="00C55376"/>
    <w:rsid w:val="00C642D4"/>
    <w:rsid w:val="00C648A6"/>
    <w:rsid w:val="00C730F4"/>
    <w:rsid w:val="00C73841"/>
    <w:rsid w:val="00C76789"/>
    <w:rsid w:val="00C80200"/>
    <w:rsid w:val="00C80E0A"/>
    <w:rsid w:val="00C8270B"/>
    <w:rsid w:val="00C82D25"/>
    <w:rsid w:val="00C841A9"/>
    <w:rsid w:val="00C8728F"/>
    <w:rsid w:val="00C97FBC"/>
    <w:rsid w:val="00CA06C8"/>
    <w:rsid w:val="00CA0B7E"/>
    <w:rsid w:val="00CA4C28"/>
    <w:rsid w:val="00CA5598"/>
    <w:rsid w:val="00CA5EF8"/>
    <w:rsid w:val="00CB28A3"/>
    <w:rsid w:val="00CB6D19"/>
    <w:rsid w:val="00CB758E"/>
    <w:rsid w:val="00CC00A0"/>
    <w:rsid w:val="00CC0FED"/>
    <w:rsid w:val="00CC3C34"/>
    <w:rsid w:val="00CC4C7D"/>
    <w:rsid w:val="00CC5455"/>
    <w:rsid w:val="00CC6C06"/>
    <w:rsid w:val="00CD1526"/>
    <w:rsid w:val="00CD5509"/>
    <w:rsid w:val="00CE1EB0"/>
    <w:rsid w:val="00CE3DF2"/>
    <w:rsid w:val="00CF0C0F"/>
    <w:rsid w:val="00CF1690"/>
    <w:rsid w:val="00CF1F2A"/>
    <w:rsid w:val="00CF5CE3"/>
    <w:rsid w:val="00CF6693"/>
    <w:rsid w:val="00CF7412"/>
    <w:rsid w:val="00D030F8"/>
    <w:rsid w:val="00D03ADC"/>
    <w:rsid w:val="00D077B7"/>
    <w:rsid w:val="00D11467"/>
    <w:rsid w:val="00D20297"/>
    <w:rsid w:val="00D21E6B"/>
    <w:rsid w:val="00D2336A"/>
    <w:rsid w:val="00D23634"/>
    <w:rsid w:val="00D25DD1"/>
    <w:rsid w:val="00D3279A"/>
    <w:rsid w:val="00D34551"/>
    <w:rsid w:val="00D3742D"/>
    <w:rsid w:val="00D457D6"/>
    <w:rsid w:val="00D61E2E"/>
    <w:rsid w:val="00D64CE2"/>
    <w:rsid w:val="00D7192D"/>
    <w:rsid w:val="00D7751B"/>
    <w:rsid w:val="00D8115A"/>
    <w:rsid w:val="00D815DC"/>
    <w:rsid w:val="00D822B5"/>
    <w:rsid w:val="00D83361"/>
    <w:rsid w:val="00D83D3C"/>
    <w:rsid w:val="00D867AE"/>
    <w:rsid w:val="00D87BBB"/>
    <w:rsid w:val="00D87C87"/>
    <w:rsid w:val="00D91BF7"/>
    <w:rsid w:val="00D921C4"/>
    <w:rsid w:val="00D9296A"/>
    <w:rsid w:val="00D93C23"/>
    <w:rsid w:val="00D95638"/>
    <w:rsid w:val="00D9584C"/>
    <w:rsid w:val="00DA14D9"/>
    <w:rsid w:val="00DB13AD"/>
    <w:rsid w:val="00DB1DD2"/>
    <w:rsid w:val="00DB23F9"/>
    <w:rsid w:val="00DB4357"/>
    <w:rsid w:val="00DB58BE"/>
    <w:rsid w:val="00DB6176"/>
    <w:rsid w:val="00DB6AA0"/>
    <w:rsid w:val="00DB6F6E"/>
    <w:rsid w:val="00DB7C3A"/>
    <w:rsid w:val="00DD0ADF"/>
    <w:rsid w:val="00DD32AB"/>
    <w:rsid w:val="00DD3B09"/>
    <w:rsid w:val="00DD5BF6"/>
    <w:rsid w:val="00DE1499"/>
    <w:rsid w:val="00DE1865"/>
    <w:rsid w:val="00DE4FCA"/>
    <w:rsid w:val="00DE6CEF"/>
    <w:rsid w:val="00DF11C2"/>
    <w:rsid w:val="00DF14FA"/>
    <w:rsid w:val="00DF2134"/>
    <w:rsid w:val="00DF4593"/>
    <w:rsid w:val="00E00E4F"/>
    <w:rsid w:val="00E01AAC"/>
    <w:rsid w:val="00E10D05"/>
    <w:rsid w:val="00E12A88"/>
    <w:rsid w:val="00E1320E"/>
    <w:rsid w:val="00E14F5A"/>
    <w:rsid w:val="00E2223E"/>
    <w:rsid w:val="00E22D98"/>
    <w:rsid w:val="00E24623"/>
    <w:rsid w:val="00E252E3"/>
    <w:rsid w:val="00E36686"/>
    <w:rsid w:val="00E40505"/>
    <w:rsid w:val="00E41F75"/>
    <w:rsid w:val="00E42A41"/>
    <w:rsid w:val="00E45766"/>
    <w:rsid w:val="00E5033E"/>
    <w:rsid w:val="00E548A1"/>
    <w:rsid w:val="00E5507F"/>
    <w:rsid w:val="00E567E5"/>
    <w:rsid w:val="00E640FC"/>
    <w:rsid w:val="00E64480"/>
    <w:rsid w:val="00E6708B"/>
    <w:rsid w:val="00E73A8C"/>
    <w:rsid w:val="00E75050"/>
    <w:rsid w:val="00E7672C"/>
    <w:rsid w:val="00E76F42"/>
    <w:rsid w:val="00E77D6D"/>
    <w:rsid w:val="00E915E6"/>
    <w:rsid w:val="00E97B16"/>
    <w:rsid w:val="00EA3E11"/>
    <w:rsid w:val="00EA6EB3"/>
    <w:rsid w:val="00EB4A8E"/>
    <w:rsid w:val="00EB5803"/>
    <w:rsid w:val="00EB5EF3"/>
    <w:rsid w:val="00EB695D"/>
    <w:rsid w:val="00EC38F3"/>
    <w:rsid w:val="00ED1C43"/>
    <w:rsid w:val="00ED2DC9"/>
    <w:rsid w:val="00ED39CE"/>
    <w:rsid w:val="00ED4134"/>
    <w:rsid w:val="00ED7360"/>
    <w:rsid w:val="00EE05F1"/>
    <w:rsid w:val="00EE471A"/>
    <w:rsid w:val="00EE5492"/>
    <w:rsid w:val="00EF0A00"/>
    <w:rsid w:val="00F05484"/>
    <w:rsid w:val="00F07BD5"/>
    <w:rsid w:val="00F122D6"/>
    <w:rsid w:val="00F15BF4"/>
    <w:rsid w:val="00F17940"/>
    <w:rsid w:val="00F17DC0"/>
    <w:rsid w:val="00F2046C"/>
    <w:rsid w:val="00F20647"/>
    <w:rsid w:val="00F26849"/>
    <w:rsid w:val="00F31392"/>
    <w:rsid w:val="00F348B5"/>
    <w:rsid w:val="00F3652B"/>
    <w:rsid w:val="00F377B9"/>
    <w:rsid w:val="00F42315"/>
    <w:rsid w:val="00F45442"/>
    <w:rsid w:val="00F5145E"/>
    <w:rsid w:val="00F558EA"/>
    <w:rsid w:val="00F613CB"/>
    <w:rsid w:val="00F61F79"/>
    <w:rsid w:val="00F645C9"/>
    <w:rsid w:val="00F656A4"/>
    <w:rsid w:val="00F6665E"/>
    <w:rsid w:val="00F7075F"/>
    <w:rsid w:val="00F71D76"/>
    <w:rsid w:val="00F71DCC"/>
    <w:rsid w:val="00F74227"/>
    <w:rsid w:val="00F8349F"/>
    <w:rsid w:val="00F83FB7"/>
    <w:rsid w:val="00F85935"/>
    <w:rsid w:val="00F85D29"/>
    <w:rsid w:val="00F86B84"/>
    <w:rsid w:val="00F9070D"/>
    <w:rsid w:val="00F969D3"/>
    <w:rsid w:val="00FA190E"/>
    <w:rsid w:val="00FA2756"/>
    <w:rsid w:val="00FA3B06"/>
    <w:rsid w:val="00FA54D8"/>
    <w:rsid w:val="00FC1860"/>
    <w:rsid w:val="00FC1BDB"/>
    <w:rsid w:val="00FC4FB7"/>
    <w:rsid w:val="00FD1EE0"/>
    <w:rsid w:val="00FD357B"/>
    <w:rsid w:val="00FD38FC"/>
    <w:rsid w:val="00FD4018"/>
    <w:rsid w:val="00FD6119"/>
    <w:rsid w:val="00FD688E"/>
    <w:rsid w:val="00FD68D1"/>
    <w:rsid w:val="00FD7C0C"/>
    <w:rsid w:val="00FE045C"/>
    <w:rsid w:val="00FE0C52"/>
    <w:rsid w:val="00FE1692"/>
    <w:rsid w:val="00FE2976"/>
    <w:rsid w:val="00FE3B13"/>
    <w:rsid w:val="00FF0566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300" w:lineRule="atLeast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2" w:qFormat="1"/>
    <w:lsdException w:name="heading 3" w:qFormat="1"/>
    <w:lsdException w:name="heading 4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header" w:uiPriority="99"/>
    <w:lsdException w:name="caption" w:qFormat="1"/>
    <w:lsdException w:name="table of figures" w:semiHidden="0" w:uiPriority="99" w:unhideWhenUsed="0"/>
    <w:lsdException w:name="List Bullet" w:uiPriority="7" w:qFormat="1"/>
    <w:lsdException w:name="List Number" w:qFormat="1"/>
    <w:lsdException w:name="List Bullet 2" w:uiPriority="8" w:qFormat="1"/>
    <w:lsdException w:name="List Bullet 3" w:uiPriority="9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5" w:qFormat="1"/>
    <w:lsdException w:name="List Continue" w:qFormat="1"/>
    <w:lsdException w:name="List Continue 2" w:qFormat="1"/>
    <w:lsdException w:name="Subtitle" w:semiHidden="0" w:unhideWhenUsed="0" w:qFormat="1"/>
    <w:lsdException w:name="Hyperlink" w:uiPriority="99"/>
    <w:lsdException w:name="Strong" w:unhideWhenUsed="0" w:qFormat="1"/>
    <w:lsdException w:name="Emphasis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9" w:unhideWhenUsed="0"/>
    <w:lsdException w:name="Quote" w:semiHidden="0" w:unhideWhenUsed="0"/>
    <w:lsdException w:name="Intense Quote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TOC Heading" w:qFormat="1"/>
  </w:latentStyles>
  <w:style w:type="paragraph" w:default="1" w:styleId="Normal">
    <w:name w:val="Normal"/>
    <w:uiPriority w:val="39"/>
    <w:rsid w:val="0089737A"/>
  </w:style>
  <w:style w:type="paragraph" w:styleId="Heading1">
    <w:name w:val="heading 1"/>
    <w:basedOn w:val="Normal"/>
    <w:next w:val="BodyText"/>
    <w:link w:val="Heading1Char"/>
    <w:uiPriority w:val="9"/>
    <w:qFormat/>
    <w:rsid w:val="0046444F"/>
    <w:pPr>
      <w:keepNext/>
      <w:keepLines/>
      <w:numPr>
        <w:numId w:val="10"/>
      </w:numPr>
      <w:tabs>
        <w:tab w:val="right" w:pos="1418"/>
        <w:tab w:val="right" w:pos="1701"/>
        <w:tab w:val="right" w:pos="1985"/>
      </w:tabs>
      <w:spacing w:before="470" w:after="228"/>
      <w:outlineLvl w:val="0"/>
    </w:pPr>
    <w:rPr>
      <w:rFonts w:asciiTheme="majorHAnsi" w:hAnsiTheme="majorHAnsi"/>
      <w:bCs/>
      <w:color w:val="2B3B5F" w:themeColor="text2"/>
      <w:spacing w:val="-6"/>
      <w:kern w:val="32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CA06C8"/>
    <w:pPr>
      <w:keepNext/>
      <w:keepLines/>
      <w:numPr>
        <w:ilvl w:val="1"/>
        <w:numId w:val="10"/>
      </w:numPr>
      <w:tabs>
        <w:tab w:val="left" w:pos="1418"/>
        <w:tab w:val="left" w:pos="1701"/>
        <w:tab w:val="left" w:pos="1985"/>
      </w:tabs>
      <w:spacing w:before="470" w:after="227"/>
      <w:outlineLvl w:val="1"/>
    </w:pPr>
    <w:rPr>
      <w:rFonts w:ascii="Calibri" w:hAnsi="Calibri"/>
      <w:b/>
      <w:bCs/>
      <w:iCs/>
      <w:color w:val="2B3B5F" w:themeColor="text2"/>
      <w:kern w:val="20"/>
      <w:sz w:val="24"/>
      <w:szCs w:val="28"/>
    </w:rPr>
  </w:style>
  <w:style w:type="paragraph" w:styleId="Heading3">
    <w:name w:val="heading 3"/>
    <w:basedOn w:val="Normal"/>
    <w:next w:val="BodyText"/>
    <w:link w:val="Heading3Char"/>
    <w:uiPriority w:val="3"/>
    <w:qFormat/>
    <w:rsid w:val="00CA06C8"/>
    <w:pPr>
      <w:keepNext/>
      <w:keepLines/>
      <w:numPr>
        <w:ilvl w:val="2"/>
        <w:numId w:val="10"/>
      </w:numPr>
      <w:tabs>
        <w:tab w:val="left" w:pos="1418"/>
        <w:tab w:val="left" w:pos="1701"/>
        <w:tab w:val="left" w:pos="1985"/>
      </w:tabs>
      <w:spacing w:before="470" w:after="227"/>
      <w:outlineLvl w:val="2"/>
    </w:pPr>
    <w:rPr>
      <w:i/>
      <w:color w:val="2B3B5F" w:themeColor="text2"/>
      <w:sz w:val="24"/>
    </w:rPr>
  </w:style>
  <w:style w:type="paragraph" w:styleId="Heading4">
    <w:name w:val="heading 4"/>
    <w:basedOn w:val="Normal"/>
    <w:next w:val="BodyText"/>
    <w:link w:val="Heading4Char"/>
    <w:uiPriority w:val="4"/>
    <w:qFormat/>
    <w:rsid w:val="00CA06C8"/>
    <w:pPr>
      <w:keepNext/>
      <w:keepLines/>
      <w:tabs>
        <w:tab w:val="left" w:pos="1418"/>
        <w:tab w:val="left" w:pos="1701"/>
        <w:tab w:val="left" w:pos="1985"/>
      </w:tabs>
      <w:spacing w:before="227" w:after="113"/>
      <w:outlineLvl w:val="3"/>
    </w:pPr>
    <w:rPr>
      <w:rFonts w:eastAsiaTheme="majorEastAsia" w:cstheme="majorBidi"/>
      <w:bCs/>
      <w:i/>
      <w:iCs/>
      <w:color w:val="788184" w:themeColor="background2"/>
      <w:sz w:val="24"/>
    </w:rPr>
  </w:style>
  <w:style w:type="paragraph" w:styleId="Heading5">
    <w:name w:val="heading 5"/>
    <w:basedOn w:val="Normal"/>
    <w:next w:val="BodyText"/>
    <w:link w:val="Heading5Char"/>
    <w:uiPriority w:val="39"/>
    <w:rsid w:val="00B620EE"/>
    <w:pPr>
      <w:keepNext/>
      <w:keepLines/>
      <w:spacing w:before="180" w:after="60"/>
      <w:outlineLvl w:val="4"/>
    </w:pPr>
    <w:rPr>
      <w:rFonts w:asciiTheme="majorHAnsi" w:eastAsiaTheme="majorEastAsia" w:hAnsiTheme="majorHAnsi" w:cstheme="majorBidi"/>
      <w:i/>
      <w:color w:val="636366"/>
      <w:sz w:val="24"/>
    </w:rPr>
  </w:style>
  <w:style w:type="paragraph" w:styleId="Heading6">
    <w:name w:val="heading 6"/>
    <w:basedOn w:val="Normal"/>
    <w:next w:val="BodyText"/>
    <w:link w:val="Heading6Char"/>
    <w:uiPriority w:val="39"/>
    <w:rsid w:val="00B620EE"/>
    <w:pPr>
      <w:keepNext/>
      <w:keepLines/>
      <w:spacing w:before="280" w:after="240"/>
      <w:outlineLvl w:val="5"/>
    </w:pPr>
    <w:rPr>
      <w:rFonts w:asciiTheme="majorHAnsi" w:eastAsiaTheme="majorEastAsia" w:hAnsiTheme="majorHAnsi" w:cstheme="majorBidi"/>
      <w:i/>
      <w:iCs/>
      <w:color w:val="2B3B5F" w:themeColor="text2"/>
      <w:sz w:val="24"/>
    </w:rPr>
  </w:style>
  <w:style w:type="paragraph" w:styleId="Heading7">
    <w:name w:val="heading 7"/>
    <w:basedOn w:val="Normal"/>
    <w:next w:val="Normal"/>
    <w:link w:val="Heading7Char"/>
    <w:semiHidden/>
    <w:rsid w:val="00961DBB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ttachment Title"/>
    <w:basedOn w:val="Normal"/>
    <w:next w:val="BodyText"/>
    <w:link w:val="Heading8Char"/>
    <w:uiPriority w:val="31"/>
    <w:qFormat/>
    <w:rsid w:val="002D239A"/>
    <w:pPr>
      <w:keepNext/>
      <w:keepLines/>
      <w:numPr>
        <w:numId w:val="1"/>
      </w:numPr>
      <w:tabs>
        <w:tab w:val="left" w:pos="4536"/>
      </w:tabs>
      <w:spacing w:before="480" w:after="340"/>
      <w:outlineLvl w:val="7"/>
    </w:pPr>
    <w:rPr>
      <w:rFonts w:asciiTheme="majorHAnsi" w:eastAsiaTheme="majorEastAsia" w:hAnsiTheme="majorHAnsi" w:cstheme="majorBidi"/>
      <w:color w:val="2B3B5F" w:themeColor="text2"/>
      <w:sz w:val="32"/>
    </w:rPr>
  </w:style>
  <w:style w:type="paragraph" w:styleId="Heading9">
    <w:name w:val="heading 9"/>
    <w:aliases w:val="Attachment Heading 1"/>
    <w:basedOn w:val="Normal"/>
    <w:next w:val="BodyText"/>
    <w:link w:val="Heading9Char"/>
    <w:uiPriority w:val="32"/>
    <w:qFormat/>
    <w:rsid w:val="002D239A"/>
    <w:pPr>
      <w:keepNext/>
      <w:keepLines/>
      <w:numPr>
        <w:ilvl w:val="1"/>
        <w:numId w:val="1"/>
      </w:numPr>
      <w:tabs>
        <w:tab w:val="left" w:pos="1559"/>
        <w:tab w:val="left" w:pos="1843"/>
        <w:tab w:val="left" w:pos="2126"/>
        <w:tab w:val="left" w:pos="2410"/>
      </w:tabs>
      <w:spacing w:before="470" w:after="227"/>
      <w:outlineLvl w:val="8"/>
    </w:pPr>
    <w:rPr>
      <w:rFonts w:asciiTheme="majorHAnsi" w:hAnsiTheme="majorHAnsi"/>
      <w:color w:val="2B3B5F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13"/>
    <w:rsid w:val="007834DC"/>
    <w:pPr>
      <w:tabs>
        <w:tab w:val="left" w:pos="425"/>
      </w:tabs>
      <w:spacing w:before="50" w:line="260" w:lineRule="exact"/>
      <w:ind w:left="425" w:hanging="425"/>
    </w:pPr>
    <w:rPr>
      <w:kern w:val="16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13"/>
    <w:rsid w:val="0089737A"/>
    <w:rPr>
      <w:kern w:val="16"/>
      <w:sz w:val="18"/>
    </w:rPr>
  </w:style>
  <w:style w:type="character" w:styleId="FootnoteReference">
    <w:name w:val="footnote reference"/>
    <w:basedOn w:val="DefaultParagraphFont"/>
    <w:uiPriority w:val="39"/>
    <w:rsid w:val="00961DBB"/>
    <w:rPr>
      <w:rFonts w:asciiTheme="minorHAnsi" w:hAnsiTheme="minorHAnsi"/>
      <w:color w:val="auto"/>
      <w:vertAlign w:val="superscript"/>
    </w:rPr>
  </w:style>
  <w:style w:type="paragraph" w:styleId="BodyText">
    <w:name w:val="Body Text"/>
    <w:basedOn w:val="Normal"/>
    <w:link w:val="BodyTextChar"/>
    <w:uiPriority w:val="5"/>
    <w:qFormat/>
    <w:rsid w:val="007C19C3"/>
    <w:pPr>
      <w:spacing w:before="113" w:after="113"/>
    </w:pPr>
    <w:rPr>
      <w:rFonts w:cs="Times New Roman"/>
      <w:spacing w:val="-1"/>
    </w:rPr>
  </w:style>
  <w:style w:type="character" w:customStyle="1" w:styleId="BodyTextChar">
    <w:name w:val="Body Text Char"/>
    <w:basedOn w:val="DefaultParagraphFont"/>
    <w:link w:val="BodyText"/>
    <w:uiPriority w:val="5"/>
    <w:rsid w:val="00AC41CF"/>
    <w:rPr>
      <w:rFonts w:cs="Times New Roman"/>
      <w:spacing w:val="-1"/>
    </w:rPr>
  </w:style>
  <w:style w:type="paragraph" w:customStyle="1" w:styleId="BodyText17ptAbove">
    <w:name w:val="Body Text 17pt Above"/>
    <w:basedOn w:val="BodyText"/>
    <w:next w:val="BodyText"/>
    <w:uiPriority w:val="6"/>
    <w:qFormat/>
    <w:rsid w:val="00CA4C28"/>
    <w:pPr>
      <w:spacing w:before="340"/>
    </w:pPr>
  </w:style>
  <w:style w:type="character" w:customStyle="1" w:styleId="Heading1Char">
    <w:name w:val="Heading 1 Char"/>
    <w:basedOn w:val="DefaultParagraphFont"/>
    <w:link w:val="Heading1"/>
    <w:uiPriority w:val="9"/>
    <w:rsid w:val="00AC41CF"/>
    <w:rPr>
      <w:rFonts w:asciiTheme="majorHAnsi" w:hAnsiTheme="majorHAnsi"/>
      <w:bCs/>
      <w:color w:val="2B3B5F" w:themeColor="text2"/>
      <w:spacing w:val="-6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C41CF"/>
    <w:rPr>
      <w:rFonts w:ascii="Calibri" w:hAnsi="Calibri"/>
      <w:b/>
      <w:bCs/>
      <w:iCs/>
      <w:color w:val="2B3B5F" w:themeColor="text2"/>
      <w:kern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3"/>
    <w:rsid w:val="00AC41CF"/>
    <w:rPr>
      <w:i/>
      <w:color w:val="2B3B5F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4"/>
    <w:rsid w:val="00AC41CF"/>
    <w:rPr>
      <w:rFonts w:eastAsiaTheme="majorEastAsia" w:cstheme="majorBidi"/>
      <w:bCs/>
      <w:i/>
      <w:iCs/>
      <w:color w:val="788184" w:themeColor="background2"/>
      <w:sz w:val="24"/>
    </w:rPr>
  </w:style>
  <w:style w:type="character" w:customStyle="1" w:styleId="Heading5Char">
    <w:name w:val="Heading 5 Char"/>
    <w:basedOn w:val="DefaultParagraphFont"/>
    <w:link w:val="Heading5"/>
    <w:uiPriority w:val="39"/>
    <w:rsid w:val="00AC41CF"/>
    <w:rPr>
      <w:rFonts w:asciiTheme="majorHAnsi" w:eastAsiaTheme="majorEastAsia" w:hAnsiTheme="majorHAnsi" w:cstheme="majorBidi"/>
      <w:i/>
      <w:color w:val="636366"/>
      <w:sz w:val="24"/>
    </w:rPr>
  </w:style>
  <w:style w:type="character" w:customStyle="1" w:styleId="Heading6Char">
    <w:name w:val="Heading 6 Char"/>
    <w:basedOn w:val="DefaultParagraphFont"/>
    <w:link w:val="Heading6"/>
    <w:uiPriority w:val="39"/>
    <w:rsid w:val="00AC41CF"/>
    <w:rPr>
      <w:rFonts w:asciiTheme="majorHAnsi" w:eastAsiaTheme="majorEastAsia" w:hAnsiTheme="majorHAnsi" w:cstheme="majorBidi"/>
      <w:i/>
      <w:iCs/>
      <w:color w:val="2B3B5F" w:themeColor="text2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0E266E"/>
    <w:rPr>
      <w:rFonts w:asciiTheme="majorHAnsi" w:eastAsiaTheme="majorEastAsia" w:hAnsiTheme="majorHAnsi" w:cstheme="majorBidi"/>
      <w:b/>
      <w:iCs/>
      <w:color w:val="FFFFFF"/>
    </w:rPr>
  </w:style>
  <w:style w:type="character" w:customStyle="1" w:styleId="Heading8Char">
    <w:name w:val="Heading 8 Char"/>
    <w:aliases w:val="Attachment Title Char"/>
    <w:basedOn w:val="DefaultParagraphFont"/>
    <w:link w:val="Heading8"/>
    <w:uiPriority w:val="31"/>
    <w:rsid w:val="0089737A"/>
    <w:rPr>
      <w:rFonts w:asciiTheme="majorHAnsi" w:eastAsiaTheme="majorEastAsia" w:hAnsiTheme="majorHAnsi" w:cstheme="majorBidi"/>
      <w:color w:val="2B3B5F" w:themeColor="text2"/>
      <w:sz w:val="32"/>
    </w:rPr>
  </w:style>
  <w:style w:type="character" w:customStyle="1" w:styleId="Heading9Char">
    <w:name w:val="Heading 9 Char"/>
    <w:aliases w:val="Attachment Heading 1 Char"/>
    <w:basedOn w:val="DefaultParagraphFont"/>
    <w:link w:val="Heading9"/>
    <w:uiPriority w:val="32"/>
    <w:rsid w:val="0089737A"/>
    <w:rPr>
      <w:rFonts w:asciiTheme="majorHAnsi" w:hAnsiTheme="majorHAnsi"/>
      <w:color w:val="2B3B5F" w:themeColor="text2"/>
      <w:sz w:val="28"/>
    </w:rPr>
  </w:style>
  <w:style w:type="paragraph" w:customStyle="1" w:styleId="AttachmentHeading2">
    <w:name w:val="Attachment Heading 2"/>
    <w:basedOn w:val="Normal"/>
    <w:next w:val="BodyText"/>
    <w:uiPriority w:val="33"/>
    <w:qFormat/>
    <w:rsid w:val="00CA5598"/>
    <w:pPr>
      <w:keepNext/>
      <w:keepLines/>
      <w:numPr>
        <w:ilvl w:val="2"/>
        <w:numId w:val="1"/>
      </w:numPr>
      <w:tabs>
        <w:tab w:val="left" w:pos="1559"/>
        <w:tab w:val="left" w:pos="1843"/>
        <w:tab w:val="left" w:pos="2126"/>
        <w:tab w:val="left" w:pos="2410"/>
      </w:tabs>
      <w:spacing w:before="470" w:after="227"/>
    </w:pPr>
    <w:rPr>
      <w:rFonts w:asciiTheme="majorHAnsi" w:hAnsiTheme="majorHAnsi"/>
      <w:color w:val="2B3B5F" w:themeColor="text2"/>
      <w:sz w:val="28"/>
    </w:rPr>
  </w:style>
  <w:style w:type="paragraph" w:customStyle="1" w:styleId="AttachmentHeading3">
    <w:name w:val="Attachment Heading 3"/>
    <w:basedOn w:val="Normal"/>
    <w:next w:val="BodyText"/>
    <w:uiPriority w:val="34"/>
    <w:qFormat/>
    <w:rsid w:val="00CA5598"/>
    <w:pPr>
      <w:keepNext/>
      <w:keepLines/>
      <w:numPr>
        <w:ilvl w:val="3"/>
        <w:numId w:val="1"/>
      </w:numPr>
      <w:tabs>
        <w:tab w:val="left" w:pos="1559"/>
        <w:tab w:val="left" w:pos="1843"/>
        <w:tab w:val="left" w:pos="2126"/>
        <w:tab w:val="left" w:pos="2410"/>
        <w:tab w:val="left" w:pos="6804"/>
      </w:tabs>
      <w:spacing w:before="227" w:after="113"/>
    </w:pPr>
    <w:rPr>
      <w:b/>
      <w:color w:val="2B3B5F" w:themeColor="text2"/>
    </w:rPr>
  </w:style>
  <w:style w:type="character" w:customStyle="1" w:styleId="Bold">
    <w:name w:val="Bold"/>
    <w:uiPriority w:val="39"/>
    <w:rsid w:val="00961DBB"/>
    <w:rPr>
      <w:b/>
    </w:rPr>
  </w:style>
  <w:style w:type="character" w:customStyle="1" w:styleId="BoldAndItalics">
    <w:name w:val="Bold And Italics"/>
    <w:uiPriority w:val="39"/>
    <w:rsid w:val="00961DBB"/>
    <w:rPr>
      <w:b/>
      <w:i/>
    </w:rPr>
  </w:style>
  <w:style w:type="paragraph" w:styleId="Caption">
    <w:name w:val="caption"/>
    <w:basedOn w:val="Normal"/>
    <w:next w:val="BodyText"/>
    <w:uiPriority w:val="13"/>
    <w:qFormat/>
    <w:rsid w:val="00961DBB"/>
    <w:pPr>
      <w:keepNext/>
      <w:spacing w:before="340" w:after="114"/>
    </w:pPr>
    <w:rPr>
      <w:b/>
      <w:bCs/>
      <w:color w:val="2B3B5F" w:themeColor="text2"/>
      <w:spacing w:val="-4"/>
    </w:rPr>
  </w:style>
  <w:style w:type="paragraph" w:styleId="Footer">
    <w:name w:val="footer"/>
    <w:basedOn w:val="Normal"/>
    <w:link w:val="FooterChar"/>
    <w:uiPriority w:val="39"/>
    <w:rsid w:val="0046444F"/>
    <w:pPr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39"/>
    <w:rsid w:val="00AC41CF"/>
    <w:rPr>
      <w:b/>
    </w:rPr>
  </w:style>
  <w:style w:type="paragraph" w:customStyle="1" w:styleId="FooterLeft">
    <w:name w:val="Footer Left"/>
    <w:basedOn w:val="Footer"/>
    <w:uiPriority w:val="39"/>
    <w:rsid w:val="00961DBB"/>
    <w:pPr>
      <w:framePr w:wrap="around" w:vAnchor="page" w:hAnchor="margin" w:yAlign="bottom"/>
      <w:spacing w:before="180" w:after="120"/>
      <w:ind w:left="397"/>
    </w:pPr>
    <w:rPr>
      <w:spacing w:val="-2"/>
    </w:rPr>
  </w:style>
  <w:style w:type="paragraph" w:customStyle="1" w:styleId="FooterRight">
    <w:name w:val="Footer Right"/>
    <w:basedOn w:val="FooterLeft"/>
    <w:next w:val="Footer"/>
    <w:uiPriority w:val="39"/>
    <w:unhideWhenUsed/>
    <w:rsid w:val="00961DBB"/>
    <w:pPr>
      <w:framePr w:wrap="around" w:xAlign="right"/>
      <w:ind w:right="397"/>
      <w:jc w:val="right"/>
    </w:pPr>
  </w:style>
  <w:style w:type="paragraph" w:customStyle="1" w:styleId="FooterRightPageNumber">
    <w:name w:val="Footer Right Page Number"/>
    <w:basedOn w:val="Normal"/>
    <w:uiPriority w:val="39"/>
    <w:rsid w:val="00E915E6"/>
    <w:pPr>
      <w:spacing w:before="180" w:after="120" w:line="240" w:lineRule="auto"/>
      <w:jc w:val="right"/>
    </w:pPr>
    <w:rPr>
      <w:b/>
      <w:noProof/>
      <w:color w:val="788184" w:themeColor="background2"/>
    </w:rPr>
  </w:style>
  <w:style w:type="paragraph" w:customStyle="1" w:styleId="FooterLeftPageNumber">
    <w:name w:val="Footer Left Page Number"/>
    <w:basedOn w:val="Footer"/>
    <w:uiPriority w:val="39"/>
    <w:rsid w:val="00961DBB"/>
    <w:pPr>
      <w:framePr w:wrap="around" w:vAnchor="page" w:hAnchor="margin" w:yAlign="bottom"/>
      <w:spacing w:before="180" w:after="120"/>
      <w:ind w:right="57"/>
    </w:pPr>
  </w:style>
  <w:style w:type="paragraph" w:customStyle="1" w:styleId="FootnoteSeparator">
    <w:name w:val="Footnote Separator"/>
    <w:basedOn w:val="Normal"/>
    <w:uiPriority w:val="39"/>
    <w:unhideWhenUsed/>
    <w:rsid w:val="00961DBB"/>
    <w:pPr>
      <w:pBdr>
        <w:top w:val="single" w:sz="2" w:space="0" w:color="000000" w:themeColor="text1"/>
      </w:pBdr>
      <w:spacing w:before="120" w:line="120" w:lineRule="exact"/>
    </w:pPr>
    <w:rPr>
      <w:sz w:val="14"/>
      <w:szCs w:val="16"/>
    </w:rPr>
  </w:style>
  <w:style w:type="paragraph" w:styleId="Header">
    <w:name w:val="header"/>
    <w:basedOn w:val="Normal"/>
    <w:link w:val="HeaderChar"/>
    <w:uiPriority w:val="99"/>
    <w:rsid w:val="0046444F"/>
    <w:pPr>
      <w:spacing w:before="240" w:after="12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44F"/>
  </w:style>
  <w:style w:type="paragraph" w:customStyle="1" w:styleId="HighlightText">
    <w:name w:val="Highlight Text"/>
    <w:basedOn w:val="Normal"/>
    <w:uiPriority w:val="39"/>
    <w:rsid w:val="00961DBB"/>
    <w:pPr>
      <w:spacing w:before="120" w:after="420"/>
    </w:pPr>
    <w:rPr>
      <w:i/>
      <w:color w:val="2B3B5F" w:themeColor="text2"/>
      <w:spacing w:val="-1"/>
    </w:rPr>
  </w:style>
  <w:style w:type="paragraph" w:customStyle="1" w:styleId="Introduction">
    <w:name w:val="Introduction"/>
    <w:basedOn w:val="Normal"/>
    <w:next w:val="BodyText"/>
    <w:uiPriority w:val="39"/>
    <w:rsid w:val="00961DBB"/>
    <w:pPr>
      <w:spacing w:after="180" w:line="360" w:lineRule="atLeast"/>
    </w:pPr>
    <w:rPr>
      <w:color w:val="2B3B5F" w:themeColor="text2"/>
      <w:spacing w:val="-2"/>
      <w:sz w:val="30"/>
    </w:rPr>
  </w:style>
  <w:style w:type="character" w:customStyle="1" w:styleId="Italics">
    <w:name w:val="Italics"/>
    <w:uiPriority w:val="39"/>
    <w:rsid w:val="00961DBB"/>
    <w:rPr>
      <w:i/>
    </w:rPr>
  </w:style>
  <w:style w:type="paragraph" w:styleId="ListBullet">
    <w:name w:val="List Bullet"/>
    <w:basedOn w:val="Normal"/>
    <w:uiPriority w:val="7"/>
    <w:qFormat/>
    <w:rsid w:val="00476133"/>
    <w:pPr>
      <w:keepLines/>
      <w:numPr>
        <w:numId w:val="2"/>
      </w:numPr>
      <w:spacing w:after="120"/>
    </w:pPr>
    <w:rPr>
      <w:spacing w:val="-1"/>
    </w:rPr>
  </w:style>
  <w:style w:type="paragraph" w:styleId="ListBullet2">
    <w:name w:val="List Bullet 2"/>
    <w:basedOn w:val="ListBullet"/>
    <w:uiPriority w:val="8"/>
    <w:qFormat/>
    <w:rsid w:val="00476133"/>
    <w:pPr>
      <w:numPr>
        <w:ilvl w:val="1"/>
      </w:numPr>
      <w:ind w:left="908" w:hanging="454"/>
    </w:pPr>
  </w:style>
  <w:style w:type="paragraph" w:styleId="ListBullet3">
    <w:name w:val="List Bullet 3"/>
    <w:basedOn w:val="ListBullet2"/>
    <w:uiPriority w:val="9"/>
    <w:qFormat/>
    <w:rsid w:val="00961DBB"/>
    <w:pPr>
      <w:numPr>
        <w:ilvl w:val="2"/>
      </w:numPr>
    </w:pPr>
  </w:style>
  <w:style w:type="paragraph" w:styleId="ListContinue">
    <w:name w:val="List Continue"/>
    <w:basedOn w:val="Normal"/>
    <w:semiHidden/>
    <w:qFormat/>
    <w:rsid w:val="00961DBB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961DBB"/>
    <w:pPr>
      <w:spacing w:before="220" w:after="220"/>
      <w:ind w:left="680"/>
    </w:pPr>
  </w:style>
  <w:style w:type="paragraph" w:styleId="ListNumber">
    <w:name w:val="List Number"/>
    <w:basedOn w:val="Normal"/>
    <w:uiPriority w:val="10"/>
    <w:qFormat/>
    <w:rsid w:val="00476133"/>
    <w:pPr>
      <w:numPr>
        <w:numId w:val="3"/>
      </w:numPr>
      <w:spacing w:before="120" w:after="120"/>
    </w:pPr>
    <w:rPr>
      <w:spacing w:val="-1"/>
    </w:rPr>
  </w:style>
  <w:style w:type="paragraph" w:styleId="ListNumber2">
    <w:name w:val="List Number 2"/>
    <w:basedOn w:val="Normal"/>
    <w:uiPriority w:val="11"/>
    <w:qFormat/>
    <w:rsid w:val="00476133"/>
    <w:pPr>
      <w:numPr>
        <w:ilvl w:val="1"/>
        <w:numId w:val="3"/>
      </w:numPr>
      <w:spacing w:before="120" w:after="120"/>
      <w:ind w:left="908" w:hanging="454"/>
    </w:pPr>
    <w:rPr>
      <w:spacing w:val="-1"/>
    </w:rPr>
  </w:style>
  <w:style w:type="paragraph" w:styleId="ListNumber3">
    <w:name w:val="List Number 3"/>
    <w:basedOn w:val="Normal"/>
    <w:uiPriority w:val="12"/>
    <w:qFormat/>
    <w:rsid w:val="00476133"/>
    <w:pPr>
      <w:numPr>
        <w:ilvl w:val="2"/>
        <w:numId w:val="3"/>
      </w:numPr>
      <w:spacing w:before="120" w:after="120"/>
    </w:pPr>
    <w:rPr>
      <w:spacing w:val="-1"/>
    </w:rPr>
  </w:style>
  <w:style w:type="character" w:customStyle="1" w:styleId="MySubscript">
    <w:name w:val="MySubscript"/>
    <w:uiPriority w:val="99"/>
    <w:rsid w:val="00961DBB"/>
    <w:rPr>
      <w:vertAlign w:val="subscript"/>
    </w:rPr>
  </w:style>
  <w:style w:type="character" w:customStyle="1" w:styleId="MySubscriptItalics">
    <w:name w:val="MySubscript&amp;Italics"/>
    <w:uiPriority w:val="99"/>
    <w:rsid w:val="00961DBB"/>
    <w:rPr>
      <w:i/>
      <w:vertAlign w:val="subscript"/>
    </w:rPr>
  </w:style>
  <w:style w:type="character" w:customStyle="1" w:styleId="MySuperscript">
    <w:name w:val="MySuperscript"/>
    <w:uiPriority w:val="99"/>
    <w:rsid w:val="00961DBB"/>
    <w:rPr>
      <w:vertAlign w:val="superscript"/>
    </w:rPr>
  </w:style>
  <w:style w:type="character" w:customStyle="1" w:styleId="MySuperscriptItalics">
    <w:name w:val="MySuperscript&amp;Italics"/>
    <w:uiPriority w:val="99"/>
    <w:rsid w:val="00961DBB"/>
    <w:rPr>
      <w:i/>
      <w:vertAlign w:val="superscript"/>
    </w:rPr>
  </w:style>
  <w:style w:type="paragraph" w:styleId="NoSpacing">
    <w:name w:val="No Spacing"/>
    <w:next w:val="BodyText"/>
    <w:uiPriority w:val="39"/>
    <w:rsid w:val="00961DBB"/>
    <w:pPr>
      <w:spacing w:line="240" w:lineRule="auto"/>
    </w:pPr>
    <w:rPr>
      <w:rFonts w:eastAsia="Times New Roman" w:cs="Arial"/>
      <w:lang w:eastAsia="en-AU"/>
    </w:rPr>
  </w:style>
  <w:style w:type="paragraph" w:customStyle="1" w:styleId="OverviewBodyText">
    <w:name w:val="Overview Body Text"/>
    <w:basedOn w:val="Normal"/>
    <w:uiPriority w:val="39"/>
    <w:rsid w:val="00512226"/>
    <w:pPr>
      <w:spacing w:after="113"/>
    </w:pPr>
  </w:style>
  <w:style w:type="paragraph" w:customStyle="1" w:styleId="OverviewHeading2">
    <w:name w:val="Overview Heading 2"/>
    <w:basedOn w:val="Normal"/>
    <w:next w:val="OverviewBodyText"/>
    <w:uiPriority w:val="39"/>
    <w:rsid w:val="00512226"/>
    <w:pPr>
      <w:keepNext/>
      <w:keepLines/>
      <w:spacing w:before="470" w:after="227"/>
    </w:pPr>
    <w:rPr>
      <w:rFonts w:asciiTheme="majorHAnsi" w:hAnsiTheme="majorHAnsi"/>
      <w:color w:val="2B3B5F" w:themeColor="text2"/>
      <w:sz w:val="32"/>
    </w:rPr>
  </w:style>
  <w:style w:type="paragraph" w:customStyle="1" w:styleId="OverviewHeading3">
    <w:name w:val="Overview Heading 3"/>
    <w:basedOn w:val="OverviewHeading2"/>
    <w:next w:val="OverviewBodyText"/>
    <w:uiPriority w:val="39"/>
    <w:rsid w:val="00512226"/>
    <w:rPr>
      <w:sz w:val="28"/>
    </w:rPr>
  </w:style>
  <w:style w:type="character" w:styleId="PageNumber">
    <w:name w:val="page number"/>
    <w:basedOn w:val="DefaultParagraphFont"/>
    <w:semiHidden/>
    <w:rsid w:val="00961DBB"/>
    <w:rPr>
      <w:rFonts w:ascii="Arial" w:hAnsi="Arial"/>
      <w:b/>
      <w:color w:val="auto"/>
      <w:sz w:val="16"/>
    </w:rPr>
  </w:style>
  <w:style w:type="paragraph" w:customStyle="1" w:styleId="PageNumberOdd">
    <w:name w:val="Page Number Odd"/>
    <w:semiHidden/>
    <w:rsid w:val="00961DBB"/>
    <w:pPr>
      <w:ind w:right="57"/>
      <w:jc w:val="right"/>
    </w:pPr>
    <w:rPr>
      <w:rFonts w:eastAsia="Times New Roman" w:cs="Arial"/>
      <w:b/>
      <w:color w:val="2B3B5F" w:themeColor="text2"/>
      <w:sz w:val="14"/>
      <w:szCs w:val="28"/>
      <w:lang w:eastAsia="en-AU"/>
    </w:rPr>
  </w:style>
  <w:style w:type="paragraph" w:customStyle="1" w:styleId="PageNumberEven">
    <w:name w:val="Page Number Even"/>
    <w:basedOn w:val="PageNumberOdd"/>
    <w:semiHidden/>
    <w:rsid w:val="00961DBB"/>
    <w:pPr>
      <w:framePr w:hSpace="181" w:wrap="around" w:vAnchor="page" w:hAnchor="page" w:yAlign="bottom"/>
      <w:jc w:val="left"/>
    </w:pPr>
  </w:style>
  <w:style w:type="character" w:styleId="PlaceholderText">
    <w:name w:val="Placeholder Text"/>
    <w:basedOn w:val="DefaultParagraphFont"/>
    <w:uiPriority w:val="39"/>
    <w:rsid w:val="00961DBB"/>
    <w:rPr>
      <w:color w:val="808080"/>
    </w:rPr>
  </w:style>
  <w:style w:type="paragraph" w:customStyle="1" w:styleId="PullOutBoxBodyText">
    <w:name w:val="Pull Out Box Body Text"/>
    <w:basedOn w:val="Normal"/>
    <w:uiPriority w:val="24"/>
    <w:qFormat/>
    <w:rsid w:val="00476133"/>
    <w:pPr>
      <w:spacing w:before="120" w:after="120"/>
      <w:ind w:left="57" w:right="57"/>
    </w:pPr>
    <w:rPr>
      <w:spacing w:val="-1"/>
    </w:rPr>
  </w:style>
  <w:style w:type="paragraph" w:customStyle="1" w:styleId="PullOutBoxBullet">
    <w:name w:val="Pull Out Box Bullet"/>
    <w:basedOn w:val="PullOutBoxBodyText"/>
    <w:uiPriority w:val="25"/>
    <w:qFormat/>
    <w:rsid w:val="00476133"/>
    <w:pPr>
      <w:numPr>
        <w:numId w:val="4"/>
      </w:numPr>
    </w:pPr>
  </w:style>
  <w:style w:type="paragraph" w:customStyle="1" w:styleId="PullOutBoxBullet2">
    <w:name w:val="Pull Out Box Bullet 2"/>
    <w:basedOn w:val="PullOutBoxBodyText"/>
    <w:uiPriority w:val="26"/>
    <w:qFormat/>
    <w:rsid w:val="008112CC"/>
    <w:pPr>
      <w:numPr>
        <w:ilvl w:val="1"/>
        <w:numId w:val="4"/>
      </w:numPr>
    </w:pPr>
  </w:style>
  <w:style w:type="paragraph" w:customStyle="1" w:styleId="PullOutBoxBullet3">
    <w:name w:val="Pull Out Box Bullet 3"/>
    <w:basedOn w:val="PullOutBoxBodyText"/>
    <w:uiPriority w:val="27"/>
    <w:qFormat/>
    <w:rsid w:val="00476133"/>
    <w:pPr>
      <w:numPr>
        <w:ilvl w:val="2"/>
        <w:numId w:val="4"/>
      </w:numPr>
    </w:pPr>
  </w:style>
  <w:style w:type="paragraph" w:customStyle="1" w:styleId="PullOutBoxHeading">
    <w:name w:val="Pull Out Box Heading"/>
    <w:basedOn w:val="PullOutBoxBodyText"/>
    <w:uiPriority w:val="23"/>
    <w:qFormat/>
    <w:rsid w:val="00476133"/>
    <w:pPr>
      <w:keepNext/>
      <w:keepLines/>
    </w:pPr>
    <w:rPr>
      <w:b/>
    </w:rPr>
  </w:style>
  <w:style w:type="paragraph" w:customStyle="1" w:styleId="PullOutBoxNumber">
    <w:name w:val="Pull Out Box Number"/>
    <w:basedOn w:val="PullOutBoxBodyText"/>
    <w:uiPriority w:val="28"/>
    <w:qFormat/>
    <w:rsid w:val="00476133"/>
    <w:pPr>
      <w:numPr>
        <w:numId w:val="5"/>
      </w:numPr>
      <w:ind w:left="397"/>
    </w:pPr>
  </w:style>
  <w:style w:type="paragraph" w:customStyle="1" w:styleId="PullOutBoxNumber2">
    <w:name w:val="Pull Out Box Number 2"/>
    <w:basedOn w:val="PullOutBoxBodyText"/>
    <w:uiPriority w:val="29"/>
    <w:qFormat/>
    <w:rsid w:val="008112CC"/>
    <w:pPr>
      <w:numPr>
        <w:ilvl w:val="1"/>
        <w:numId w:val="5"/>
      </w:numPr>
      <w:ind w:left="737"/>
    </w:pPr>
  </w:style>
  <w:style w:type="paragraph" w:customStyle="1" w:styleId="PullOutBoxNumber3">
    <w:name w:val="Pull Out Box Number 3"/>
    <w:basedOn w:val="PullOutBoxBodyText"/>
    <w:uiPriority w:val="30"/>
    <w:qFormat/>
    <w:rsid w:val="008112CC"/>
    <w:pPr>
      <w:numPr>
        <w:ilvl w:val="2"/>
        <w:numId w:val="5"/>
      </w:numPr>
      <w:ind w:left="1077"/>
    </w:pPr>
  </w:style>
  <w:style w:type="table" w:customStyle="1" w:styleId="PullOutBoxTable">
    <w:name w:val="Pull Out Box Table"/>
    <w:basedOn w:val="TableNormal"/>
    <w:uiPriority w:val="99"/>
    <w:rsid w:val="00961DBB"/>
    <w:pPr>
      <w:spacing w:line="240" w:lineRule="auto"/>
    </w:pPr>
    <w:rPr>
      <w:rFonts w:eastAsia="Times New Roman" w:cs="Arial"/>
      <w:lang w:eastAsia="en-AU"/>
    </w:rPr>
    <w:tblPr>
      <w:tblBorders>
        <w:top w:val="single" w:sz="4" w:space="0" w:color="D7DDE9" w:themeColor="accent3"/>
        <w:left w:val="single" w:sz="4" w:space="0" w:color="D7DDE9" w:themeColor="accent3"/>
        <w:bottom w:val="single" w:sz="4" w:space="0" w:color="D7DDE9" w:themeColor="accent3"/>
        <w:right w:val="single" w:sz="4" w:space="0" w:color="D7DDE9" w:themeColor="accent3"/>
        <w:insideH w:val="single" w:sz="4" w:space="0" w:color="D7DDE9" w:themeColor="accent3"/>
        <w:insideV w:val="single" w:sz="4" w:space="0" w:color="D7DDE9" w:themeColor="accent3"/>
      </w:tblBorders>
      <w:tblCellMar>
        <w:top w:w="28" w:type="dxa"/>
        <w:left w:w="0" w:type="dxa"/>
        <w:bottom w:w="28" w:type="dxa"/>
        <w:right w:w="0" w:type="dxa"/>
      </w:tblCellMar>
    </w:tblPr>
    <w:tcPr>
      <w:shd w:val="clear" w:color="auto" w:fill="D7DDE9" w:themeFill="accent3"/>
    </w:tcPr>
  </w:style>
  <w:style w:type="paragraph" w:styleId="Quote">
    <w:name w:val="Quote"/>
    <w:basedOn w:val="Normal"/>
    <w:link w:val="QuoteChar"/>
    <w:uiPriority w:val="39"/>
    <w:rsid w:val="00961DBB"/>
    <w:pPr>
      <w:tabs>
        <w:tab w:val="left" w:pos="1134"/>
      </w:tabs>
      <w:spacing w:before="240" w:after="24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39"/>
    <w:rsid w:val="00AC41CF"/>
    <w:rPr>
      <w:i/>
      <w:iCs/>
    </w:rPr>
  </w:style>
  <w:style w:type="paragraph" w:customStyle="1" w:styleId="QuoteBullet">
    <w:name w:val="Quote Bullet"/>
    <w:basedOn w:val="Quote"/>
    <w:uiPriority w:val="39"/>
    <w:rsid w:val="00961DBB"/>
    <w:pPr>
      <w:numPr>
        <w:numId w:val="6"/>
      </w:numPr>
    </w:pPr>
  </w:style>
  <w:style w:type="paragraph" w:customStyle="1" w:styleId="QuoteBullet2">
    <w:name w:val="Quote Bullet 2"/>
    <w:basedOn w:val="Quote"/>
    <w:uiPriority w:val="39"/>
    <w:rsid w:val="00961DBB"/>
    <w:pPr>
      <w:numPr>
        <w:ilvl w:val="1"/>
        <w:numId w:val="6"/>
      </w:numPr>
      <w:tabs>
        <w:tab w:val="clear" w:pos="1134"/>
      </w:tabs>
    </w:pPr>
  </w:style>
  <w:style w:type="paragraph" w:customStyle="1" w:styleId="SectionHeading">
    <w:name w:val="Section Heading"/>
    <w:basedOn w:val="Normal"/>
    <w:next w:val="BodyText"/>
    <w:uiPriority w:val="39"/>
    <w:rsid w:val="00E45766"/>
    <w:pPr>
      <w:keepLines/>
      <w:spacing w:before="4320" w:line="360" w:lineRule="auto"/>
      <w:ind w:left="1701"/>
      <w:jc w:val="right"/>
      <w:outlineLvl w:val="0"/>
    </w:pPr>
    <w:rPr>
      <w:rFonts w:asciiTheme="majorHAnsi" w:hAnsiTheme="majorHAnsi"/>
      <w:noProof/>
      <w:color w:val="2B3B5F" w:themeColor="text2"/>
      <w:sz w:val="50"/>
      <w:szCs w:val="40"/>
    </w:rPr>
  </w:style>
  <w:style w:type="character" w:customStyle="1" w:styleId="SectionSubtitle">
    <w:name w:val="Section Subtitle"/>
    <w:uiPriority w:val="39"/>
    <w:rsid w:val="00E45766"/>
    <w:rPr>
      <w:color w:val="751D71" w:themeColor="accent4"/>
      <w:sz w:val="40"/>
    </w:rPr>
  </w:style>
  <w:style w:type="paragraph" w:styleId="Subtitle">
    <w:name w:val="Subtitle"/>
    <w:basedOn w:val="Normal"/>
    <w:next w:val="Normal"/>
    <w:link w:val="SubtitleChar"/>
    <w:uiPriority w:val="39"/>
    <w:rsid w:val="00961DBB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39"/>
    <w:rsid w:val="00AC41CF"/>
    <w:rPr>
      <w:rFonts w:asciiTheme="majorHAnsi" w:eastAsiaTheme="majorEastAsia" w:hAnsiTheme="majorHAnsi" w:cstheme="majorBidi"/>
      <w:iCs/>
      <w:spacing w:val="15"/>
    </w:rPr>
  </w:style>
  <w:style w:type="character" w:customStyle="1" w:styleId="Superscript">
    <w:name w:val="Superscript"/>
    <w:uiPriority w:val="39"/>
    <w:rsid w:val="00961DBB"/>
    <w:rPr>
      <w:vertAlign w:val="superscript"/>
    </w:rPr>
  </w:style>
  <w:style w:type="table" w:customStyle="1" w:styleId="TableAsPlaceholder">
    <w:name w:val="Table As Placeholder"/>
    <w:basedOn w:val="TableNormal"/>
    <w:uiPriority w:val="99"/>
    <w:qFormat/>
    <w:rsid w:val="00961DBB"/>
    <w:rPr>
      <w:rFonts w:eastAsia="Times New Roman" w:cs="Arial"/>
      <w:lang w:eastAsia="en-AU"/>
    </w:rPr>
    <w:tblPr>
      <w:tblCellMar>
        <w:left w:w="0" w:type="dxa"/>
        <w:right w:w="0" w:type="dxa"/>
      </w:tblCellMar>
    </w:tblPr>
  </w:style>
  <w:style w:type="paragraph" w:customStyle="1" w:styleId="TableFootnotes">
    <w:name w:val="Table Footnotes"/>
    <w:basedOn w:val="Normal"/>
    <w:uiPriority w:val="22"/>
    <w:qFormat/>
    <w:rsid w:val="0056001A"/>
    <w:pPr>
      <w:keepLines/>
      <w:numPr>
        <w:numId w:val="7"/>
      </w:numPr>
      <w:spacing w:after="50" w:line="260" w:lineRule="atLeast"/>
      <w:contextualSpacing/>
    </w:pPr>
    <w:rPr>
      <w:sz w:val="20"/>
    </w:rPr>
  </w:style>
  <w:style w:type="table" w:styleId="TableGrid">
    <w:name w:val="Table Grid"/>
    <w:basedOn w:val="TableNormal"/>
    <w:rsid w:val="00F85D29"/>
    <w:pPr>
      <w:spacing w:before="70" w:after="70" w:line="260" w:lineRule="atLeast"/>
      <w:ind w:left="113" w:right="113"/>
    </w:pPr>
    <w:rPr>
      <w:rFonts w:eastAsia="Times New Roman" w:cs="Times New Roman"/>
      <w:sz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Theme="minorHAnsi" w:hAnsiTheme="minorHAnsi"/>
        <w:b w:val="0"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 w:themeFill="text2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 w:themeFill="accent3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TableHeading">
    <w:name w:val="Table Heading"/>
    <w:basedOn w:val="Normal"/>
    <w:uiPriority w:val="14"/>
    <w:qFormat/>
    <w:rsid w:val="00476133"/>
    <w:pPr>
      <w:keepNext/>
      <w:keepLines/>
      <w:spacing w:before="70" w:after="70" w:line="260" w:lineRule="atLeast"/>
      <w:ind w:left="57" w:right="57"/>
    </w:pPr>
    <w:rPr>
      <w:rFonts w:ascii="Calibri" w:hAnsi="Calibri" w:cs="Times New Roman"/>
      <w:b/>
      <w:sz w:val="20"/>
    </w:rPr>
  </w:style>
  <w:style w:type="paragraph" w:customStyle="1" w:styleId="TableHeadingCentred">
    <w:name w:val="Table Heading Centred"/>
    <w:basedOn w:val="TableHeading"/>
    <w:uiPriority w:val="15"/>
    <w:qFormat/>
    <w:rsid w:val="005B0970"/>
    <w:pPr>
      <w:jc w:val="center"/>
    </w:pPr>
  </w:style>
  <w:style w:type="paragraph" w:customStyle="1" w:styleId="TableHeadingRight">
    <w:name w:val="Table Heading Right"/>
    <w:basedOn w:val="TableHeading"/>
    <w:uiPriority w:val="16"/>
    <w:qFormat/>
    <w:rsid w:val="00956D5A"/>
    <w:pPr>
      <w:jc w:val="right"/>
    </w:pPr>
  </w:style>
  <w:style w:type="paragraph" w:customStyle="1" w:styleId="Source">
    <w:name w:val="Source"/>
    <w:basedOn w:val="Normal"/>
    <w:next w:val="BodyText17ptAbove"/>
    <w:uiPriority w:val="39"/>
    <w:rsid w:val="00035ADE"/>
    <w:pPr>
      <w:spacing w:before="180" w:after="114"/>
      <w:contextualSpacing/>
    </w:pPr>
    <w:rPr>
      <w:rFonts w:cs="Times New Roman"/>
      <w:color w:val="788184" w:themeColor="background2"/>
      <w:sz w:val="20"/>
      <w:szCs w:val="14"/>
    </w:rPr>
  </w:style>
  <w:style w:type="paragraph" w:customStyle="1" w:styleId="TableText">
    <w:name w:val="Table Text"/>
    <w:basedOn w:val="Normal"/>
    <w:uiPriority w:val="17"/>
    <w:qFormat/>
    <w:rsid w:val="005B0970"/>
    <w:pPr>
      <w:spacing w:before="70" w:after="70" w:line="260" w:lineRule="atLeast"/>
      <w:ind w:left="57" w:right="57"/>
    </w:pPr>
    <w:rPr>
      <w:rFonts w:ascii="Calibri" w:hAnsi="Calibri" w:cs="Times New Roman"/>
      <w:sz w:val="20"/>
    </w:rPr>
  </w:style>
  <w:style w:type="paragraph" w:customStyle="1" w:styleId="TableTextBold">
    <w:name w:val="Table Text Bold"/>
    <w:basedOn w:val="TableText"/>
    <w:semiHidden/>
    <w:qFormat/>
    <w:rsid w:val="00961DBB"/>
    <w:rPr>
      <w:b/>
    </w:rPr>
  </w:style>
  <w:style w:type="paragraph" w:customStyle="1" w:styleId="TableTextBullet">
    <w:name w:val="Table Text Bullet"/>
    <w:basedOn w:val="TableText"/>
    <w:uiPriority w:val="39"/>
    <w:rsid w:val="00961DBB"/>
    <w:pPr>
      <w:numPr>
        <w:numId w:val="8"/>
      </w:numPr>
    </w:pPr>
  </w:style>
  <w:style w:type="paragraph" w:customStyle="1" w:styleId="TableTextBullet2">
    <w:name w:val="Table Text Bullet 2"/>
    <w:basedOn w:val="TableTextBullet"/>
    <w:uiPriority w:val="39"/>
    <w:rsid w:val="00961DBB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uiPriority w:val="39"/>
    <w:rsid w:val="00961DBB"/>
    <w:pPr>
      <w:numPr>
        <w:ilvl w:val="2"/>
      </w:numPr>
    </w:pPr>
    <w:rPr>
      <w:bCs w:val="0"/>
    </w:rPr>
  </w:style>
  <w:style w:type="paragraph" w:customStyle="1" w:styleId="TableTextNumber">
    <w:name w:val="Table Text Number"/>
    <w:basedOn w:val="TableText"/>
    <w:uiPriority w:val="39"/>
    <w:rsid w:val="00961DBB"/>
    <w:pPr>
      <w:numPr>
        <w:numId w:val="9"/>
      </w:numPr>
    </w:pPr>
  </w:style>
  <w:style w:type="paragraph" w:customStyle="1" w:styleId="TableTextNumber2">
    <w:name w:val="Table Text Number 2"/>
    <w:basedOn w:val="TableTextNumber"/>
    <w:uiPriority w:val="39"/>
    <w:rsid w:val="00961DBB"/>
    <w:pPr>
      <w:numPr>
        <w:ilvl w:val="1"/>
      </w:numPr>
      <w:tabs>
        <w:tab w:val="clear" w:pos="709"/>
        <w:tab w:val="num" w:pos="680"/>
      </w:tabs>
      <w:ind w:left="680"/>
    </w:pPr>
  </w:style>
  <w:style w:type="paragraph" w:customStyle="1" w:styleId="TableTextNumber3">
    <w:name w:val="Table Text Number 3"/>
    <w:basedOn w:val="TableTextNumber2"/>
    <w:uiPriority w:val="39"/>
    <w:rsid w:val="00961DBB"/>
    <w:pPr>
      <w:numPr>
        <w:ilvl w:val="2"/>
      </w:numPr>
    </w:pPr>
  </w:style>
  <w:style w:type="paragraph" w:customStyle="1" w:styleId="TableTextRight">
    <w:name w:val="Table Text Right"/>
    <w:basedOn w:val="TableText"/>
    <w:uiPriority w:val="19"/>
    <w:qFormat/>
    <w:rsid w:val="00961DBB"/>
    <w:pPr>
      <w:jc w:val="right"/>
    </w:pPr>
  </w:style>
  <w:style w:type="paragraph" w:customStyle="1" w:styleId="TableofContents2">
    <w:name w:val="TableofContents2"/>
    <w:basedOn w:val="Normal"/>
    <w:semiHidden/>
    <w:rsid w:val="00CA0B7E"/>
    <w:pPr>
      <w:keepNext/>
      <w:spacing w:after="113"/>
    </w:pPr>
    <w:rPr>
      <w:sz w:val="28"/>
      <w:szCs w:val="28"/>
    </w:rPr>
  </w:style>
  <w:style w:type="paragraph" w:styleId="Title">
    <w:name w:val="Title"/>
    <w:basedOn w:val="Normal"/>
    <w:next w:val="Normal"/>
    <w:link w:val="TitleChar"/>
    <w:uiPriority w:val="39"/>
    <w:rsid w:val="00817406"/>
    <w:pPr>
      <w:spacing w:before="480" w:after="340" w:line="240" w:lineRule="auto"/>
    </w:pPr>
    <w:rPr>
      <w:rFonts w:asciiTheme="majorHAnsi" w:eastAsiaTheme="majorEastAsia" w:hAnsiTheme="majorHAnsi" w:cstheme="majorBidi"/>
      <w:color w:val="2B3B5F" w:themeColor="text2"/>
      <w:spacing w:val="-2"/>
      <w:sz w:val="32"/>
      <w:szCs w:val="50"/>
    </w:rPr>
  </w:style>
  <w:style w:type="character" w:customStyle="1" w:styleId="TitleChar">
    <w:name w:val="Title Char"/>
    <w:basedOn w:val="DefaultParagraphFont"/>
    <w:link w:val="Title"/>
    <w:uiPriority w:val="39"/>
    <w:rsid w:val="00AC41CF"/>
    <w:rPr>
      <w:rFonts w:asciiTheme="majorHAnsi" w:eastAsiaTheme="majorEastAsia" w:hAnsiTheme="majorHAnsi" w:cstheme="majorBidi"/>
      <w:color w:val="2B3B5F" w:themeColor="text2"/>
      <w:spacing w:val="-2"/>
      <w:sz w:val="32"/>
      <w:szCs w:val="50"/>
    </w:rPr>
  </w:style>
  <w:style w:type="paragraph" w:customStyle="1" w:styleId="Title2">
    <w:name w:val="Title 2"/>
    <w:basedOn w:val="Normal"/>
    <w:link w:val="Title2Char"/>
    <w:uiPriority w:val="39"/>
    <w:rsid w:val="00C8728F"/>
    <w:pPr>
      <w:spacing w:after="250"/>
      <w:ind w:left="397"/>
      <w:jc w:val="right"/>
    </w:pPr>
    <w:rPr>
      <w:rFonts w:asciiTheme="majorHAnsi" w:hAnsiTheme="majorHAnsi"/>
      <w:color w:val="FFFFFF"/>
      <w:spacing w:val="-2"/>
      <w:sz w:val="32"/>
    </w:rPr>
  </w:style>
  <w:style w:type="character" w:customStyle="1" w:styleId="Title2Char">
    <w:name w:val="Title 2 Char"/>
    <w:basedOn w:val="DefaultParagraphFont"/>
    <w:link w:val="Title2"/>
    <w:uiPriority w:val="39"/>
    <w:rsid w:val="00AC41CF"/>
    <w:rPr>
      <w:rFonts w:asciiTheme="majorHAnsi" w:hAnsiTheme="majorHAnsi"/>
      <w:color w:val="FFFFFF"/>
      <w:spacing w:val="-2"/>
      <w:sz w:val="32"/>
    </w:rPr>
  </w:style>
  <w:style w:type="paragraph" w:customStyle="1" w:styleId="Title3">
    <w:name w:val="Title 3"/>
    <w:basedOn w:val="Title2"/>
    <w:uiPriority w:val="39"/>
    <w:rsid w:val="00195228"/>
    <w:pPr>
      <w:framePr w:wrap="auto" w:vAnchor="page" w:hAnchor="margin" w:y="5779"/>
    </w:pPr>
    <w:rPr>
      <w:rFonts w:eastAsia="Times New Roman" w:cs="Arial"/>
      <w:i/>
      <w:spacing w:val="8"/>
      <w:lang w:eastAsia="en-AU"/>
    </w:rPr>
  </w:style>
  <w:style w:type="paragraph" w:styleId="TOC1">
    <w:name w:val="toc 1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right="851"/>
    </w:pPr>
    <w:rPr>
      <w:b/>
      <w:noProof/>
      <w:color w:val="2B3B5F" w:themeColor="text2"/>
    </w:rPr>
  </w:style>
  <w:style w:type="paragraph" w:styleId="TOC2">
    <w:name w:val="toc 2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left="454" w:right="851"/>
    </w:pPr>
    <w:rPr>
      <w:noProof/>
      <w:szCs w:val="28"/>
    </w:rPr>
  </w:style>
  <w:style w:type="paragraph" w:styleId="TOC3">
    <w:name w:val="toc 3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left="907" w:right="851"/>
    </w:pPr>
    <w:rPr>
      <w:rFonts w:eastAsiaTheme="minorEastAsia"/>
      <w:noProof/>
    </w:rPr>
  </w:style>
  <w:style w:type="paragraph" w:styleId="TOC4">
    <w:name w:val="toc 4"/>
    <w:basedOn w:val="Normal"/>
    <w:uiPriority w:val="39"/>
    <w:rsid w:val="006C5E72"/>
    <w:pPr>
      <w:tabs>
        <w:tab w:val="right" w:leader="underscore" w:pos="8165"/>
      </w:tabs>
      <w:spacing w:after="80"/>
      <w:ind w:right="851"/>
    </w:pPr>
    <w:rPr>
      <w:noProof/>
    </w:rPr>
  </w:style>
  <w:style w:type="paragraph" w:styleId="TOC5">
    <w:name w:val="toc 5"/>
    <w:basedOn w:val="Normal"/>
    <w:next w:val="Normal"/>
    <w:autoRedefine/>
    <w:uiPriority w:val="39"/>
    <w:rsid w:val="0096618E"/>
    <w:pPr>
      <w:tabs>
        <w:tab w:val="right" w:leader="underscore" w:pos="8165"/>
      </w:tabs>
      <w:spacing w:after="227"/>
      <w:ind w:right="851"/>
    </w:pPr>
    <w:rPr>
      <w:b/>
      <w:color w:val="2B3B5F" w:themeColor="text2"/>
    </w:rPr>
  </w:style>
  <w:style w:type="paragraph" w:styleId="TOC6">
    <w:name w:val="toc 6"/>
    <w:basedOn w:val="Normal"/>
    <w:next w:val="Normal"/>
    <w:autoRedefine/>
    <w:semiHidden/>
    <w:rsid w:val="00961DBB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961DBB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rsid w:val="00961DBB"/>
    <w:pPr>
      <w:tabs>
        <w:tab w:val="right" w:leader="dot" w:pos="9582"/>
      </w:tabs>
      <w:spacing w:after="227"/>
      <w:ind w:right="907"/>
    </w:pPr>
    <w:rPr>
      <w:color w:val="2B3B5F" w:themeColor="text2"/>
    </w:rPr>
  </w:style>
  <w:style w:type="paragraph" w:styleId="TOCHeading">
    <w:name w:val="TOC Heading"/>
    <w:basedOn w:val="Normal"/>
    <w:uiPriority w:val="39"/>
    <w:rsid w:val="00733970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before="480" w:after="340" w:line="240" w:lineRule="auto"/>
    </w:pPr>
    <w:rPr>
      <w:rFonts w:asciiTheme="majorHAnsi" w:hAnsiTheme="majorHAnsi"/>
      <w:color w:val="2B3B5F" w:themeColor="text2"/>
      <w:sz w:val="40"/>
      <w:szCs w:val="40"/>
    </w:rPr>
  </w:style>
  <w:style w:type="paragraph" w:customStyle="1" w:styleId="TOFHeading">
    <w:name w:val="TOF Heading"/>
    <w:basedOn w:val="Normal"/>
    <w:uiPriority w:val="39"/>
    <w:rsid w:val="00961DBB"/>
    <w:pPr>
      <w:keepNext/>
      <w:tabs>
        <w:tab w:val="left" w:pos="2268"/>
      </w:tabs>
      <w:spacing w:before="300" w:after="120"/>
    </w:pPr>
    <w:rPr>
      <w:color w:val="2B3B5F" w:themeColor="text2"/>
      <w:sz w:val="28"/>
      <w:szCs w:val="32"/>
    </w:rPr>
  </w:style>
  <w:style w:type="paragraph" w:customStyle="1" w:styleId="xDisclaimerHeading">
    <w:name w:val="xDisclaimer Heading"/>
    <w:basedOn w:val="Normal"/>
    <w:link w:val="xDisclaimerHeadingChar"/>
    <w:uiPriority w:val="39"/>
    <w:rsid w:val="00961DBB"/>
    <w:pPr>
      <w:framePr w:hSpace="181" w:wrap="around" w:hAnchor="margin" w:y="4310"/>
      <w:spacing w:before="170" w:after="57" w:line="280" w:lineRule="atLeast"/>
      <w:suppressOverlap/>
    </w:pPr>
    <w:rPr>
      <w:b/>
    </w:rPr>
  </w:style>
  <w:style w:type="character" w:customStyle="1" w:styleId="xDisclaimerHeadingChar">
    <w:name w:val="xDisclaimer Heading Char"/>
    <w:basedOn w:val="DefaultParagraphFont"/>
    <w:link w:val="xDisclaimerHeading"/>
    <w:uiPriority w:val="39"/>
    <w:rsid w:val="00AC41CF"/>
    <w:rPr>
      <w:b/>
    </w:rPr>
  </w:style>
  <w:style w:type="paragraph" w:customStyle="1" w:styleId="xDisclaimerText">
    <w:name w:val="xDisclaimer Text"/>
    <w:basedOn w:val="Normal"/>
    <w:uiPriority w:val="39"/>
    <w:rsid w:val="00961DBB"/>
    <w:pPr>
      <w:spacing w:after="57" w:line="302" w:lineRule="atLeast"/>
    </w:pPr>
    <w:rPr>
      <w:rFonts w:cs="Times New Roman"/>
    </w:rPr>
  </w:style>
  <w:style w:type="paragraph" w:customStyle="1" w:styleId="xDisclaimerText2">
    <w:name w:val="xDisclaimer Text 2"/>
    <w:basedOn w:val="xDisclaimerHeading"/>
    <w:uiPriority w:val="39"/>
    <w:rsid w:val="00961DBB"/>
    <w:pPr>
      <w:framePr w:wrap="around"/>
      <w:spacing w:before="0" w:after="170" w:line="302" w:lineRule="atLeast"/>
    </w:pPr>
    <w:rPr>
      <w:b w:val="0"/>
    </w:rPr>
  </w:style>
  <w:style w:type="paragraph" w:customStyle="1" w:styleId="xDisclaimertext3">
    <w:name w:val="xDisclaimer text 3"/>
    <w:basedOn w:val="xDisclaimerText"/>
    <w:uiPriority w:val="39"/>
    <w:rsid w:val="00961DBB"/>
    <w:pPr>
      <w:spacing w:before="170" w:after="170"/>
    </w:pPr>
  </w:style>
  <w:style w:type="paragraph" w:customStyle="1" w:styleId="xInlineShape">
    <w:name w:val="xInlineShape"/>
    <w:basedOn w:val="Normal"/>
    <w:next w:val="BodyText"/>
    <w:uiPriority w:val="39"/>
    <w:rsid w:val="009A3E58"/>
    <w:pPr>
      <w:keepNext/>
      <w:spacing w:before="300" w:after="120" w:line="240" w:lineRule="auto"/>
    </w:pPr>
  </w:style>
  <w:style w:type="paragraph" w:customStyle="1" w:styleId="xStatus">
    <w:name w:val="xStatus"/>
    <w:basedOn w:val="Normal"/>
    <w:semiHidden/>
    <w:rsid w:val="0094468E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1400" w:lineRule="exact"/>
      <w:jc w:val="center"/>
    </w:pPr>
    <w:rPr>
      <w:caps/>
      <w:color w:val="EAEAEA"/>
      <w:spacing w:val="40"/>
      <w:sz w:val="140"/>
    </w:rPr>
  </w:style>
  <w:style w:type="paragraph" w:customStyle="1" w:styleId="xDisclaimerHeadingwithxDisclaimerText">
    <w:name w:val="xDisclaimer Heading (with xDisclaimer Text)"/>
    <w:basedOn w:val="xDisclaimerHeading"/>
    <w:link w:val="xDisclaimerHeadingwithxDisclaimerTextChar"/>
    <w:uiPriority w:val="39"/>
    <w:rsid w:val="00961DBB"/>
    <w:pPr>
      <w:framePr w:wrap="around"/>
    </w:pPr>
  </w:style>
  <w:style w:type="character" w:customStyle="1" w:styleId="xDisclaimerHeadingwithxDisclaimerTextChar">
    <w:name w:val="xDisclaimer Heading (with xDisclaimer Text) Char"/>
    <w:basedOn w:val="xDisclaimerHeadingChar"/>
    <w:link w:val="xDisclaimerHeadingwithxDisclaimerText"/>
    <w:uiPriority w:val="39"/>
    <w:rsid w:val="00AC41CF"/>
    <w:rPr>
      <w:b/>
    </w:rPr>
  </w:style>
  <w:style w:type="character" w:styleId="Hyperlink">
    <w:name w:val="Hyperlink"/>
    <w:basedOn w:val="DefaultParagraphFont"/>
    <w:uiPriority w:val="99"/>
    <w:unhideWhenUsed/>
    <w:rsid w:val="00903E3F"/>
    <w:rPr>
      <w:color w:val="auto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03E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E266E"/>
    <w:rPr>
      <w:rFonts w:ascii="Tahoma" w:hAnsi="Tahoma" w:cs="Tahoma"/>
      <w:sz w:val="16"/>
      <w:szCs w:val="16"/>
    </w:rPr>
  </w:style>
  <w:style w:type="paragraph" w:customStyle="1" w:styleId="CaptionBefore12pt">
    <w:name w:val="Caption + Before: 12pt"/>
    <w:basedOn w:val="Caption"/>
    <w:uiPriority w:val="39"/>
    <w:rsid w:val="00FD6119"/>
    <w:pPr>
      <w:spacing w:before="240"/>
    </w:pPr>
  </w:style>
  <w:style w:type="paragraph" w:customStyle="1" w:styleId="xBackPageWebAddress">
    <w:name w:val="xBack Page Web Address"/>
    <w:basedOn w:val="Normal"/>
    <w:uiPriority w:val="39"/>
    <w:rsid w:val="00F31392"/>
    <w:pPr>
      <w:spacing w:before="140" w:line="240" w:lineRule="atLeast"/>
    </w:pPr>
    <w:rPr>
      <w:rFonts w:asciiTheme="majorHAnsi" w:hAnsiTheme="majorHAnsi"/>
      <w:color w:val="FFFFFF"/>
      <w:spacing w:val="-6"/>
      <w:sz w:val="40"/>
      <w:szCs w:val="36"/>
    </w:rPr>
  </w:style>
  <w:style w:type="paragraph" w:customStyle="1" w:styleId="Heading1NoNumbering">
    <w:name w:val="Heading 1 No Numbering"/>
    <w:basedOn w:val="Heading1"/>
    <w:uiPriority w:val="39"/>
    <w:rsid w:val="00A12C39"/>
    <w:pPr>
      <w:numPr>
        <w:numId w:val="0"/>
      </w:numPr>
    </w:pPr>
  </w:style>
  <w:style w:type="paragraph" w:styleId="TableofFigures">
    <w:name w:val="table of figures"/>
    <w:basedOn w:val="Normal"/>
    <w:next w:val="Normal"/>
    <w:uiPriority w:val="39"/>
    <w:rsid w:val="00D64CE2"/>
    <w:pPr>
      <w:tabs>
        <w:tab w:val="right" w:leader="underscore" w:pos="8165"/>
      </w:tabs>
      <w:spacing w:after="80"/>
      <w:ind w:right="851"/>
    </w:pPr>
  </w:style>
  <w:style w:type="paragraph" w:customStyle="1" w:styleId="SectionHeadingNoTOC">
    <w:name w:val="Section Heading No TOC"/>
    <w:basedOn w:val="SectionHeading"/>
    <w:uiPriority w:val="39"/>
    <w:rsid w:val="00E45766"/>
  </w:style>
  <w:style w:type="paragraph" w:customStyle="1" w:styleId="TableTextCentred">
    <w:name w:val="Table Text Centred"/>
    <w:basedOn w:val="TableText"/>
    <w:uiPriority w:val="18"/>
    <w:qFormat/>
    <w:rsid w:val="00AE1CC1"/>
    <w:pPr>
      <w:jc w:val="center"/>
    </w:pPr>
    <w:rPr>
      <w:rFonts w:eastAsia="Times New Roman"/>
      <w:lang w:eastAsia="en-AU"/>
    </w:rPr>
  </w:style>
  <w:style w:type="paragraph" w:customStyle="1" w:styleId="FooterRightPageNumberLS">
    <w:name w:val="Footer Right Page Number LS"/>
    <w:basedOn w:val="Normal"/>
    <w:uiPriority w:val="39"/>
    <w:rsid w:val="004E0E49"/>
    <w:pPr>
      <w:framePr w:wrap="auto" w:hAnchor="text" w:x="1"/>
      <w:spacing w:before="180" w:after="120" w:line="240" w:lineRule="auto"/>
      <w:ind w:right="283"/>
      <w:jc w:val="right"/>
    </w:pPr>
    <w:rPr>
      <w:rFonts w:eastAsia="Times New Roman" w:cs="Arial"/>
      <w:b/>
      <w:noProof/>
      <w:color w:val="788184" w:themeColor="background2"/>
      <w:lang w:eastAsia="en-AU"/>
    </w:rPr>
  </w:style>
  <w:style w:type="character" w:customStyle="1" w:styleId="MyBoldItalicsUnderline">
    <w:name w:val="MyBoldItalicsUnderline"/>
    <w:uiPriority w:val="99"/>
    <w:rsid w:val="000E266E"/>
    <w:rPr>
      <w:b/>
      <w:i/>
      <w:u w:val="single"/>
      <w:vertAlign w:val="baseline"/>
    </w:rPr>
  </w:style>
  <w:style w:type="character" w:customStyle="1" w:styleId="MyBoldUnderline">
    <w:name w:val="MyBoldUnderline"/>
    <w:uiPriority w:val="99"/>
    <w:rsid w:val="000E266E"/>
    <w:rPr>
      <w:b/>
      <w:i/>
      <w:u w:val="single"/>
      <w:vertAlign w:val="baseline"/>
    </w:rPr>
  </w:style>
  <w:style w:type="character" w:customStyle="1" w:styleId="MyItalicsUnderline">
    <w:name w:val="MyItalicsUnderline"/>
    <w:uiPriority w:val="99"/>
    <w:rsid w:val="000E266E"/>
    <w:rPr>
      <w:b/>
      <w:i/>
      <w:u w:val="single"/>
      <w:vertAlign w:val="baseline"/>
    </w:rPr>
  </w:style>
  <w:style w:type="character" w:customStyle="1" w:styleId="MyUnderline">
    <w:name w:val="MyUnderline"/>
    <w:uiPriority w:val="99"/>
    <w:rsid w:val="000E266E"/>
    <w:rPr>
      <w:b w:val="0"/>
      <w:i w:val="0"/>
      <w:u w:val="single"/>
      <w:vertAlign w:val="baseline"/>
    </w:rPr>
  </w:style>
  <w:style w:type="paragraph" w:customStyle="1" w:styleId="PBOheader">
    <w:name w:val="PBO header"/>
    <w:basedOn w:val="Header"/>
    <w:uiPriority w:val="39"/>
    <w:rsid w:val="0046444F"/>
    <w:pPr>
      <w:spacing w:before="1320" w:after="114"/>
      <w:ind w:left="6521"/>
    </w:pPr>
    <w:rPr>
      <w:rFonts w:ascii="Arial" w:hAnsi="Arial" w:cs="Arial"/>
      <w:b/>
      <w:sz w:val="18"/>
      <w:szCs w:val="18"/>
    </w:rPr>
  </w:style>
  <w:style w:type="paragraph" w:customStyle="1" w:styleId="Letterfooter">
    <w:name w:val="Letter footer"/>
    <w:basedOn w:val="Footer"/>
    <w:uiPriority w:val="39"/>
    <w:rsid w:val="0046444F"/>
    <w:pPr>
      <w:tabs>
        <w:tab w:val="center" w:pos="4513"/>
        <w:tab w:val="right" w:pos="9026"/>
      </w:tabs>
      <w:spacing w:after="113"/>
      <w:ind w:right="-618" w:hanging="709"/>
      <w:jc w:val="center"/>
    </w:pPr>
    <w:rPr>
      <w:rFonts w:ascii="Arial" w:hAnsi="Arial" w:cs="Arial"/>
      <w:b w:val="0"/>
      <w:sz w:val="17"/>
      <w:szCs w:val="17"/>
    </w:rPr>
  </w:style>
  <w:style w:type="table" w:styleId="LightGrid-Accent6">
    <w:name w:val="Light Grid Accent 6"/>
    <w:basedOn w:val="TableNormal"/>
    <w:uiPriority w:val="62"/>
    <w:rsid w:val="0046444F"/>
    <w:pPr>
      <w:spacing w:line="240" w:lineRule="auto"/>
    </w:pPr>
    <w:tblPr>
      <w:tblStyleRowBandSize w:val="1"/>
      <w:tblStyleColBandSize w:val="1"/>
      <w:tblBorders>
        <w:top w:val="single" w:sz="8" w:space="0" w:color="788184" w:themeColor="accent6"/>
        <w:left w:val="single" w:sz="8" w:space="0" w:color="788184" w:themeColor="accent6"/>
        <w:bottom w:val="single" w:sz="8" w:space="0" w:color="788184" w:themeColor="accent6"/>
        <w:right w:val="single" w:sz="8" w:space="0" w:color="788184" w:themeColor="accent6"/>
        <w:insideH w:val="single" w:sz="8" w:space="0" w:color="788184" w:themeColor="accent6"/>
        <w:insideV w:val="single" w:sz="8" w:space="0" w:color="78818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18" w:space="0" w:color="788184" w:themeColor="accent6"/>
          <w:right w:val="single" w:sz="8" w:space="0" w:color="788184" w:themeColor="accent6"/>
          <w:insideH w:val="nil"/>
          <w:insideV w:val="single" w:sz="8" w:space="0" w:color="78818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H w:val="nil"/>
          <w:insideV w:val="single" w:sz="8" w:space="0" w:color="78818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</w:tcBorders>
      </w:tcPr>
    </w:tblStylePr>
    <w:tblStylePr w:type="band1Vert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</w:tcBorders>
        <w:shd w:val="clear" w:color="auto" w:fill="DDDFE0" w:themeFill="accent6" w:themeFillTint="3F"/>
      </w:tcPr>
    </w:tblStylePr>
    <w:tblStylePr w:type="band1Horz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V w:val="single" w:sz="8" w:space="0" w:color="788184" w:themeColor="accent6"/>
        </w:tcBorders>
        <w:shd w:val="clear" w:color="auto" w:fill="DDDFE0" w:themeFill="accent6" w:themeFillTint="3F"/>
      </w:tcPr>
    </w:tblStylePr>
    <w:tblStylePr w:type="band2Horz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V w:val="single" w:sz="8" w:space="0" w:color="788184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8112CC"/>
    <w:pPr>
      <w:spacing w:line="240" w:lineRule="auto"/>
    </w:pPr>
    <w:tblPr>
      <w:tblStyleRowBandSize w:val="1"/>
      <w:tblStyleColBandSize w:val="1"/>
      <w:tblBorders>
        <w:top w:val="single" w:sz="8" w:space="0" w:color="D7DDE9" w:themeColor="accent3"/>
        <w:left w:val="single" w:sz="8" w:space="0" w:color="D7DDE9" w:themeColor="accent3"/>
        <w:bottom w:val="single" w:sz="8" w:space="0" w:color="D7DDE9" w:themeColor="accent3"/>
        <w:right w:val="single" w:sz="8" w:space="0" w:color="D7DDE9" w:themeColor="accent3"/>
        <w:insideH w:val="single" w:sz="8" w:space="0" w:color="D7DDE9" w:themeColor="accent3"/>
        <w:insideV w:val="single" w:sz="8" w:space="0" w:color="D7DDE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18" w:space="0" w:color="D7DDE9" w:themeColor="accent3"/>
          <w:right w:val="single" w:sz="8" w:space="0" w:color="D7DDE9" w:themeColor="accent3"/>
          <w:insideH w:val="nil"/>
          <w:insideV w:val="single" w:sz="8" w:space="0" w:color="D7DDE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H w:val="nil"/>
          <w:insideV w:val="single" w:sz="8" w:space="0" w:color="D7DDE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</w:tcBorders>
      </w:tcPr>
    </w:tblStylePr>
    <w:tblStylePr w:type="band1Vert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</w:tcBorders>
        <w:shd w:val="clear" w:color="auto" w:fill="F5F6F9" w:themeFill="accent3" w:themeFillTint="3F"/>
      </w:tcPr>
    </w:tblStylePr>
    <w:tblStylePr w:type="band1Horz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V w:val="single" w:sz="8" w:space="0" w:color="D7DDE9" w:themeColor="accent3"/>
        </w:tcBorders>
        <w:shd w:val="clear" w:color="auto" w:fill="F5F6F9" w:themeFill="accent3" w:themeFillTint="3F"/>
      </w:tcPr>
    </w:tblStylePr>
    <w:tblStylePr w:type="band2Horz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V w:val="single" w:sz="8" w:space="0" w:color="D7DDE9" w:themeColor="accent3"/>
        </w:tcBorders>
      </w:tcPr>
    </w:tblStylePr>
  </w:style>
  <w:style w:type="paragraph" w:customStyle="1" w:styleId="Lettertext">
    <w:name w:val="Letter text"/>
    <w:basedOn w:val="BodyText"/>
    <w:qFormat/>
    <w:rsid w:val="00E64480"/>
    <w:pPr>
      <w:spacing w:before="240" w:after="0"/>
    </w:pPr>
    <w:rPr>
      <w:rFonts w:ascii="Times New Roman" w:hAnsi="Times New Roman"/>
      <w:spacing w:val="0"/>
      <w:sz w:val="24"/>
    </w:rPr>
  </w:style>
  <w:style w:type="paragraph" w:customStyle="1" w:styleId="TableTextRightItalic">
    <w:name w:val="Table Text Right Italic"/>
    <w:basedOn w:val="TableTextRight"/>
    <w:uiPriority w:val="21"/>
    <w:qFormat/>
    <w:rsid w:val="00120A75"/>
    <w:rPr>
      <w:i/>
    </w:rPr>
  </w:style>
  <w:style w:type="character" w:styleId="FollowedHyperlink">
    <w:name w:val="FollowedHyperlink"/>
    <w:basedOn w:val="DefaultParagraphFont"/>
    <w:semiHidden/>
    <w:unhideWhenUsed/>
    <w:rsid w:val="003B47BC"/>
    <w:rPr>
      <w:color w:val="000000" w:themeColor="followedHyperlink"/>
      <w:u w:val="single"/>
    </w:rPr>
  </w:style>
  <w:style w:type="paragraph" w:customStyle="1" w:styleId="TableTextRightBold">
    <w:name w:val="Table Text Right Bold"/>
    <w:basedOn w:val="TableTextRight"/>
    <w:uiPriority w:val="20"/>
    <w:qFormat/>
    <w:rsid w:val="00066D54"/>
    <w:rPr>
      <w:b/>
    </w:rPr>
  </w:style>
  <w:style w:type="paragraph" w:styleId="Bibliography">
    <w:name w:val="Bibliography"/>
    <w:basedOn w:val="Normal"/>
    <w:next w:val="Normal"/>
    <w:uiPriority w:val="39"/>
    <w:unhideWhenUsed/>
    <w:rsid w:val="00DF2134"/>
  </w:style>
  <w:style w:type="character" w:styleId="CommentReference">
    <w:name w:val="annotation reference"/>
    <w:basedOn w:val="DefaultParagraphFont"/>
    <w:semiHidden/>
    <w:unhideWhenUsed/>
    <w:rsid w:val="008D3BB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D3B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D3B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3B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3BB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82CE8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300" w:lineRule="atLeast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2" w:qFormat="1"/>
    <w:lsdException w:name="heading 3" w:qFormat="1"/>
    <w:lsdException w:name="heading 4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header" w:uiPriority="99"/>
    <w:lsdException w:name="caption" w:qFormat="1"/>
    <w:lsdException w:name="table of figures" w:semiHidden="0" w:uiPriority="99" w:unhideWhenUsed="0"/>
    <w:lsdException w:name="List Bullet" w:uiPriority="7" w:qFormat="1"/>
    <w:lsdException w:name="List Number" w:qFormat="1"/>
    <w:lsdException w:name="List Bullet 2" w:uiPriority="8" w:qFormat="1"/>
    <w:lsdException w:name="List Bullet 3" w:uiPriority="9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5" w:qFormat="1"/>
    <w:lsdException w:name="List Continue" w:qFormat="1"/>
    <w:lsdException w:name="List Continue 2" w:qFormat="1"/>
    <w:lsdException w:name="Subtitle" w:semiHidden="0" w:unhideWhenUsed="0" w:qFormat="1"/>
    <w:lsdException w:name="Hyperlink" w:uiPriority="99"/>
    <w:lsdException w:name="Strong" w:unhideWhenUsed="0" w:qFormat="1"/>
    <w:lsdException w:name="Emphasis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9" w:unhideWhenUsed="0"/>
    <w:lsdException w:name="Quote" w:semiHidden="0" w:unhideWhenUsed="0"/>
    <w:lsdException w:name="Intense Quote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TOC Heading" w:qFormat="1"/>
  </w:latentStyles>
  <w:style w:type="paragraph" w:default="1" w:styleId="Normal">
    <w:name w:val="Normal"/>
    <w:uiPriority w:val="39"/>
    <w:rsid w:val="0089737A"/>
  </w:style>
  <w:style w:type="paragraph" w:styleId="Heading1">
    <w:name w:val="heading 1"/>
    <w:basedOn w:val="Normal"/>
    <w:next w:val="BodyText"/>
    <w:link w:val="Heading1Char"/>
    <w:uiPriority w:val="9"/>
    <w:qFormat/>
    <w:rsid w:val="0046444F"/>
    <w:pPr>
      <w:keepNext/>
      <w:keepLines/>
      <w:numPr>
        <w:numId w:val="10"/>
      </w:numPr>
      <w:tabs>
        <w:tab w:val="right" w:pos="1418"/>
        <w:tab w:val="right" w:pos="1701"/>
        <w:tab w:val="right" w:pos="1985"/>
      </w:tabs>
      <w:spacing w:before="470" w:after="228"/>
      <w:outlineLvl w:val="0"/>
    </w:pPr>
    <w:rPr>
      <w:rFonts w:asciiTheme="majorHAnsi" w:hAnsiTheme="majorHAnsi"/>
      <w:bCs/>
      <w:color w:val="2B3B5F" w:themeColor="text2"/>
      <w:spacing w:val="-6"/>
      <w:kern w:val="32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CA06C8"/>
    <w:pPr>
      <w:keepNext/>
      <w:keepLines/>
      <w:numPr>
        <w:ilvl w:val="1"/>
        <w:numId w:val="10"/>
      </w:numPr>
      <w:tabs>
        <w:tab w:val="left" w:pos="1418"/>
        <w:tab w:val="left" w:pos="1701"/>
        <w:tab w:val="left" w:pos="1985"/>
      </w:tabs>
      <w:spacing w:before="470" w:after="227"/>
      <w:outlineLvl w:val="1"/>
    </w:pPr>
    <w:rPr>
      <w:rFonts w:ascii="Calibri" w:hAnsi="Calibri"/>
      <w:b/>
      <w:bCs/>
      <w:iCs/>
      <w:color w:val="2B3B5F" w:themeColor="text2"/>
      <w:kern w:val="20"/>
      <w:sz w:val="24"/>
      <w:szCs w:val="28"/>
    </w:rPr>
  </w:style>
  <w:style w:type="paragraph" w:styleId="Heading3">
    <w:name w:val="heading 3"/>
    <w:basedOn w:val="Normal"/>
    <w:next w:val="BodyText"/>
    <w:link w:val="Heading3Char"/>
    <w:uiPriority w:val="3"/>
    <w:qFormat/>
    <w:rsid w:val="00CA06C8"/>
    <w:pPr>
      <w:keepNext/>
      <w:keepLines/>
      <w:numPr>
        <w:ilvl w:val="2"/>
        <w:numId w:val="10"/>
      </w:numPr>
      <w:tabs>
        <w:tab w:val="left" w:pos="1418"/>
        <w:tab w:val="left" w:pos="1701"/>
        <w:tab w:val="left" w:pos="1985"/>
      </w:tabs>
      <w:spacing w:before="470" w:after="227"/>
      <w:outlineLvl w:val="2"/>
    </w:pPr>
    <w:rPr>
      <w:i/>
      <w:color w:val="2B3B5F" w:themeColor="text2"/>
      <w:sz w:val="24"/>
    </w:rPr>
  </w:style>
  <w:style w:type="paragraph" w:styleId="Heading4">
    <w:name w:val="heading 4"/>
    <w:basedOn w:val="Normal"/>
    <w:next w:val="BodyText"/>
    <w:link w:val="Heading4Char"/>
    <w:uiPriority w:val="4"/>
    <w:qFormat/>
    <w:rsid w:val="00CA06C8"/>
    <w:pPr>
      <w:keepNext/>
      <w:keepLines/>
      <w:tabs>
        <w:tab w:val="left" w:pos="1418"/>
        <w:tab w:val="left" w:pos="1701"/>
        <w:tab w:val="left" w:pos="1985"/>
      </w:tabs>
      <w:spacing w:before="227" w:after="113"/>
      <w:outlineLvl w:val="3"/>
    </w:pPr>
    <w:rPr>
      <w:rFonts w:eastAsiaTheme="majorEastAsia" w:cstheme="majorBidi"/>
      <w:bCs/>
      <w:i/>
      <w:iCs/>
      <w:color w:val="788184" w:themeColor="background2"/>
      <w:sz w:val="24"/>
    </w:rPr>
  </w:style>
  <w:style w:type="paragraph" w:styleId="Heading5">
    <w:name w:val="heading 5"/>
    <w:basedOn w:val="Normal"/>
    <w:next w:val="BodyText"/>
    <w:link w:val="Heading5Char"/>
    <w:uiPriority w:val="39"/>
    <w:rsid w:val="00B620EE"/>
    <w:pPr>
      <w:keepNext/>
      <w:keepLines/>
      <w:spacing w:before="180" w:after="60"/>
      <w:outlineLvl w:val="4"/>
    </w:pPr>
    <w:rPr>
      <w:rFonts w:asciiTheme="majorHAnsi" w:eastAsiaTheme="majorEastAsia" w:hAnsiTheme="majorHAnsi" w:cstheme="majorBidi"/>
      <w:i/>
      <w:color w:val="636366"/>
      <w:sz w:val="24"/>
    </w:rPr>
  </w:style>
  <w:style w:type="paragraph" w:styleId="Heading6">
    <w:name w:val="heading 6"/>
    <w:basedOn w:val="Normal"/>
    <w:next w:val="BodyText"/>
    <w:link w:val="Heading6Char"/>
    <w:uiPriority w:val="39"/>
    <w:rsid w:val="00B620EE"/>
    <w:pPr>
      <w:keepNext/>
      <w:keepLines/>
      <w:spacing w:before="280" w:after="240"/>
      <w:outlineLvl w:val="5"/>
    </w:pPr>
    <w:rPr>
      <w:rFonts w:asciiTheme="majorHAnsi" w:eastAsiaTheme="majorEastAsia" w:hAnsiTheme="majorHAnsi" w:cstheme="majorBidi"/>
      <w:i/>
      <w:iCs/>
      <w:color w:val="2B3B5F" w:themeColor="text2"/>
      <w:sz w:val="24"/>
    </w:rPr>
  </w:style>
  <w:style w:type="paragraph" w:styleId="Heading7">
    <w:name w:val="heading 7"/>
    <w:basedOn w:val="Normal"/>
    <w:next w:val="Normal"/>
    <w:link w:val="Heading7Char"/>
    <w:semiHidden/>
    <w:rsid w:val="00961DBB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ttachment Title"/>
    <w:basedOn w:val="Normal"/>
    <w:next w:val="BodyText"/>
    <w:link w:val="Heading8Char"/>
    <w:uiPriority w:val="31"/>
    <w:qFormat/>
    <w:rsid w:val="002D239A"/>
    <w:pPr>
      <w:keepNext/>
      <w:keepLines/>
      <w:numPr>
        <w:numId w:val="1"/>
      </w:numPr>
      <w:tabs>
        <w:tab w:val="left" w:pos="4536"/>
      </w:tabs>
      <w:spacing w:before="480" w:after="340"/>
      <w:outlineLvl w:val="7"/>
    </w:pPr>
    <w:rPr>
      <w:rFonts w:asciiTheme="majorHAnsi" w:eastAsiaTheme="majorEastAsia" w:hAnsiTheme="majorHAnsi" w:cstheme="majorBidi"/>
      <w:color w:val="2B3B5F" w:themeColor="text2"/>
      <w:sz w:val="32"/>
    </w:rPr>
  </w:style>
  <w:style w:type="paragraph" w:styleId="Heading9">
    <w:name w:val="heading 9"/>
    <w:aliases w:val="Attachment Heading 1"/>
    <w:basedOn w:val="Normal"/>
    <w:next w:val="BodyText"/>
    <w:link w:val="Heading9Char"/>
    <w:uiPriority w:val="32"/>
    <w:qFormat/>
    <w:rsid w:val="002D239A"/>
    <w:pPr>
      <w:keepNext/>
      <w:keepLines/>
      <w:numPr>
        <w:ilvl w:val="1"/>
        <w:numId w:val="1"/>
      </w:numPr>
      <w:tabs>
        <w:tab w:val="left" w:pos="1559"/>
        <w:tab w:val="left" w:pos="1843"/>
        <w:tab w:val="left" w:pos="2126"/>
        <w:tab w:val="left" w:pos="2410"/>
      </w:tabs>
      <w:spacing w:before="470" w:after="227"/>
      <w:outlineLvl w:val="8"/>
    </w:pPr>
    <w:rPr>
      <w:rFonts w:asciiTheme="majorHAnsi" w:hAnsiTheme="majorHAnsi"/>
      <w:color w:val="2B3B5F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13"/>
    <w:rsid w:val="007834DC"/>
    <w:pPr>
      <w:tabs>
        <w:tab w:val="left" w:pos="425"/>
      </w:tabs>
      <w:spacing w:before="50" w:line="260" w:lineRule="exact"/>
      <w:ind w:left="425" w:hanging="425"/>
    </w:pPr>
    <w:rPr>
      <w:kern w:val="16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13"/>
    <w:rsid w:val="0089737A"/>
    <w:rPr>
      <w:kern w:val="16"/>
      <w:sz w:val="18"/>
    </w:rPr>
  </w:style>
  <w:style w:type="character" w:styleId="FootnoteReference">
    <w:name w:val="footnote reference"/>
    <w:basedOn w:val="DefaultParagraphFont"/>
    <w:uiPriority w:val="39"/>
    <w:rsid w:val="00961DBB"/>
    <w:rPr>
      <w:rFonts w:asciiTheme="minorHAnsi" w:hAnsiTheme="minorHAnsi"/>
      <w:color w:val="auto"/>
      <w:vertAlign w:val="superscript"/>
    </w:rPr>
  </w:style>
  <w:style w:type="paragraph" w:styleId="BodyText">
    <w:name w:val="Body Text"/>
    <w:basedOn w:val="Normal"/>
    <w:link w:val="BodyTextChar"/>
    <w:uiPriority w:val="5"/>
    <w:qFormat/>
    <w:rsid w:val="007C19C3"/>
    <w:pPr>
      <w:spacing w:before="113" w:after="113"/>
    </w:pPr>
    <w:rPr>
      <w:rFonts w:cs="Times New Roman"/>
      <w:spacing w:val="-1"/>
    </w:rPr>
  </w:style>
  <w:style w:type="character" w:customStyle="1" w:styleId="BodyTextChar">
    <w:name w:val="Body Text Char"/>
    <w:basedOn w:val="DefaultParagraphFont"/>
    <w:link w:val="BodyText"/>
    <w:uiPriority w:val="5"/>
    <w:rsid w:val="00AC41CF"/>
    <w:rPr>
      <w:rFonts w:cs="Times New Roman"/>
      <w:spacing w:val="-1"/>
    </w:rPr>
  </w:style>
  <w:style w:type="paragraph" w:customStyle="1" w:styleId="BodyText17ptAbove">
    <w:name w:val="Body Text 17pt Above"/>
    <w:basedOn w:val="BodyText"/>
    <w:next w:val="BodyText"/>
    <w:uiPriority w:val="6"/>
    <w:qFormat/>
    <w:rsid w:val="00CA4C28"/>
    <w:pPr>
      <w:spacing w:before="340"/>
    </w:pPr>
  </w:style>
  <w:style w:type="character" w:customStyle="1" w:styleId="Heading1Char">
    <w:name w:val="Heading 1 Char"/>
    <w:basedOn w:val="DefaultParagraphFont"/>
    <w:link w:val="Heading1"/>
    <w:uiPriority w:val="9"/>
    <w:rsid w:val="00AC41CF"/>
    <w:rPr>
      <w:rFonts w:asciiTheme="majorHAnsi" w:hAnsiTheme="majorHAnsi"/>
      <w:bCs/>
      <w:color w:val="2B3B5F" w:themeColor="text2"/>
      <w:spacing w:val="-6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C41CF"/>
    <w:rPr>
      <w:rFonts w:ascii="Calibri" w:hAnsi="Calibri"/>
      <w:b/>
      <w:bCs/>
      <w:iCs/>
      <w:color w:val="2B3B5F" w:themeColor="text2"/>
      <w:kern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3"/>
    <w:rsid w:val="00AC41CF"/>
    <w:rPr>
      <w:i/>
      <w:color w:val="2B3B5F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4"/>
    <w:rsid w:val="00AC41CF"/>
    <w:rPr>
      <w:rFonts w:eastAsiaTheme="majorEastAsia" w:cstheme="majorBidi"/>
      <w:bCs/>
      <w:i/>
      <w:iCs/>
      <w:color w:val="788184" w:themeColor="background2"/>
      <w:sz w:val="24"/>
    </w:rPr>
  </w:style>
  <w:style w:type="character" w:customStyle="1" w:styleId="Heading5Char">
    <w:name w:val="Heading 5 Char"/>
    <w:basedOn w:val="DefaultParagraphFont"/>
    <w:link w:val="Heading5"/>
    <w:uiPriority w:val="39"/>
    <w:rsid w:val="00AC41CF"/>
    <w:rPr>
      <w:rFonts w:asciiTheme="majorHAnsi" w:eastAsiaTheme="majorEastAsia" w:hAnsiTheme="majorHAnsi" w:cstheme="majorBidi"/>
      <w:i/>
      <w:color w:val="636366"/>
      <w:sz w:val="24"/>
    </w:rPr>
  </w:style>
  <w:style w:type="character" w:customStyle="1" w:styleId="Heading6Char">
    <w:name w:val="Heading 6 Char"/>
    <w:basedOn w:val="DefaultParagraphFont"/>
    <w:link w:val="Heading6"/>
    <w:uiPriority w:val="39"/>
    <w:rsid w:val="00AC41CF"/>
    <w:rPr>
      <w:rFonts w:asciiTheme="majorHAnsi" w:eastAsiaTheme="majorEastAsia" w:hAnsiTheme="majorHAnsi" w:cstheme="majorBidi"/>
      <w:i/>
      <w:iCs/>
      <w:color w:val="2B3B5F" w:themeColor="text2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0E266E"/>
    <w:rPr>
      <w:rFonts w:asciiTheme="majorHAnsi" w:eastAsiaTheme="majorEastAsia" w:hAnsiTheme="majorHAnsi" w:cstheme="majorBidi"/>
      <w:b/>
      <w:iCs/>
      <w:color w:val="FFFFFF"/>
    </w:rPr>
  </w:style>
  <w:style w:type="character" w:customStyle="1" w:styleId="Heading8Char">
    <w:name w:val="Heading 8 Char"/>
    <w:aliases w:val="Attachment Title Char"/>
    <w:basedOn w:val="DefaultParagraphFont"/>
    <w:link w:val="Heading8"/>
    <w:uiPriority w:val="31"/>
    <w:rsid w:val="0089737A"/>
    <w:rPr>
      <w:rFonts w:asciiTheme="majorHAnsi" w:eastAsiaTheme="majorEastAsia" w:hAnsiTheme="majorHAnsi" w:cstheme="majorBidi"/>
      <w:color w:val="2B3B5F" w:themeColor="text2"/>
      <w:sz w:val="32"/>
    </w:rPr>
  </w:style>
  <w:style w:type="character" w:customStyle="1" w:styleId="Heading9Char">
    <w:name w:val="Heading 9 Char"/>
    <w:aliases w:val="Attachment Heading 1 Char"/>
    <w:basedOn w:val="DefaultParagraphFont"/>
    <w:link w:val="Heading9"/>
    <w:uiPriority w:val="32"/>
    <w:rsid w:val="0089737A"/>
    <w:rPr>
      <w:rFonts w:asciiTheme="majorHAnsi" w:hAnsiTheme="majorHAnsi"/>
      <w:color w:val="2B3B5F" w:themeColor="text2"/>
      <w:sz w:val="28"/>
    </w:rPr>
  </w:style>
  <w:style w:type="paragraph" w:customStyle="1" w:styleId="AttachmentHeading2">
    <w:name w:val="Attachment Heading 2"/>
    <w:basedOn w:val="Normal"/>
    <w:next w:val="BodyText"/>
    <w:uiPriority w:val="33"/>
    <w:qFormat/>
    <w:rsid w:val="00CA5598"/>
    <w:pPr>
      <w:keepNext/>
      <w:keepLines/>
      <w:numPr>
        <w:ilvl w:val="2"/>
        <w:numId w:val="1"/>
      </w:numPr>
      <w:tabs>
        <w:tab w:val="left" w:pos="1559"/>
        <w:tab w:val="left" w:pos="1843"/>
        <w:tab w:val="left" w:pos="2126"/>
        <w:tab w:val="left" w:pos="2410"/>
      </w:tabs>
      <w:spacing w:before="470" w:after="227"/>
    </w:pPr>
    <w:rPr>
      <w:rFonts w:asciiTheme="majorHAnsi" w:hAnsiTheme="majorHAnsi"/>
      <w:color w:val="2B3B5F" w:themeColor="text2"/>
      <w:sz w:val="28"/>
    </w:rPr>
  </w:style>
  <w:style w:type="paragraph" w:customStyle="1" w:styleId="AttachmentHeading3">
    <w:name w:val="Attachment Heading 3"/>
    <w:basedOn w:val="Normal"/>
    <w:next w:val="BodyText"/>
    <w:uiPriority w:val="34"/>
    <w:qFormat/>
    <w:rsid w:val="00CA5598"/>
    <w:pPr>
      <w:keepNext/>
      <w:keepLines/>
      <w:numPr>
        <w:ilvl w:val="3"/>
        <w:numId w:val="1"/>
      </w:numPr>
      <w:tabs>
        <w:tab w:val="left" w:pos="1559"/>
        <w:tab w:val="left" w:pos="1843"/>
        <w:tab w:val="left" w:pos="2126"/>
        <w:tab w:val="left" w:pos="2410"/>
        <w:tab w:val="left" w:pos="6804"/>
      </w:tabs>
      <w:spacing w:before="227" w:after="113"/>
    </w:pPr>
    <w:rPr>
      <w:b/>
      <w:color w:val="2B3B5F" w:themeColor="text2"/>
    </w:rPr>
  </w:style>
  <w:style w:type="character" w:customStyle="1" w:styleId="Bold">
    <w:name w:val="Bold"/>
    <w:uiPriority w:val="39"/>
    <w:rsid w:val="00961DBB"/>
    <w:rPr>
      <w:b/>
    </w:rPr>
  </w:style>
  <w:style w:type="character" w:customStyle="1" w:styleId="BoldAndItalics">
    <w:name w:val="Bold And Italics"/>
    <w:uiPriority w:val="39"/>
    <w:rsid w:val="00961DBB"/>
    <w:rPr>
      <w:b/>
      <w:i/>
    </w:rPr>
  </w:style>
  <w:style w:type="paragraph" w:styleId="Caption">
    <w:name w:val="caption"/>
    <w:basedOn w:val="Normal"/>
    <w:next w:val="BodyText"/>
    <w:uiPriority w:val="13"/>
    <w:qFormat/>
    <w:rsid w:val="00961DBB"/>
    <w:pPr>
      <w:keepNext/>
      <w:spacing w:before="340" w:after="114"/>
    </w:pPr>
    <w:rPr>
      <w:b/>
      <w:bCs/>
      <w:color w:val="2B3B5F" w:themeColor="text2"/>
      <w:spacing w:val="-4"/>
    </w:rPr>
  </w:style>
  <w:style w:type="paragraph" w:styleId="Footer">
    <w:name w:val="footer"/>
    <w:basedOn w:val="Normal"/>
    <w:link w:val="FooterChar"/>
    <w:uiPriority w:val="39"/>
    <w:rsid w:val="0046444F"/>
    <w:pPr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39"/>
    <w:rsid w:val="00AC41CF"/>
    <w:rPr>
      <w:b/>
    </w:rPr>
  </w:style>
  <w:style w:type="paragraph" w:customStyle="1" w:styleId="FooterLeft">
    <w:name w:val="Footer Left"/>
    <w:basedOn w:val="Footer"/>
    <w:uiPriority w:val="39"/>
    <w:rsid w:val="00961DBB"/>
    <w:pPr>
      <w:framePr w:wrap="around" w:vAnchor="page" w:hAnchor="margin" w:yAlign="bottom"/>
      <w:spacing w:before="180" w:after="120"/>
      <w:ind w:left="397"/>
    </w:pPr>
    <w:rPr>
      <w:spacing w:val="-2"/>
    </w:rPr>
  </w:style>
  <w:style w:type="paragraph" w:customStyle="1" w:styleId="FooterRight">
    <w:name w:val="Footer Right"/>
    <w:basedOn w:val="FooterLeft"/>
    <w:next w:val="Footer"/>
    <w:uiPriority w:val="39"/>
    <w:unhideWhenUsed/>
    <w:rsid w:val="00961DBB"/>
    <w:pPr>
      <w:framePr w:wrap="around" w:xAlign="right"/>
      <w:ind w:right="397"/>
      <w:jc w:val="right"/>
    </w:pPr>
  </w:style>
  <w:style w:type="paragraph" w:customStyle="1" w:styleId="FooterRightPageNumber">
    <w:name w:val="Footer Right Page Number"/>
    <w:basedOn w:val="Normal"/>
    <w:uiPriority w:val="39"/>
    <w:rsid w:val="00E915E6"/>
    <w:pPr>
      <w:spacing w:before="180" w:after="120" w:line="240" w:lineRule="auto"/>
      <w:jc w:val="right"/>
    </w:pPr>
    <w:rPr>
      <w:b/>
      <w:noProof/>
      <w:color w:val="788184" w:themeColor="background2"/>
    </w:rPr>
  </w:style>
  <w:style w:type="paragraph" w:customStyle="1" w:styleId="FooterLeftPageNumber">
    <w:name w:val="Footer Left Page Number"/>
    <w:basedOn w:val="Footer"/>
    <w:uiPriority w:val="39"/>
    <w:rsid w:val="00961DBB"/>
    <w:pPr>
      <w:framePr w:wrap="around" w:vAnchor="page" w:hAnchor="margin" w:yAlign="bottom"/>
      <w:spacing w:before="180" w:after="120"/>
      <w:ind w:right="57"/>
    </w:pPr>
  </w:style>
  <w:style w:type="paragraph" w:customStyle="1" w:styleId="FootnoteSeparator">
    <w:name w:val="Footnote Separator"/>
    <w:basedOn w:val="Normal"/>
    <w:uiPriority w:val="39"/>
    <w:unhideWhenUsed/>
    <w:rsid w:val="00961DBB"/>
    <w:pPr>
      <w:pBdr>
        <w:top w:val="single" w:sz="2" w:space="0" w:color="000000" w:themeColor="text1"/>
      </w:pBdr>
      <w:spacing w:before="120" w:line="120" w:lineRule="exact"/>
    </w:pPr>
    <w:rPr>
      <w:sz w:val="14"/>
      <w:szCs w:val="16"/>
    </w:rPr>
  </w:style>
  <w:style w:type="paragraph" w:styleId="Header">
    <w:name w:val="header"/>
    <w:basedOn w:val="Normal"/>
    <w:link w:val="HeaderChar"/>
    <w:uiPriority w:val="99"/>
    <w:rsid w:val="0046444F"/>
    <w:pPr>
      <w:spacing w:before="240" w:after="12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44F"/>
  </w:style>
  <w:style w:type="paragraph" w:customStyle="1" w:styleId="HighlightText">
    <w:name w:val="Highlight Text"/>
    <w:basedOn w:val="Normal"/>
    <w:uiPriority w:val="39"/>
    <w:rsid w:val="00961DBB"/>
    <w:pPr>
      <w:spacing w:before="120" w:after="420"/>
    </w:pPr>
    <w:rPr>
      <w:i/>
      <w:color w:val="2B3B5F" w:themeColor="text2"/>
      <w:spacing w:val="-1"/>
    </w:rPr>
  </w:style>
  <w:style w:type="paragraph" w:customStyle="1" w:styleId="Introduction">
    <w:name w:val="Introduction"/>
    <w:basedOn w:val="Normal"/>
    <w:next w:val="BodyText"/>
    <w:uiPriority w:val="39"/>
    <w:rsid w:val="00961DBB"/>
    <w:pPr>
      <w:spacing w:after="180" w:line="360" w:lineRule="atLeast"/>
    </w:pPr>
    <w:rPr>
      <w:color w:val="2B3B5F" w:themeColor="text2"/>
      <w:spacing w:val="-2"/>
      <w:sz w:val="30"/>
    </w:rPr>
  </w:style>
  <w:style w:type="character" w:customStyle="1" w:styleId="Italics">
    <w:name w:val="Italics"/>
    <w:uiPriority w:val="39"/>
    <w:rsid w:val="00961DBB"/>
    <w:rPr>
      <w:i/>
    </w:rPr>
  </w:style>
  <w:style w:type="paragraph" w:styleId="ListBullet">
    <w:name w:val="List Bullet"/>
    <w:basedOn w:val="Normal"/>
    <w:uiPriority w:val="7"/>
    <w:qFormat/>
    <w:rsid w:val="00476133"/>
    <w:pPr>
      <w:keepLines/>
      <w:numPr>
        <w:numId w:val="2"/>
      </w:numPr>
      <w:spacing w:after="120"/>
    </w:pPr>
    <w:rPr>
      <w:spacing w:val="-1"/>
    </w:rPr>
  </w:style>
  <w:style w:type="paragraph" w:styleId="ListBullet2">
    <w:name w:val="List Bullet 2"/>
    <w:basedOn w:val="ListBullet"/>
    <w:uiPriority w:val="8"/>
    <w:qFormat/>
    <w:rsid w:val="00476133"/>
    <w:pPr>
      <w:numPr>
        <w:ilvl w:val="1"/>
      </w:numPr>
      <w:ind w:left="908" w:hanging="454"/>
    </w:pPr>
  </w:style>
  <w:style w:type="paragraph" w:styleId="ListBullet3">
    <w:name w:val="List Bullet 3"/>
    <w:basedOn w:val="ListBullet2"/>
    <w:uiPriority w:val="9"/>
    <w:qFormat/>
    <w:rsid w:val="00961DBB"/>
    <w:pPr>
      <w:numPr>
        <w:ilvl w:val="2"/>
      </w:numPr>
    </w:pPr>
  </w:style>
  <w:style w:type="paragraph" w:styleId="ListContinue">
    <w:name w:val="List Continue"/>
    <w:basedOn w:val="Normal"/>
    <w:semiHidden/>
    <w:qFormat/>
    <w:rsid w:val="00961DBB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961DBB"/>
    <w:pPr>
      <w:spacing w:before="220" w:after="220"/>
      <w:ind w:left="680"/>
    </w:pPr>
  </w:style>
  <w:style w:type="paragraph" w:styleId="ListNumber">
    <w:name w:val="List Number"/>
    <w:basedOn w:val="Normal"/>
    <w:uiPriority w:val="10"/>
    <w:qFormat/>
    <w:rsid w:val="00476133"/>
    <w:pPr>
      <w:numPr>
        <w:numId w:val="3"/>
      </w:numPr>
      <w:spacing w:before="120" w:after="120"/>
    </w:pPr>
    <w:rPr>
      <w:spacing w:val="-1"/>
    </w:rPr>
  </w:style>
  <w:style w:type="paragraph" w:styleId="ListNumber2">
    <w:name w:val="List Number 2"/>
    <w:basedOn w:val="Normal"/>
    <w:uiPriority w:val="11"/>
    <w:qFormat/>
    <w:rsid w:val="00476133"/>
    <w:pPr>
      <w:numPr>
        <w:ilvl w:val="1"/>
        <w:numId w:val="3"/>
      </w:numPr>
      <w:spacing w:before="120" w:after="120"/>
      <w:ind w:left="908" w:hanging="454"/>
    </w:pPr>
    <w:rPr>
      <w:spacing w:val="-1"/>
    </w:rPr>
  </w:style>
  <w:style w:type="paragraph" w:styleId="ListNumber3">
    <w:name w:val="List Number 3"/>
    <w:basedOn w:val="Normal"/>
    <w:uiPriority w:val="12"/>
    <w:qFormat/>
    <w:rsid w:val="00476133"/>
    <w:pPr>
      <w:numPr>
        <w:ilvl w:val="2"/>
        <w:numId w:val="3"/>
      </w:numPr>
      <w:spacing w:before="120" w:after="120"/>
    </w:pPr>
    <w:rPr>
      <w:spacing w:val="-1"/>
    </w:rPr>
  </w:style>
  <w:style w:type="character" w:customStyle="1" w:styleId="MySubscript">
    <w:name w:val="MySubscript"/>
    <w:uiPriority w:val="99"/>
    <w:rsid w:val="00961DBB"/>
    <w:rPr>
      <w:vertAlign w:val="subscript"/>
    </w:rPr>
  </w:style>
  <w:style w:type="character" w:customStyle="1" w:styleId="MySubscriptItalics">
    <w:name w:val="MySubscript&amp;Italics"/>
    <w:uiPriority w:val="99"/>
    <w:rsid w:val="00961DBB"/>
    <w:rPr>
      <w:i/>
      <w:vertAlign w:val="subscript"/>
    </w:rPr>
  </w:style>
  <w:style w:type="character" w:customStyle="1" w:styleId="MySuperscript">
    <w:name w:val="MySuperscript"/>
    <w:uiPriority w:val="99"/>
    <w:rsid w:val="00961DBB"/>
    <w:rPr>
      <w:vertAlign w:val="superscript"/>
    </w:rPr>
  </w:style>
  <w:style w:type="character" w:customStyle="1" w:styleId="MySuperscriptItalics">
    <w:name w:val="MySuperscript&amp;Italics"/>
    <w:uiPriority w:val="99"/>
    <w:rsid w:val="00961DBB"/>
    <w:rPr>
      <w:i/>
      <w:vertAlign w:val="superscript"/>
    </w:rPr>
  </w:style>
  <w:style w:type="paragraph" w:styleId="NoSpacing">
    <w:name w:val="No Spacing"/>
    <w:next w:val="BodyText"/>
    <w:uiPriority w:val="39"/>
    <w:rsid w:val="00961DBB"/>
    <w:pPr>
      <w:spacing w:line="240" w:lineRule="auto"/>
    </w:pPr>
    <w:rPr>
      <w:rFonts w:eastAsia="Times New Roman" w:cs="Arial"/>
      <w:lang w:eastAsia="en-AU"/>
    </w:rPr>
  </w:style>
  <w:style w:type="paragraph" w:customStyle="1" w:styleId="OverviewBodyText">
    <w:name w:val="Overview Body Text"/>
    <w:basedOn w:val="Normal"/>
    <w:uiPriority w:val="39"/>
    <w:rsid w:val="00512226"/>
    <w:pPr>
      <w:spacing w:after="113"/>
    </w:pPr>
  </w:style>
  <w:style w:type="paragraph" w:customStyle="1" w:styleId="OverviewHeading2">
    <w:name w:val="Overview Heading 2"/>
    <w:basedOn w:val="Normal"/>
    <w:next w:val="OverviewBodyText"/>
    <w:uiPriority w:val="39"/>
    <w:rsid w:val="00512226"/>
    <w:pPr>
      <w:keepNext/>
      <w:keepLines/>
      <w:spacing w:before="470" w:after="227"/>
    </w:pPr>
    <w:rPr>
      <w:rFonts w:asciiTheme="majorHAnsi" w:hAnsiTheme="majorHAnsi"/>
      <w:color w:val="2B3B5F" w:themeColor="text2"/>
      <w:sz w:val="32"/>
    </w:rPr>
  </w:style>
  <w:style w:type="paragraph" w:customStyle="1" w:styleId="OverviewHeading3">
    <w:name w:val="Overview Heading 3"/>
    <w:basedOn w:val="OverviewHeading2"/>
    <w:next w:val="OverviewBodyText"/>
    <w:uiPriority w:val="39"/>
    <w:rsid w:val="00512226"/>
    <w:rPr>
      <w:sz w:val="28"/>
    </w:rPr>
  </w:style>
  <w:style w:type="character" w:styleId="PageNumber">
    <w:name w:val="page number"/>
    <w:basedOn w:val="DefaultParagraphFont"/>
    <w:semiHidden/>
    <w:rsid w:val="00961DBB"/>
    <w:rPr>
      <w:rFonts w:ascii="Arial" w:hAnsi="Arial"/>
      <w:b/>
      <w:color w:val="auto"/>
      <w:sz w:val="16"/>
    </w:rPr>
  </w:style>
  <w:style w:type="paragraph" w:customStyle="1" w:styleId="PageNumberOdd">
    <w:name w:val="Page Number Odd"/>
    <w:semiHidden/>
    <w:rsid w:val="00961DBB"/>
    <w:pPr>
      <w:ind w:right="57"/>
      <w:jc w:val="right"/>
    </w:pPr>
    <w:rPr>
      <w:rFonts w:eastAsia="Times New Roman" w:cs="Arial"/>
      <w:b/>
      <w:color w:val="2B3B5F" w:themeColor="text2"/>
      <w:sz w:val="14"/>
      <w:szCs w:val="28"/>
      <w:lang w:eastAsia="en-AU"/>
    </w:rPr>
  </w:style>
  <w:style w:type="paragraph" w:customStyle="1" w:styleId="PageNumberEven">
    <w:name w:val="Page Number Even"/>
    <w:basedOn w:val="PageNumberOdd"/>
    <w:semiHidden/>
    <w:rsid w:val="00961DBB"/>
    <w:pPr>
      <w:framePr w:hSpace="181" w:wrap="around" w:vAnchor="page" w:hAnchor="page" w:yAlign="bottom"/>
      <w:jc w:val="left"/>
    </w:pPr>
  </w:style>
  <w:style w:type="character" w:styleId="PlaceholderText">
    <w:name w:val="Placeholder Text"/>
    <w:basedOn w:val="DefaultParagraphFont"/>
    <w:uiPriority w:val="39"/>
    <w:rsid w:val="00961DBB"/>
    <w:rPr>
      <w:color w:val="808080"/>
    </w:rPr>
  </w:style>
  <w:style w:type="paragraph" w:customStyle="1" w:styleId="PullOutBoxBodyText">
    <w:name w:val="Pull Out Box Body Text"/>
    <w:basedOn w:val="Normal"/>
    <w:uiPriority w:val="24"/>
    <w:qFormat/>
    <w:rsid w:val="00476133"/>
    <w:pPr>
      <w:spacing w:before="120" w:after="120"/>
      <w:ind w:left="57" w:right="57"/>
    </w:pPr>
    <w:rPr>
      <w:spacing w:val="-1"/>
    </w:rPr>
  </w:style>
  <w:style w:type="paragraph" w:customStyle="1" w:styleId="PullOutBoxBullet">
    <w:name w:val="Pull Out Box Bullet"/>
    <w:basedOn w:val="PullOutBoxBodyText"/>
    <w:uiPriority w:val="25"/>
    <w:qFormat/>
    <w:rsid w:val="00476133"/>
    <w:pPr>
      <w:numPr>
        <w:numId w:val="4"/>
      </w:numPr>
    </w:pPr>
  </w:style>
  <w:style w:type="paragraph" w:customStyle="1" w:styleId="PullOutBoxBullet2">
    <w:name w:val="Pull Out Box Bullet 2"/>
    <w:basedOn w:val="PullOutBoxBodyText"/>
    <w:uiPriority w:val="26"/>
    <w:qFormat/>
    <w:rsid w:val="008112CC"/>
    <w:pPr>
      <w:numPr>
        <w:ilvl w:val="1"/>
        <w:numId w:val="4"/>
      </w:numPr>
    </w:pPr>
  </w:style>
  <w:style w:type="paragraph" w:customStyle="1" w:styleId="PullOutBoxBullet3">
    <w:name w:val="Pull Out Box Bullet 3"/>
    <w:basedOn w:val="PullOutBoxBodyText"/>
    <w:uiPriority w:val="27"/>
    <w:qFormat/>
    <w:rsid w:val="00476133"/>
    <w:pPr>
      <w:numPr>
        <w:ilvl w:val="2"/>
        <w:numId w:val="4"/>
      </w:numPr>
    </w:pPr>
  </w:style>
  <w:style w:type="paragraph" w:customStyle="1" w:styleId="PullOutBoxHeading">
    <w:name w:val="Pull Out Box Heading"/>
    <w:basedOn w:val="PullOutBoxBodyText"/>
    <w:uiPriority w:val="23"/>
    <w:qFormat/>
    <w:rsid w:val="00476133"/>
    <w:pPr>
      <w:keepNext/>
      <w:keepLines/>
    </w:pPr>
    <w:rPr>
      <w:b/>
    </w:rPr>
  </w:style>
  <w:style w:type="paragraph" w:customStyle="1" w:styleId="PullOutBoxNumber">
    <w:name w:val="Pull Out Box Number"/>
    <w:basedOn w:val="PullOutBoxBodyText"/>
    <w:uiPriority w:val="28"/>
    <w:qFormat/>
    <w:rsid w:val="00476133"/>
    <w:pPr>
      <w:numPr>
        <w:numId w:val="5"/>
      </w:numPr>
      <w:ind w:left="397"/>
    </w:pPr>
  </w:style>
  <w:style w:type="paragraph" w:customStyle="1" w:styleId="PullOutBoxNumber2">
    <w:name w:val="Pull Out Box Number 2"/>
    <w:basedOn w:val="PullOutBoxBodyText"/>
    <w:uiPriority w:val="29"/>
    <w:qFormat/>
    <w:rsid w:val="008112CC"/>
    <w:pPr>
      <w:numPr>
        <w:ilvl w:val="1"/>
        <w:numId w:val="5"/>
      </w:numPr>
      <w:ind w:left="737"/>
    </w:pPr>
  </w:style>
  <w:style w:type="paragraph" w:customStyle="1" w:styleId="PullOutBoxNumber3">
    <w:name w:val="Pull Out Box Number 3"/>
    <w:basedOn w:val="PullOutBoxBodyText"/>
    <w:uiPriority w:val="30"/>
    <w:qFormat/>
    <w:rsid w:val="008112CC"/>
    <w:pPr>
      <w:numPr>
        <w:ilvl w:val="2"/>
        <w:numId w:val="5"/>
      </w:numPr>
      <w:ind w:left="1077"/>
    </w:pPr>
  </w:style>
  <w:style w:type="table" w:customStyle="1" w:styleId="PullOutBoxTable">
    <w:name w:val="Pull Out Box Table"/>
    <w:basedOn w:val="TableNormal"/>
    <w:uiPriority w:val="99"/>
    <w:rsid w:val="00961DBB"/>
    <w:pPr>
      <w:spacing w:line="240" w:lineRule="auto"/>
    </w:pPr>
    <w:rPr>
      <w:rFonts w:eastAsia="Times New Roman" w:cs="Arial"/>
      <w:lang w:eastAsia="en-AU"/>
    </w:rPr>
    <w:tblPr>
      <w:tblBorders>
        <w:top w:val="single" w:sz="4" w:space="0" w:color="D7DDE9" w:themeColor="accent3"/>
        <w:left w:val="single" w:sz="4" w:space="0" w:color="D7DDE9" w:themeColor="accent3"/>
        <w:bottom w:val="single" w:sz="4" w:space="0" w:color="D7DDE9" w:themeColor="accent3"/>
        <w:right w:val="single" w:sz="4" w:space="0" w:color="D7DDE9" w:themeColor="accent3"/>
        <w:insideH w:val="single" w:sz="4" w:space="0" w:color="D7DDE9" w:themeColor="accent3"/>
        <w:insideV w:val="single" w:sz="4" w:space="0" w:color="D7DDE9" w:themeColor="accent3"/>
      </w:tblBorders>
      <w:tblCellMar>
        <w:top w:w="28" w:type="dxa"/>
        <w:left w:w="0" w:type="dxa"/>
        <w:bottom w:w="28" w:type="dxa"/>
        <w:right w:w="0" w:type="dxa"/>
      </w:tblCellMar>
    </w:tblPr>
    <w:tcPr>
      <w:shd w:val="clear" w:color="auto" w:fill="D7DDE9" w:themeFill="accent3"/>
    </w:tcPr>
  </w:style>
  <w:style w:type="paragraph" w:styleId="Quote">
    <w:name w:val="Quote"/>
    <w:basedOn w:val="Normal"/>
    <w:link w:val="QuoteChar"/>
    <w:uiPriority w:val="39"/>
    <w:rsid w:val="00961DBB"/>
    <w:pPr>
      <w:tabs>
        <w:tab w:val="left" w:pos="1134"/>
      </w:tabs>
      <w:spacing w:before="240" w:after="24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39"/>
    <w:rsid w:val="00AC41CF"/>
    <w:rPr>
      <w:i/>
      <w:iCs/>
    </w:rPr>
  </w:style>
  <w:style w:type="paragraph" w:customStyle="1" w:styleId="QuoteBullet">
    <w:name w:val="Quote Bullet"/>
    <w:basedOn w:val="Quote"/>
    <w:uiPriority w:val="39"/>
    <w:rsid w:val="00961DBB"/>
    <w:pPr>
      <w:numPr>
        <w:numId w:val="6"/>
      </w:numPr>
    </w:pPr>
  </w:style>
  <w:style w:type="paragraph" w:customStyle="1" w:styleId="QuoteBullet2">
    <w:name w:val="Quote Bullet 2"/>
    <w:basedOn w:val="Quote"/>
    <w:uiPriority w:val="39"/>
    <w:rsid w:val="00961DBB"/>
    <w:pPr>
      <w:numPr>
        <w:ilvl w:val="1"/>
        <w:numId w:val="6"/>
      </w:numPr>
      <w:tabs>
        <w:tab w:val="clear" w:pos="1134"/>
      </w:tabs>
    </w:pPr>
  </w:style>
  <w:style w:type="paragraph" w:customStyle="1" w:styleId="SectionHeading">
    <w:name w:val="Section Heading"/>
    <w:basedOn w:val="Normal"/>
    <w:next w:val="BodyText"/>
    <w:uiPriority w:val="39"/>
    <w:rsid w:val="00E45766"/>
    <w:pPr>
      <w:keepLines/>
      <w:spacing w:before="4320" w:line="360" w:lineRule="auto"/>
      <w:ind w:left="1701"/>
      <w:jc w:val="right"/>
      <w:outlineLvl w:val="0"/>
    </w:pPr>
    <w:rPr>
      <w:rFonts w:asciiTheme="majorHAnsi" w:hAnsiTheme="majorHAnsi"/>
      <w:noProof/>
      <w:color w:val="2B3B5F" w:themeColor="text2"/>
      <w:sz w:val="50"/>
      <w:szCs w:val="40"/>
    </w:rPr>
  </w:style>
  <w:style w:type="character" w:customStyle="1" w:styleId="SectionSubtitle">
    <w:name w:val="Section Subtitle"/>
    <w:uiPriority w:val="39"/>
    <w:rsid w:val="00E45766"/>
    <w:rPr>
      <w:color w:val="751D71" w:themeColor="accent4"/>
      <w:sz w:val="40"/>
    </w:rPr>
  </w:style>
  <w:style w:type="paragraph" w:styleId="Subtitle">
    <w:name w:val="Subtitle"/>
    <w:basedOn w:val="Normal"/>
    <w:next w:val="Normal"/>
    <w:link w:val="SubtitleChar"/>
    <w:uiPriority w:val="39"/>
    <w:rsid w:val="00961DBB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39"/>
    <w:rsid w:val="00AC41CF"/>
    <w:rPr>
      <w:rFonts w:asciiTheme="majorHAnsi" w:eastAsiaTheme="majorEastAsia" w:hAnsiTheme="majorHAnsi" w:cstheme="majorBidi"/>
      <w:iCs/>
      <w:spacing w:val="15"/>
    </w:rPr>
  </w:style>
  <w:style w:type="character" w:customStyle="1" w:styleId="Superscript">
    <w:name w:val="Superscript"/>
    <w:uiPriority w:val="39"/>
    <w:rsid w:val="00961DBB"/>
    <w:rPr>
      <w:vertAlign w:val="superscript"/>
    </w:rPr>
  </w:style>
  <w:style w:type="table" w:customStyle="1" w:styleId="TableAsPlaceholder">
    <w:name w:val="Table As Placeholder"/>
    <w:basedOn w:val="TableNormal"/>
    <w:uiPriority w:val="99"/>
    <w:qFormat/>
    <w:rsid w:val="00961DBB"/>
    <w:rPr>
      <w:rFonts w:eastAsia="Times New Roman" w:cs="Arial"/>
      <w:lang w:eastAsia="en-AU"/>
    </w:rPr>
    <w:tblPr>
      <w:tblCellMar>
        <w:left w:w="0" w:type="dxa"/>
        <w:right w:w="0" w:type="dxa"/>
      </w:tblCellMar>
    </w:tblPr>
  </w:style>
  <w:style w:type="paragraph" w:customStyle="1" w:styleId="TableFootnotes">
    <w:name w:val="Table Footnotes"/>
    <w:basedOn w:val="Normal"/>
    <w:uiPriority w:val="22"/>
    <w:qFormat/>
    <w:rsid w:val="0056001A"/>
    <w:pPr>
      <w:keepLines/>
      <w:numPr>
        <w:numId w:val="7"/>
      </w:numPr>
      <w:spacing w:after="50" w:line="260" w:lineRule="atLeast"/>
      <w:contextualSpacing/>
    </w:pPr>
    <w:rPr>
      <w:sz w:val="20"/>
    </w:rPr>
  </w:style>
  <w:style w:type="table" w:styleId="TableGrid">
    <w:name w:val="Table Grid"/>
    <w:basedOn w:val="TableNormal"/>
    <w:rsid w:val="00F85D29"/>
    <w:pPr>
      <w:spacing w:before="70" w:after="70" w:line="260" w:lineRule="atLeast"/>
      <w:ind w:left="113" w:right="113"/>
    </w:pPr>
    <w:rPr>
      <w:rFonts w:eastAsia="Times New Roman" w:cs="Times New Roman"/>
      <w:sz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Theme="minorHAnsi" w:hAnsiTheme="minorHAnsi"/>
        <w:b w:val="0"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 w:themeFill="text2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 w:themeFill="accent3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TableHeading">
    <w:name w:val="Table Heading"/>
    <w:basedOn w:val="Normal"/>
    <w:uiPriority w:val="14"/>
    <w:qFormat/>
    <w:rsid w:val="00476133"/>
    <w:pPr>
      <w:keepNext/>
      <w:keepLines/>
      <w:spacing w:before="70" w:after="70" w:line="260" w:lineRule="atLeast"/>
      <w:ind w:left="57" w:right="57"/>
    </w:pPr>
    <w:rPr>
      <w:rFonts w:ascii="Calibri" w:hAnsi="Calibri" w:cs="Times New Roman"/>
      <w:b/>
      <w:sz w:val="20"/>
    </w:rPr>
  </w:style>
  <w:style w:type="paragraph" w:customStyle="1" w:styleId="TableHeadingCentred">
    <w:name w:val="Table Heading Centred"/>
    <w:basedOn w:val="TableHeading"/>
    <w:uiPriority w:val="15"/>
    <w:qFormat/>
    <w:rsid w:val="005B0970"/>
    <w:pPr>
      <w:jc w:val="center"/>
    </w:pPr>
  </w:style>
  <w:style w:type="paragraph" w:customStyle="1" w:styleId="TableHeadingRight">
    <w:name w:val="Table Heading Right"/>
    <w:basedOn w:val="TableHeading"/>
    <w:uiPriority w:val="16"/>
    <w:qFormat/>
    <w:rsid w:val="00956D5A"/>
    <w:pPr>
      <w:jc w:val="right"/>
    </w:pPr>
  </w:style>
  <w:style w:type="paragraph" w:customStyle="1" w:styleId="Source">
    <w:name w:val="Source"/>
    <w:basedOn w:val="Normal"/>
    <w:next w:val="BodyText17ptAbove"/>
    <w:uiPriority w:val="39"/>
    <w:rsid w:val="00035ADE"/>
    <w:pPr>
      <w:spacing w:before="180" w:after="114"/>
      <w:contextualSpacing/>
    </w:pPr>
    <w:rPr>
      <w:rFonts w:cs="Times New Roman"/>
      <w:color w:val="788184" w:themeColor="background2"/>
      <w:sz w:val="20"/>
      <w:szCs w:val="14"/>
    </w:rPr>
  </w:style>
  <w:style w:type="paragraph" w:customStyle="1" w:styleId="TableText">
    <w:name w:val="Table Text"/>
    <w:basedOn w:val="Normal"/>
    <w:uiPriority w:val="17"/>
    <w:qFormat/>
    <w:rsid w:val="005B0970"/>
    <w:pPr>
      <w:spacing w:before="70" w:after="70" w:line="260" w:lineRule="atLeast"/>
      <w:ind w:left="57" w:right="57"/>
    </w:pPr>
    <w:rPr>
      <w:rFonts w:ascii="Calibri" w:hAnsi="Calibri" w:cs="Times New Roman"/>
      <w:sz w:val="20"/>
    </w:rPr>
  </w:style>
  <w:style w:type="paragraph" w:customStyle="1" w:styleId="TableTextBold">
    <w:name w:val="Table Text Bold"/>
    <w:basedOn w:val="TableText"/>
    <w:semiHidden/>
    <w:qFormat/>
    <w:rsid w:val="00961DBB"/>
    <w:rPr>
      <w:b/>
    </w:rPr>
  </w:style>
  <w:style w:type="paragraph" w:customStyle="1" w:styleId="TableTextBullet">
    <w:name w:val="Table Text Bullet"/>
    <w:basedOn w:val="TableText"/>
    <w:uiPriority w:val="39"/>
    <w:rsid w:val="00961DBB"/>
    <w:pPr>
      <w:numPr>
        <w:numId w:val="8"/>
      </w:numPr>
    </w:pPr>
  </w:style>
  <w:style w:type="paragraph" w:customStyle="1" w:styleId="TableTextBullet2">
    <w:name w:val="Table Text Bullet 2"/>
    <w:basedOn w:val="TableTextBullet"/>
    <w:uiPriority w:val="39"/>
    <w:rsid w:val="00961DBB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uiPriority w:val="39"/>
    <w:rsid w:val="00961DBB"/>
    <w:pPr>
      <w:numPr>
        <w:ilvl w:val="2"/>
      </w:numPr>
    </w:pPr>
    <w:rPr>
      <w:bCs w:val="0"/>
    </w:rPr>
  </w:style>
  <w:style w:type="paragraph" w:customStyle="1" w:styleId="TableTextNumber">
    <w:name w:val="Table Text Number"/>
    <w:basedOn w:val="TableText"/>
    <w:uiPriority w:val="39"/>
    <w:rsid w:val="00961DBB"/>
    <w:pPr>
      <w:numPr>
        <w:numId w:val="9"/>
      </w:numPr>
    </w:pPr>
  </w:style>
  <w:style w:type="paragraph" w:customStyle="1" w:styleId="TableTextNumber2">
    <w:name w:val="Table Text Number 2"/>
    <w:basedOn w:val="TableTextNumber"/>
    <w:uiPriority w:val="39"/>
    <w:rsid w:val="00961DBB"/>
    <w:pPr>
      <w:numPr>
        <w:ilvl w:val="1"/>
      </w:numPr>
      <w:tabs>
        <w:tab w:val="clear" w:pos="709"/>
        <w:tab w:val="num" w:pos="680"/>
      </w:tabs>
      <w:ind w:left="680"/>
    </w:pPr>
  </w:style>
  <w:style w:type="paragraph" w:customStyle="1" w:styleId="TableTextNumber3">
    <w:name w:val="Table Text Number 3"/>
    <w:basedOn w:val="TableTextNumber2"/>
    <w:uiPriority w:val="39"/>
    <w:rsid w:val="00961DBB"/>
    <w:pPr>
      <w:numPr>
        <w:ilvl w:val="2"/>
      </w:numPr>
    </w:pPr>
  </w:style>
  <w:style w:type="paragraph" w:customStyle="1" w:styleId="TableTextRight">
    <w:name w:val="Table Text Right"/>
    <w:basedOn w:val="TableText"/>
    <w:uiPriority w:val="19"/>
    <w:qFormat/>
    <w:rsid w:val="00961DBB"/>
    <w:pPr>
      <w:jc w:val="right"/>
    </w:pPr>
  </w:style>
  <w:style w:type="paragraph" w:customStyle="1" w:styleId="TableofContents2">
    <w:name w:val="TableofContents2"/>
    <w:basedOn w:val="Normal"/>
    <w:semiHidden/>
    <w:rsid w:val="00CA0B7E"/>
    <w:pPr>
      <w:keepNext/>
      <w:spacing w:after="113"/>
    </w:pPr>
    <w:rPr>
      <w:sz w:val="28"/>
      <w:szCs w:val="28"/>
    </w:rPr>
  </w:style>
  <w:style w:type="paragraph" w:styleId="Title">
    <w:name w:val="Title"/>
    <w:basedOn w:val="Normal"/>
    <w:next w:val="Normal"/>
    <w:link w:val="TitleChar"/>
    <w:uiPriority w:val="39"/>
    <w:rsid w:val="00817406"/>
    <w:pPr>
      <w:spacing w:before="480" w:after="340" w:line="240" w:lineRule="auto"/>
    </w:pPr>
    <w:rPr>
      <w:rFonts w:asciiTheme="majorHAnsi" w:eastAsiaTheme="majorEastAsia" w:hAnsiTheme="majorHAnsi" w:cstheme="majorBidi"/>
      <w:color w:val="2B3B5F" w:themeColor="text2"/>
      <w:spacing w:val="-2"/>
      <w:sz w:val="32"/>
      <w:szCs w:val="50"/>
    </w:rPr>
  </w:style>
  <w:style w:type="character" w:customStyle="1" w:styleId="TitleChar">
    <w:name w:val="Title Char"/>
    <w:basedOn w:val="DefaultParagraphFont"/>
    <w:link w:val="Title"/>
    <w:uiPriority w:val="39"/>
    <w:rsid w:val="00AC41CF"/>
    <w:rPr>
      <w:rFonts w:asciiTheme="majorHAnsi" w:eastAsiaTheme="majorEastAsia" w:hAnsiTheme="majorHAnsi" w:cstheme="majorBidi"/>
      <w:color w:val="2B3B5F" w:themeColor="text2"/>
      <w:spacing w:val="-2"/>
      <w:sz w:val="32"/>
      <w:szCs w:val="50"/>
    </w:rPr>
  </w:style>
  <w:style w:type="paragraph" w:customStyle="1" w:styleId="Title2">
    <w:name w:val="Title 2"/>
    <w:basedOn w:val="Normal"/>
    <w:link w:val="Title2Char"/>
    <w:uiPriority w:val="39"/>
    <w:rsid w:val="00C8728F"/>
    <w:pPr>
      <w:spacing w:after="250"/>
      <w:ind w:left="397"/>
      <w:jc w:val="right"/>
    </w:pPr>
    <w:rPr>
      <w:rFonts w:asciiTheme="majorHAnsi" w:hAnsiTheme="majorHAnsi"/>
      <w:color w:val="FFFFFF"/>
      <w:spacing w:val="-2"/>
      <w:sz w:val="32"/>
    </w:rPr>
  </w:style>
  <w:style w:type="character" w:customStyle="1" w:styleId="Title2Char">
    <w:name w:val="Title 2 Char"/>
    <w:basedOn w:val="DefaultParagraphFont"/>
    <w:link w:val="Title2"/>
    <w:uiPriority w:val="39"/>
    <w:rsid w:val="00AC41CF"/>
    <w:rPr>
      <w:rFonts w:asciiTheme="majorHAnsi" w:hAnsiTheme="majorHAnsi"/>
      <w:color w:val="FFFFFF"/>
      <w:spacing w:val="-2"/>
      <w:sz w:val="32"/>
    </w:rPr>
  </w:style>
  <w:style w:type="paragraph" w:customStyle="1" w:styleId="Title3">
    <w:name w:val="Title 3"/>
    <w:basedOn w:val="Title2"/>
    <w:uiPriority w:val="39"/>
    <w:rsid w:val="00195228"/>
    <w:pPr>
      <w:framePr w:wrap="auto" w:vAnchor="page" w:hAnchor="margin" w:y="5779"/>
    </w:pPr>
    <w:rPr>
      <w:rFonts w:eastAsia="Times New Roman" w:cs="Arial"/>
      <w:i/>
      <w:spacing w:val="8"/>
      <w:lang w:eastAsia="en-AU"/>
    </w:rPr>
  </w:style>
  <w:style w:type="paragraph" w:styleId="TOC1">
    <w:name w:val="toc 1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right="851"/>
    </w:pPr>
    <w:rPr>
      <w:b/>
      <w:noProof/>
      <w:color w:val="2B3B5F" w:themeColor="text2"/>
    </w:rPr>
  </w:style>
  <w:style w:type="paragraph" w:styleId="TOC2">
    <w:name w:val="toc 2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left="454" w:right="851"/>
    </w:pPr>
    <w:rPr>
      <w:noProof/>
      <w:szCs w:val="28"/>
    </w:rPr>
  </w:style>
  <w:style w:type="paragraph" w:styleId="TOC3">
    <w:name w:val="toc 3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left="907" w:right="851"/>
    </w:pPr>
    <w:rPr>
      <w:rFonts w:eastAsiaTheme="minorEastAsia"/>
      <w:noProof/>
    </w:rPr>
  </w:style>
  <w:style w:type="paragraph" w:styleId="TOC4">
    <w:name w:val="toc 4"/>
    <w:basedOn w:val="Normal"/>
    <w:uiPriority w:val="39"/>
    <w:rsid w:val="006C5E72"/>
    <w:pPr>
      <w:tabs>
        <w:tab w:val="right" w:leader="underscore" w:pos="8165"/>
      </w:tabs>
      <w:spacing w:after="80"/>
      <w:ind w:right="851"/>
    </w:pPr>
    <w:rPr>
      <w:noProof/>
    </w:rPr>
  </w:style>
  <w:style w:type="paragraph" w:styleId="TOC5">
    <w:name w:val="toc 5"/>
    <w:basedOn w:val="Normal"/>
    <w:next w:val="Normal"/>
    <w:autoRedefine/>
    <w:uiPriority w:val="39"/>
    <w:rsid w:val="0096618E"/>
    <w:pPr>
      <w:tabs>
        <w:tab w:val="right" w:leader="underscore" w:pos="8165"/>
      </w:tabs>
      <w:spacing w:after="227"/>
      <w:ind w:right="851"/>
    </w:pPr>
    <w:rPr>
      <w:b/>
      <w:color w:val="2B3B5F" w:themeColor="text2"/>
    </w:rPr>
  </w:style>
  <w:style w:type="paragraph" w:styleId="TOC6">
    <w:name w:val="toc 6"/>
    <w:basedOn w:val="Normal"/>
    <w:next w:val="Normal"/>
    <w:autoRedefine/>
    <w:semiHidden/>
    <w:rsid w:val="00961DBB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961DBB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rsid w:val="00961DBB"/>
    <w:pPr>
      <w:tabs>
        <w:tab w:val="right" w:leader="dot" w:pos="9582"/>
      </w:tabs>
      <w:spacing w:after="227"/>
      <w:ind w:right="907"/>
    </w:pPr>
    <w:rPr>
      <w:color w:val="2B3B5F" w:themeColor="text2"/>
    </w:rPr>
  </w:style>
  <w:style w:type="paragraph" w:styleId="TOCHeading">
    <w:name w:val="TOC Heading"/>
    <w:basedOn w:val="Normal"/>
    <w:uiPriority w:val="39"/>
    <w:rsid w:val="00733970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before="480" w:after="340" w:line="240" w:lineRule="auto"/>
    </w:pPr>
    <w:rPr>
      <w:rFonts w:asciiTheme="majorHAnsi" w:hAnsiTheme="majorHAnsi"/>
      <w:color w:val="2B3B5F" w:themeColor="text2"/>
      <w:sz w:val="40"/>
      <w:szCs w:val="40"/>
    </w:rPr>
  </w:style>
  <w:style w:type="paragraph" w:customStyle="1" w:styleId="TOFHeading">
    <w:name w:val="TOF Heading"/>
    <w:basedOn w:val="Normal"/>
    <w:uiPriority w:val="39"/>
    <w:rsid w:val="00961DBB"/>
    <w:pPr>
      <w:keepNext/>
      <w:tabs>
        <w:tab w:val="left" w:pos="2268"/>
      </w:tabs>
      <w:spacing w:before="300" w:after="120"/>
    </w:pPr>
    <w:rPr>
      <w:color w:val="2B3B5F" w:themeColor="text2"/>
      <w:sz w:val="28"/>
      <w:szCs w:val="32"/>
    </w:rPr>
  </w:style>
  <w:style w:type="paragraph" w:customStyle="1" w:styleId="xDisclaimerHeading">
    <w:name w:val="xDisclaimer Heading"/>
    <w:basedOn w:val="Normal"/>
    <w:link w:val="xDisclaimerHeadingChar"/>
    <w:uiPriority w:val="39"/>
    <w:rsid w:val="00961DBB"/>
    <w:pPr>
      <w:framePr w:hSpace="181" w:wrap="around" w:hAnchor="margin" w:y="4310"/>
      <w:spacing w:before="170" w:after="57" w:line="280" w:lineRule="atLeast"/>
      <w:suppressOverlap/>
    </w:pPr>
    <w:rPr>
      <w:b/>
    </w:rPr>
  </w:style>
  <w:style w:type="character" w:customStyle="1" w:styleId="xDisclaimerHeadingChar">
    <w:name w:val="xDisclaimer Heading Char"/>
    <w:basedOn w:val="DefaultParagraphFont"/>
    <w:link w:val="xDisclaimerHeading"/>
    <w:uiPriority w:val="39"/>
    <w:rsid w:val="00AC41CF"/>
    <w:rPr>
      <w:b/>
    </w:rPr>
  </w:style>
  <w:style w:type="paragraph" w:customStyle="1" w:styleId="xDisclaimerText">
    <w:name w:val="xDisclaimer Text"/>
    <w:basedOn w:val="Normal"/>
    <w:uiPriority w:val="39"/>
    <w:rsid w:val="00961DBB"/>
    <w:pPr>
      <w:spacing w:after="57" w:line="302" w:lineRule="atLeast"/>
    </w:pPr>
    <w:rPr>
      <w:rFonts w:cs="Times New Roman"/>
    </w:rPr>
  </w:style>
  <w:style w:type="paragraph" w:customStyle="1" w:styleId="xDisclaimerText2">
    <w:name w:val="xDisclaimer Text 2"/>
    <w:basedOn w:val="xDisclaimerHeading"/>
    <w:uiPriority w:val="39"/>
    <w:rsid w:val="00961DBB"/>
    <w:pPr>
      <w:framePr w:wrap="around"/>
      <w:spacing w:before="0" w:after="170" w:line="302" w:lineRule="atLeast"/>
    </w:pPr>
    <w:rPr>
      <w:b w:val="0"/>
    </w:rPr>
  </w:style>
  <w:style w:type="paragraph" w:customStyle="1" w:styleId="xDisclaimertext3">
    <w:name w:val="xDisclaimer text 3"/>
    <w:basedOn w:val="xDisclaimerText"/>
    <w:uiPriority w:val="39"/>
    <w:rsid w:val="00961DBB"/>
    <w:pPr>
      <w:spacing w:before="170" w:after="170"/>
    </w:pPr>
  </w:style>
  <w:style w:type="paragraph" w:customStyle="1" w:styleId="xInlineShape">
    <w:name w:val="xInlineShape"/>
    <w:basedOn w:val="Normal"/>
    <w:next w:val="BodyText"/>
    <w:uiPriority w:val="39"/>
    <w:rsid w:val="009A3E58"/>
    <w:pPr>
      <w:keepNext/>
      <w:spacing w:before="300" w:after="120" w:line="240" w:lineRule="auto"/>
    </w:pPr>
  </w:style>
  <w:style w:type="paragraph" w:customStyle="1" w:styleId="xStatus">
    <w:name w:val="xStatus"/>
    <w:basedOn w:val="Normal"/>
    <w:semiHidden/>
    <w:rsid w:val="0094468E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1400" w:lineRule="exact"/>
      <w:jc w:val="center"/>
    </w:pPr>
    <w:rPr>
      <w:caps/>
      <w:color w:val="EAEAEA"/>
      <w:spacing w:val="40"/>
      <w:sz w:val="140"/>
    </w:rPr>
  </w:style>
  <w:style w:type="paragraph" w:customStyle="1" w:styleId="xDisclaimerHeadingwithxDisclaimerText">
    <w:name w:val="xDisclaimer Heading (with xDisclaimer Text)"/>
    <w:basedOn w:val="xDisclaimerHeading"/>
    <w:link w:val="xDisclaimerHeadingwithxDisclaimerTextChar"/>
    <w:uiPriority w:val="39"/>
    <w:rsid w:val="00961DBB"/>
    <w:pPr>
      <w:framePr w:wrap="around"/>
    </w:pPr>
  </w:style>
  <w:style w:type="character" w:customStyle="1" w:styleId="xDisclaimerHeadingwithxDisclaimerTextChar">
    <w:name w:val="xDisclaimer Heading (with xDisclaimer Text) Char"/>
    <w:basedOn w:val="xDisclaimerHeadingChar"/>
    <w:link w:val="xDisclaimerHeadingwithxDisclaimerText"/>
    <w:uiPriority w:val="39"/>
    <w:rsid w:val="00AC41CF"/>
    <w:rPr>
      <w:b/>
    </w:rPr>
  </w:style>
  <w:style w:type="character" w:styleId="Hyperlink">
    <w:name w:val="Hyperlink"/>
    <w:basedOn w:val="DefaultParagraphFont"/>
    <w:uiPriority w:val="99"/>
    <w:unhideWhenUsed/>
    <w:rsid w:val="00903E3F"/>
    <w:rPr>
      <w:color w:val="auto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03E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E266E"/>
    <w:rPr>
      <w:rFonts w:ascii="Tahoma" w:hAnsi="Tahoma" w:cs="Tahoma"/>
      <w:sz w:val="16"/>
      <w:szCs w:val="16"/>
    </w:rPr>
  </w:style>
  <w:style w:type="paragraph" w:customStyle="1" w:styleId="CaptionBefore12pt">
    <w:name w:val="Caption + Before: 12pt"/>
    <w:basedOn w:val="Caption"/>
    <w:uiPriority w:val="39"/>
    <w:rsid w:val="00FD6119"/>
    <w:pPr>
      <w:spacing w:before="240"/>
    </w:pPr>
  </w:style>
  <w:style w:type="paragraph" w:customStyle="1" w:styleId="xBackPageWebAddress">
    <w:name w:val="xBack Page Web Address"/>
    <w:basedOn w:val="Normal"/>
    <w:uiPriority w:val="39"/>
    <w:rsid w:val="00F31392"/>
    <w:pPr>
      <w:spacing w:before="140" w:line="240" w:lineRule="atLeast"/>
    </w:pPr>
    <w:rPr>
      <w:rFonts w:asciiTheme="majorHAnsi" w:hAnsiTheme="majorHAnsi"/>
      <w:color w:val="FFFFFF"/>
      <w:spacing w:val="-6"/>
      <w:sz w:val="40"/>
      <w:szCs w:val="36"/>
    </w:rPr>
  </w:style>
  <w:style w:type="paragraph" w:customStyle="1" w:styleId="Heading1NoNumbering">
    <w:name w:val="Heading 1 No Numbering"/>
    <w:basedOn w:val="Heading1"/>
    <w:uiPriority w:val="39"/>
    <w:rsid w:val="00A12C39"/>
    <w:pPr>
      <w:numPr>
        <w:numId w:val="0"/>
      </w:numPr>
    </w:pPr>
  </w:style>
  <w:style w:type="paragraph" w:styleId="TableofFigures">
    <w:name w:val="table of figures"/>
    <w:basedOn w:val="Normal"/>
    <w:next w:val="Normal"/>
    <w:uiPriority w:val="39"/>
    <w:rsid w:val="00D64CE2"/>
    <w:pPr>
      <w:tabs>
        <w:tab w:val="right" w:leader="underscore" w:pos="8165"/>
      </w:tabs>
      <w:spacing w:after="80"/>
      <w:ind w:right="851"/>
    </w:pPr>
  </w:style>
  <w:style w:type="paragraph" w:customStyle="1" w:styleId="SectionHeadingNoTOC">
    <w:name w:val="Section Heading No TOC"/>
    <w:basedOn w:val="SectionHeading"/>
    <w:uiPriority w:val="39"/>
    <w:rsid w:val="00E45766"/>
  </w:style>
  <w:style w:type="paragraph" w:customStyle="1" w:styleId="TableTextCentred">
    <w:name w:val="Table Text Centred"/>
    <w:basedOn w:val="TableText"/>
    <w:uiPriority w:val="18"/>
    <w:qFormat/>
    <w:rsid w:val="00AE1CC1"/>
    <w:pPr>
      <w:jc w:val="center"/>
    </w:pPr>
    <w:rPr>
      <w:rFonts w:eastAsia="Times New Roman"/>
      <w:lang w:eastAsia="en-AU"/>
    </w:rPr>
  </w:style>
  <w:style w:type="paragraph" w:customStyle="1" w:styleId="FooterRightPageNumberLS">
    <w:name w:val="Footer Right Page Number LS"/>
    <w:basedOn w:val="Normal"/>
    <w:uiPriority w:val="39"/>
    <w:rsid w:val="004E0E49"/>
    <w:pPr>
      <w:framePr w:wrap="auto" w:hAnchor="text" w:x="1"/>
      <w:spacing w:before="180" w:after="120" w:line="240" w:lineRule="auto"/>
      <w:ind w:right="283"/>
      <w:jc w:val="right"/>
    </w:pPr>
    <w:rPr>
      <w:rFonts w:eastAsia="Times New Roman" w:cs="Arial"/>
      <w:b/>
      <w:noProof/>
      <w:color w:val="788184" w:themeColor="background2"/>
      <w:lang w:eastAsia="en-AU"/>
    </w:rPr>
  </w:style>
  <w:style w:type="character" w:customStyle="1" w:styleId="MyBoldItalicsUnderline">
    <w:name w:val="MyBoldItalicsUnderline"/>
    <w:uiPriority w:val="99"/>
    <w:rsid w:val="000E266E"/>
    <w:rPr>
      <w:b/>
      <w:i/>
      <w:u w:val="single"/>
      <w:vertAlign w:val="baseline"/>
    </w:rPr>
  </w:style>
  <w:style w:type="character" w:customStyle="1" w:styleId="MyBoldUnderline">
    <w:name w:val="MyBoldUnderline"/>
    <w:uiPriority w:val="99"/>
    <w:rsid w:val="000E266E"/>
    <w:rPr>
      <w:b/>
      <w:i/>
      <w:u w:val="single"/>
      <w:vertAlign w:val="baseline"/>
    </w:rPr>
  </w:style>
  <w:style w:type="character" w:customStyle="1" w:styleId="MyItalicsUnderline">
    <w:name w:val="MyItalicsUnderline"/>
    <w:uiPriority w:val="99"/>
    <w:rsid w:val="000E266E"/>
    <w:rPr>
      <w:b/>
      <w:i/>
      <w:u w:val="single"/>
      <w:vertAlign w:val="baseline"/>
    </w:rPr>
  </w:style>
  <w:style w:type="character" w:customStyle="1" w:styleId="MyUnderline">
    <w:name w:val="MyUnderline"/>
    <w:uiPriority w:val="99"/>
    <w:rsid w:val="000E266E"/>
    <w:rPr>
      <w:b w:val="0"/>
      <w:i w:val="0"/>
      <w:u w:val="single"/>
      <w:vertAlign w:val="baseline"/>
    </w:rPr>
  </w:style>
  <w:style w:type="paragraph" w:customStyle="1" w:styleId="PBOheader">
    <w:name w:val="PBO header"/>
    <w:basedOn w:val="Header"/>
    <w:uiPriority w:val="39"/>
    <w:rsid w:val="0046444F"/>
    <w:pPr>
      <w:spacing w:before="1320" w:after="114"/>
      <w:ind w:left="6521"/>
    </w:pPr>
    <w:rPr>
      <w:rFonts w:ascii="Arial" w:hAnsi="Arial" w:cs="Arial"/>
      <w:b/>
      <w:sz w:val="18"/>
      <w:szCs w:val="18"/>
    </w:rPr>
  </w:style>
  <w:style w:type="paragraph" w:customStyle="1" w:styleId="Letterfooter">
    <w:name w:val="Letter footer"/>
    <w:basedOn w:val="Footer"/>
    <w:uiPriority w:val="39"/>
    <w:rsid w:val="0046444F"/>
    <w:pPr>
      <w:tabs>
        <w:tab w:val="center" w:pos="4513"/>
        <w:tab w:val="right" w:pos="9026"/>
      </w:tabs>
      <w:spacing w:after="113"/>
      <w:ind w:right="-618" w:hanging="709"/>
      <w:jc w:val="center"/>
    </w:pPr>
    <w:rPr>
      <w:rFonts w:ascii="Arial" w:hAnsi="Arial" w:cs="Arial"/>
      <w:b w:val="0"/>
      <w:sz w:val="17"/>
      <w:szCs w:val="17"/>
    </w:rPr>
  </w:style>
  <w:style w:type="table" w:styleId="LightGrid-Accent6">
    <w:name w:val="Light Grid Accent 6"/>
    <w:basedOn w:val="TableNormal"/>
    <w:uiPriority w:val="62"/>
    <w:rsid w:val="0046444F"/>
    <w:pPr>
      <w:spacing w:line="240" w:lineRule="auto"/>
    </w:pPr>
    <w:tblPr>
      <w:tblStyleRowBandSize w:val="1"/>
      <w:tblStyleColBandSize w:val="1"/>
      <w:tblBorders>
        <w:top w:val="single" w:sz="8" w:space="0" w:color="788184" w:themeColor="accent6"/>
        <w:left w:val="single" w:sz="8" w:space="0" w:color="788184" w:themeColor="accent6"/>
        <w:bottom w:val="single" w:sz="8" w:space="0" w:color="788184" w:themeColor="accent6"/>
        <w:right w:val="single" w:sz="8" w:space="0" w:color="788184" w:themeColor="accent6"/>
        <w:insideH w:val="single" w:sz="8" w:space="0" w:color="788184" w:themeColor="accent6"/>
        <w:insideV w:val="single" w:sz="8" w:space="0" w:color="78818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18" w:space="0" w:color="788184" w:themeColor="accent6"/>
          <w:right w:val="single" w:sz="8" w:space="0" w:color="788184" w:themeColor="accent6"/>
          <w:insideH w:val="nil"/>
          <w:insideV w:val="single" w:sz="8" w:space="0" w:color="78818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H w:val="nil"/>
          <w:insideV w:val="single" w:sz="8" w:space="0" w:color="78818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</w:tcBorders>
      </w:tcPr>
    </w:tblStylePr>
    <w:tblStylePr w:type="band1Vert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</w:tcBorders>
        <w:shd w:val="clear" w:color="auto" w:fill="DDDFE0" w:themeFill="accent6" w:themeFillTint="3F"/>
      </w:tcPr>
    </w:tblStylePr>
    <w:tblStylePr w:type="band1Horz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V w:val="single" w:sz="8" w:space="0" w:color="788184" w:themeColor="accent6"/>
        </w:tcBorders>
        <w:shd w:val="clear" w:color="auto" w:fill="DDDFE0" w:themeFill="accent6" w:themeFillTint="3F"/>
      </w:tcPr>
    </w:tblStylePr>
    <w:tblStylePr w:type="band2Horz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V w:val="single" w:sz="8" w:space="0" w:color="788184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8112CC"/>
    <w:pPr>
      <w:spacing w:line="240" w:lineRule="auto"/>
    </w:pPr>
    <w:tblPr>
      <w:tblStyleRowBandSize w:val="1"/>
      <w:tblStyleColBandSize w:val="1"/>
      <w:tblBorders>
        <w:top w:val="single" w:sz="8" w:space="0" w:color="D7DDE9" w:themeColor="accent3"/>
        <w:left w:val="single" w:sz="8" w:space="0" w:color="D7DDE9" w:themeColor="accent3"/>
        <w:bottom w:val="single" w:sz="8" w:space="0" w:color="D7DDE9" w:themeColor="accent3"/>
        <w:right w:val="single" w:sz="8" w:space="0" w:color="D7DDE9" w:themeColor="accent3"/>
        <w:insideH w:val="single" w:sz="8" w:space="0" w:color="D7DDE9" w:themeColor="accent3"/>
        <w:insideV w:val="single" w:sz="8" w:space="0" w:color="D7DDE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18" w:space="0" w:color="D7DDE9" w:themeColor="accent3"/>
          <w:right w:val="single" w:sz="8" w:space="0" w:color="D7DDE9" w:themeColor="accent3"/>
          <w:insideH w:val="nil"/>
          <w:insideV w:val="single" w:sz="8" w:space="0" w:color="D7DDE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H w:val="nil"/>
          <w:insideV w:val="single" w:sz="8" w:space="0" w:color="D7DDE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</w:tcBorders>
      </w:tcPr>
    </w:tblStylePr>
    <w:tblStylePr w:type="band1Vert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</w:tcBorders>
        <w:shd w:val="clear" w:color="auto" w:fill="F5F6F9" w:themeFill="accent3" w:themeFillTint="3F"/>
      </w:tcPr>
    </w:tblStylePr>
    <w:tblStylePr w:type="band1Horz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V w:val="single" w:sz="8" w:space="0" w:color="D7DDE9" w:themeColor="accent3"/>
        </w:tcBorders>
        <w:shd w:val="clear" w:color="auto" w:fill="F5F6F9" w:themeFill="accent3" w:themeFillTint="3F"/>
      </w:tcPr>
    </w:tblStylePr>
    <w:tblStylePr w:type="band2Horz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V w:val="single" w:sz="8" w:space="0" w:color="D7DDE9" w:themeColor="accent3"/>
        </w:tcBorders>
      </w:tcPr>
    </w:tblStylePr>
  </w:style>
  <w:style w:type="paragraph" w:customStyle="1" w:styleId="Lettertext">
    <w:name w:val="Letter text"/>
    <w:basedOn w:val="BodyText"/>
    <w:qFormat/>
    <w:rsid w:val="00E64480"/>
    <w:pPr>
      <w:spacing w:before="240" w:after="0"/>
    </w:pPr>
    <w:rPr>
      <w:rFonts w:ascii="Times New Roman" w:hAnsi="Times New Roman"/>
      <w:spacing w:val="0"/>
      <w:sz w:val="24"/>
    </w:rPr>
  </w:style>
  <w:style w:type="paragraph" w:customStyle="1" w:styleId="TableTextRightItalic">
    <w:name w:val="Table Text Right Italic"/>
    <w:basedOn w:val="TableTextRight"/>
    <w:uiPriority w:val="21"/>
    <w:qFormat/>
    <w:rsid w:val="00120A75"/>
    <w:rPr>
      <w:i/>
    </w:rPr>
  </w:style>
  <w:style w:type="character" w:styleId="FollowedHyperlink">
    <w:name w:val="FollowedHyperlink"/>
    <w:basedOn w:val="DefaultParagraphFont"/>
    <w:semiHidden/>
    <w:unhideWhenUsed/>
    <w:rsid w:val="003B47BC"/>
    <w:rPr>
      <w:color w:val="000000" w:themeColor="followedHyperlink"/>
      <w:u w:val="single"/>
    </w:rPr>
  </w:style>
  <w:style w:type="paragraph" w:customStyle="1" w:styleId="TableTextRightBold">
    <w:name w:val="Table Text Right Bold"/>
    <w:basedOn w:val="TableTextRight"/>
    <w:uiPriority w:val="20"/>
    <w:qFormat/>
    <w:rsid w:val="00066D54"/>
    <w:rPr>
      <w:b/>
    </w:rPr>
  </w:style>
  <w:style w:type="paragraph" w:styleId="Bibliography">
    <w:name w:val="Bibliography"/>
    <w:basedOn w:val="Normal"/>
    <w:next w:val="Normal"/>
    <w:uiPriority w:val="39"/>
    <w:unhideWhenUsed/>
    <w:rsid w:val="00DF2134"/>
  </w:style>
  <w:style w:type="character" w:styleId="CommentReference">
    <w:name w:val="annotation reference"/>
    <w:basedOn w:val="DefaultParagraphFont"/>
    <w:semiHidden/>
    <w:unhideWhenUsed/>
    <w:rsid w:val="008D3BB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D3B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D3B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3B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3BB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82CE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PBO v1">
      <a:dk1>
        <a:srgbClr val="000000"/>
      </a:dk1>
      <a:lt1>
        <a:srgbClr val="FFFFFF"/>
      </a:lt1>
      <a:dk2>
        <a:srgbClr val="2B3B5F"/>
      </a:dk2>
      <a:lt2>
        <a:srgbClr val="788184"/>
      </a:lt2>
      <a:accent1>
        <a:srgbClr val="2B3B5F"/>
      </a:accent1>
      <a:accent2>
        <a:srgbClr val="95A4C6"/>
      </a:accent2>
      <a:accent3>
        <a:srgbClr val="D7DDE9"/>
      </a:accent3>
      <a:accent4>
        <a:srgbClr val="751D71"/>
      </a:accent4>
      <a:accent5>
        <a:srgbClr val="B267B3"/>
      </a:accent5>
      <a:accent6>
        <a:srgbClr val="788184"/>
      </a:accent6>
      <a:hlink>
        <a:srgbClr val="000000"/>
      </a:hlink>
      <a:folHlink>
        <a:srgbClr val="000000"/>
      </a:folHlink>
    </a:clrScheme>
    <a:fontScheme name="PBO v1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>
  <b:Source>
    <b:Tag>Com16</b:Tag>
    <b:SourceType>Report</b:SourceType>
    <b:Guid>{5B4EC681-07DE-47A5-8D75-A81C9B5C55A0}</b:Guid>
    <b:Author>
      <b:Author>
        <b:Corporate>Commonwealth of Australia</b:Corporate>
      </b:Author>
    </b:Author>
    <b:Title>2016-17 Budget</b:Title>
    <b:Year>2016</b:Year>
    <b:Publisher>Commonwealth of Australia</b:Publisher>
    <b:City>Canberra</b:City>
    <b:RefOrder>2</b:RefOrder>
  </b:Source>
  <b:Source>
    <b:Tag>Han48</b:Tag>
    <b:SourceType>JournalArticle</b:SourceType>
    <b:Guid>{7518F5C4-4534-425C-A3D9-38838C01BBB8}</b:Guid>
    <b:Title>Withdrawal from the United Nations</b:Title>
    <b:Year>1948</b:Year>
    <b:Author>
      <b:Author>
        <b:NameList>
          <b:Person>
            <b:Last>Kelsen</b:Last>
            <b:First>Hans</b:First>
          </b:Person>
        </b:NameList>
      </b:Author>
    </b:Author>
    <b:JournalName>The Western Political Quarterly</b:JournalName>
    <b:Pages>29-43</b:Pages>
    <b:Volume>1</b:Volume>
    <b:Issue>1</b:Issue>
    <b:RefOrder>3</b:RefOrder>
  </b:Source>
  <b:Source>
    <b:Tag>Dep16</b:Tag>
    <b:SourceType>DocumentFromInternetSite</b:SourceType>
    <b:Guid>{E372A331-9EF2-4C73-A7CD-5083DD1C5CF3}</b:Guid>
    <b:Title>2016-17 Australian Aid Budget Summary</b:Title>
    <b:Year>2016</b:Year>
    <b:Month>May</b:Month>
    <b:Day>3</b:Day>
    <b:YearAccessed>2016</b:YearAccessed>
    <b:MonthAccessed>September</b:MonthAccessed>
    <b:DayAccessed>28</b:DayAccessed>
    <b:URL>http://dfat.gov.au/news/news/Pages/2016-17-australian-aid-budget-summary.aspx</b:URL>
    <b:Author>
      <b:Author>
        <b:Corporate>Department of Foreign Affairs and Trade</b:Corporate>
      </b:Author>
    </b:Author>
    <b:RefOrder>4</b:RefOrder>
  </b:Source>
  <b:Source>
    <b:Tag>Int60</b:Tag>
    <b:SourceType>DocumentFromInternetSite</b:SourceType>
    <b:Guid>{D2101280-3A8F-4231-8871-BB397E2F79AB}</b:Guid>
    <b:Author>
      <b:Author>
        <b:Corporate>International Development Association</b:Corporate>
      </b:Author>
    </b:Author>
    <b:Title>International Development Association Articles of Agreement</b:Title>
    <b:Year>1960</b:Year>
    <b:Month>September</b:Month>
    <b:Day>24</b:Day>
    <b:YearAccessed>2016</b:YearAccessed>
    <b:MonthAccessed>September</b:MonthAccessed>
    <b:DayAccessed>28</b:DayAccessed>
    <b:URL>https://www.worldbank.org/ida/articles-agreement/IDA-articles-of-agreement.pdf</b:URL>
    <b:RefOrder>5</b:RefOrder>
  </b:Source>
  <b:Source>
    <b:Tag>Dep161</b:Tag>
    <b:SourceType>InternetSite</b:SourceType>
    <b:Guid>{BFBBC6F0-F8ED-48F3-B2B2-48EF8BCAF5D0}</b:Guid>
    <b:Title>Australian Treaties Database</b:Title>
    <b:YearAccessed>2016</b:YearAccessed>
    <b:MonthAccessed>September</b:MonthAccessed>
    <b:DayAccessed>28</b:DayAccessed>
    <b:URL>http://dfat.gov.au/international-relations/treaties/Pages/treaties.aspx</b:URL>
    <b:Author>
      <b:Author>
        <b:Corporate>Department of Foreign Affairs and Trade</b:Corporate>
      </b:Author>
    </b:Author>
    <b:RefOrder>6</b:RefOrder>
  </b:Source>
  <b:Source>
    <b:Tag>Par16</b:Tag>
    <b:SourceType>ConferenceProceedings</b:SourceType>
    <b:Guid>{A931ED0C-1291-4741-AC44-B39C7CC0A849}</b:Guid>
    <b:Author>
      <b:Author>
        <b:Corporate>Parliament of Australia</b:Corporate>
      </b:Author>
    </b:Author>
    <b:Title>2016-17 Budget  Estimates (Foreign Affairs, Defence and Trade Legislation Committee)</b:Title>
    <b:Year>2016</b:Year>
    <b:City>Canberra</b:City>
    <b:Publisher>Hansard Transcripts</b:Publisher>
    <b:RefOrder>1</b:RefOrder>
  </b:Source>
</b:Sources>
</file>

<file path=customXml/itemProps1.xml><?xml version="1.0" encoding="utf-8"?>
<ds:datastoreItem xmlns:ds="http://schemas.openxmlformats.org/officeDocument/2006/customXml" ds:itemID="{EDA306A0-100B-4216-B731-C7050D543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Parliamentary Budget Office</dc:creator>
  <cp:lastModifiedBy>Pratley, Lauren (PBO)</cp:lastModifiedBy>
  <cp:revision>5</cp:revision>
  <cp:lastPrinted>2017-04-19T07:01:00Z</cp:lastPrinted>
  <dcterms:created xsi:type="dcterms:W3CDTF">2017-08-24T23:38:00Z</dcterms:created>
  <dcterms:modified xsi:type="dcterms:W3CDTF">2017-09-01T04:44:00Z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Status">
    <vt:lpwstr/>
  </property>
  <property fmtid="{D5CDD505-2E9C-101B-9397-08002B2CF9AE}" pid="3" name="xTOCH2">
    <vt:lpwstr>Y</vt:lpwstr>
  </property>
  <property fmtid="{D5CDD505-2E9C-101B-9397-08002B2CF9AE}" pid="4" name="xTOCH3">
    <vt:lpwstr>N</vt:lpwstr>
  </property>
  <property fmtid="{D5CDD505-2E9C-101B-9397-08002B2CF9AE}" pid="5" name="xTOCTable">
    <vt:lpwstr>H</vt:lpwstr>
  </property>
  <property fmtid="{D5CDD505-2E9C-101B-9397-08002B2CF9AE}" pid="6" name="xTOCFigure">
    <vt:lpwstr>H</vt:lpwstr>
  </property>
  <property fmtid="{D5CDD505-2E9C-101B-9397-08002B2CF9AE}" pid="7" name="xTOCApp">
    <vt:lpwstr>H</vt:lpwstr>
  </property>
  <property fmtid="{D5CDD505-2E9C-101B-9397-08002B2CF9AE}" pid="8" name="xNumberedBodyText">
    <vt:lpwstr>False</vt:lpwstr>
  </property>
  <property fmtid="{D5CDD505-2E9C-101B-9397-08002B2CF9AE}" pid="9" name="xCR">
    <vt:lpwstr>Heading</vt:lpwstr>
  </property>
  <property fmtid="{D5CDD505-2E9C-101B-9397-08002B2CF9AE}" pid="10" name="xHeadingsNumbered">
    <vt:lpwstr>0</vt:lpwstr>
  </property>
  <property fmtid="{D5CDD505-2E9C-101B-9397-08002B2CF9AE}" pid="11" name="xAppendixName">
    <vt:lpwstr>Attachment</vt:lpwstr>
  </property>
  <property fmtid="{D5CDD505-2E9C-101B-9397-08002B2CF9AE}" pid="12" name="_MarkAsFinal">
    <vt:bool>true</vt:bool>
  </property>
</Properties>
</file>