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F" w:rsidRDefault="0046444F" w:rsidP="0046444F">
      <w:pPr>
        <w:pStyle w:val="Title"/>
      </w:pPr>
      <w:r w:rsidRPr="008D77AF">
        <w:t>Policy costing—outside the caretaker period</w:t>
      </w:r>
    </w:p>
    <w:tbl>
      <w:tblPr>
        <w:tblStyle w:val="LightGrid-Accent6"/>
        <w:tblW w:w="5000" w:type="pct"/>
        <w:tblLook w:val="0600" w:firstRow="0" w:lastRow="0" w:firstColumn="0" w:lastColumn="0" w:noHBand="1" w:noVBand="1"/>
      </w:tblPr>
      <w:tblGrid>
        <w:gridCol w:w="3085"/>
        <w:gridCol w:w="1276"/>
        <w:gridCol w:w="4167"/>
      </w:tblGrid>
      <w:tr w:rsidR="0098222F" w:rsidRPr="008D77AF" w:rsidTr="008112CC">
        <w:tc>
          <w:tcPr>
            <w:tcW w:w="1809" w:type="pct"/>
            <w:shd w:val="clear" w:color="auto" w:fill="D7DDE9" w:themeFill="accent3"/>
          </w:tcPr>
          <w:p w:rsidR="0098222F" w:rsidRPr="008D77AF" w:rsidRDefault="0098222F" w:rsidP="0098222F">
            <w:pPr>
              <w:pStyle w:val="PullOutBoxHeading"/>
            </w:pPr>
            <w:r w:rsidRPr="008D77AF">
              <w:t>Name of proposal:</w:t>
            </w:r>
          </w:p>
        </w:tc>
        <w:tc>
          <w:tcPr>
            <w:tcW w:w="3191" w:type="pct"/>
            <w:gridSpan w:val="2"/>
            <w:shd w:val="clear" w:color="auto" w:fill="D7DDE9" w:themeFill="accent3"/>
          </w:tcPr>
          <w:p w:rsidR="004B3022" w:rsidRPr="008D77AF" w:rsidRDefault="003B2BB8" w:rsidP="00AB4118">
            <w:pPr>
              <w:pStyle w:val="PullOutBoxHeading"/>
            </w:pPr>
            <w:r>
              <w:t>Financing state property tax r</w:t>
            </w:r>
            <w:r w:rsidR="00AB4118" w:rsidRPr="00AB4118">
              <w:t>eform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Summary of proposal:</w:t>
            </w:r>
          </w:p>
        </w:tc>
        <w:tc>
          <w:tcPr>
            <w:tcW w:w="3191" w:type="pct"/>
            <w:gridSpan w:val="2"/>
          </w:tcPr>
          <w:p w:rsidR="00AB4118" w:rsidRPr="00AB4118" w:rsidRDefault="00AB4118" w:rsidP="00AB4118">
            <w:pPr>
              <w:pStyle w:val="PullOutBoxBodyText"/>
            </w:pPr>
            <w:r w:rsidRPr="00AB4118">
              <w:t>Under this proposal the Commonwealth Government would</w:t>
            </w:r>
            <w:r>
              <w:t xml:space="preserve"> </w:t>
            </w:r>
            <w:r w:rsidRPr="00AB4118">
              <w:t>provide concessional loans to state and territory governments</w:t>
            </w:r>
            <w:r>
              <w:t xml:space="preserve"> </w:t>
            </w:r>
            <w:r w:rsidRPr="00AB4118">
              <w:t>(excluding the ACT) to enable them to replace their existing</w:t>
            </w:r>
            <w:r>
              <w:t xml:space="preserve"> </w:t>
            </w:r>
            <w:r w:rsidRPr="00AB4118">
              <w:t>stamp duty on sales of residential and non-residential</w:t>
            </w:r>
            <w:r>
              <w:t xml:space="preserve"> </w:t>
            </w:r>
            <w:r w:rsidRPr="00AB4118">
              <w:t>property with a broad based land tax.</w:t>
            </w:r>
          </w:p>
          <w:p w:rsidR="00AB4118" w:rsidRPr="00AB4118" w:rsidRDefault="00AB4118" w:rsidP="00AB4118">
            <w:pPr>
              <w:pStyle w:val="PullOutBoxBodyText"/>
            </w:pPr>
            <w:r w:rsidRPr="00AB4118">
              <w:t>From 1 July 2017</w:t>
            </w:r>
            <w:r w:rsidR="00DB259A">
              <w:t>,</w:t>
            </w:r>
            <w:r w:rsidRPr="00AB4118">
              <w:t xml:space="preserve"> property acquisitions would not be</w:t>
            </w:r>
            <w:r>
              <w:t xml:space="preserve"> </w:t>
            </w:r>
            <w:r w:rsidRPr="00AB4118">
              <w:t>liable for stamp dut</w:t>
            </w:r>
            <w:r w:rsidR="00B1621B">
              <w:t>y</w:t>
            </w:r>
            <w:r w:rsidRPr="00AB4118">
              <w:t>, but would instead commence paying</w:t>
            </w:r>
            <w:r>
              <w:t xml:space="preserve"> </w:t>
            </w:r>
            <w:r w:rsidRPr="00AB4118">
              <w:t>an annual land tax.</w:t>
            </w:r>
          </w:p>
          <w:p w:rsidR="00AB4118" w:rsidRPr="00AB4118" w:rsidRDefault="00AB4118" w:rsidP="00AB4118">
            <w:pPr>
              <w:pStyle w:val="PullOutBoxBodyText"/>
            </w:pPr>
            <w:r w:rsidRPr="00AB4118">
              <w:t>The Commonwealth would pay the states up front the</w:t>
            </w:r>
            <w:r>
              <w:t xml:space="preserve"> </w:t>
            </w:r>
            <w:r w:rsidRPr="00AB4118">
              <w:t>difference between stamp duty and land tax collections for</w:t>
            </w:r>
            <w:r>
              <w:t xml:space="preserve"> </w:t>
            </w:r>
            <w:r w:rsidRPr="00AB4118">
              <w:t>each financial year, with the states returning future land tax</w:t>
            </w:r>
            <w:r>
              <w:t xml:space="preserve"> </w:t>
            </w:r>
            <w:r w:rsidRPr="00AB4118">
              <w:t>payments until the Commonwealth loan has been paid</w:t>
            </w:r>
            <w:r>
              <w:t xml:space="preserve"> </w:t>
            </w:r>
            <w:r w:rsidRPr="00AB4118">
              <w:t xml:space="preserve">off. </w:t>
            </w:r>
            <w:r w:rsidR="00803BA0">
              <w:t xml:space="preserve"> </w:t>
            </w:r>
            <w:r w:rsidRPr="00AB4118">
              <w:t>Concessional loans would only be provided until the</w:t>
            </w:r>
            <w:r>
              <w:t xml:space="preserve"> </w:t>
            </w:r>
            <w:r w:rsidRPr="00AB4118">
              <w:t>financial year ending 30 June 2030.</w:t>
            </w:r>
          </w:p>
          <w:p w:rsidR="00AB4118" w:rsidRPr="00AB4118" w:rsidRDefault="00AB4118" w:rsidP="00AB4118">
            <w:pPr>
              <w:pStyle w:val="PullOutBoxBodyText"/>
            </w:pPr>
            <w:r w:rsidRPr="00AB4118">
              <w:t>The Commonwealth Government would only provide the</w:t>
            </w:r>
            <w:r>
              <w:t xml:space="preserve"> </w:t>
            </w:r>
            <w:r w:rsidRPr="00AB4118">
              <w:t>concessional loans to cover the foregone stamp duty on the</w:t>
            </w:r>
            <w:r>
              <w:t xml:space="preserve"> </w:t>
            </w:r>
            <w:r w:rsidRPr="00AB4118">
              <w:t>first sale of a property, not subsequent sales of the same</w:t>
            </w:r>
            <w:r>
              <w:t xml:space="preserve"> </w:t>
            </w:r>
            <w:r w:rsidRPr="00AB4118">
              <w:t>property.</w:t>
            </w:r>
          </w:p>
          <w:p w:rsidR="00AB4118" w:rsidRPr="00AB4118" w:rsidRDefault="00AB4118" w:rsidP="00AB4118">
            <w:pPr>
              <w:pStyle w:val="PullOutBoxBodyText"/>
            </w:pPr>
            <w:r w:rsidRPr="00AB4118">
              <w:t>The land tax rates would be set by each state and territory</w:t>
            </w:r>
            <w:r>
              <w:t xml:space="preserve"> </w:t>
            </w:r>
            <w:r w:rsidRPr="00AB4118">
              <w:t xml:space="preserve">(the states) so that the expected </w:t>
            </w:r>
            <w:r w:rsidR="007E16F4">
              <w:t xml:space="preserve">state </w:t>
            </w:r>
            <w:r w:rsidRPr="00AB4118">
              <w:t>revenue collection is broadly</w:t>
            </w:r>
            <w:r>
              <w:t xml:space="preserve"> </w:t>
            </w:r>
            <w:r w:rsidRPr="00AB4118">
              <w:t>revenue neutral across the term of the proposal, with no</w:t>
            </w:r>
            <w:r>
              <w:t xml:space="preserve"> </w:t>
            </w:r>
            <w:r w:rsidRPr="00AB4118">
              <w:t>Commonwealth loans outstanding at 30 June 2030.</w:t>
            </w:r>
          </w:p>
          <w:p w:rsidR="00AB4118" w:rsidRPr="00AB4118" w:rsidRDefault="00AB4118" w:rsidP="00AB4118">
            <w:pPr>
              <w:pStyle w:val="PullOutBoxBodyText"/>
            </w:pPr>
            <w:r w:rsidRPr="00AB4118">
              <w:t>States would also be required to cover the Commonwealth’s</w:t>
            </w:r>
            <w:r>
              <w:t xml:space="preserve"> </w:t>
            </w:r>
            <w:r w:rsidRPr="00AB4118">
              <w:t>borrowing costs for the proposal, with interest charged</w:t>
            </w:r>
            <w:r>
              <w:t xml:space="preserve"> </w:t>
            </w:r>
            <w:r w:rsidRPr="00AB4118">
              <w:t>annually at a rate equal to the Commonwealth’s cost of</w:t>
            </w:r>
            <w:r>
              <w:t xml:space="preserve"> </w:t>
            </w:r>
            <w:r w:rsidRPr="00AB4118">
              <w:t>borrowing</w:t>
            </w:r>
            <w:r w:rsidR="00B1621B">
              <w:t>.</w:t>
            </w:r>
          </w:p>
          <w:p w:rsidR="008112CC" w:rsidRPr="008D77AF" w:rsidRDefault="00AB4118" w:rsidP="00AB4118">
            <w:pPr>
              <w:pStyle w:val="PullOutBoxBodyText"/>
            </w:pPr>
            <w:r w:rsidRPr="00AB4118">
              <w:t>The tax would not apply to land owned by local, state or</w:t>
            </w:r>
            <w:r>
              <w:t xml:space="preserve"> </w:t>
            </w:r>
            <w:r w:rsidRPr="00AB4118">
              <w:t>federal governments, pastoral leases or native title or freehold</w:t>
            </w:r>
            <w:r>
              <w:t xml:space="preserve"> </w:t>
            </w:r>
            <w:r w:rsidRPr="00AB4118">
              <w:t>title held by Aboriginal land councils.</w:t>
            </w:r>
          </w:p>
        </w:tc>
      </w:tr>
      <w:tr w:rsidR="0098222F" w:rsidRPr="008D77AF" w:rsidTr="008112CC">
        <w:tc>
          <w:tcPr>
            <w:tcW w:w="1809" w:type="pct"/>
          </w:tcPr>
          <w:p w:rsidR="0098222F" w:rsidRPr="008D77AF" w:rsidRDefault="0098222F" w:rsidP="0098222F">
            <w:pPr>
              <w:pStyle w:val="PullOutBoxBodyText"/>
            </w:pPr>
            <w:r w:rsidRPr="008D77AF">
              <w:t>Person/party requesting the costing:</w:t>
            </w:r>
          </w:p>
        </w:tc>
        <w:tc>
          <w:tcPr>
            <w:tcW w:w="3191" w:type="pct"/>
            <w:gridSpan w:val="2"/>
          </w:tcPr>
          <w:p w:rsidR="0098222F" w:rsidRPr="008D77AF" w:rsidRDefault="00AB4118" w:rsidP="00FD1EE0">
            <w:pPr>
              <w:pStyle w:val="PullOutBoxBodyText"/>
            </w:pPr>
            <w:r w:rsidRPr="00AB4118">
              <w:t>Senator Richard Di Natale, Australian Greens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Did the applicant request the costing be confidential:</w:t>
            </w:r>
          </w:p>
        </w:tc>
        <w:tc>
          <w:tcPr>
            <w:tcW w:w="748" w:type="pct"/>
            <w:tcBorders>
              <w:right w:val="nil"/>
            </w:tcBorders>
          </w:tcPr>
          <w:p w:rsidR="008112CC" w:rsidRPr="008D77AF" w:rsidRDefault="00B66B95" w:rsidP="0056001A">
            <w:pPr>
              <w:pStyle w:val="PullOutBoxBodyText"/>
            </w:pPr>
            <w:sdt>
              <w:sdtPr>
                <w:id w:val="33003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1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12CC" w:rsidRPr="008D77AF">
              <w:t xml:space="preserve"> Yes</w:t>
            </w:r>
          </w:p>
        </w:tc>
        <w:tc>
          <w:tcPr>
            <w:tcW w:w="2443" w:type="pct"/>
            <w:tcBorders>
              <w:left w:val="nil"/>
              <w:right w:val="single" w:sz="4" w:space="0" w:color="auto"/>
            </w:tcBorders>
          </w:tcPr>
          <w:p w:rsidR="008112CC" w:rsidRPr="008D77AF" w:rsidRDefault="00B66B95" w:rsidP="0056001A">
            <w:pPr>
              <w:pStyle w:val="PullOutBoxBodyText"/>
            </w:pPr>
            <w:sdt>
              <w:sdtPr>
                <w:id w:val="-8641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2CC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12CC" w:rsidRPr="008D77AF">
              <w:t xml:space="preserve"> No</w:t>
            </w:r>
          </w:p>
        </w:tc>
      </w:tr>
      <w:tr w:rsidR="008112CC" w:rsidRPr="008D77AF" w:rsidTr="0056001A">
        <w:tc>
          <w:tcPr>
            <w:tcW w:w="1809" w:type="pct"/>
          </w:tcPr>
          <w:p w:rsidR="008112CC" w:rsidRPr="008D77AF" w:rsidRDefault="008112CC" w:rsidP="0056001A">
            <w:pPr>
              <w:pStyle w:val="PullOutBoxBodyText"/>
            </w:pPr>
            <w:r w:rsidRPr="008D77AF">
              <w:t>Date costing request received:</w:t>
            </w:r>
          </w:p>
        </w:tc>
        <w:tc>
          <w:tcPr>
            <w:tcW w:w="3191" w:type="pct"/>
            <w:gridSpan w:val="2"/>
          </w:tcPr>
          <w:p w:rsidR="008112CC" w:rsidRPr="008D77AF" w:rsidRDefault="00F82E14" w:rsidP="0056001A">
            <w:pPr>
              <w:pStyle w:val="PullOutBoxBodyText"/>
            </w:pPr>
            <w:r>
              <w:t>26</w:t>
            </w:r>
            <w:r w:rsidR="00AB4118">
              <w:t xml:space="preserve"> October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lastRenderedPageBreak/>
              <w:t>Date costing completed:</w:t>
            </w:r>
          </w:p>
        </w:tc>
        <w:tc>
          <w:tcPr>
            <w:tcW w:w="3191" w:type="pct"/>
            <w:gridSpan w:val="2"/>
          </w:tcPr>
          <w:p w:rsidR="008112CC" w:rsidRPr="008D77AF" w:rsidRDefault="00F82E14" w:rsidP="0098222F">
            <w:pPr>
              <w:pStyle w:val="PullOutBoxBodyText"/>
            </w:pPr>
            <w:r>
              <w:t>1</w:t>
            </w:r>
            <w:r w:rsidR="00675517">
              <w:t>8</w:t>
            </w:r>
            <w:r w:rsidR="00AB4118">
              <w:t xml:space="preserve"> November 2016</w:t>
            </w:r>
          </w:p>
        </w:tc>
      </w:tr>
      <w:tr w:rsidR="008112CC" w:rsidRPr="008D77AF" w:rsidTr="008112CC">
        <w:tc>
          <w:tcPr>
            <w:tcW w:w="1809" w:type="pct"/>
          </w:tcPr>
          <w:p w:rsidR="008112CC" w:rsidRPr="008D77AF" w:rsidRDefault="008112CC" w:rsidP="0098222F">
            <w:pPr>
              <w:pStyle w:val="PullOutBoxBodyText"/>
            </w:pPr>
            <w:r w:rsidRPr="008D77AF">
              <w:t>Expiry date of the costing:</w:t>
            </w:r>
          </w:p>
        </w:tc>
        <w:tc>
          <w:tcPr>
            <w:tcW w:w="3191" w:type="pct"/>
            <w:gridSpan w:val="2"/>
          </w:tcPr>
          <w:p w:rsidR="008112CC" w:rsidRPr="008D77AF" w:rsidRDefault="008112CC" w:rsidP="0098222F">
            <w:pPr>
              <w:pStyle w:val="PullOutBoxBodyText"/>
            </w:pPr>
            <w:r w:rsidRPr="008D77AF">
              <w:t>Release of the next economic and fiscal outlook report.</w:t>
            </w:r>
          </w:p>
        </w:tc>
      </w:tr>
    </w:tbl>
    <w:p w:rsidR="0046444F" w:rsidRPr="008D77AF" w:rsidRDefault="0046444F" w:rsidP="0046444F">
      <w:pPr>
        <w:pStyle w:val="Heading1"/>
      </w:pPr>
      <w:r w:rsidRPr="008D77AF">
        <w:t>Costing overview</w:t>
      </w:r>
    </w:p>
    <w:p w:rsidR="00FB2EE5" w:rsidRDefault="00C63AAA" w:rsidP="00801C7C">
      <w:pPr>
        <w:pStyle w:val="BodyText"/>
      </w:pPr>
      <w:r>
        <w:t>T</w:t>
      </w:r>
      <w:r w:rsidR="00D2772C">
        <w:t xml:space="preserve">his proposal would be expected to </w:t>
      </w:r>
      <w:r w:rsidR="00F82E14">
        <w:t>dec</w:t>
      </w:r>
      <w:r w:rsidR="00002A85">
        <w:t>rease the fiscal balance by $</w:t>
      </w:r>
      <w:r w:rsidR="00801C7C">
        <w:t>8</w:t>
      </w:r>
      <w:r w:rsidR="00002A85">
        <w:t>00</w:t>
      </w:r>
      <w:r>
        <w:t> </w:t>
      </w:r>
      <w:r w:rsidR="00F82E14">
        <w:t>million,</w:t>
      </w:r>
      <w:r w:rsidR="00801C7C">
        <w:t xml:space="preserve"> </w:t>
      </w:r>
      <w:r w:rsidR="00803BA0">
        <w:t>have no impact on the underlying cash balance</w:t>
      </w:r>
      <w:r w:rsidR="00E81436">
        <w:t>,</w:t>
      </w:r>
      <w:r w:rsidR="00803BA0">
        <w:t xml:space="preserve"> and </w:t>
      </w:r>
      <w:r w:rsidR="00114D14">
        <w:t xml:space="preserve">decrease the headline cash balance by $47,000 million </w:t>
      </w:r>
      <w:r>
        <w:t>over the 2016</w:t>
      </w:r>
      <w:r>
        <w:noBreakHyphen/>
        <w:t>17 Budget forward estimates period</w:t>
      </w:r>
      <w:r w:rsidR="00D2772C">
        <w:t>.</w:t>
      </w:r>
      <w:r w:rsidR="00FB2EE5">
        <w:t xml:space="preserve">  </w:t>
      </w:r>
    </w:p>
    <w:p w:rsidR="00002A85" w:rsidRDefault="00002A85" w:rsidP="00801C7C">
      <w:pPr>
        <w:pStyle w:val="BodyText"/>
      </w:pPr>
      <w:r>
        <w:t xml:space="preserve">The fiscal balance impact of the proposal entirely reflects an increase in </w:t>
      </w:r>
      <w:r w:rsidR="008B2993">
        <w:t xml:space="preserve">net </w:t>
      </w:r>
      <w:r>
        <w:t>concessional loan expenses of $800</w:t>
      </w:r>
      <w:r w:rsidR="00364CD2">
        <w:t> </w:t>
      </w:r>
      <w:r>
        <w:t xml:space="preserve">million. </w:t>
      </w:r>
      <w:r w:rsidR="000503D7">
        <w:t xml:space="preserve"> </w:t>
      </w:r>
      <w:r>
        <w:t>The concessional loan expense arises because the states’ individual borrowing costs are higher than the Commonwealth</w:t>
      </w:r>
      <w:r w:rsidR="00803BA0">
        <w:t>’s</w:t>
      </w:r>
      <w:r>
        <w:t>.</w:t>
      </w:r>
    </w:p>
    <w:p w:rsidR="00801C7C" w:rsidRDefault="00D2772C" w:rsidP="00801C7C">
      <w:pPr>
        <w:pStyle w:val="BodyText"/>
      </w:pPr>
      <w:r>
        <w:t>The underlying cash balance impact of this proposal reflects net interest payments compris</w:t>
      </w:r>
      <w:r w:rsidR="00714D50">
        <w:t>ing</w:t>
      </w:r>
      <w:r>
        <w:t xml:space="preserve"> </w:t>
      </w:r>
      <w:r w:rsidR="000870D1">
        <w:t xml:space="preserve">an increase in </w:t>
      </w:r>
      <w:r w:rsidR="004A538C">
        <w:t xml:space="preserve">receipts </w:t>
      </w:r>
      <w:r>
        <w:t>from the states charged o</w:t>
      </w:r>
      <w:r w:rsidR="00002A85">
        <w:t>n the concessional loans of $</w:t>
      </w:r>
      <w:r w:rsidR="00801C7C">
        <w:t>2</w:t>
      </w:r>
      <w:r w:rsidR="00002A85">
        <w:t>,</w:t>
      </w:r>
      <w:r w:rsidR="00801C7C">
        <w:t>3</w:t>
      </w:r>
      <w:r w:rsidR="00002A85">
        <w:t>00</w:t>
      </w:r>
      <w:r w:rsidR="00364CD2">
        <w:t> </w:t>
      </w:r>
      <w:r>
        <w:t>million (interest receipts)</w:t>
      </w:r>
      <w:r w:rsidR="00801C7C">
        <w:t xml:space="preserve"> which would </w:t>
      </w:r>
      <w:r w:rsidR="00714D50">
        <w:t xml:space="preserve">be </w:t>
      </w:r>
      <w:r w:rsidR="00801C7C">
        <w:t>expected to be</w:t>
      </w:r>
      <w:r>
        <w:t xml:space="preserve"> </w:t>
      </w:r>
      <w:r w:rsidR="00801C7C">
        <w:t xml:space="preserve">completely </w:t>
      </w:r>
      <w:r>
        <w:t>offset by an increase in public debt i</w:t>
      </w:r>
      <w:r w:rsidR="00002A85">
        <w:t>nterest (PDI) payments of $2,300</w:t>
      </w:r>
      <w:r w:rsidR="00364CD2">
        <w:t> </w:t>
      </w:r>
      <w:r w:rsidR="00002A85">
        <w:t>million over the 2016</w:t>
      </w:r>
      <w:r w:rsidR="00364CD2">
        <w:noBreakHyphen/>
      </w:r>
      <w:r w:rsidR="00002A85">
        <w:t>17</w:t>
      </w:r>
      <w:r w:rsidR="00364CD2">
        <w:t> </w:t>
      </w:r>
      <w:r>
        <w:t>Budget forward estimates period.</w:t>
      </w:r>
      <w:r w:rsidR="00364CD2">
        <w:t xml:space="preserve">  </w:t>
      </w:r>
    </w:p>
    <w:p w:rsidR="00D2772C" w:rsidRDefault="00D2772C" w:rsidP="00801C7C">
      <w:pPr>
        <w:pStyle w:val="BodyText"/>
      </w:pPr>
      <w:r>
        <w:t>The headline cash balance impact of the proposal reflects a</w:t>
      </w:r>
      <w:r w:rsidR="00801C7C">
        <w:t>n</w:t>
      </w:r>
      <w:r>
        <w:t xml:space="preserve"> increase in concessional lo</w:t>
      </w:r>
      <w:r w:rsidR="00002A85">
        <w:t>an payments to the states of $47,0</w:t>
      </w:r>
      <w:r>
        <w:t>00</w:t>
      </w:r>
      <w:r w:rsidR="0070070D">
        <w:t> </w:t>
      </w:r>
      <w:r>
        <w:t>million.</w:t>
      </w:r>
    </w:p>
    <w:p w:rsidR="00D2772C" w:rsidRDefault="00D2772C" w:rsidP="00417DF6">
      <w:pPr>
        <w:pStyle w:val="BodyText"/>
      </w:pPr>
      <w:r>
        <w:t>This proposal wo</w:t>
      </w:r>
      <w:r w:rsidR="00002A85">
        <w:t xml:space="preserve">uld </w:t>
      </w:r>
      <w:r w:rsidR="0070070D">
        <w:t xml:space="preserve">be expected to have </w:t>
      </w:r>
      <w:r w:rsidR="008E2278">
        <w:t>an impact</w:t>
      </w:r>
      <w:r w:rsidR="00002A85">
        <w:t xml:space="preserve"> beyond the 2016</w:t>
      </w:r>
      <w:r w:rsidR="008E2278">
        <w:noBreakHyphen/>
      </w:r>
      <w:r w:rsidR="00002A85">
        <w:t>17</w:t>
      </w:r>
      <w:r w:rsidR="008E2278">
        <w:t> </w:t>
      </w:r>
      <w:r>
        <w:t xml:space="preserve">Budget forward estimates </w:t>
      </w:r>
      <w:r w:rsidR="008E2278">
        <w:t>period that</w:t>
      </w:r>
      <w:r>
        <w:t xml:space="preserve"> differ</w:t>
      </w:r>
      <w:r w:rsidR="00BA3EAD">
        <w:t>s</w:t>
      </w:r>
      <w:r>
        <w:t xml:space="preserve"> significantly to the impact in th</w:t>
      </w:r>
      <w:r w:rsidR="00173080">
        <w:t>is</w:t>
      </w:r>
      <w:r>
        <w:t xml:space="preserve"> period due to the timing of loan repayments and the unwinding of the concessional loan </w:t>
      </w:r>
      <w:r w:rsidR="00BA3EAD">
        <w:t>expense that</w:t>
      </w:r>
      <w:r>
        <w:t xml:space="preserve"> predominately occurs beyond the </w:t>
      </w:r>
      <w:r w:rsidR="00173080">
        <w:t>2016</w:t>
      </w:r>
      <w:r w:rsidR="00173080">
        <w:noBreakHyphen/>
        <w:t xml:space="preserve">17 Budget </w:t>
      </w:r>
      <w:r>
        <w:t>forward estimates period.</w:t>
      </w:r>
      <w:r w:rsidR="00BA3EAD">
        <w:t xml:space="preserve">  </w:t>
      </w:r>
      <w:r>
        <w:t xml:space="preserve">The proposal would be expected to have no impact on the </w:t>
      </w:r>
      <w:r w:rsidR="00623811">
        <w:t xml:space="preserve">fiscal, </w:t>
      </w:r>
      <w:r>
        <w:t>underlying cash and headline cash balances over the period to 2029</w:t>
      </w:r>
      <w:r w:rsidR="00BA3EAD">
        <w:noBreakHyphen/>
      </w:r>
      <w:r>
        <w:t>30.</w:t>
      </w:r>
      <w:r w:rsidR="00BA3EAD">
        <w:t xml:space="preserve">  </w:t>
      </w:r>
      <w:r>
        <w:t xml:space="preserve">Further details of the financial impact of this proposal </w:t>
      </w:r>
      <w:r w:rsidR="00623811">
        <w:t>over the period</w:t>
      </w:r>
      <w:r w:rsidR="00623811" w:rsidDel="00623811">
        <w:t xml:space="preserve"> </w:t>
      </w:r>
      <w:r>
        <w:t>to 2029</w:t>
      </w:r>
      <w:r w:rsidR="00BA3EAD">
        <w:noBreakHyphen/>
      </w:r>
      <w:r>
        <w:t xml:space="preserve">30 are included at </w:t>
      </w:r>
      <w:r w:rsidRPr="00002A85">
        <w:rPr>
          <w:u w:val="single"/>
        </w:rPr>
        <w:t>Attachment</w:t>
      </w:r>
      <w:r w:rsidR="00BA3EAD">
        <w:rPr>
          <w:u w:val="single"/>
        </w:rPr>
        <w:t> </w:t>
      </w:r>
      <w:r w:rsidRPr="00002A85">
        <w:rPr>
          <w:u w:val="single"/>
        </w:rPr>
        <w:t>A</w:t>
      </w:r>
      <w:r>
        <w:t>.</w:t>
      </w:r>
    </w:p>
    <w:p w:rsidR="00D2772C" w:rsidRDefault="00D2772C" w:rsidP="00D2772C">
      <w:pPr>
        <w:pStyle w:val="BodyText"/>
      </w:pPr>
      <w:r>
        <w:t>Departmental expenses associated with administering the proposed loans are not expected to be material and have not been included in this costing.</w:t>
      </w:r>
    </w:p>
    <w:p w:rsidR="00D2772C" w:rsidRDefault="00D2772C" w:rsidP="00D2772C">
      <w:pPr>
        <w:pStyle w:val="BodyText"/>
      </w:pPr>
      <w:r>
        <w:t>This costing is considered to be of very low reliability.</w:t>
      </w:r>
      <w:r w:rsidR="00002A85">
        <w:t xml:space="preserve"> </w:t>
      </w:r>
      <w:r>
        <w:t xml:space="preserve"> The number of properties sold in each state and territory is highly uncertain and varies significantly from year to year.</w:t>
      </w:r>
      <w:r w:rsidR="00002A85">
        <w:t xml:space="preserve"> </w:t>
      </w:r>
      <w:r>
        <w:t xml:space="preserve"> There is also considerable uncertainty surrounding estimates of stamp duty collections beyond the forward estimates period.</w:t>
      </w:r>
    </w:p>
    <w:p w:rsidR="005F2D26" w:rsidRDefault="005F2D26">
      <w:pPr>
        <w:rPr>
          <w:b/>
          <w:bCs/>
          <w:color w:val="2B3B5F" w:themeColor="text2"/>
          <w:spacing w:val="-4"/>
        </w:rPr>
      </w:pPr>
      <w:r>
        <w:br w:type="page"/>
      </w:r>
    </w:p>
    <w:p w:rsidR="0046444F" w:rsidRPr="005B0970" w:rsidRDefault="008112CC" w:rsidP="008112CC">
      <w:pPr>
        <w:pStyle w:val="Caption"/>
      </w:pPr>
      <w:r w:rsidRPr="008112CC">
        <w:lastRenderedPageBreak/>
        <w:t xml:space="preserve">Table </w:t>
      </w:r>
      <w:fldSimple w:instr=" SEQ Table \* ARABIC \s 1 ">
        <w:r w:rsidR="006326A0">
          <w:rPr>
            <w:noProof/>
          </w:rPr>
          <w:t>1</w:t>
        </w:r>
      </w:fldSimple>
      <w:r w:rsidRPr="008112CC">
        <w:t xml:space="preserve">: </w:t>
      </w:r>
      <w:r w:rsidR="003B2BB8">
        <w:t>Financing state property tax r</w:t>
      </w:r>
      <w:r w:rsidR="003B2BB8" w:rsidRPr="003B2BB8">
        <w:t xml:space="preserve">eform </w:t>
      </w:r>
      <w:r w:rsidR="003B2BB8">
        <w:t xml:space="preserve">– </w:t>
      </w:r>
      <w:r>
        <w:t>Financial</w:t>
      </w:r>
      <w:r w:rsidR="003B2BB8">
        <w:t xml:space="preserve"> </w:t>
      </w:r>
      <w:r>
        <w:t>implications (outturn prices</w:t>
      </w:r>
      <w:proofErr w:type="gramStart"/>
      <w:r>
        <w:t>)</w:t>
      </w:r>
      <w:r w:rsidRPr="008112CC">
        <w:rPr>
          <w:vertAlign w:val="superscript"/>
        </w:rPr>
        <w:t>(</w:t>
      </w:r>
      <w:proofErr w:type="gramEnd"/>
      <w:r w:rsidRPr="008112CC">
        <w:rPr>
          <w:vertAlign w:val="superscript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518"/>
        <w:gridCol w:w="1203"/>
        <w:gridCol w:w="1202"/>
        <w:gridCol w:w="1202"/>
        <w:gridCol w:w="1202"/>
        <w:gridCol w:w="1201"/>
      </w:tblGrid>
      <w:tr w:rsidR="005B0970" w:rsidTr="005B0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"/>
            </w:pPr>
            <w:r w:rsidRPr="005B0970">
              <w:t>Impact on ($m)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2016–17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2017–18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2018–19</w:t>
            </w:r>
          </w:p>
        </w:tc>
        <w:tc>
          <w:tcPr>
            <w:tcW w:w="705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0970">
              <w:rPr>
                <w:b w:val="0"/>
              </w:rPr>
              <w:t>2019–20</w:t>
            </w:r>
          </w:p>
        </w:tc>
        <w:tc>
          <w:tcPr>
            <w:tcW w:w="704" w:type="pct"/>
            <w:shd w:val="clear" w:color="auto" w:fill="D7DDE9" w:themeFill="accent3"/>
            <w:vAlign w:val="center"/>
          </w:tcPr>
          <w:p w:rsidR="005B0970" w:rsidRPr="005B0970" w:rsidRDefault="005B0970" w:rsidP="005B0970">
            <w:pPr>
              <w:pStyle w:val="TableHeading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970">
              <w:t>Total to 2019–20</w:t>
            </w:r>
          </w:p>
        </w:tc>
      </w:tr>
      <w:tr w:rsidR="0045385D" w:rsidTr="0045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5385D" w:rsidRPr="005B0970" w:rsidRDefault="0045385D" w:rsidP="005B0970">
            <w:pPr>
              <w:pStyle w:val="TableHeading"/>
              <w:rPr>
                <w:rFonts w:asciiTheme="majorHAnsi" w:hAnsiTheme="majorHAnsi"/>
              </w:rPr>
            </w:pPr>
            <w:r w:rsidRPr="005B0970">
              <w:t>Fiscal balance</w:t>
            </w:r>
          </w:p>
        </w:tc>
        <w:tc>
          <w:tcPr>
            <w:tcW w:w="705" w:type="pct"/>
          </w:tcPr>
          <w:p w:rsidR="0045385D" w:rsidRPr="008D77AF" w:rsidRDefault="0045385D" w:rsidP="008D77AF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-300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-300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-200</w:t>
            </w:r>
          </w:p>
        </w:tc>
        <w:tc>
          <w:tcPr>
            <w:tcW w:w="704" w:type="pct"/>
          </w:tcPr>
          <w:p w:rsidR="0045385D" w:rsidRPr="00F36A35" w:rsidRDefault="0045385D" w:rsidP="006E047B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-800</w:t>
            </w:r>
          </w:p>
        </w:tc>
      </w:tr>
      <w:tr w:rsidR="0045385D" w:rsidTr="0045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5385D" w:rsidRPr="005B0970" w:rsidRDefault="0045385D" w:rsidP="005B0970">
            <w:pPr>
              <w:pStyle w:val="TableHeading"/>
            </w:pPr>
            <w:r w:rsidRPr="005B0970">
              <w:t>Underlying cash balance</w:t>
            </w:r>
          </w:p>
        </w:tc>
        <w:tc>
          <w:tcPr>
            <w:tcW w:w="705" w:type="pct"/>
          </w:tcPr>
          <w:p w:rsidR="0045385D" w:rsidRPr="00002A85" w:rsidRDefault="0045385D" w:rsidP="005B0970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-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-</w:t>
            </w:r>
          </w:p>
        </w:tc>
        <w:tc>
          <w:tcPr>
            <w:tcW w:w="705" w:type="pct"/>
          </w:tcPr>
          <w:p w:rsidR="0045385D" w:rsidRPr="00F36A35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-</w:t>
            </w:r>
          </w:p>
        </w:tc>
        <w:tc>
          <w:tcPr>
            <w:tcW w:w="704" w:type="pct"/>
          </w:tcPr>
          <w:p w:rsidR="0045385D" w:rsidRDefault="0045385D" w:rsidP="006E047B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>-</w:t>
            </w:r>
          </w:p>
        </w:tc>
      </w:tr>
      <w:tr w:rsidR="0045385D" w:rsidTr="00453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45385D" w:rsidRPr="005B0970" w:rsidRDefault="0045385D" w:rsidP="005B0970">
            <w:pPr>
              <w:pStyle w:val="TableHeading"/>
            </w:pPr>
            <w:r>
              <w:t xml:space="preserve">Headline cash balance </w:t>
            </w:r>
          </w:p>
        </w:tc>
        <w:tc>
          <w:tcPr>
            <w:tcW w:w="705" w:type="pct"/>
          </w:tcPr>
          <w:p w:rsidR="0045385D" w:rsidRPr="00002A85" w:rsidRDefault="0045385D" w:rsidP="00C63AAA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5" w:type="pct"/>
          </w:tcPr>
          <w:p w:rsidR="0045385D" w:rsidRPr="00C6337E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-19,000</w:t>
            </w:r>
          </w:p>
        </w:tc>
        <w:tc>
          <w:tcPr>
            <w:tcW w:w="705" w:type="pct"/>
          </w:tcPr>
          <w:p w:rsidR="0045385D" w:rsidRPr="00C6337E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-15,900</w:t>
            </w:r>
          </w:p>
        </w:tc>
        <w:tc>
          <w:tcPr>
            <w:tcW w:w="705" w:type="pct"/>
          </w:tcPr>
          <w:p w:rsidR="0045385D" w:rsidRPr="00C6337E" w:rsidRDefault="0045385D" w:rsidP="006E047B">
            <w:pPr>
              <w:pStyle w:val="TableText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94E8E">
              <w:t>-12,100</w:t>
            </w:r>
          </w:p>
        </w:tc>
        <w:tc>
          <w:tcPr>
            <w:tcW w:w="704" w:type="pct"/>
          </w:tcPr>
          <w:p w:rsidR="0045385D" w:rsidRDefault="0045385D" w:rsidP="006E047B">
            <w:pPr>
              <w:pStyle w:val="TableTextRightBol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E8E">
              <w:t>-47,000</w:t>
            </w:r>
          </w:p>
        </w:tc>
      </w:tr>
    </w:tbl>
    <w:p w:rsidR="008112CC" w:rsidRDefault="005B0970" w:rsidP="0045385D">
      <w:pPr>
        <w:pStyle w:val="TableFootnotes"/>
        <w:ind w:left="284" w:hanging="284"/>
      </w:pPr>
      <w:r>
        <w:t xml:space="preserve">A positive number represents an increase in the relevant budget </w:t>
      </w:r>
      <w:proofErr w:type="gramStart"/>
      <w:r>
        <w:t>balance,</w:t>
      </w:r>
      <w:proofErr w:type="gramEnd"/>
      <w:r>
        <w:t xml:space="preserve"> a negative number represents a decrease.</w:t>
      </w:r>
    </w:p>
    <w:p w:rsidR="005B0970" w:rsidRDefault="005B0970" w:rsidP="009D1C02">
      <w:pPr>
        <w:pStyle w:val="TableFootnotes"/>
        <w:keepNext/>
        <w:numPr>
          <w:ilvl w:val="0"/>
          <w:numId w:val="11"/>
        </w:numPr>
        <w:ind w:left="284" w:hanging="284"/>
      </w:pPr>
      <w:r>
        <w:t>Indicates nil.</w:t>
      </w:r>
    </w:p>
    <w:p w:rsidR="00FE3B13" w:rsidRPr="00CA06C8" w:rsidRDefault="00FE3B13" w:rsidP="00CA06C8">
      <w:pPr>
        <w:pStyle w:val="Heading1"/>
      </w:pPr>
      <w:r w:rsidRPr="00CA06C8">
        <w:t>Key assumptions</w:t>
      </w:r>
    </w:p>
    <w:p w:rsidR="00D2772C" w:rsidRDefault="00631762" w:rsidP="005F2D26">
      <w:pPr>
        <w:pStyle w:val="Heading2"/>
      </w:pPr>
      <w:r>
        <w:t>General</w:t>
      </w:r>
    </w:p>
    <w:p w:rsidR="004A538C" w:rsidRDefault="00714D50" w:rsidP="006D41E9">
      <w:pPr>
        <w:pStyle w:val="ListBullet"/>
      </w:pPr>
      <w:r>
        <w:t>It is assumed that t</w:t>
      </w:r>
      <w:r w:rsidR="00D2772C">
        <w:t xml:space="preserve">he states </w:t>
      </w:r>
      <w:r>
        <w:t xml:space="preserve">would </w:t>
      </w:r>
      <w:r w:rsidR="00D2772C">
        <w:t xml:space="preserve">agree to participate in the scheme. </w:t>
      </w:r>
      <w:r w:rsidR="000503D7">
        <w:t xml:space="preserve"> </w:t>
      </w:r>
    </w:p>
    <w:p w:rsidR="00D2772C" w:rsidRDefault="00D2772C" w:rsidP="005F2D26">
      <w:pPr>
        <w:pStyle w:val="ListBullet2"/>
      </w:pPr>
      <w:r>
        <w:t>Note that the concessional loans</w:t>
      </w:r>
      <w:r w:rsidR="00B050EE">
        <w:t xml:space="preserve"> </w:t>
      </w:r>
      <w:r w:rsidR="00714D50">
        <w:t xml:space="preserve">would be </w:t>
      </w:r>
      <w:r>
        <w:t>provided to the states to cover the loss of expected stamp duty on the first sale of a property</w:t>
      </w:r>
      <w:r w:rsidR="00B050EE">
        <w:t xml:space="preserve"> </w:t>
      </w:r>
      <w:r>
        <w:t xml:space="preserve">only. </w:t>
      </w:r>
      <w:r w:rsidR="00706C81">
        <w:t xml:space="preserve"> </w:t>
      </w:r>
      <w:r>
        <w:t>In cases where a property is subsequently re</w:t>
      </w:r>
      <w:r w:rsidR="000870D1">
        <w:noBreakHyphen/>
      </w:r>
      <w:r>
        <w:t xml:space="preserve">sold, the loss of stamp duty from this sale </w:t>
      </w:r>
      <w:r w:rsidR="00714D50">
        <w:t xml:space="preserve">would </w:t>
      </w:r>
      <w:r>
        <w:t xml:space="preserve">not be compensated by an additional concessional loan. </w:t>
      </w:r>
      <w:r w:rsidR="000503D7">
        <w:t xml:space="preserve"> </w:t>
      </w:r>
      <w:r>
        <w:t xml:space="preserve">It </w:t>
      </w:r>
      <w:r w:rsidR="00714D50">
        <w:t xml:space="preserve">would </w:t>
      </w:r>
      <w:r>
        <w:t xml:space="preserve">therefore </w:t>
      </w:r>
      <w:r w:rsidR="00714D50">
        <w:t xml:space="preserve">be </w:t>
      </w:r>
      <w:r>
        <w:t xml:space="preserve">possible </w:t>
      </w:r>
      <w:r w:rsidR="00714D50">
        <w:t xml:space="preserve">for </w:t>
      </w:r>
      <w:r>
        <w:t>the states</w:t>
      </w:r>
      <w:r w:rsidR="00B050EE">
        <w:t xml:space="preserve"> </w:t>
      </w:r>
      <w:r w:rsidR="00714D50">
        <w:t xml:space="preserve">to </w:t>
      </w:r>
      <w:r>
        <w:t>receive less taxation revenue in the short</w:t>
      </w:r>
      <w:r w:rsidR="00714D50">
        <w:t xml:space="preserve"> </w:t>
      </w:r>
      <w:r>
        <w:t xml:space="preserve">term. </w:t>
      </w:r>
      <w:r w:rsidR="000503D7">
        <w:t xml:space="preserve"> </w:t>
      </w:r>
      <w:r w:rsidR="00B53F97">
        <w:t xml:space="preserve">The ongoing amount of land tax revenue </w:t>
      </w:r>
      <w:r w:rsidR="0079767E">
        <w:t xml:space="preserve">received by the states </w:t>
      </w:r>
      <w:r w:rsidR="00B53F97">
        <w:t>would also be significant</w:t>
      </w:r>
      <w:r w:rsidR="0068485D">
        <w:t>l</w:t>
      </w:r>
      <w:r w:rsidR="00B53F97">
        <w:t xml:space="preserve">y larger than comparable stamp duty revenue at the end of the </w:t>
      </w:r>
      <w:r w:rsidR="00D27ACD">
        <w:t xml:space="preserve">concessional </w:t>
      </w:r>
      <w:r w:rsidR="00B53F97">
        <w:t>loan period</w:t>
      </w:r>
      <w:r w:rsidR="0079767E">
        <w:t>.</w:t>
      </w:r>
    </w:p>
    <w:p w:rsidR="00417DF6" w:rsidRDefault="00D2772C" w:rsidP="006D41E9">
      <w:pPr>
        <w:pStyle w:val="ListBullet"/>
      </w:pPr>
      <w:r>
        <w:t xml:space="preserve">The proposed land tax would be payable on a quarterly basis in arrears. </w:t>
      </w:r>
      <w:r w:rsidR="000503D7">
        <w:t xml:space="preserve"> </w:t>
      </w:r>
      <w:r>
        <w:t>This results in less than</w:t>
      </w:r>
      <w:r w:rsidR="00B050EE">
        <w:t xml:space="preserve"> </w:t>
      </w:r>
      <w:r>
        <w:t>a full year’s worth of land tax being collected in the first year of the proposal.</w:t>
      </w:r>
    </w:p>
    <w:p w:rsidR="00417DF6" w:rsidRDefault="00417DF6" w:rsidP="00417DF6">
      <w:pPr>
        <w:pStyle w:val="ListBullet"/>
      </w:pPr>
      <w:r>
        <w:t xml:space="preserve">The states would pay the Commonwealth the interest charged on the outstanding loan balance when the Commonwealth is due to pay its PDI expenses. </w:t>
      </w:r>
    </w:p>
    <w:p w:rsidR="00D2772C" w:rsidRDefault="00D2772C" w:rsidP="00417DF6">
      <w:pPr>
        <w:pStyle w:val="Heading2"/>
      </w:pPr>
      <w:r>
        <w:t>Property market assumptions</w:t>
      </w:r>
    </w:p>
    <w:p w:rsidR="00D2772C" w:rsidRDefault="00D2772C" w:rsidP="006D41E9">
      <w:pPr>
        <w:pStyle w:val="ListBullet"/>
      </w:pPr>
      <w:r>
        <w:t xml:space="preserve">The number of properties sold in each state and territory is assumed to grow by </w:t>
      </w:r>
      <w:r w:rsidR="00631762">
        <w:t xml:space="preserve">the rate of that </w:t>
      </w:r>
      <w:r>
        <w:t>state’s forecast population growth.</w:t>
      </w:r>
    </w:p>
    <w:p w:rsidR="00D2772C" w:rsidRDefault="00D2772C" w:rsidP="006D41E9">
      <w:pPr>
        <w:pStyle w:val="ListBullet"/>
      </w:pPr>
      <w:r>
        <w:t>The aggregate value of properties sold in each state is assumed to grow in line with nominal</w:t>
      </w:r>
      <w:r w:rsidR="00B050EE">
        <w:t xml:space="preserve"> </w:t>
      </w:r>
      <w:r>
        <w:t>gross domestic product.</w:t>
      </w:r>
    </w:p>
    <w:p w:rsidR="00D2772C" w:rsidRDefault="00D2772C" w:rsidP="006D41E9">
      <w:pPr>
        <w:pStyle w:val="ListBullet"/>
      </w:pPr>
      <w:r>
        <w:t xml:space="preserve">A proportion of properties are assumed to be re-sold in each financial year. </w:t>
      </w:r>
      <w:r w:rsidR="00825E4D">
        <w:t xml:space="preserve"> </w:t>
      </w:r>
      <w:r>
        <w:t>States would not be</w:t>
      </w:r>
      <w:r w:rsidR="00B050EE">
        <w:t xml:space="preserve"> </w:t>
      </w:r>
      <w:r>
        <w:t>compensated for the loss of stamp duty on these subsequent sales.</w:t>
      </w:r>
      <w:r w:rsidR="000503D7">
        <w:t xml:space="preserve"> </w:t>
      </w:r>
      <w:r>
        <w:t xml:space="preserve"> Over the period to 2029</w:t>
      </w:r>
      <w:r w:rsidR="00825E4D">
        <w:noBreakHyphen/>
      </w:r>
      <w:r>
        <w:t>30,</w:t>
      </w:r>
      <w:r w:rsidR="00B050EE">
        <w:t xml:space="preserve"> </w:t>
      </w:r>
      <w:r>
        <w:t xml:space="preserve">approximately half of all existing properties are assumed to </w:t>
      </w:r>
      <w:r w:rsidR="004827C1">
        <w:t>be sold</w:t>
      </w:r>
      <w:r>
        <w:t xml:space="preserve"> at least once.</w:t>
      </w:r>
    </w:p>
    <w:p w:rsidR="00D2772C" w:rsidRDefault="00D2772C" w:rsidP="0068485D">
      <w:pPr>
        <w:pStyle w:val="Heading2"/>
      </w:pPr>
      <w:r>
        <w:lastRenderedPageBreak/>
        <w:t>Behavioural responses and macroeconomic implications</w:t>
      </w:r>
    </w:p>
    <w:p w:rsidR="006C3668" w:rsidRDefault="00D2772C" w:rsidP="006D41E9">
      <w:pPr>
        <w:pStyle w:val="ListBullet"/>
      </w:pPr>
      <w:r>
        <w:t xml:space="preserve">The impact of this proposal on property markets </w:t>
      </w:r>
      <w:r w:rsidR="00631762">
        <w:t xml:space="preserve">would be </w:t>
      </w:r>
      <w:r>
        <w:t>highly uncertain.</w:t>
      </w:r>
      <w:r w:rsidR="000503D7">
        <w:t xml:space="preserve"> </w:t>
      </w:r>
      <w:r>
        <w:t xml:space="preserve"> The PBO has not included</w:t>
      </w:r>
      <w:r w:rsidR="00B050EE">
        <w:t xml:space="preserve"> </w:t>
      </w:r>
      <w:r>
        <w:t>any impacts on property prices or on the supply and demand of residential and non-residential</w:t>
      </w:r>
      <w:r w:rsidR="00B050EE">
        <w:t xml:space="preserve"> </w:t>
      </w:r>
      <w:r>
        <w:t>properties in this costing.</w:t>
      </w:r>
    </w:p>
    <w:p w:rsidR="00D2772C" w:rsidRPr="00002D5D" w:rsidRDefault="00D2772C" w:rsidP="005F2D26">
      <w:pPr>
        <w:pStyle w:val="ListBullet"/>
      </w:pPr>
      <w:r>
        <w:t>The 2009-10 Australia’s Future Tax System review highlighted that a broad based land tax is a</w:t>
      </w:r>
      <w:r w:rsidR="00B050EE">
        <w:t xml:space="preserve"> </w:t>
      </w:r>
      <w:r>
        <w:t xml:space="preserve">more economically efficient tax than stamp duty. </w:t>
      </w:r>
      <w:r w:rsidR="00803BA0">
        <w:t xml:space="preserve"> </w:t>
      </w:r>
      <w:r>
        <w:t>This implies that replacing stamp dut</w:t>
      </w:r>
      <w:r w:rsidR="00714D50">
        <w:t>y</w:t>
      </w:r>
      <w:r>
        <w:t xml:space="preserve"> with a</w:t>
      </w:r>
      <w:r w:rsidR="00B050EE">
        <w:t xml:space="preserve"> </w:t>
      </w:r>
      <w:r>
        <w:t>broad based land tax would increase economic a</w:t>
      </w:r>
      <w:r w:rsidR="00803BA0">
        <w:t xml:space="preserve">ctivity over the medium to long </w:t>
      </w:r>
      <w:r>
        <w:t xml:space="preserve">term. </w:t>
      </w:r>
      <w:r w:rsidR="004827C1">
        <w:t xml:space="preserve"> </w:t>
      </w:r>
      <w:r>
        <w:t>As tax</w:t>
      </w:r>
      <w:r w:rsidR="00B050EE">
        <w:t xml:space="preserve"> </w:t>
      </w:r>
      <w:r>
        <w:t xml:space="preserve">revenue generally increases in line with economic activity, </w:t>
      </w:r>
      <w:r w:rsidR="00631762">
        <w:t>this would be expected to increase</w:t>
      </w:r>
      <w:r>
        <w:t xml:space="preserve"> taxation revenue</w:t>
      </w:r>
      <w:r w:rsidR="00B050EE">
        <w:t xml:space="preserve"> </w:t>
      </w:r>
      <w:r>
        <w:t xml:space="preserve">over time. </w:t>
      </w:r>
      <w:r w:rsidR="00C72FA3">
        <w:t xml:space="preserve"> </w:t>
      </w:r>
      <w:r>
        <w:t xml:space="preserve">However as the timing </w:t>
      </w:r>
      <w:r w:rsidR="00714D50">
        <w:t xml:space="preserve">and magnitude </w:t>
      </w:r>
      <w:r>
        <w:t xml:space="preserve">of the macroeconomic impact of the proposal </w:t>
      </w:r>
      <w:r w:rsidR="00631762">
        <w:t xml:space="preserve">would be </w:t>
      </w:r>
      <w:r>
        <w:t>highly</w:t>
      </w:r>
      <w:r w:rsidR="00B050EE">
        <w:t xml:space="preserve"> </w:t>
      </w:r>
      <w:r>
        <w:t>uncertain, the PBO has not included it in the costing.</w:t>
      </w:r>
    </w:p>
    <w:p w:rsidR="00FE3B13" w:rsidRDefault="00FE3B13" w:rsidP="0056001A">
      <w:pPr>
        <w:pStyle w:val="Heading1"/>
      </w:pPr>
      <w:r>
        <w:t>Methodology</w:t>
      </w:r>
    </w:p>
    <w:p w:rsidR="00D2772C" w:rsidRPr="00D2772C" w:rsidRDefault="00D2772C" w:rsidP="00B050EE">
      <w:pPr>
        <w:pStyle w:val="BodyText"/>
      </w:pPr>
      <w:r w:rsidRPr="00D2772C">
        <w:t xml:space="preserve">The values, types and numbers of properties (including new properties) sold in each state </w:t>
      </w:r>
      <w:r w:rsidR="00803BA0">
        <w:t xml:space="preserve">and territory </w:t>
      </w:r>
      <w:r w:rsidRPr="00D2772C">
        <w:t xml:space="preserve">were calculated for each year the scheme is in operation. </w:t>
      </w:r>
      <w:r w:rsidR="00C72FA3">
        <w:t xml:space="preserve"> </w:t>
      </w:r>
      <w:r w:rsidRPr="00D2772C">
        <w:t xml:space="preserve">The properties for each state </w:t>
      </w:r>
      <w:r w:rsidR="00803BA0">
        <w:t xml:space="preserve">and territory </w:t>
      </w:r>
      <w:r w:rsidRPr="00D2772C">
        <w:t>were separated into</w:t>
      </w:r>
      <w:r>
        <w:t xml:space="preserve"> </w:t>
      </w:r>
      <w:r w:rsidRPr="00D2772C">
        <w:t xml:space="preserve">deciles based on overall land value and separated into capital city </w:t>
      </w:r>
      <w:r w:rsidR="00714D50">
        <w:t xml:space="preserve">properties </w:t>
      </w:r>
      <w:r w:rsidRPr="00D2772C">
        <w:t>and non</w:t>
      </w:r>
      <w:r w:rsidR="00714D50">
        <w:noBreakHyphen/>
      </w:r>
      <w:r w:rsidRPr="00D2772C">
        <w:t>capital city</w:t>
      </w:r>
      <w:r w:rsidR="00714D50">
        <w:t xml:space="preserve"> properties</w:t>
      </w:r>
      <w:r w:rsidRPr="00D2772C">
        <w:t>.</w:t>
      </w:r>
    </w:p>
    <w:p w:rsidR="00D2772C" w:rsidRPr="00D2772C" w:rsidRDefault="00D2772C" w:rsidP="00B050EE">
      <w:pPr>
        <w:pStyle w:val="BodyText"/>
      </w:pPr>
      <w:r w:rsidRPr="00D2772C">
        <w:t>These calculated property figures were used to estimate:</w:t>
      </w:r>
    </w:p>
    <w:p w:rsidR="00B050EE" w:rsidRDefault="00D2772C" w:rsidP="00B050EE">
      <w:pPr>
        <w:pStyle w:val="ListBullet"/>
      </w:pPr>
      <w:proofErr w:type="gramStart"/>
      <w:r w:rsidRPr="00B050EE">
        <w:t>the</w:t>
      </w:r>
      <w:proofErr w:type="gramEnd"/>
      <w:r w:rsidRPr="00B050EE">
        <w:t xml:space="preserve"> expected stamp duty amount</w:t>
      </w:r>
      <w:r w:rsidR="00714D50">
        <w:t xml:space="preserve"> under the current system</w:t>
      </w:r>
      <w:r w:rsidRPr="00B050EE">
        <w:t xml:space="preserve"> for each year of the proposal to determine the size of the concessional loans provided by the Commonwealth. </w:t>
      </w:r>
      <w:r w:rsidR="00C72FA3">
        <w:t xml:space="preserve"> </w:t>
      </w:r>
      <w:r w:rsidRPr="00B050EE">
        <w:t>These stamp duty estimates were benchmarked to forecasts of stamp duty revenue from state government budget papers</w:t>
      </w:r>
    </w:p>
    <w:p w:rsidR="00D2772C" w:rsidRPr="00B050EE" w:rsidRDefault="00D2772C" w:rsidP="00B050EE">
      <w:pPr>
        <w:pStyle w:val="ListBullet"/>
      </w:pPr>
      <w:r w:rsidRPr="00B050EE">
        <w:t xml:space="preserve">the amount of land tax applied to these properties, at the estimated average land tax rate for the state, to determine the amount repaid </w:t>
      </w:r>
      <w:r w:rsidR="00803BA0">
        <w:t>to the Commonwealth in each year</w:t>
      </w:r>
    </w:p>
    <w:p w:rsidR="00D2772C" w:rsidRPr="00D2772C" w:rsidRDefault="00803BA0" w:rsidP="00B050EE">
      <w:pPr>
        <w:pStyle w:val="ListBullet"/>
      </w:pPr>
      <w:proofErr w:type="gramStart"/>
      <w:r>
        <w:t>the</w:t>
      </w:r>
      <w:proofErr w:type="gramEnd"/>
      <w:r>
        <w:t xml:space="preserve"> loan </w:t>
      </w:r>
      <w:proofErr w:type="spellStart"/>
      <w:r>
        <w:t>cash</w:t>
      </w:r>
      <w:r w:rsidR="00D2772C" w:rsidRPr="00D2772C">
        <w:t>flows</w:t>
      </w:r>
      <w:proofErr w:type="spellEnd"/>
      <w:r w:rsidR="00D2772C" w:rsidRPr="00D2772C">
        <w:t xml:space="preserve"> for each year</w:t>
      </w:r>
      <w:r w:rsidR="009D7AB0">
        <w:t>.  The</w:t>
      </w:r>
      <w:r w:rsidR="00E16068">
        <w:t xml:space="preserve"> l</w:t>
      </w:r>
      <w:r>
        <w:t xml:space="preserve">oan </w:t>
      </w:r>
      <w:proofErr w:type="spellStart"/>
      <w:r>
        <w:t>cash</w:t>
      </w:r>
      <w:r w:rsidR="00E16068">
        <w:t>flows</w:t>
      </w:r>
      <w:proofErr w:type="spellEnd"/>
      <w:r w:rsidR="00D2772C" w:rsidRPr="00D2772C">
        <w:t xml:space="preserve"> were calculated as the amount of new concessional loans</w:t>
      </w:r>
      <w:r w:rsidR="00D2772C">
        <w:t xml:space="preserve"> </w:t>
      </w:r>
      <w:r w:rsidR="00D2772C" w:rsidRPr="00D2772C">
        <w:t>provided in each financial year less any repayments.</w:t>
      </w:r>
    </w:p>
    <w:p w:rsidR="00D2772C" w:rsidRPr="00D2772C" w:rsidRDefault="00D2772C" w:rsidP="00B050EE">
      <w:pPr>
        <w:pStyle w:val="BodyText"/>
      </w:pPr>
      <w:r w:rsidRPr="00D2772C">
        <w:t>Interest, equal to the Commonwealth’s borrowing cost</w:t>
      </w:r>
      <w:r w:rsidR="00BE6C29">
        <w:t xml:space="preserve"> (as per the specification)</w:t>
      </w:r>
      <w:r w:rsidRPr="00D2772C">
        <w:t xml:space="preserve">, was applied to the amount of financing outstanding at the end of each year. </w:t>
      </w:r>
      <w:r w:rsidR="00C72FA3">
        <w:t xml:space="preserve"> </w:t>
      </w:r>
      <w:r w:rsidRPr="00D2772C">
        <w:t xml:space="preserve">The costing also includes an increase in </w:t>
      </w:r>
      <w:r w:rsidR="00803BA0">
        <w:t xml:space="preserve">Commonwealth </w:t>
      </w:r>
      <w:r w:rsidRPr="00D2772C">
        <w:t xml:space="preserve">Government PDI expense to reflect the additional Commonwealth borrowing </w:t>
      </w:r>
      <w:r w:rsidRPr="00BE6C29">
        <w:t xml:space="preserve">required to finance the concessional loans. </w:t>
      </w:r>
      <w:r w:rsidR="00C72FA3" w:rsidRPr="00BE6C29">
        <w:t xml:space="preserve"> </w:t>
      </w:r>
      <w:r w:rsidRPr="00BE6C29">
        <w:t xml:space="preserve">The interest rate </w:t>
      </w:r>
      <w:r w:rsidR="00714D50" w:rsidRPr="00BE6C29">
        <w:t>was</w:t>
      </w:r>
      <w:r w:rsidRPr="00BE6C29">
        <w:t xml:space="preserve"> set so there is no net interest expense to the Commonwealth over the period to 2029-30</w:t>
      </w:r>
      <w:r w:rsidR="00BE6C29" w:rsidRPr="005F2D26">
        <w:t xml:space="preserve"> (as per the </w:t>
      </w:r>
      <w:r w:rsidR="00BE6C29" w:rsidRPr="00BE6C29">
        <w:t>specification</w:t>
      </w:r>
      <w:r w:rsidR="00BE6C29" w:rsidRPr="005F2D26">
        <w:t>)</w:t>
      </w:r>
      <w:r w:rsidRPr="00BE6C29">
        <w:t>.</w:t>
      </w:r>
    </w:p>
    <w:p w:rsidR="00631762" w:rsidRPr="00B02DFE" w:rsidRDefault="00AD4DF3" w:rsidP="00B050EE">
      <w:pPr>
        <w:pStyle w:val="BodyText"/>
      </w:pPr>
      <w:r w:rsidRPr="00B050EE">
        <w:t xml:space="preserve">The fiscal balance impact of this proposal </w:t>
      </w:r>
      <w:r w:rsidRPr="00B02DFE">
        <w:t xml:space="preserve">reflects the net interest flows from the concessional loans (on an accruals basis), plus an upfront concessional loan discount for each new loan which is </w:t>
      </w:r>
      <w:r w:rsidR="00155774" w:rsidRPr="00B02DFE">
        <w:t xml:space="preserve">then </w:t>
      </w:r>
      <w:r w:rsidRPr="00B02DFE">
        <w:t xml:space="preserve">unwound as the loans are repaid.  </w:t>
      </w:r>
    </w:p>
    <w:p w:rsidR="00631762" w:rsidRPr="00B02DFE" w:rsidRDefault="00D2772C" w:rsidP="00B050EE">
      <w:pPr>
        <w:pStyle w:val="BodyText"/>
      </w:pPr>
      <w:r w:rsidRPr="00B02DFE">
        <w:t>The underlying cash balance impact of this proposal reflects the net interest flows from the</w:t>
      </w:r>
      <w:r w:rsidR="00B050EE" w:rsidRPr="00B02DFE">
        <w:t xml:space="preserve"> </w:t>
      </w:r>
      <w:r w:rsidRPr="00B02DFE">
        <w:t>concessional loans (on a cash basis).</w:t>
      </w:r>
      <w:r w:rsidR="00B050EE" w:rsidRPr="00B02DFE">
        <w:t xml:space="preserve"> </w:t>
      </w:r>
      <w:r w:rsidR="00C72FA3" w:rsidRPr="00B02DFE">
        <w:t xml:space="preserve"> </w:t>
      </w:r>
    </w:p>
    <w:p w:rsidR="00631762" w:rsidRDefault="00D2772C" w:rsidP="00F40C08">
      <w:pPr>
        <w:pStyle w:val="BodyText"/>
        <w:keepLines/>
      </w:pPr>
      <w:r w:rsidRPr="00B02DFE">
        <w:lastRenderedPageBreak/>
        <w:t>The headline cash balance impact of this proposal reflects the net interest</w:t>
      </w:r>
      <w:r w:rsidRPr="00B050EE">
        <w:t xml:space="preserve"> flows from the</w:t>
      </w:r>
      <w:r w:rsidR="00B050EE" w:rsidRPr="00B050EE">
        <w:t xml:space="preserve"> </w:t>
      </w:r>
      <w:r w:rsidRPr="00B050EE">
        <w:t>concessional loans (on a cash basis), less the loan amounts made to the states, plus repayments</w:t>
      </w:r>
      <w:r w:rsidR="00B050EE" w:rsidRPr="00B050EE">
        <w:t xml:space="preserve"> </w:t>
      </w:r>
      <w:r w:rsidRPr="00B050EE">
        <w:t>made by the states.</w:t>
      </w:r>
      <w:r w:rsidR="00C72FA3">
        <w:t xml:space="preserve"> </w:t>
      </w:r>
      <w:r w:rsidRPr="00B050EE">
        <w:t xml:space="preserve"> The loans </w:t>
      </w:r>
      <w:r w:rsidR="00BE4703">
        <w:t>would be expected to be</w:t>
      </w:r>
      <w:r w:rsidR="00BE4703" w:rsidRPr="00B050EE">
        <w:t xml:space="preserve"> </w:t>
      </w:r>
      <w:r w:rsidRPr="00B050EE">
        <w:t>fully repaid over the period to 2029</w:t>
      </w:r>
      <w:r w:rsidR="00AD4DF3">
        <w:noBreakHyphen/>
      </w:r>
      <w:r w:rsidRPr="00B050EE">
        <w:t>30.</w:t>
      </w:r>
      <w:r w:rsidR="00B050EE">
        <w:t xml:space="preserve"> </w:t>
      </w:r>
      <w:r w:rsidR="00AD4DF3">
        <w:t xml:space="preserve"> </w:t>
      </w:r>
    </w:p>
    <w:p w:rsidR="004B3DAF" w:rsidRDefault="00D2772C" w:rsidP="00B050EE">
      <w:pPr>
        <w:pStyle w:val="BodyText"/>
      </w:pPr>
      <w:r w:rsidRPr="00B050EE">
        <w:t xml:space="preserve">Estimates in this costing </w:t>
      </w:r>
      <w:r w:rsidR="00155774">
        <w:t>are</w:t>
      </w:r>
      <w:r w:rsidRPr="00B050EE">
        <w:t xml:space="preserve"> rounded to the nearest $100</w:t>
      </w:r>
      <w:r w:rsidR="00AD4DF3">
        <w:t> </w:t>
      </w:r>
      <w:r w:rsidRPr="00B050EE">
        <w:t>million.</w:t>
      </w:r>
    </w:p>
    <w:p w:rsidR="00FE3B13" w:rsidRDefault="00FE3B13" w:rsidP="00E81436">
      <w:pPr>
        <w:pStyle w:val="Heading1"/>
      </w:pPr>
      <w:r>
        <w:t>Data sources</w:t>
      </w:r>
    </w:p>
    <w:sdt>
      <w:sdtPr>
        <w:id w:val="489286637"/>
        <w:docPartObj>
          <w:docPartGallery w:val="Bibliographies"/>
          <w:docPartUnique/>
        </w:docPartObj>
      </w:sdtPr>
      <w:sdtEndPr/>
      <w:sdtContent>
        <w:p w:rsidR="006378ED" w:rsidRPr="00062EA2" w:rsidRDefault="006378ED" w:rsidP="006378ED">
          <w:pPr>
            <w:pStyle w:val="BodyText"/>
          </w:pPr>
          <w:proofErr w:type="gramStart"/>
          <w:r w:rsidRPr="00062EA2">
            <w:t>Australian Bureau of Statistics, 2016.</w:t>
          </w:r>
          <w:proofErr w:type="gramEnd"/>
          <w:r w:rsidRPr="00062EA2">
            <w:t xml:space="preserve"> </w:t>
          </w:r>
          <w:proofErr w:type="gramStart"/>
          <w:r w:rsidRPr="00062EA2">
            <w:t>Population Projections (Cat.</w:t>
          </w:r>
          <w:proofErr w:type="gramEnd"/>
          <w:r w:rsidRPr="00062EA2">
            <w:t xml:space="preserve"> No 3222.0), Canberra: Australian Bureau of Statistics.</w:t>
          </w:r>
        </w:p>
        <w:p w:rsidR="006378ED" w:rsidRPr="00062EA2" w:rsidRDefault="006378ED" w:rsidP="006378ED">
          <w:pPr>
            <w:pStyle w:val="BodyText"/>
          </w:pPr>
          <w:r w:rsidRPr="00062EA2">
            <w:t>Australian Bureau of Statistics, June 2016. Residential Property Price Indexes: Eight Capital Cities, Canberra: Australian Bureau of Statistics.</w:t>
          </w:r>
        </w:p>
        <w:p w:rsidR="006378ED" w:rsidRPr="00062EA2" w:rsidRDefault="006378ED" w:rsidP="006378ED">
          <w:pPr>
            <w:pStyle w:val="BodyText"/>
          </w:pPr>
          <w:proofErr w:type="gramStart"/>
          <w:r w:rsidRPr="00062EA2">
            <w:t>Commonwealth of Australia, 2010.</w:t>
          </w:r>
          <w:proofErr w:type="gramEnd"/>
          <w:r w:rsidRPr="00062EA2">
            <w:t xml:space="preserve"> 2009-10 Australia's Future Tax System review, Canberra: Commonwealth of Australia.</w:t>
          </w:r>
        </w:p>
        <w:p w:rsidR="006378ED" w:rsidRPr="00062EA2" w:rsidRDefault="006378ED" w:rsidP="006378ED">
          <w:pPr>
            <w:pStyle w:val="BodyText"/>
          </w:pPr>
          <w:proofErr w:type="gramStart"/>
          <w:r w:rsidRPr="00062EA2">
            <w:t>Commonwealth of Australia, 2016.</w:t>
          </w:r>
          <w:proofErr w:type="gramEnd"/>
          <w:r w:rsidRPr="00062EA2">
            <w:t xml:space="preserve"> 2016-17 Budget, Canberra: Commonwealth of Australia.</w:t>
          </w:r>
        </w:p>
        <w:p w:rsidR="006378ED" w:rsidRPr="00062EA2" w:rsidRDefault="006378ED" w:rsidP="006378ED">
          <w:pPr>
            <w:pStyle w:val="BodyText"/>
          </w:pPr>
          <w:proofErr w:type="gramStart"/>
          <w:r w:rsidRPr="00062EA2">
            <w:t>Commonwealth of Australia, 2016.</w:t>
          </w:r>
          <w:proofErr w:type="gramEnd"/>
          <w:r w:rsidRPr="00062EA2">
            <w:t xml:space="preserve"> Pre-election Economic and Fiscal Outlook, Canberra: Commonwealth of Australia.</w:t>
          </w:r>
        </w:p>
        <w:p w:rsidR="006378ED" w:rsidRPr="00062EA2" w:rsidRDefault="006378ED" w:rsidP="006378ED">
          <w:pPr>
            <w:pStyle w:val="BodyText"/>
          </w:pPr>
          <w:proofErr w:type="gramStart"/>
          <w:r w:rsidRPr="00062EA2">
            <w:t>Department of Environment, Land, Water and Planning, 2015.</w:t>
          </w:r>
          <w:proofErr w:type="gramEnd"/>
          <w:r w:rsidRPr="00062EA2">
            <w:t xml:space="preserve"> A guide to Property Values - Statistics 2015, Melbourne: Victorian State Government.</w:t>
          </w:r>
        </w:p>
        <w:p w:rsidR="006378ED" w:rsidRPr="00062EA2" w:rsidRDefault="006378ED" w:rsidP="006378ED">
          <w:pPr>
            <w:pStyle w:val="BodyText"/>
          </w:pPr>
          <w:r w:rsidRPr="00062EA2">
            <w:t>Gavin Wood, R. O. M. C. a. E. T., 2012. The spatial and distributional impacts of the Henry Review recommendations on stamp duty and land tax, Perth: Australian Housing and Urban Research Institute.</w:t>
          </w:r>
        </w:p>
        <w:p w:rsidR="00F476D7" w:rsidRDefault="006378ED" w:rsidP="006378ED">
          <w:pPr>
            <w:pStyle w:val="BodyText"/>
          </w:pPr>
          <w:r w:rsidRPr="00062EA2">
            <w:t>Stamp duty forecasts for participating states were taken fr</w:t>
          </w:r>
          <w:r>
            <w:t>om relevant state budget papers</w:t>
          </w:r>
        </w:p>
      </w:sdtContent>
    </w:sdt>
    <w:p w:rsidR="00F476D7" w:rsidRDefault="00F476D7" w:rsidP="004D6E6A">
      <w:pPr>
        <w:pStyle w:val="ListBullet"/>
        <w:numPr>
          <w:ilvl w:val="0"/>
          <w:numId w:val="0"/>
        </w:numPr>
      </w:pPr>
    </w:p>
    <w:p w:rsidR="0046444F" w:rsidRDefault="0046444F" w:rsidP="00B311BA">
      <w:pPr>
        <w:pStyle w:val="BodyText"/>
        <w:sectPr w:rsidR="0046444F" w:rsidSect="0046444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797" w:bottom="1474" w:left="1797" w:header="284" w:footer="454" w:gutter="0"/>
          <w:cols w:space="708"/>
          <w:titlePg/>
          <w:docGrid w:linePitch="360"/>
        </w:sectPr>
      </w:pPr>
    </w:p>
    <w:p w:rsidR="00016D53" w:rsidRPr="002D239A" w:rsidRDefault="00016D53" w:rsidP="002D239A">
      <w:pPr>
        <w:pStyle w:val="Heading8"/>
      </w:pPr>
      <w:r w:rsidRPr="002D239A">
        <w:lastRenderedPageBreak/>
        <w:t xml:space="preserve">– </w:t>
      </w:r>
      <w:r w:rsidR="003B2BB8" w:rsidRPr="00803BA0">
        <w:t>Financing state property tax reform</w:t>
      </w:r>
      <w:r w:rsidRPr="002D239A">
        <w:t>—financial implications</w:t>
      </w:r>
    </w:p>
    <w:p w:rsidR="00120A75" w:rsidRPr="003B2BB8" w:rsidRDefault="003E1562" w:rsidP="003B2BB8">
      <w:pPr>
        <w:pStyle w:val="Caption"/>
        <w:keepLines/>
        <w:rPr>
          <w:vertAlign w:val="superscript"/>
        </w:rPr>
      </w:pPr>
      <w:bookmarkStart w:id="0" w:name="ReturnHere"/>
      <w:bookmarkEnd w:id="0"/>
      <w:r w:rsidRPr="002D239A">
        <w:t xml:space="preserve">Table </w:t>
      </w:r>
      <w:fldSimple w:instr=" STYLEREF 8 \s ">
        <w:r w:rsidR="006326A0">
          <w:rPr>
            <w:noProof/>
          </w:rPr>
          <w:t>A</w:t>
        </w:r>
      </w:fldSimple>
      <w:r w:rsidR="003B2BB8">
        <w:t>1</w:t>
      </w:r>
      <w:r w:rsidRPr="002D239A">
        <w:t xml:space="preserve">: </w:t>
      </w:r>
      <w:r w:rsidR="003B2BB8" w:rsidRPr="00803BA0">
        <w:t>Financing state property tax reform</w:t>
      </w:r>
      <w:r>
        <w:t>—</w:t>
      </w:r>
      <w:r w:rsidR="003B2BB8">
        <w:t xml:space="preserve">Fiscal </w:t>
      </w:r>
      <w:proofErr w:type="gramStart"/>
      <w:r w:rsidR="003B2BB8">
        <w:t>balance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166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79"/>
      </w:tblGrid>
      <w:tr w:rsidR="0064060E" w:rsidTr="0013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8F0EF2" w:rsidRPr="002D239A" w:rsidRDefault="008F0EF2" w:rsidP="007B57C9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2016–17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2017–18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2018–19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5385D">
              <w:rPr>
                <w:sz w:val="18"/>
              </w:rPr>
              <w:t>Total to 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2020–21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2021–22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2022–23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2023–24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2024–25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2025–26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7B57C9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45385D">
              <w:rPr>
                <w:b w:val="0"/>
                <w:sz w:val="18"/>
              </w:rPr>
              <w:t>2026–27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7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8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45385D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9</w:t>
            </w:r>
            <w:r w:rsidRPr="008625C8">
              <w:rPr>
                <w:b w:val="0"/>
                <w:sz w:val="18"/>
              </w:rPr>
              <w:t>–</w:t>
            </w:r>
            <w:r>
              <w:rPr>
                <w:b w:val="0"/>
                <w:sz w:val="18"/>
              </w:rPr>
              <w:t>30</w:t>
            </w:r>
          </w:p>
        </w:tc>
        <w:tc>
          <w:tcPr>
            <w:tcW w:w="274" w:type="pct"/>
            <w:shd w:val="clear" w:color="auto" w:fill="D7DDE9" w:themeFill="accent3"/>
            <w:vAlign w:val="center"/>
          </w:tcPr>
          <w:p w:rsidR="008F0EF2" w:rsidRPr="0045385D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5385D">
              <w:rPr>
                <w:sz w:val="18"/>
              </w:rPr>
              <w:t>Total to 20</w:t>
            </w:r>
            <w:r>
              <w:rPr>
                <w:sz w:val="18"/>
              </w:rPr>
              <w:t>29-30</w:t>
            </w:r>
          </w:p>
        </w:tc>
      </w:tr>
      <w:tr w:rsidR="00684BF6" w:rsidTr="006F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684BF6" w:rsidRPr="0068485D" w:rsidRDefault="00684BF6" w:rsidP="0028563E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68485D">
              <w:rPr>
                <w:b w:val="0"/>
              </w:rPr>
              <w:t>Net concessional loan expense</w:t>
            </w:r>
          </w:p>
        </w:tc>
        <w:tc>
          <w:tcPr>
            <w:tcW w:w="276" w:type="pct"/>
            <w:vAlign w:val="center"/>
          </w:tcPr>
          <w:p w:rsidR="00684BF6" w:rsidRPr="006C3668" w:rsidRDefault="002A149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-300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-300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-200</w:t>
            </w:r>
          </w:p>
        </w:tc>
        <w:tc>
          <w:tcPr>
            <w:tcW w:w="276" w:type="pct"/>
            <w:vAlign w:val="center"/>
          </w:tcPr>
          <w:p w:rsidR="00684BF6" w:rsidRPr="0068485D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>-800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-100</w:t>
            </w:r>
          </w:p>
        </w:tc>
        <w:tc>
          <w:tcPr>
            <w:tcW w:w="276" w:type="pct"/>
            <w:vAlign w:val="center"/>
          </w:tcPr>
          <w:p w:rsidR="00684BF6" w:rsidRPr="006C3668" w:rsidRDefault="00604550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..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200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971AEF">
              <w:t>200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100</w:t>
            </w:r>
          </w:p>
        </w:tc>
        <w:tc>
          <w:tcPr>
            <w:tcW w:w="276" w:type="pct"/>
            <w:vAlign w:val="center"/>
          </w:tcPr>
          <w:p w:rsidR="00684BF6" w:rsidRDefault="00604550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..</w:t>
            </w:r>
          </w:p>
        </w:tc>
        <w:tc>
          <w:tcPr>
            <w:tcW w:w="274" w:type="pct"/>
            <w:vAlign w:val="center"/>
          </w:tcPr>
          <w:p w:rsidR="00684BF6" w:rsidRPr="0068485D" w:rsidRDefault="002A1491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>-</w:t>
            </w:r>
          </w:p>
        </w:tc>
      </w:tr>
      <w:tr w:rsidR="00684BF6" w:rsidTr="006F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684BF6" w:rsidRPr="0068485D" w:rsidRDefault="00684BF6" w:rsidP="007B57C9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68485D">
              <w:rPr>
                <w:b w:val="0"/>
              </w:rPr>
              <w:t>Interest revenue</w:t>
            </w:r>
          </w:p>
        </w:tc>
        <w:tc>
          <w:tcPr>
            <w:tcW w:w="276" w:type="pct"/>
            <w:vAlign w:val="center"/>
          </w:tcPr>
          <w:p w:rsidR="00684BF6" w:rsidRDefault="002A149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500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900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1,200</w:t>
            </w:r>
          </w:p>
        </w:tc>
        <w:tc>
          <w:tcPr>
            <w:tcW w:w="276" w:type="pct"/>
            <w:vAlign w:val="center"/>
          </w:tcPr>
          <w:p w:rsidR="00684BF6" w:rsidRPr="0068485D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>2,600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1,400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1,600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1,700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1,700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1,600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1,500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1,300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1,000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600</w:t>
            </w:r>
          </w:p>
        </w:tc>
        <w:tc>
          <w:tcPr>
            <w:tcW w:w="276" w:type="pct"/>
            <w:vAlign w:val="center"/>
          </w:tcPr>
          <w:p w:rsidR="00684BF6" w:rsidRDefault="00604550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..</w:t>
            </w:r>
          </w:p>
        </w:tc>
        <w:tc>
          <w:tcPr>
            <w:tcW w:w="274" w:type="pct"/>
            <w:vAlign w:val="center"/>
          </w:tcPr>
          <w:p w:rsidR="00684BF6" w:rsidRPr="0068485D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 xml:space="preserve"> 14,900 </w:t>
            </w:r>
          </w:p>
        </w:tc>
      </w:tr>
      <w:tr w:rsidR="00684BF6" w:rsidTr="006F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684BF6" w:rsidRPr="0068485D" w:rsidRDefault="00684BF6" w:rsidP="007B57C9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68485D">
              <w:rPr>
                <w:b w:val="0"/>
              </w:rPr>
              <w:t>PDI interest expense</w:t>
            </w:r>
          </w:p>
        </w:tc>
        <w:tc>
          <w:tcPr>
            <w:tcW w:w="276" w:type="pct"/>
            <w:vAlign w:val="center"/>
          </w:tcPr>
          <w:p w:rsidR="00684BF6" w:rsidRPr="006C3668" w:rsidRDefault="002A149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-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-500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-900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-1,200</w:t>
            </w:r>
          </w:p>
        </w:tc>
        <w:tc>
          <w:tcPr>
            <w:tcW w:w="276" w:type="pct"/>
            <w:vAlign w:val="center"/>
          </w:tcPr>
          <w:p w:rsidR="00684BF6" w:rsidRPr="0068485D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>-2,600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-1,400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-1,600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-1,700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-1,700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971AEF">
              <w:t>-1,600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-1,500</w:t>
            </w:r>
          </w:p>
        </w:tc>
        <w:tc>
          <w:tcPr>
            <w:tcW w:w="276" w:type="pct"/>
            <w:vAlign w:val="center"/>
          </w:tcPr>
          <w:p w:rsidR="00684BF6" w:rsidRPr="006C3668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-1,300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-1,000</w:t>
            </w:r>
          </w:p>
        </w:tc>
        <w:tc>
          <w:tcPr>
            <w:tcW w:w="276" w:type="pct"/>
            <w:vAlign w:val="center"/>
          </w:tcPr>
          <w:p w:rsidR="00684BF6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971AEF">
              <w:t>-600</w:t>
            </w:r>
          </w:p>
        </w:tc>
        <w:tc>
          <w:tcPr>
            <w:tcW w:w="276" w:type="pct"/>
            <w:vAlign w:val="center"/>
          </w:tcPr>
          <w:p w:rsidR="00684BF6" w:rsidRDefault="00604550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>
              <w:t>..</w:t>
            </w:r>
          </w:p>
        </w:tc>
        <w:tc>
          <w:tcPr>
            <w:tcW w:w="274" w:type="pct"/>
            <w:vAlign w:val="center"/>
          </w:tcPr>
          <w:p w:rsidR="00684BF6" w:rsidRPr="0068485D" w:rsidRDefault="00684BF6" w:rsidP="0068485D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lightGray"/>
              </w:rPr>
            </w:pPr>
            <w:r w:rsidRPr="0068485D">
              <w:rPr>
                <w:b/>
              </w:rPr>
              <w:t>-14,900</w:t>
            </w:r>
          </w:p>
        </w:tc>
      </w:tr>
      <w:tr w:rsidR="0064060E" w:rsidTr="00E47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625FCA" w:rsidRPr="002D239A" w:rsidRDefault="00625FCA" w:rsidP="007B57C9">
            <w:pPr>
              <w:pStyle w:val="TableText"/>
              <w:keepNext/>
              <w:keepLines/>
              <w:ind w:left="-57" w:right="-57"/>
            </w:pPr>
            <w:r>
              <w:t>Total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BF625F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625FCA" w:rsidRPr="0045385D">
              <w:rPr>
                <w:b/>
              </w:rPr>
              <w:t>300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625FCA" w:rsidRPr="0045385D">
              <w:rPr>
                <w:b/>
              </w:rPr>
              <w:t>300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625FCA" w:rsidRPr="0045385D">
              <w:rPr>
                <w:b/>
              </w:rPr>
              <w:t>200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625FCA" w:rsidRPr="0045385D">
              <w:rPr>
                <w:b/>
              </w:rPr>
              <w:t>800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  <w:r w:rsidR="00625FCA" w:rsidRPr="0045385D"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..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200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200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Pr="008D77AF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Default="00625FCA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85D"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</w:tcPr>
          <w:p w:rsidR="00625FCA" w:rsidRDefault="007E16F4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625FCA" w:rsidRDefault="00604550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274" w:type="pct"/>
            <w:shd w:val="clear" w:color="auto" w:fill="D7DDE9" w:themeFill="accent3"/>
          </w:tcPr>
          <w:p w:rsidR="00625FCA" w:rsidRPr="008D77AF" w:rsidRDefault="00BF625F" w:rsidP="0045385D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D1C02" w:rsidRPr="00E40570" w:rsidRDefault="00133966" w:rsidP="0068485D">
      <w:pPr>
        <w:pStyle w:val="TableFootnotes"/>
        <w:numPr>
          <w:ilvl w:val="0"/>
          <w:numId w:val="13"/>
        </w:numPr>
        <w:ind w:left="284" w:hanging="284"/>
      </w:pPr>
      <w:r w:rsidRPr="00E40570">
        <w:t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</w:t>
      </w:r>
      <w:r w:rsidR="009D1C02" w:rsidRPr="00E40570">
        <w:t>.</w:t>
      </w:r>
    </w:p>
    <w:p w:rsidR="003E1562" w:rsidRPr="00E40570" w:rsidRDefault="003E1562" w:rsidP="0068485D">
      <w:pPr>
        <w:pStyle w:val="TableFootnotes"/>
        <w:ind w:left="284" w:hanging="284"/>
      </w:pPr>
      <w:r w:rsidRPr="00E40570">
        <w:t>Figures may not sum to totals due to rounding.</w:t>
      </w:r>
    </w:p>
    <w:p w:rsidR="003E1562" w:rsidRDefault="003E1562" w:rsidP="003E1562">
      <w:pPr>
        <w:pStyle w:val="TableFootnotes"/>
        <w:keepNext/>
        <w:numPr>
          <w:ilvl w:val="0"/>
          <w:numId w:val="0"/>
        </w:numPr>
        <w:ind w:left="284" w:hanging="284"/>
      </w:pPr>
      <w:r>
        <w:t>..</w:t>
      </w:r>
      <w:r>
        <w:tab/>
        <w:t>Not zero but rounded to zero.</w:t>
      </w:r>
    </w:p>
    <w:p w:rsidR="002D239A" w:rsidRDefault="003E1562" w:rsidP="009D1C02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3B2BB8" w:rsidRPr="003B2BB8" w:rsidRDefault="003B2BB8" w:rsidP="003B2BB8">
      <w:pPr>
        <w:pStyle w:val="Caption"/>
        <w:keepLines/>
        <w:rPr>
          <w:vertAlign w:val="superscript"/>
        </w:rPr>
      </w:pPr>
      <w:r w:rsidRPr="002D239A">
        <w:lastRenderedPageBreak/>
        <w:t xml:space="preserve">Table </w:t>
      </w:r>
      <w:fldSimple w:instr=" STYLEREF 8 \s ">
        <w:r w:rsidR="006326A0">
          <w:rPr>
            <w:noProof/>
          </w:rPr>
          <w:t>A</w:t>
        </w:r>
      </w:fldSimple>
      <w:r w:rsidR="001670D8">
        <w:t>2</w:t>
      </w:r>
      <w:r w:rsidRPr="002D239A">
        <w:t xml:space="preserve">: </w:t>
      </w:r>
      <w:r w:rsidRPr="00803BA0">
        <w:t>Financing state property tax reform</w:t>
      </w:r>
      <w:r>
        <w:t xml:space="preserve">—Underlying cash </w:t>
      </w:r>
      <w:proofErr w:type="gramStart"/>
      <w:r>
        <w:t>balance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166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79"/>
      </w:tblGrid>
      <w:tr w:rsidR="0064060E" w:rsidTr="0013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2016–17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2017–18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2018–19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sz w:val="18"/>
              </w:rPr>
              <w:t>Total to 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2020–21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2021–22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2022–23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2023–24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2024–25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2025–26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2026–27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7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8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9</w:t>
            </w:r>
            <w:r w:rsidRPr="008625C8">
              <w:rPr>
                <w:b w:val="0"/>
                <w:sz w:val="18"/>
              </w:rPr>
              <w:t>–</w:t>
            </w:r>
            <w:r>
              <w:rPr>
                <w:b w:val="0"/>
                <w:sz w:val="18"/>
              </w:rPr>
              <w:t>30</w:t>
            </w:r>
          </w:p>
        </w:tc>
        <w:tc>
          <w:tcPr>
            <w:tcW w:w="274" w:type="pct"/>
            <w:shd w:val="clear" w:color="auto" w:fill="D7DDE9" w:themeFill="accent3"/>
            <w:vAlign w:val="center"/>
          </w:tcPr>
          <w:p w:rsidR="008F0EF2" w:rsidRPr="002D239A" w:rsidRDefault="008F0EF2" w:rsidP="00F82E14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sz w:val="18"/>
              </w:rPr>
              <w:t>Total to 20</w:t>
            </w:r>
            <w:r>
              <w:rPr>
                <w:sz w:val="18"/>
              </w:rPr>
              <w:t>29-30</w:t>
            </w:r>
          </w:p>
        </w:tc>
      </w:tr>
      <w:tr w:rsidR="00BC5D71" w:rsidTr="006F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BC5D71" w:rsidRPr="0068485D" w:rsidRDefault="00BC5D71" w:rsidP="00F82E14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68485D">
              <w:rPr>
                <w:b w:val="0"/>
              </w:rPr>
              <w:t>Interest receipts</w:t>
            </w:r>
          </w:p>
        </w:tc>
        <w:tc>
          <w:tcPr>
            <w:tcW w:w="276" w:type="pct"/>
            <w:vAlign w:val="center"/>
          </w:tcPr>
          <w:p w:rsidR="00BC5D71" w:rsidRPr="00BC5D71" w:rsidRDefault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400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800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1,100</w:t>
            </w:r>
          </w:p>
        </w:tc>
        <w:tc>
          <w:tcPr>
            <w:tcW w:w="276" w:type="pct"/>
          </w:tcPr>
          <w:p w:rsidR="00BC5D71" w:rsidRPr="0068485D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2,300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1,400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1,600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1,700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1,700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1,600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1,500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1,300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1,000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600</w:t>
            </w:r>
          </w:p>
        </w:tc>
        <w:tc>
          <w:tcPr>
            <w:tcW w:w="276" w:type="pct"/>
          </w:tcPr>
          <w:p w:rsidR="00BC5D71" w:rsidRPr="00BC5D71" w:rsidRDefault="007E3EC8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</w:t>
            </w:r>
          </w:p>
        </w:tc>
        <w:tc>
          <w:tcPr>
            <w:tcW w:w="274" w:type="pct"/>
          </w:tcPr>
          <w:p w:rsidR="00BC5D71" w:rsidRPr="0068485D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 xml:space="preserve"> 14,900 </w:t>
            </w:r>
          </w:p>
        </w:tc>
      </w:tr>
      <w:tr w:rsidR="00BC5D71" w:rsidTr="006F0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BC5D71" w:rsidRPr="0068485D" w:rsidRDefault="00BC5D71" w:rsidP="00F82E14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68485D">
              <w:rPr>
                <w:b w:val="0"/>
              </w:rPr>
              <w:t>PDI interest payments</w:t>
            </w:r>
          </w:p>
        </w:tc>
        <w:tc>
          <w:tcPr>
            <w:tcW w:w="276" w:type="pct"/>
            <w:vAlign w:val="center"/>
          </w:tcPr>
          <w:p w:rsidR="00BC5D71" w:rsidRPr="00BC5D71" w:rsidRDefault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-400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-800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-1,100</w:t>
            </w:r>
          </w:p>
        </w:tc>
        <w:tc>
          <w:tcPr>
            <w:tcW w:w="276" w:type="pct"/>
          </w:tcPr>
          <w:p w:rsidR="00BC5D71" w:rsidRPr="0068485D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-2,300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-1,400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-1,600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-1,700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-1,700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-1,600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-1,500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-1,300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-1,000</w:t>
            </w:r>
          </w:p>
        </w:tc>
        <w:tc>
          <w:tcPr>
            <w:tcW w:w="276" w:type="pct"/>
          </w:tcPr>
          <w:p w:rsidR="00BC5D71" w:rsidRPr="00BC5D71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478C">
              <w:t>-600</w:t>
            </w:r>
          </w:p>
        </w:tc>
        <w:tc>
          <w:tcPr>
            <w:tcW w:w="276" w:type="pct"/>
          </w:tcPr>
          <w:p w:rsidR="00BC5D71" w:rsidRPr="00BC5D71" w:rsidRDefault="007E3EC8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</w:t>
            </w:r>
          </w:p>
        </w:tc>
        <w:tc>
          <w:tcPr>
            <w:tcW w:w="274" w:type="pct"/>
          </w:tcPr>
          <w:p w:rsidR="00BC5D71" w:rsidRPr="0068485D" w:rsidRDefault="00BC5D71" w:rsidP="00BC5D71">
            <w:pPr>
              <w:pStyle w:val="TableTextRightItalic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 xml:space="preserve">-14,900 </w:t>
            </w:r>
          </w:p>
        </w:tc>
      </w:tr>
      <w:tr w:rsidR="0064060E" w:rsidTr="0013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B641D2" w:rsidRPr="002D239A" w:rsidRDefault="00B641D2" w:rsidP="00F82E14">
            <w:pPr>
              <w:pStyle w:val="TableText"/>
              <w:keepNext/>
              <w:keepLines/>
              <w:ind w:left="-57" w:right="-57"/>
            </w:pPr>
            <w:r>
              <w:t>Total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492B93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</w:tcPr>
          <w:p w:rsidR="00B641D2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4" w:type="pct"/>
            <w:shd w:val="clear" w:color="auto" w:fill="D7DDE9" w:themeFill="accent3"/>
          </w:tcPr>
          <w:p w:rsidR="00B641D2" w:rsidRPr="008D77AF" w:rsidRDefault="00BC5D71" w:rsidP="00BC5D71">
            <w:pPr>
              <w:pStyle w:val="TableTextRight"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D1C02" w:rsidRDefault="00133966" w:rsidP="0068485D">
      <w:pPr>
        <w:pStyle w:val="TableFootnotes"/>
        <w:numPr>
          <w:ilvl w:val="0"/>
          <w:numId w:val="17"/>
        </w:numPr>
        <w:ind w:left="284" w:hanging="284"/>
      </w:pPr>
      <w:r w:rsidRPr="00133966">
        <w:t>A positive number for the underlying cash balance indicates an increase in receipts or a decrease in outlays or net capital investment in cash terms.  A negative number for the underlying cash balance indicates a decrease in receipts or an increase in outlays or net capital investment in cash terms</w:t>
      </w:r>
      <w:r w:rsidR="009D1C02" w:rsidRPr="009D1C02">
        <w:t>.</w:t>
      </w:r>
    </w:p>
    <w:p w:rsidR="003B2BB8" w:rsidRPr="002D239A" w:rsidRDefault="003B2BB8" w:rsidP="0068485D">
      <w:pPr>
        <w:pStyle w:val="TableFootnotes"/>
        <w:ind w:left="284" w:hanging="284"/>
      </w:pPr>
      <w:r>
        <w:t>Figures may not sum to totals due to rounding.</w:t>
      </w:r>
    </w:p>
    <w:p w:rsidR="003B2BB8" w:rsidRDefault="003B2BB8" w:rsidP="003B2BB8">
      <w:pPr>
        <w:pStyle w:val="TableFootnotes"/>
        <w:keepNext/>
        <w:numPr>
          <w:ilvl w:val="0"/>
          <w:numId w:val="0"/>
        </w:numPr>
        <w:ind w:left="284" w:hanging="284"/>
      </w:pPr>
      <w:r>
        <w:t>..</w:t>
      </w:r>
      <w:r>
        <w:tab/>
        <w:t>Not zero but rounded to zero.</w:t>
      </w:r>
    </w:p>
    <w:p w:rsidR="003B2BB8" w:rsidRDefault="003B2BB8" w:rsidP="009D1C02">
      <w:pPr>
        <w:pStyle w:val="TableFootnotes"/>
        <w:keepLines w:val="0"/>
        <w:numPr>
          <w:ilvl w:val="0"/>
          <w:numId w:val="11"/>
        </w:numPr>
        <w:ind w:left="284" w:hanging="284"/>
      </w:pPr>
      <w:r>
        <w:t>Indicates nil.</w:t>
      </w:r>
    </w:p>
    <w:p w:rsidR="003B2BB8" w:rsidRPr="003B2BB8" w:rsidRDefault="003B2BB8" w:rsidP="00E40570">
      <w:pPr>
        <w:pStyle w:val="Caption"/>
        <w:keepLines/>
        <w:rPr>
          <w:vertAlign w:val="superscript"/>
        </w:rPr>
      </w:pPr>
      <w:r w:rsidRPr="002D239A">
        <w:lastRenderedPageBreak/>
        <w:t xml:space="preserve">Table </w:t>
      </w:r>
      <w:fldSimple w:instr=" STYLEREF 8 \s ">
        <w:r w:rsidR="006326A0">
          <w:rPr>
            <w:noProof/>
          </w:rPr>
          <w:t>A</w:t>
        </w:r>
      </w:fldSimple>
      <w:r w:rsidR="001670D8">
        <w:t>3</w:t>
      </w:r>
      <w:r w:rsidRPr="002D239A">
        <w:t xml:space="preserve">: </w:t>
      </w:r>
      <w:r w:rsidRPr="00803BA0">
        <w:t>Financing state property tax reform</w:t>
      </w:r>
      <w:r>
        <w:t xml:space="preserve">—Headline cash </w:t>
      </w:r>
      <w:proofErr w:type="gramStart"/>
      <w:r>
        <w:t>balance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166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79"/>
      </w:tblGrid>
      <w:tr w:rsidR="0064060E" w:rsidTr="00AD4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"/>
              <w:ind w:left="-57" w:right="-57"/>
            </w:pPr>
            <w:r>
              <w:t>($m)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2016–17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2017–18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2018–19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sz w:val="18"/>
              </w:rPr>
              <w:t>Total to 2019–20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2020–21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2021–22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2022–23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2023–24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2024–25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2025–26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Pr="007B57C9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625C8">
              <w:rPr>
                <w:b w:val="0"/>
                <w:sz w:val="18"/>
              </w:rPr>
              <w:t>2026–27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7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8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8</w:t>
            </w:r>
            <w:r w:rsidRPr="008625C8">
              <w:rPr>
                <w:b w:val="0"/>
                <w:sz w:val="18"/>
              </w:rPr>
              <w:t>–2</w:t>
            </w:r>
            <w:r>
              <w:rPr>
                <w:b w:val="0"/>
                <w:sz w:val="18"/>
              </w:rPr>
              <w:t>9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8F0EF2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b w:val="0"/>
                <w:sz w:val="18"/>
              </w:rPr>
              <w:t>202</w:t>
            </w:r>
            <w:r>
              <w:rPr>
                <w:b w:val="0"/>
                <w:sz w:val="18"/>
              </w:rPr>
              <w:t>9</w:t>
            </w:r>
            <w:r w:rsidRPr="008625C8">
              <w:rPr>
                <w:b w:val="0"/>
                <w:sz w:val="18"/>
              </w:rPr>
              <w:t>–</w:t>
            </w:r>
            <w:r>
              <w:rPr>
                <w:b w:val="0"/>
                <w:sz w:val="18"/>
              </w:rPr>
              <w:t>30</w:t>
            </w:r>
          </w:p>
        </w:tc>
        <w:tc>
          <w:tcPr>
            <w:tcW w:w="274" w:type="pct"/>
            <w:shd w:val="clear" w:color="auto" w:fill="D7DDE9" w:themeFill="accent3"/>
            <w:vAlign w:val="center"/>
          </w:tcPr>
          <w:p w:rsidR="008F0EF2" w:rsidRPr="002D239A" w:rsidRDefault="008F0EF2" w:rsidP="00E40570">
            <w:pPr>
              <w:pStyle w:val="TableHeadingRight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5C8">
              <w:rPr>
                <w:sz w:val="18"/>
              </w:rPr>
              <w:t>Total to 20</w:t>
            </w:r>
            <w:r>
              <w:rPr>
                <w:sz w:val="18"/>
              </w:rPr>
              <w:t>29-30</w:t>
            </w:r>
          </w:p>
        </w:tc>
      </w:tr>
      <w:tr w:rsidR="00AD4A2C" w:rsidTr="00AD4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413C64" w:rsidRPr="002F4101" w:rsidRDefault="00413C64" w:rsidP="00E40570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2F4101">
              <w:rPr>
                <w:b w:val="0"/>
              </w:rPr>
              <w:t>Loan cash flows</w:t>
            </w:r>
          </w:p>
        </w:tc>
        <w:tc>
          <w:tcPr>
            <w:tcW w:w="276" w:type="pct"/>
          </w:tcPr>
          <w:p w:rsidR="00413C64" w:rsidRPr="002741A1" w:rsidRDefault="00703C93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-19,000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-15,900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-12,100</w:t>
            </w:r>
          </w:p>
        </w:tc>
        <w:tc>
          <w:tcPr>
            <w:tcW w:w="276" w:type="pct"/>
          </w:tcPr>
          <w:p w:rsidR="00413C64" w:rsidRPr="0068485D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-47,000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-8,300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-5,00</w:t>
            </w:r>
            <w:r w:rsidR="00703C93">
              <w:t>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-1,300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2,</w:t>
            </w:r>
            <w:r w:rsidR="008D69A8">
              <w:t>3</w:t>
            </w:r>
            <w:r w:rsidRPr="0080619E">
              <w:t>0</w:t>
            </w:r>
            <w:r w:rsidR="00703C93">
              <w:t>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5,600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9,200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12,</w:t>
            </w:r>
            <w:r w:rsidR="008D69A8">
              <w:t>7</w:t>
            </w:r>
            <w:r w:rsidRPr="0080619E">
              <w:t>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16,000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15,</w:t>
            </w:r>
            <w:r w:rsidR="008D69A8">
              <w:t>7</w:t>
            </w:r>
            <w:r w:rsidRPr="0080619E">
              <w:t>00</w:t>
            </w:r>
          </w:p>
        </w:tc>
        <w:tc>
          <w:tcPr>
            <w:tcW w:w="276" w:type="pct"/>
          </w:tcPr>
          <w:p w:rsidR="00413C64" w:rsidRPr="002741A1" w:rsidRDefault="00E474EF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</w:t>
            </w:r>
          </w:p>
        </w:tc>
        <w:tc>
          <w:tcPr>
            <w:tcW w:w="274" w:type="pct"/>
          </w:tcPr>
          <w:p w:rsidR="00413C64" w:rsidRPr="0068485D" w:rsidRDefault="00703C93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-</w:t>
            </w:r>
          </w:p>
        </w:tc>
      </w:tr>
      <w:tr w:rsidR="002741A1" w:rsidTr="00AD4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2741A1" w:rsidRPr="002F4101" w:rsidRDefault="002741A1" w:rsidP="00E40570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2F4101">
              <w:rPr>
                <w:b w:val="0"/>
              </w:rPr>
              <w:t>Interest receipts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400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800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1,100</w:t>
            </w:r>
          </w:p>
        </w:tc>
        <w:tc>
          <w:tcPr>
            <w:tcW w:w="276" w:type="pct"/>
          </w:tcPr>
          <w:p w:rsidR="002741A1" w:rsidRPr="0068485D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2,300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1,400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1,600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1,700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1,700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1,600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1,500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1,300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1,000</w:t>
            </w:r>
          </w:p>
        </w:tc>
        <w:tc>
          <w:tcPr>
            <w:tcW w:w="276" w:type="pct"/>
          </w:tcPr>
          <w:p w:rsidR="002741A1" w:rsidRPr="002741A1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128D">
              <w:t>600</w:t>
            </w:r>
          </w:p>
        </w:tc>
        <w:tc>
          <w:tcPr>
            <w:tcW w:w="276" w:type="pct"/>
          </w:tcPr>
          <w:p w:rsidR="002741A1" w:rsidRPr="002741A1" w:rsidRDefault="007E3EC8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</w:t>
            </w:r>
          </w:p>
        </w:tc>
        <w:tc>
          <w:tcPr>
            <w:tcW w:w="274" w:type="pct"/>
          </w:tcPr>
          <w:p w:rsidR="002741A1" w:rsidRPr="0068485D" w:rsidRDefault="002741A1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14,900</w:t>
            </w:r>
          </w:p>
        </w:tc>
      </w:tr>
      <w:tr w:rsidR="00AD4A2C" w:rsidTr="00AD4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vAlign w:val="center"/>
          </w:tcPr>
          <w:p w:rsidR="00413C64" w:rsidRPr="002F4101" w:rsidRDefault="00413C64" w:rsidP="00E40570">
            <w:pPr>
              <w:pStyle w:val="TableText"/>
              <w:keepNext/>
              <w:keepLines/>
              <w:ind w:left="-57" w:right="-57"/>
              <w:rPr>
                <w:b w:val="0"/>
              </w:rPr>
            </w:pPr>
            <w:r w:rsidRPr="002F4101">
              <w:rPr>
                <w:b w:val="0"/>
              </w:rPr>
              <w:t>PDI interest payments</w:t>
            </w:r>
          </w:p>
        </w:tc>
        <w:tc>
          <w:tcPr>
            <w:tcW w:w="276" w:type="pct"/>
          </w:tcPr>
          <w:p w:rsidR="00413C64" w:rsidRPr="002741A1" w:rsidRDefault="00703C93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76" w:type="pct"/>
          </w:tcPr>
          <w:p w:rsidR="00413C64" w:rsidRPr="002741A1" w:rsidRDefault="005016E6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-400</w:t>
            </w:r>
          </w:p>
        </w:tc>
        <w:tc>
          <w:tcPr>
            <w:tcW w:w="276" w:type="pct"/>
          </w:tcPr>
          <w:p w:rsidR="00413C64" w:rsidRPr="002741A1" w:rsidRDefault="005016E6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-800</w:t>
            </w:r>
          </w:p>
        </w:tc>
        <w:tc>
          <w:tcPr>
            <w:tcW w:w="276" w:type="pct"/>
          </w:tcPr>
          <w:p w:rsidR="00413C64" w:rsidRPr="002741A1" w:rsidRDefault="005016E6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-1,100</w:t>
            </w:r>
          </w:p>
        </w:tc>
        <w:tc>
          <w:tcPr>
            <w:tcW w:w="276" w:type="pct"/>
          </w:tcPr>
          <w:p w:rsidR="00413C64" w:rsidRPr="0068485D" w:rsidRDefault="005016E6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-2,300</w:t>
            </w:r>
          </w:p>
        </w:tc>
        <w:tc>
          <w:tcPr>
            <w:tcW w:w="276" w:type="pct"/>
          </w:tcPr>
          <w:p w:rsidR="00413C64" w:rsidRPr="002741A1" w:rsidRDefault="005016E6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-1,400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-1,600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-1,70</w:t>
            </w:r>
            <w:r w:rsidR="005016E6">
              <w:t>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-1,700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-1,600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-1,500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-1,300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-1,000</w:t>
            </w:r>
          </w:p>
        </w:tc>
        <w:tc>
          <w:tcPr>
            <w:tcW w:w="276" w:type="pct"/>
          </w:tcPr>
          <w:p w:rsidR="00413C64" w:rsidRPr="002741A1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19E">
              <w:t>-600</w:t>
            </w:r>
          </w:p>
        </w:tc>
        <w:tc>
          <w:tcPr>
            <w:tcW w:w="276" w:type="pct"/>
          </w:tcPr>
          <w:p w:rsidR="00413C64" w:rsidRPr="002741A1" w:rsidRDefault="007E3EC8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</w:t>
            </w:r>
          </w:p>
        </w:tc>
        <w:tc>
          <w:tcPr>
            <w:tcW w:w="274" w:type="pct"/>
          </w:tcPr>
          <w:p w:rsidR="00413C64" w:rsidRPr="0068485D" w:rsidRDefault="00413C64" w:rsidP="002741A1">
            <w:pPr>
              <w:pStyle w:val="TableTextRightItalic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485D">
              <w:rPr>
                <w:b/>
              </w:rPr>
              <w:t>-14,900</w:t>
            </w:r>
          </w:p>
        </w:tc>
      </w:tr>
      <w:tr w:rsidR="0064060E" w:rsidTr="00274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D7DDE9" w:themeFill="accent3"/>
            <w:vAlign w:val="center"/>
          </w:tcPr>
          <w:p w:rsidR="002741A1" w:rsidRPr="002D239A" w:rsidRDefault="002741A1" w:rsidP="00E40570">
            <w:pPr>
              <w:pStyle w:val="TableText"/>
              <w:keepNext/>
              <w:keepLines/>
              <w:ind w:left="-57" w:right="-57"/>
            </w:pPr>
            <w:r>
              <w:t>Total</w:t>
            </w:r>
          </w:p>
        </w:tc>
        <w:tc>
          <w:tcPr>
            <w:tcW w:w="276" w:type="pct"/>
            <w:shd w:val="clear" w:color="auto" w:fill="D7DDE9" w:themeFill="accent3"/>
          </w:tcPr>
          <w:p w:rsidR="002741A1" w:rsidRPr="008D77AF" w:rsidRDefault="002741A1" w:rsidP="002741A1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-19,000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-15,900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-12,100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-47,000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-8,300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-5,000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-1,300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2,</w:t>
            </w:r>
            <w:r w:rsidR="008D69A8">
              <w:rPr>
                <w:b/>
                <w:bCs/>
                <w:color w:val="000000"/>
                <w:szCs w:val="20"/>
              </w:rPr>
              <w:t>3</w:t>
            </w:r>
            <w:r>
              <w:rPr>
                <w:b/>
                <w:bCs/>
                <w:color w:val="000000"/>
                <w:szCs w:val="20"/>
              </w:rPr>
              <w:t>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5,600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9,200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Pr="008D77AF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12,</w:t>
            </w:r>
            <w:r w:rsidR="008D69A8">
              <w:rPr>
                <w:b/>
                <w:bCs/>
                <w:color w:val="000000"/>
                <w:szCs w:val="20"/>
              </w:rPr>
              <w:t>7</w:t>
            </w:r>
            <w:r>
              <w:rPr>
                <w:b/>
                <w:bCs/>
                <w:color w:val="000000"/>
                <w:szCs w:val="20"/>
              </w:rPr>
              <w:t>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16,000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Default="002741A1" w:rsidP="00BC23BD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15,</w:t>
            </w:r>
            <w:r w:rsidR="008D69A8">
              <w:rPr>
                <w:b/>
                <w:bCs/>
                <w:color w:val="000000"/>
                <w:szCs w:val="20"/>
              </w:rPr>
              <w:t>7</w:t>
            </w:r>
            <w:r>
              <w:rPr>
                <w:b/>
                <w:bCs/>
                <w:color w:val="000000"/>
                <w:szCs w:val="20"/>
              </w:rPr>
              <w:t>00</w:t>
            </w:r>
          </w:p>
        </w:tc>
        <w:tc>
          <w:tcPr>
            <w:tcW w:w="276" w:type="pct"/>
            <w:shd w:val="clear" w:color="auto" w:fill="D7DDE9" w:themeFill="accent3"/>
            <w:vAlign w:val="center"/>
          </w:tcPr>
          <w:p w:rsidR="002741A1" w:rsidRDefault="00F97293" w:rsidP="002741A1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  <w:color w:val="000000"/>
                <w:szCs w:val="20"/>
              </w:rPr>
              <w:t>..</w:t>
            </w:r>
          </w:p>
        </w:tc>
        <w:tc>
          <w:tcPr>
            <w:tcW w:w="274" w:type="pct"/>
            <w:shd w:val="clear" w:color="auto" w:fill="D7DDE9" w:themeFill="accent3"/>
          </w:tcPr>
          <w:p w:rsidR="002741A1" w:rsidRPr="008D77AF" w:rsidRDefault="002741A1" w:rsidP="002741A1">
            <w:pPr>
              <w:pStyle w:val="TableTextRight"/>
              <w:keepNext/>
              <w:ind w:left="0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D1C02" w:rsidRDefault="00AD4A2C" w:rsidP="0068485D">
      <w:pPr>
        <w:pStyle w:val="TableFootnotes"/>
        <w:keepNext/>
        <w:numPr>
          <w:ilvl w:val="0"/>
          <w:numId w:val="15"/>
        </w:numPr>
        <w:ind w:left="284" w:hanging="284"/>
      </w:pPr>
      <w:r w:rsidRPr="00AD4A2C">
        <w:t xml:space="preserve">A positive number in headline cash balance indicates an increase in </w:t>
      </w:r>
      <w:proofErr w:type="spellStart"/>
      <w:r w:rsidRPr="00AD4A2C">
        <w:t>cashflow</w:t>
      </w:r>
      <w:proofErr w:type="spellEnd"/>
      <w:r w:rsidRPr="00AD4A2C">
        <w:t xml:space="preserve">.  A negative number in headline cash balance indicates a decrease in </w:t>
      </w:r>
      <w:proofErr w:type="spellStart"/>
      <w:r w:rsidRPr="00AD4A2C">
        <w:t>cashflow</w:t>
      </w:r>
      <w:proofErr w:type="spellEnd"/>
      <w:r w:rsidR="009D1C02">
        <w:t>.</w:t>
      </w:r>
    </w:p>
    <w:p w:rsidR="003B2BB8" w:rsidRPr="002D239A" w:rsidRDefault="003B2BB8" w:rsidP="0068485D">
      <w:pPr>
        <w:pStyle w:val="TableFootnotes"/>
        <w:keepNext/>
        <w:ind w:left="284" w:hanging="284"/>
      </w:pPr>
      <w:r>
        <w:t>Figures may not sum to totals due to rounding.</w:t>
      </w:r>
    </w:p>
    <w:p w:rsidR="003B2BB8" w:rsidRDefault="003B2BB8" w:rsidP="00E40570">
      <w:pPr>
        <w:pStyle w:val="TableFootnotes"/>
        <w:keepNext/>
        <w:numPr>
          <w:ilvl w:val="0"/>
          <w:numId w:val="0"/>
        </w:numPr>
        <w:ind w:left="284" w:hanging="284"/>
      </w:pPr>
      <w:r>
        <w:t>..</w:t>
      </w:r>
      <w:r>
        <w:tab/>
        <w:t>Not zero but rounded to zero</w:t>
      </w:r>
      <w:bookmarkStart w:id="1" w:name="_GoBack"/>
      <w:bookmarkEnd w:id="1"/>
      <w:r>
        <w:t>.</w:t>
      </w:r>
    </w:p>
    <w:p w:rsidR="003B2BB8" w:rsidRDefault="0036467D" w:rsidP="0068485D">
      <w:pPr>
        <w:pStyle w:val="TableFootnotes"/>
        <w:keepNext/>
        <w:keepLines w:val="0"/>
        <w:numPr>
          <w:ilvl w:val="0"/>
          <w:numId w:val="11"/>
        </w:numPr>
        <w:ind w:left="284" w:hanging="284"/>
      </w:pPr>
      <w:r>
        <w:t>Indicates nil.</w:t>
      </w:r>
    </w:p>
    <w:sectPr w:rsidR="003B2BB8" w:rsidSect="001E33C2">
      <w:headerReference w:type="even" r:id="rId13"/>
      <w:footerReference w:type="even" r:id="rId14"/>
      <w:headerReference w:type="first" r:id="rId15"/>
      <w:footerReference w:type="first" r:id="rId16"/>
      <w:pgSz w:w="16839" w:h="11907" w:orient="landscape" w:code="9"/>
      <w:pgMar w:top="1797" w:right="1361" w:bottom="1797" w:left="147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01" w:rsidRDefault="00135701" w:rsidP="00A20802">
      <w:pPr>
        <w:spacing w:line="240" w:lineRule="auto"/>
      </w:pPr>
      <w:r>
        <w:separator/>
      </w:r>
    </w:p>
    <w:p w:rsidR="00135701" w:rsidRDefault="00135701"/>
  </w:endnote>
  <w:endnote w:type="continuationSeparator" w:id="0">
    <w:p w:rsidR="00135701" w:rsidRDefault="00135701" w:rsidP="00A20802">
      <w:pPr>
        <w:spacing w:line="240" w:lineRule="auto"/>
      </w:pPr>
      <w:r>
        <w:continuationSeparator/>
      </w:r>
    </w:p>
    <w:p w:rsidR="00135701" w:rsidRDefault="00135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4C" w:rsidRDefault="00BF264C" w:rsidP="00BF264C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66B95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NUMPAGES  \* Arabic  \* MERGEFORMAT </w:instrText>
    </w:r>
    <w:r w:rsidRPr="002C4DA6">
      <w:rPr>
        <w:rStyle w:val="FooterChar"/>
        <w:b/>
      </w:rPr>
      <w:fldChar w:fldCharType="separate"/>
    </w:r>
    <w:r w:rsidR="00B66B95">
      <w:rPr>
        <w:rStyle w:val="FooterChar"/>
        <w:b/>
        <w:noProof/>
      </w:rPr>
      <w:t>8</w:t>
    </w:r>
    <w:r w:rsidRPr="002C4DA6">
      <w:rPr>
        <w:rStyle w:val="FooterChar"/>
        <w:b/>
      </w:rPr>
      <w:fldChar w:fldCharType="end"/>
    </w:r>
  </w:p>
  <w:p w:rsidR="00BF264C" w:rsidRPr="00BF264C" w:rsidRDefault="00BF264C" w:rsidP="00BF264C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BF264C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01" w:rsidRDefault="00135701" w:rsidP="00476133">
    <w:pPr>
      <w:pStyle w:val="Footer"/>
      <w:ind w:left="7286" w:hanging="3714"/>
      <w:jc w:val="right"/>
      <w:rPr>
        <w:rStyle w:val="FooterChar"/>
        <w:b/>
      </w:rPr>
    </w:pP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B66B95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NUMPAGES  \* Arabic  \* MERGEFORMAT </w:instrText>
    </w:r>
    <w:r w:rsidRPr="002C4DA6">
      <w:rPr>
        <w:rStyle w:val="FooterChar"/>
        <w:b/>
      </w:rPr>
      <w:fldChar w:fldCharType="separate"/>
    </w:r>
    <w:r w:rsidR="00B66B95">
      <w:rPr>
        <w:rStyle w:val="FooterChar"/>
        <w:b/>
        <w:noProof/>
      </w:rPr>
      <w:t>8</w:t>
    </w:r>
    <w:r w:rsidRPr="002C4DA6">
      <w:rPr>
        <w:rStyle w:val="FooterChar"/>
        <w:b/>
      </w:rPr>
      <w:fldChar w:fldCharType="end"/>
    </w:r>
  </w:p>
  <w:p w:rsidR="00135701" w:rsidRPr="00BF264C" w:rsidRDefault="00135701" w:rsidP="00EF0A00">
    <w:pPr>
      <w:pStyle w:val="Footer"/>
      <w:ind w:left="3714" w:hanging="3714"/>
      <w:jc w:val="center"/>
      <w:rPr>
        <w:rFonts w:ascii="Calibri" w:hAnsi="Calibri" w:cs="Arial"/>
        <w:strike/>
        <w:color w:val="FF0000"/>
        <w:sz w:val="40"/>
        <w:szCs w:val="40"/>
      </w:rPr>
    </w:pPr>
    <w:r w:rsidRPr="00BF264C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sPlaceholder"/>
      <w:tblpPr w:bottomFromText="283" w:vertAnchor="page" w:horzAnchor="margin" w:tblpYSpec="bottom"/>
      <w:tblW w:w="8731" w:type="dxa"/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567"/>
      <w:gridCol w:w="8164"/>
    </w:tblGrid>
    <w:tr w:rsidR="00135701" w:rsidRPr="00EB388E" w:rsidTr="002D239A">
      <w:trPr>
        <w:trHeight w:val="340"/>
      </w:trPr>
      <w:tc>
        <w:tcPr>
          <w:tcW w:w="567" w:type="dxa"/>
          <w:tcBorders>
            <w:right w:val="single" w:sz="4" w:space="0" w:color="788184" w:themeColor="background2"/>
          </w:tcBorders>
          <w:vAlign w:val="center"/>
        </w:tcPr>
        <w:p w:rsidR="00135701" w:rsidRPr="00CB70DF" w:rsidRDefault="00135701" w:rsidP="002D239A">
          <w:pPr>
            <w:pStyle w:val="FooterLeftPageNumber"/>
            <w:framePr w:wrap="auto" w:vAnchor="margin" w:hAnchor="text" w:yAlign="inline"/>
          </w:pPr>
          <w:r w:rsidRPr="00EB388E">
            <w:fldChar w:fldCharType="begin"/>
          </w:r>
          <w:r w:rsidRPr="00EB388E">
            <w:instrText xml:space="preserve"> PAGE   \* MERGEFORMAT </w:instrText>
          </w:r>
          <w:r w:rsidRPr="00EB388E">
            <w:fldChar w:fldCharType="separate"/>
          </w:r>
          <w:r w:rsidR="006326A0">
            <w:rPr>
              <w:noProof/>
            </w:rPr>
            <w:t>9</w:t>
          </w:r>
          <w:r w:rsidRPr="00EB388E">
            <w:fldChar w:fldCharType="end"/>
          </w:r>
        </w:p>
      </w:tc>
      <w:tc>
        <w:tcPr>
          <w:tcW w:w="8164" w:type="dxa"/>
          <w:tcBorders>
            <w:left w:val="single" w:sz="4" w:space="0" w:color="788184" w:themeColor="background2"/>
          </w:tcBorders>
          <w:vAlign w:val="center"/>
        </w:tcPr>
        <w:p w:rsidR="00135701" w:rsidRPr="00CB70DF" w:rsidRDefault="001169FE" w:rsidP="002D239A">
          <w:pPr>
            <w:pStyle w:val="FooterLeft"/>
            <w:framePr w:wrap="auto" w:vAnchor="margin" w:hAnchor="text" w:yAlign="inline"/>
          </w:pPr>
          <w:fldSimple w:instr=" STYLEREF  Title  \* MERGEFORMAT ">
            <w:r w:rsidR="006326A0">
              <w:rPr>
                <w:noProof/>
              </w:rPr>
              <w:t>Policy costing—outside the caretaker period</w:t>
            </w:r>
          </w:fldSimple>
        </w:p>
      </w:tc>
    </w:tr>
    <w:tr w:rsidR="00135701" w:rsidRPr="00EB388E" w:rsidTr="002D239A">
      <w:trPr>
        <w:trHeight w:hRule="exact" w:val="403"/>
      </w:trPr>
      <w:tc>
        <w:tcPr>
          <w:tcW w:w="567" w:type="dxa"/>
          <w:tcMar>
            <w:bottom w:w="284" w:type="dxa"/>
          </w:tcMar>
        </w:tcPr>
        <w:p w:rsidR="00135701" w:rsidRPr="00EB388E" w:rsidRDefault="00135701" w:rsidP="002D239A">
          <w:pPr>
            <w:pStyle w:val="FooterRightPageNumber"/>
          </w:pPr>
        </w:p>
      </w:tc>
      <w:tc>
        <w:tcPr>
          <w:tcW w:w="8164" w:type="dxa"/>
          <w:tcMar>
            <w:bottom w:w="284" w:type="dxa"/>
          </w:tcMar>
        </w:tcPr>
        <w:p w:rsidR="00135701" w:rsidRPr="00090E70" w:rsidRDefault="00135701" w:rsidP="002D239A"/>
      </w:tc>
    </w:tr>
  </w:tbl>
  <w:p w:rsidR="00135701" w:rsidRDefault="00135701">
    <w:pPr>
      <w:pStyle w:val="Footer"/>
    </w:pPr>
  </w:p>
  <w:p w:rsidR="00135701" w:rsidRPr="004816D7" w:rsidRDefault="00135701" w:rsidP="005600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01" w:rsidRPr="0046444F" w:rsidRDefault="00135701" w:rsidP="0046444F">
    <w:pPr>
      <w:pStyle w:val="Header"/>
      <w:spacing w:after="240"/>
      <w:ind w:left="7309" w:hanging="7309"/>
    </w:pPr>
    <w:r w:rsidRPr="0092572B">
      <w:rPr>
        <w:b/>
        <w:color w:val="FF0000"/>
        <w:sz w:val="28"/>
        <w:szCs w:val="28"/>
      </w:rPr>
      <w:t>Sensitive</w:t>
    </w:r>
    <w:r>
      <w:rPr>
        <w:b/>
        <w:color w:val="FF0000"/>
        <w:sz w:val="28"/>
        <w:szCs w:val="28"/>
      </w:rPr>
      <w:tab/>
    </w:r>
    <w:r w:rsidRPr="00D67648">
      <w:rPr>
        <w:rStyle w:val="FooterChar"/>
      </w:rPr>
      <w:t xml:space="preserve">Page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PAGE  \* Arabic  \* MERGEFORMAT </w:instrText>
    </w:r>
    <w:r w:rsidRPr="00D67648">
      <w:rPr>
        <w:rStyle w:val="FooterChar"/>
      </w:rPr>
      <w:fldChar w:fldCharType="separate"/>
    </w:r>
    <w:r w:rsidR="006326A0">
      <w:rPr>
        <w:rStyle w:val="FooterChar"/>
        <w:noProof/>
      </w:rPr>
      <w:t>9</w:t>
    </w:r>
    <w:r w:rsidRPr="00D67648">
      <w:rPr>
        <w:rStyle w:val="FooterChar"/>
      </w:rPr>
      <w:fldChar w:fldCharType="end"/>
    </w:r>
    <w:r w:rsidRPr="00D67648">
      <w:rPr>
        <w:rStyle w:val="FooterChar"/>
      </w:rPr>
      <w:t xml:space="preserve"> of </w:t>
    </w:r>
    <w:r w:rsidRPr="00D67648">
      <w:rPr>
        <w:rStyle w:val="FooterChar"/>
      </w:rPr>
      <w:fldChar w:fldCharType="begin"/>
    </w:r>
    <w:r w:rsidRPr="00D67648">
      <w:rPr>
        <w:rStyle w:val="FooterChar"/>
      </w:rPr>
      <w:instrText xml:space="preserve"> NUMPAGES  \* Arabic  \* MERGEFORMAT </w:instrText>
    </w:r>
    <w:r w:rsidRPr="00D67648">
      <w:rPr>
        <w:rStyle w:val="FooterChar"/>
      </w:rPr>
      <w:fldChar w:fldCharType="separate"/>
    </w:r>
    <w:r w:rsidR="006326A0">
      <w:rPr>
        <w:rStyle w:val="FooterChar"/>
        <w:noProof/>
      </w:rPr>
      <w:t>9</w:t>
    </w:r>
    <w:r w:rsidRPr="00D6764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01" w:rsidRPr="000557A7" w:rsidRDefault="00135701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135701" w:rsidRDefault="00135701" w:rsidP="00A20802">
      <w:pPr>
        <w:spacing w:line="240" w:lineRule="auto"/>
      </w:pPr>
      <w:r>
        <w:continuationSeparator/>
      </w:r>
    </w:p>
    <w:p w:rsidR="00135701" w:rsidRDefault="001357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4C" w:rsidRPr="00BF264C" w:rsidRDefault="00BF264C" w:rsidP="00BF264C">
    <w:pPr>
      <w:pStyle w:val="Header"/>
      <w:jc w:val="center"/>
      <w:rPr>
        <w:b/>
        <w:strike/>
        <w:color w:val="FF0000"/>
        <w:sz w:val="40"/>
        <w:szCs w:val="40"/>
      </w:rPr>
    </w:pPr>
    <w:r w:rsidRPr="00BF264C">
      <w:rPr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4C" w:rsidRPr="00BF264C" w:rsidRDefault="00BF264C" w:rsidP="00BF264C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BF264C">
      <w:rPr>
        <w:rFonts w:ascii="Calibri" w:hAnsi="Calibri"/>
        <w:b/>
        <w:strike/>
        <w:color w:val="FF0000"/>
        <w:sz w:val="40"/>
        <w:szCs w:val="40"/>
      </w:rPr>
      <w:t>Sensitive</w:t>
    </w:r>
  </w:p>
  <w:p w:rsidR="00BF264C" w:rsidRPr="0046444F" w:rsidRDefault="00BF264C" w:rsidP="00BF264C">
    <w:pPr>
      <w:pStyle w:val="Header"/>
    </w:pPr>
    <w:r>
      <w:rPr>
        <w:noProof/>
        <w:lang w:eastAsia="en-AU"/>
      </w:rPr>
      <w:drawing>
        <wp:inline distT="0" distB="0" distL="0" distR="0" wp14:anchorId="5DA24DE5" wp14:editId="369340F4">
          <wp:extent cx="2696845" cy="572135"/>
          <wp:effectExtent l="0" t="0" r="8255" b="0"/>
          <wp:docPr id="14" name="Picture 14" title="Parliamentary Budget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O Logo 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8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01" w:rsidRDefault="0013570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75693A5C" wp14:editId="60F0DB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25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701" w:rsidRPr="0001226A" w:rsidRDefault="00135701" w:rsidP="00F45442">
                          <w:pPr>
                            <w:pStyle w:val="xStatus"/>
                            <w:rPr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595.3pt;height:141.45pt;z-index:-251623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E9cIKO6AgAA&#10;xAUAAA4AAAAAAAAAAAAAAAAALgIAAGRycy9lMm9Eb2MueG1sUEsBAi0AFAAGAAgAAAAhADTFRM7b&#10;AAAABgEAAA8AAAAAAAAAAAAAAAAAFAUAAGRycy9kb3ducmV2LnhtbFBLBQYAAAAABAAEAPMAAAAc&#10;BgAAAAA=&#10;" filled="f" stroked="f">
              <v:textbox>
                <w:txbxContent>
                  <w:p w:rsidR="00135701" w:rsidRPr="0001226A" w:rsidRDefault="00135701" w:rsidP="00F45442">
                    <w:pPr>
                      <w:pStyle w:val="xStatus"/>
                      <w:rPr>
                        <w:szCs w:val="1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01" w:rsidRDefault="00135701" w:rsidP="0046444F">
    <w:pPr>
      <w:pStyle w:val="Header"/>
      <w:jc w:val="right"/>
      <w:rPr>
        <w:b/>
        <w:color w:val="FF0000"/>
        <w:sz w:val="28"/>
        <w:szCs w:val="28"/>
      </w:rPr>
    </w:pPr>
    <w:r w:rsidRPr="0092572B">
      <w:rPr>
        <w:b/>
        <w:color w:val="FF0000"/>
        <w:sz w:val="28"/>
        <w:szCs w:val="28"/>
      </w:rPr>
      <w:t>Sensitive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7FE"/>
    <w:multiLevelType w:val="multilevel"/>
    <w:tmpl w:val="D1A2BED4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D745448"/>
    <w:multiLevelType w:val="multilevel"/>
    <w:tmpl w:val="CE3A3256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>
    <w:nsid w:val="0FB2573F"/>
    <w:multiLevelType w:val="multilevel"/>
    <w:tmpl w:val="E0A6CF32"/>
    <w:name w:val="TableFootnotes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4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8044C98"/>
    <w:multiLevelType w:val="hybridMultilevel"/>
    <w:tmpl w:val="E3749454"/>
    <w:lvl w:ilvl="0" w:tplc="D1AEAEB2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9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1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876E7D"/>
    <w:rsid w:val="0000071C"/>
    <w:rsid w:val="00002A85"/>
    <w:rsid w:val="0000322C"/>
    <w:rsid w:val="00003CDD"/>
    <w:rsid w:val="00006EC9"/>
    <w:rsid w:val="0001406F"/>
    <w:rsid w:val="000168A7"/>
    <w:rsid w:val="00016D53"/>
    <w:rsid w:val="00017D5B"/>
    <w:rsid w:val="000278D0"/>
    <w:rsid w:val="00027E62"/>
    <w:rsid w:val="000307C8"/>
    <w:rsid w:val="00030F73"/>
    <w:rsid w:val="00035ADE"/>
    <w:rsid w:val="0004224B"/>
    <w:rsid w:val="00046226"/>
    <w:rsid w:val="000503D7"/>
    <w:rsid w:val="0005330D"/>
    <w:rsid w:val="000557A7"/>
    <w:rsid w:val="00055805"/>
    <w:rsid w:val="00056CB3"/>
    <w:rsid w:val="00062EA2"/>
    <w:rsid w:val="00066D54"/>
    <w:rsid w:val="00067A28"/>
    <w:rsid w:val="0007260F"/>
    <w:rsid w:val="000805D5"/>
    <w:rsid w:val="0008103B"/>
    <w:rsid w:val="000858DD"/>
    <w:rsid w:val="00085F97"/>
    <w:rsid w:val="000870D1"/>
    <w:rsid w:val="00087DBF"/>
    <w:rsid w:val="00092A33"/>
    <w:rsid w:val="000973F9"/>
    <w:rsid w:val="000A2FEC"/>
    <w:rsid w:val="000A348F"/>
    <w:rsid w:val="000B6942"/>
    <w:rsid w:val="000C09FA"/>
    <w:rsid w:val="000C37A9"/>
    <w:rsid w:val="000C6728"/>
    <w:rsid w:val="000C702E"/>
    <w:rsid w:val="000D15E9"/>
    <w:rsid w:val="000D3182"/>
    <w:rsid w:val="000D45C4"/>
    <w:rsid w:val="000E18F3"/>
    <w:rsid w:val="000E266E"/>
    <w:rsid w:val="000E344E"/>
    <w:rsid w:val="000F1515"/>
    <w:rsid w:val="000F16B5"/>
    <w:rsid w:val="000F616E"/>
    <w:rsid w:val="00110D43"/>
    <w:rsid w:val="00112F1F"/>
    <w:rsid w:val="00114D14"/>
    <w:rsid w:val="001159EA"/>
    <w:rsid w:val="001169FE"/>
    <w:rsid w:val="00120A75"/>
    <w:rsid w:val="00125410"/>
    <w:rsid w:val="00130858"/>
    <w:rsid w:val="00133966"/>
    <w:rsid w:val="00135701"/>
    <w:rsid w:val="00136C26"/>
    <w:rsid w:val="0014059F"/>
    <w:rsid w:val="00141551"/>
    <w:rsid w:val="001417CE"/>
    <w:rsid w:val="0014479F"/>
    <w:rsid w:val="00146EAD"/>
    <w:rsid w:val="00154DC5"/>
    <w:rsid w:val="00155774"/>
    <w:rsid w:val="00160C8D"/>
    <w:rsid w:val="001629C0"/>
    <w:rsid w:val="00165122"/>
    <w:rsid w:val="00165854"/>
    <w:rsid w:val="001670D8"/>
    <w:rsid w:val="00173080"/>
    <w:rsid w:val="001738DB"/>
    <w:rsid w:val="00173DFD"/>
    <w:rsid w:val="00180FF9"/>
    <w:rsid w:val="00195228"/>
    <w:rsid w:val="00195696"/>
    <w:rsid w:val="00196532"/>
    <w:rsid w:val="001A1EFC"/>
    <w:rsid w:val="001A48EF"/>
    <w:rsid w:val="001A49CC"/>
    <w:rsid w:val="001A5553"/>
    <w:rsid w:val="001A716E"/>
    <w:rsid w:val="001B2C65"/>
    <w:rsid w:val="001B4255"/>
    <w:rsid w:val="001B7058"/>
    <w:rsid w:val="001C3A4F"/>
    <w:rsid w:val="001C4121"/>
    <w:rsid w:val="001C48DE"/>
    <w:rsid w:val="001C7279"/>
    <w:rsid w:val="001D225C"/>
    <w:rsid w:val="001D30C1"/>
    <w:rsid w:val="001D52E3"/>
    <w:rsid w:val="001D576F"/>
    <w:rsid w:val="001D7C29"/>
    <w:rsid w:val="001E0475"/>
    <w:rsid w:val="001E33C2"/>
    <w:rsid w:val="001F5C90"/>
    <w:rsid w:val="001F767C"/>
    <w:rsid w:val="00210FCF"/>
    <w:rsid w:val="00222EFF"/>
    <w:rsid w:val="002240D5"/>
    <w:rsid w:val="002261A7"/>
    <w:rsid w:val="00226AEC"/>
    <w:rsid w:val="0023674C"/>
    <w:rsid w:val="002545F3"/>
    <w:rsid w:val="0026344F"/>
    <w:rsid w:val="00266A17"/>
    <w:rsid w:val="00270372"/>
    <w:rsid w:val="002741A1"/>
    <w:rsid w:val="00275534"/>
    <w:rsid w:val="00277075"/>
    <w:rsid w:val="002775D2"/>
    <w:rsid w:val="00281ADD"/>
    <w:rsid w:val="0028563E"/>
    <w:rsid w:val="00287606"/>
    <w:rsid w:val="00293E0D"/>
    <w:rsid w:val="00293E80"/>
    <w:rsid w:val="002973B0"/>
    <w:rsid w:val="00297C14"/>
    <w:rsid w:val="002A1491"/>
    <w:rsid w:val="002A220F"/>
    <w:rsid w:val="002A24F1"/>
    <w:rsid w:val="002A5778"/>
    <w:rsid w:val="002A6E3B"/>
    <w:rsid w:val="002B1E84"/>
    <w:rsid w:val="002B2085"/>
    <w:rsid w:val="002B3EC4"/>
    <w:rsid w:val="002C37D5"/>
    <w:rsid w:val="002C4DA6"/>
    <w:rsid w:val="002D239A"/>
    <w:rsid w:val="002D3365"/>
    <w:rsid w:val="002D34DB"/>
    <w:rsid w:val="002D4B11"/>
    <w:rsid w:val="002E5633"/>
    <w:rsid w:val="002F1963"/>
    <w:rsid w:val="002F4101"/>
    <w:rsid w:val="002F5B6E"/>
    <w:rsid w:val="002F61B5"/>
    <w:rsid w:val="00300066"/>
    <w:rsid w:val="0030209B"/>
    <w:rsid w:val="003127E4"/>
    <w:rsid w:val="00313215"/>
    <w:rsid w:val="003174C3"/>
    <w:rsid w:val="003222BF"/>
    <w:rsid w:val="0032557A"/>
    <w:rsid w:val="00340778"/>
    <w:rsid w:val="003429CB"/>
    <w:rsid w:val="00344840"/>
    <w:rsid w:val="00344D2C"/>
    <w:rsid w:val="003458CE"/>
    <w:rsid w:val="00345A57"/>
    <w:rsid w:val="00346D90"/>
    <w:rsid w:val="00351F62"/>
    <w:rsid w:val="003601F4"/>
    <w:rsid w:val="0036467D"/>
    <w:rsid w:val="00364CD2"/>
    <w:rsid w:val="003671E2"/>
    <w:rsid w:val="00372AE6"/>
    <w:rsid w:val="00376C3A"/>
    <w:rsid w:val="003837E1"/>
    <w:rsid w:val="0038584D"/>
    <w:rsid w:val="0039257F"/>
    <w:rsid w:val="003931DE"/>
    <w:rsid w:val="00397D1A"/>
    <w:rsid w:val="003A0EE7"/>
    <w:rsid w:val="003A163C"/>
    <w:rsid w:val="003A2B4E"/>
    <w:rsid w:val="003A2FBB"/>
    <w:rsid w:val="003A3799"/>
    <w:rsid w:val="003A4913"/>
    <w:rsid w:val="003A54A9"/>
    <w:rsid w:val="003A7083"/>
    <w:rsid w:val="003B2BB8"/>
    <w:rsid w:val="003B3103"/>
    <w:rsid w:val="003B38B3"/>
    <w:rsid w:val="003B3A97"/>
    <w:rsid w:val="003B3D44"/>
    <w:rsid w:val="003B47BC"/>
    <w:rsid w:val="003C6BB5"/>
    <w:rsid w:val="003C7CC2"/>
    <w:rsid w:val="003D2227"/>
    <w:rsid w:val="003D50B6"/>
    <w:rsid w:val="003D6537"/>
    <w:rsid w:val="003E05DF"/>
    <w:rsid w:val="003E1562"/>
    <w:rsid w:val="003E6085"/>
    <w:rsid w:val="003E616C"/>
    <w:rsid w:val="003E637B"/>
    <w:rsid w:val="003E6CA3"/>
    <w:rsid w:val="003F4C96"/>
    <w:rsid w:val="00401C49"/>
    <w:rsid w:val="00406002"/>
    <w:rsid w:val="00406999"/>
    <w:rsid w:val="00406AD3"/>
    <w:rsid w:val="00412E42"/>
    <w:rsid w:val="00413C64"/>
    <w:rsid w:val="00417DF6"/>
    <w:rsid w:val="004250CF"/>
    <w:rsid w:val="00425C05"/>
    <w:rsid w:val="00426356"/>
    <w:rsid w:val="00426929"/>
    <w:rsid w:val="00442C16"/>
    <w:rsid w:val="00445410"/>
    <w:rsid w:val="00446439"/>
    <w:rsid w:val="00450BDA"/>
    <w:rsid w:val="0045385D"/>
    <w:rsid w:val="00453A3E"/>
    <w:rsid w:val="0045452F"/>
    <w:rsid w:val="00456EC2"/>
    <w:rsid w:val="0045766B"/>
    <w:rsid w:val="00461A62"/>
    <w:rsid w:val="0046444F"/>
    <w:rsid w:val="00474BB7"/>
    <w:rsid w:val="00476133"/>
    <w:rsid w:val="004816D7"/>
    <w:rsid w:val="004827C1"/>
    <w:rsid w:val="0048342E"/>
    <w:rsid w:val="00487478"/>
    <w:rsid w:val="0048782D"/>
    <w:rsid w:val="00492B93"/>
    <w:rsid w:val="00494DC1"/>
    <w:rsid w:val="004A3F56"/>
    <w:rsid w:val="004A538C"/>
    <w:rsid w:val="004A5E21"/>
    <w:rsid w:val="004A666A"/>
    <w:rsid w:val="004B143F"/>
    <w:rsid w:val="004B3022"/>
    <w:rsid w:val="004B3DAF"/>
    <w:rsid w:val="004B49A0"/>
    <w:rsid w:val="004C6306"/>
    <w:rsid w:val="004C6F5E"/>
    <w:rsid w:val="004C7E94"/>
    <w:rsid w:val="004D6E6A"/>
    <w:rsid w:val="004D7CF8"/>
    <w:rsid w:val="004D7EDA"/>
    <w:rsid w:val="004E0E49"/>
    <w:rsid w:val="004E197A"/>
    <w:rsid w:val="004E3C43"/>
    <w:rsid w:val="004E5D52"/>
    <w:rsid w:val="004F07D7"/>
    <w:rsid w:val="004F1297"/>
    <w:rsid w:val="004F16DB"/>
    <w:rsid w:val="004F4D7E"/>
    <w:rsid w:val="004F5B16"/>
    <w:rsid w:val="004F5D9D"/>
    <w:rsid w:val="004F68E5"/>
    <w:rsid w:val="004F7037"/>
    <w:rsid w:val="004F741B"/>
    <w:rsid w:val="005016E6"/>
    <w:rsid w:val="00503253"/>
    <w:rsid w:val="00503BB0"/>
    <w:rsid w:val="00503E03"/>
    <w:rsid w:val="0051136A"/>
    <w:rsid w:val="00512226"/>
    <w:rsid w:val="005147C6"/>
    <w:rsid w:val="005159B1"/>
    <w:rsid w:val="00522502"/>
    <w:rsid w:val="005255A1"/>
    <w:rsid w:val="00525825"/>
    <w:rsid w:val="0052641C"/>
    <w:rsid w:val="0053795D"/>
    <w:rsid w:val="00544522"/>
    <w:rsid w:val="005468AB"/>
    <w:rsid w:val="005501A0"/>
    <w:rsid w:val="00550831"/>
    <w:rsid w:val="00554273"/>
    <w:rsid w:val="0056001A"/>
    <w:rsid w:val="005642B6"/>
    <w:rsid w:val="00570B58"/>
    <w:rsid w:val="00571D5E"/>
    <w:rsid w:val="00580873"/>
    <w:rsid w:val="005823D0"/>
    <w:rsid w:val="005835D5"/>
    <w:rsid w:val="0059562C"/>
    <w:rsid w:val="00595734"/>
    <w:rsid w:val="005A2748"/>
    <w:rsid w:val="005A443F"/>
    <w:rsid w:val="005A7C26"/>
    <w:rsid w:val="005B0970"/>
    <w:rsid w:val="005B1AEC"/>
    <w:rsid w:val="005B58D4"/>
    <w:rsid w:val="005C07B3"/>
    <w:rsid w:val="005C284E"/>
    <w:rsid w:val="005C47D4"/>
    <w:rsid w:val="005D51D0"/>
    <w:rsid w:val="005D6F83"/>
    <w:rsid w:val="005D7877"/>
    <w:rsid w:val="005D7CCF"/>
    <w:rsid w:val="005D7FB4"/>
    <w:rsid w:val="005E04CF"/>
    <w:rsid w:val="005E58C4"/>
    <w:rsid w:val="005E5D8F"/>
    <w:rsid w:val="005F2D26"/>
    <w:rsid w:val="005F5A5C"/>
    <w:rsid w:val="005F5CD9"/>
    <w:rsid w:val="00604550"/>
    <w:rsid w:val="0061135C"/>
    <w:rsid w:val="006136DD"/>
    <w:rsid w:val="006149F0"/>
    <w:rsid w:val="006220A5"/>
    <w:rsid w:val="00622D86"/>
    <w:rsid w:val="00623811"/>
    <w:rsid w:val="00624AC8"/>
    <w:rsid w:val="00625FCA"/>
    <w:rsid w:val="00631762"/>
    <w:rsid w:val="006326A0"/>
    <w:rsid w:val="00633812"/>
    <w:rsid w:val="0063385B"/>
    <w:rsid w:val="00633C60"/>
    <w:rsid w:val="006378ED"/>
    <w:rsid w:val="0064060E"/>
    <w:rsid w:val="0064126D"/>
    <w:rsid w:val="006451B8"/>
    <w:rsid w:val="00645722"/>
    <w:rsid w:val="00652432"/>
    <w:rsid w:val="00657840"/>
    <w:rsid w:val="0066003C"/>
    <w:rsid w:val="0066041E"/>
    <w:rsid w:val="00673CCC"/>
    <w:rsid w:val="00675517"/>
    <w:rsid w:val="00675C98"/>
    <w:rsid w:val="0068485D"/>
    <w:rsid w:val="00684BF6"/>
    <w:rsid w:val="0069026B"/>
    <w:rsid w:val="00691856"/>
    <w:rsid w:val="006956EA"/>
    <w:rsid w:val="0069650F"/>
    <w:rsid w:val="006A490C"/>
    <w:rsid w:val="006B4F7D"/>
    <w:rsid w:val="006C114C"/>
    <w:rsid w:val="006C3668"/>
    <w:rsid w:val="006C3864"/>
    <w:rsid w:val="006C5383"/>
    <w:rsid w:val="006C5E72"/>
    <w:rsid w:val="006C68C0"/>
    <w:rsid w:val="006D2AEC"/>
    <w:rsid w:val="006D323D"/>
    <w:rsid w:val="006D41E9"/>
    <w:rsid w:val="006D4C8E"/>
    <w:rsid w:val="006E047B"/>
    <w:rsid w:val="006E19D1"/>
    <w:rsid w:val="006E1CBB"/>
    <w:rsid w:val="006F070B"/>
    <w:rsid w:val="006F100B"/>
    <w:rsid w:val="006F239A"/>
    <w:rsid w:val="006F2C9D"/>
    <w:rsid w:val="006F47B6"/>
    <w:rsid w:val="006F6B51"/>
    <w:rsid w:val="0070070D"/>
    <w:rsid w:val="00700D34"/>
    <w:rsid w:val="00703C93"/>
    <w:rsid w:val="0070637D"/>
    <w:rsid w:val="00706C81"/>
    <w:rsid w:val="007071DD"/>
    <w:rsid w:val="0070771F"/>
    <w:rsid w:val="00712A14"/>
    <w:rsid w:val="00714D50"/>
    <w:rsid w:val="00716C04"/>
    <w:rsid w:val="00717180"/>
    <w:rsid w:val="007179D2"/>
    <w:rsid w:val="007201DE"/>
    <w:rsid w:val="00720750"/>
    <w:rsid w:val="00724FDE"/>
    <w:rsid w:val="0072549C"/>
    <w:rsid w:val="00725A80"/>
    <w:rsid w:val="00733970"/>
    <w:rsid w:val="00741D0B"/>
    <w:rsid w:val="00754C58"/>
    <w:rsid w:val="00776E78"/>
    <w:rsid w:val="0078138A"/>
    <w:rsid w:val="00783014"/>
    <w:rsid w:val="007834DC"/>
    <w:rsid w:val="007959D8"/>
    <w:rsid w:val="0079630F"/>
    <w:rsid w:val="0079767E"/>
    <w:rsid w:val="007A04C2"/>
    <w:rsid w:val="007A42FB"/>
    <w:rsid w:val="007B146A"/>
    <w:rsid w:val="007B57C9"/>
    <w:rsid w:val="007C0E7C"/>
    <w:rsid w:val="007C0EAA"/>
    <w:rsid w:val="007C19C3"/>
    <w:rsid w:val="007C44B2"/>
    <w:rsid w:val="007C6496"/>
    <w:rsid w:val="007C745E"/>
    <w:rsid w:val="007D0ABE"/>
    <w:rsid w:val="007E16F4"/>
    <w:rsid w:val="007E356F"/>
    <w:rsid w:val="007E3EC8"/>
    <w:rsid w:val="007E3F8C"/>
    <w:rsid w:val="007F2058"/>
    <w:rsid w:val="007F7685"/>
    <w:rsid w:val="0080011D"/>
    <w:rsid w:val="00800EA5"/>
    <w:rsid w:val="00801C01"/>
    <w:rsid w:val="00801C7C"/>
    <w:rsid w:val="00803BA0"/>
    <w:rsid w:val="008112CC"/>
    <w:rsid w:val="008130BB"/>
    <w:rsid w:val="00817406"/>
    <w:rsid w:val="008237FA"/>
    <w:rsid w:val="00825D37"/>
    <w:rsid w:val="00825E4D"/>
    <w:rsid w:val="008369B0"/>
    <w:rsid w:val="008372D1"/>
    <w:rsid w:val="0085732C"/>
    <w:rsid w:val="00860B45"/>
    <w:rsid w:val="00863860"/>
    <w:rsid w:val="008638B5"/>
    <w:rsid w:val="00865199"/>
    <w:rsid w:val="008734DB"/>
    <w:rsid w:val="0087390B"/>
    <w:rsid w:val="008745A1"/>
    <w:rsid w:val="008768E9"/>
    <w:rsid w:val="00876E7D"/>
    <w:rsid w:val="0087751B"/>
    <w:rsid w:val="00890995"/>
    <w:rsid w:val="008914FB"/>
    <w:rsid w:val="0089737A"/>
    <w:rsid w:val="00897E99"/>
    <w:rsid w:val="008A416D"/>
    <w:rsid w:val="008A4829"/>
    <w:rsid w:val="008B2384"/>
    <w:rsid w:val="008B2993"/>
    <w:rsid w:val="008B38D6"/>
    <w:rsid w:val="008B4802"/>
    <w:rsid w:val="008B69E3"/>
    <w:rsid w:val="008C1FD1"/>
    <w:rsid w:val="008C24A8"/>
    <w:rsid w:val="008C35EF"/>
    <w:rsid w:val="008C5996"/>
    <w:rsid w:val="008D5A11"/>
    <w:rsid w:val="008D5E23"/>
    <w:rsid w:val="008D69A8"/>
    <w:rsid w:val="008D77AF"/>
    <w:rsid w:val="008E2278"/>
    <w:rsid w:val="008E6D59"/>
    <w:rsid w:val="008F0EF2"/>
    <w:rsid w:val="008F30C7"/>
    <w:rsid w:val="008F5D66"/>
    <w:rsid w:val="009028AA"/>
    <w:rsid w:val="00903E3F"/>
    <w:rsid w:val="009049C3"/>
    <w:rsid w:val="009057D9"/>
    <w:rsid w:val="0090774A"/>
    <w:rsid w:val="00910D07"/>
    <w:rsid w:val="00914B2F"/>
    <w:rsid w:val="009150E6"/>
    <w:rsid w:val="00917F89"/>
    <w:rsid w:val="00924E28"/>
    <w:rsid w:val="009255EE"/>
    <w:rsid w:val="00925603"/>
    <w:rsid w:val="00925F76"/>
    <w:rsid w:val="00932E89"/>
    <w:rsid w:val="0093359D"/>
    <w:rsid w:val="00933F2B"/>
    <w:rsid w:val="00942EEB"/>
    <w:rsid w:val="0094468E"/>
    <w:rsid w:val="00945261"/>
    <w:rsid w:val="009506A5"/>
    <w:rsid w:val="009541CC"/>
    <w:rsid w:val="00956564"/>
    <w:rsid w:val="009567A6"/>
    <w:rsid w:val="00956D5A"/>
    <w:rsid w:val="00961B2C"/>
    <w:rsid w:val="00961DBB"/>
    <w:rsid w:val="0096618E"/>
    <w:rsid w:val="00981433"/>
    <w:rsid w:val="0098222F"/>
    <w:rsid w:val="00985C07"/>
    <w:rsid w:val="00991CEE"/>
    <w:rsid w:val="00995B4F"/>
    <w:rsid w:val="00997582"/>
    <w:rsid w:val="009A2C21"/>
    <w:rsid w:val="009A3E58"/>
    <w:rsid w:val="009A5F02"/>
    <w:rsid w:val="009A7AB1"/>
    <w:rsid w:val="009C6DAA"/>
    <w:rsid w:val="009D0728"/>
    <w:rsid w:val="009D0E74"/>
    <w:rsid w:val="009D1A96"/>
    <w:rsid w:val="009D1C02"/>
    <w:rsid w:val="009D370B"/>
    <w:rsid w:val="009D7AB0"/>
    <w:rsid w:val="009E2087"/>
    <w:rsid w:val="009E252B"/>
    <w:rsid w:val="009E3265"/>
    <w:rsid w:val="009E3353"/>
    <w:rsid w:val="009E446D"/>
    <w:rsid w:val="009E7C09"/>
    <w:rsid w:val="009F146D"/>
    <w:rsid w:val="009F4F1E"/>
    <w:rsid w:val="00A015E4"/>
    <w:rsid w:val="00A075BC"/>
    <w:rsid w:val="00A11222"/>
    <w:rsid w:val="00A12C39"/>
    <w:rsid w:val="00A134FB"/>
    <w:rsid w:val="00A20802"/>
    <w:rsid w:val="00A225DA"/>
    <w:rsid w:val="00A22C1C"/>
    <w:rsid w:val="00A25B4F"/>
    <w:rsid w:val="00A27E8B"/>
    <w:rsid w:val="00A442BF"/>
    <w:rsid w:val="00A51113"/>
    <w:rsid w:val="00A517D0"/>
    <w:rsid w:val="00A53716"/>
    <w:rsid w:val="00A5629E"/>
    <w:rsid w:val="00A64832"/>
    <w:rsid w:val="00A732DB"/>
    <w:rsid w:val="00A81B5A"/>
    <w:rsid w:val="00A838D2"/>
    <w:rsid w:val="00A86F04"/>
    <w:rsid w:val="00A946C4"/>
    <w:rsid w:val="00AB4118"/>
    <w:rsid w:val="00AC01F8"/>
    <w:rsid w:val="00AC059A"/>
    <w:rsid w:val="00AC41CF"/>
    <w:rsid w:val="00AD0308"/>
    <w:rsid w:val="00AD377A"/>
    <w:rsid w:val="00AD4A2C"/>
    <w:rsid w:val="00AD4DF3"/>
    <w:rsid w:val="00AD67BB"/>
    <w:rsid w:val="00AE1CC1"/>
    <w:rsid w:val="00AE3EA4"/>
    <w:rsid w:val="00AE4F9A"/>
    <w:rsid w:val="00AF1B02"/>
    <w:rsid w:val="00AF41E4"/>
    <w:rsid w:val="00AF568A"/>
    <w:rsid w:val="00B02DFE"/>
    <w:rsid w:val="00B050EE"/>
    <w:rsid w:val="00B06A75"/>
    <w:rsid w:val="00B06BC3"/>
    <w:rsid w:val="00B07F5E"/>
    <w:rsid w:val="00B15A0F"/>
    <w:rsid w:val="00B1621B"/>
    <w:rsid w:val="00B20236"/>
    <w:rsid w:val="00B20937"/>
    <w:rsid w:val="00B220A0"/>
    <w:rsid w:val="00B22B64"/>
    <w:rsid w:val="00B22FEA"/>
    <w:rsid w:val="00B24321"/>
    <w:rsid w:val="00B30FEB"/>
    <w:rsid w:val="00B311BA"/>
    <w:rsid w:val="00B35B47"/>
    <w:rsid w:val="00B40AA3"/>
    <w:rsid w:val="00B44478"/>
    <w:rsid w:val="00B4609C"/>
    <w:rsid w:val="00B53F97"/>
    <w:rsid w:val="00B6002C"/>
    <w:rsid w:val="00B620EE"/>
    <w:rsid w:val="00B641D2"/>
    <w:rsid w:val="00B66B95"/>
    <w:rsid w:val="00B73614"/>
    <w:rsid w:val="00B85366"/>
    <w:rsid w:val="00B87F60"/>
    <w:rsid w:val="00B93D3D"/>
    <w:rsid w:val="00B974CB"/>
    <w:rsid w:val="00BA3EAD"/>
    <w:rsid w:val="00BA471F"/>
    <w:rsid w:val="00BA627C"/>
    <w:rsid w:val="00BB5013"/>
    <w:rsid w:val="00BB528E"/>
    <w:rsid w:val="00BB615A"/>
    <w:rsid w:val="00BC23BD"/>
    <w:rsid w:val="00BC2600"/>
    <w:rsid w:val="00BC36F0"/>
    <w:rsid w:val="00BC3E99"/>
    <w:rsid w:val="00BC4FA7"/>
    <w:rsid w:val="00BC5D71"/>
    <w:rsid w:val="00BC5E30"/>
    <w:rsid w:val="00BC6DE9"/>
    <w:rsid w:val="00BD02C5"/>
    <w:rsid w:val="00BD068D"/>
    <w:rsid w:val="00BE0D9A"/>
    <w:rsid w:val="00BE1A50"/>
    <w:rsid w:val="00BE2F0D"/>
    <w:rsid w:val="00BE4703"/>
    <w:rsid w:val="00BE553A"/>
    <w:rsid w:val="00BE6C29"/>
    <w:rsid w:val="00BF0BD5"/>
    <w:rsid w:val="00BF264C"/>
    <w:rsid w:val="00BF55F8"/>
    <w:rsid w:val="00BF625F"/>
    <w:rsid w:val="00C051FD"/>
    <w:rsid w:val="00C07EA0"/>
    <w:rsid w:val="00C14786"/>
    <w:rsid w:val="00C20C7D"/>
    <w:rsid w:val="00C20DEF"/>
    <w:rsid w:val="00C24B25"/>
    <w:rsid w:val="00C24E89"/>
    <w:rsid w:val="00C253F3"/>
    <w:rsid w:val="00C32C2F"/>
    <w:rsid w:val="00C3738A"/>
    <w:rsid w:val="00C4315A"/>
    <w:rsid w:val="00C43F5E"/>
    <w:rsid w:val="00C44074"/>
    <w:rsid w:val="00C45645"/>
    <w:rsid w:val="00C4651F"/>
    <w:rsid w:val="00C51D0B"/>
    <w:rsid w:val="00C52207"/>
    <w:rsid w:val="00C52A50"/>
    <w:rsid w:val="00C63AAA"/>
    <w:rsid w:val="00C64268"/>
    <w:rsid w:val="00C642D4"/>
    <w:rsid w:val="00C72FA3"/>
    <w:rsid w:val="00C730F4"/>
    <w:rsid w:val="00C80200"/>
    <w:rsid w:val="00C80E0A"/>
    <w:rsid w:val="00C8270B"/>
    <w:rsid w:val="00C841A9"/>
    <w:rsid w:val="00C8728F"/>
    <w:rsid w:val="00C87CFB"/>
    <w:rsid w:val="00C97FBC"/>
    <w:rsid w:val="00CA06C8"/>
    <w:rsid w:val="00CA0B7E"/>
    <w:rsid w:val="00CA4C28"/>
    <w:rsid w:val="00CA5598"/>
    <w:rsid w:val="00CA5EF8"/>
    <w:rsid w:val="00CB00AC"/>
    <w:rsid w:val="00CB28A3"/>
    <w:rsid w:val="00CC00A0"/>
    <w:rsid w:val="00CC0FED"/>
    <w:rsid w:val="00CC3C34"/>
    <w:rsid w:val="00CC5455"/>
    <w:rsid w:val="00CC6C06"/>
    <w:rsid w:val="00CD1526"/>
    <w:rsid w:val="00CD5509"/>
    <w:rsid w:val="00CE1EB0"/>
    <w:rsid w:val="00CE3DF2"/>
    <w:rsid w:val="00CF0C0F"/>
    <w:rsid w:val="00CF1690"/>
    <w:rsid w:val="00CF1F2A"/>
    <w:rsid w:val="00CF5CE3"/>
    <w:rsid w:val="00CF624F"/>
    <w:rsid w:val="00CF7412"/>
    <w:rsid w:val="00D030F8"/>
    <w:rsid w:val="00D077B7"/>
    <w:rsid w:val="00D20297"/>
    <w:rsid w:val="00D21E6B"/>
    <w:rsid w:val="00D2336A"/>
    <w:rsid w:val="00D23634"/>
    <w:rsid w:val="00D2772C"/>
    <w:rsid w:val="00D27ACD"/>
    <w:rsid w:val="00D34551"/>
    <w:rsid w:val="00D4045B"/>
    <w:rsid w:val="00D457D6"/>
    <w:rsid w:val="00D64CE2"/>
    <w:rsid w:val="00D7751B"/>
    <w:rsid w:val="00D815DC"/>
    <w:rsid w:val="00D822B5"/>
    <w:rsid w:val="00D83D3C"/>
    <w:rsid w:val="00D867AE"/>
    <w:rsid w:val="00D87BBB"/>
    <w:rsid w:val="00D87C87"/>
    <w:rsid w:val="00D921C4"/>
    <w:rsid w:val="00D9296A"/>
    <w:rsid w:val="00D93C23"/>
    <w:rsid w:val="00D95638"/>
    <w:rsid w:val="00D9584C"/>
    <w:rsid w:val="00DA14D9"/>
    <w:rsid w:val="00DA3D41"/>
    <w:rsid w:val="00DB13AD"/>
    <w:rsid w:val="00DB23F9"/>
    <w:rsid w:val="00DB259A"/>
    <w:rsid w:val="00DB58BE"/>
    <w:rsid w:val="00DB6176"/>
    <w:rsid w:val="00DB6AA0"/>
    <w:rsid w:val="00DB7C3A"/>
    <w:rsid w:val="00DD32AB"/>
    <w:rsid w:val="00DD5BF6"/>
    <w:rsid w:val="00DE1865"/>
    <w:rsid w:val="00DE6CEF"/>
    <w:rsid w:val="00DF11C2"/>
    <w:rsid w:val="00DF2134"/>
    <w:rsid w:val="00DF4593"/>
    <w:rsid w:val="00E06375"/>
    <w:rsid w:val="00E10D05"/>
    <w:rsid w:val="00E16068"/>
    <w:rsid w:val="00E2223E"/>
    <w:rsid w:val="00E22D98"/>
    <w:rsid w:val="00E24623"/>
    <w:rsid w:val="00E252E3"/>
    <w:rsid w:val="00E40505"/>
    <w:rsid w:val="00E40570"/>
    <w:rsid w:val="00E408B5"/>
    <w:rsid w:val="00E42A41"/>
    <w:rsid w:val="00E45766"/>
    <w:rsid w:val="00E474EF"/>
    <w:rsid w:val="00E567E5"/>
    <w:rsid w:val="00E64480"/>
    <w:rsid w:val="00E6708B"/>
    <w:rsid w:val="00E73A8C"/>
    <w:rsid w:val="00E75050"/>
    <w:rsid w:val="00E76F42"/>
    <w:rsid w:val="00E77D6D"/>
    <w:rsid w:val="00E81436"/>
    <w:rsid w:val="00E820AB"/>
    <w:rsid w:val="00E915E6"/>
    <w:rsid w:val="00EA3E11"/>
    <w:rsid w:val="00EA6EB3"/>
    <w:rsid w:val="00EB4A8E"/>
    <w:rsid w:val="00EB5EF3"/>
    <w:rsid w:val="00EB695D"/>
    <w:rsid w:val="00EC38F3"/>
    <w:rsid w:val="00ED39CE"/>
    <w:rsid w:val="00ED4134"/>
    <w:rsid w:val="00EE05F1"/>
    <w:rsid w:val="00EE471A"/>
    <w:rsid w:val="00EE5492"/>
    <w:rsid w:val="00EF0A00"/>
    <w:rsid w:val="00F07BD5"/>
    <w:rsid w:val="00F122D6"/>
    <w:rsid w:val="00F15BF4"/>
    <w:rsid w:val="00F17940"/>
    <w:rsid w:val="00F17DC0"/>
    <w:rsid w:val="00F2046C"/>
    <w:rsid w:val="00F20647"/>
    <w:rsid w:val="00F31392"/>
    <w:rsid w:val="00F348B5"/>
    <w:rsid w:val="00F3652B"/>
    <w:rsid w:val="00F377B9"/>
    <w:rsid w:val="00F40C08"/>
    <w:rsid w:val="00F45442"/>
    <w:rsid w:val="00F476D7"/>
    <w:rsid w:val="00F5145E"/>
    <w:rsid w:val="00F558EA"/>
    <w:rsid w:val="00F561BA"/>
    <w:rsid w:val="00F613CB"/>
    <w:rsid w:val="00F61F79"/>
    <w:rsid w:val="00F656A4"/>
    <w:rsid w:val="00F6665E"/>
    <w:rsid w:val="00F7075F"/>
    <w:rsid w:val="00F71D76"/>
    <w:rsid w:val="00F82E14"/>
    <w:rsid w:val="00F8349F"/>
    <w:rsid w:val="00F83FB7"/>
    <w:rsid w:val="00F85935"/>
    <w:rsid w:val="00F85D29"/>
    <w:rsid w:val="00F969D3"/>
    <w:rsid w:val="00F97293"/>
    <w:rsid w:val="00FA190E"/>
    <w:rsid w:val="00FA54D8"/>
    <w:rsid w:val="00FB2D40"/>
    <w:rsid w:val="00FB2EE5"/>
    <w:rsid w:val="00FC4FB7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B13"/>
    <w:rsid w:val="00FF0566"/>
    <w:rsid w:val="00FF499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9"/>
    <w:lsdException w:name="TOC Heading" w:qFormat="1"/>
  </w:latentStyles>
  <w:style w:type="paragraph" w:default="1" w:styleId="Normal">
    <w:name w:val="Normal"/>
    <w:uiPriority w:val="39"/>
    <w:rsid w:val="00112F1F"/>
  </w:style>
  <w:style w:type="paragraph" w:styleId="Heading1">
    <w:name w:val="heading 1"/>
    <w:basedOn w:val="Normal"/>
    <w:next w:val="BodyText"/>
    <w:link w:val="Heading1Char"/>
    <w:uiPriority w:val="9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9"/>
    <w:rsid w:val="00112F1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112F1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112F1F"/>
    <w:pPr>
      <w:numPr>
        <w:numId w:val="12"/>
      </w:numPr>
      <w:ind w:left="284" w:hanging="284"/>
    </w:pPr>
  </w:style>
  <w:style w:type="character" w:styleId="CommentReference">
    <w:name w:val="annotation reference"/>
    <w:basedOn w:val="DefaultParagraphFont"/>
    <w:semiHidden/>
    <w:unhideWhenUsed/>
    <w:rsid w:val="00E405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5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570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2" w:qFormat="1"/>
    <w:lsdException w:name="heading 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9"/>
    <w:lsdException w:name="TOC Heading" w:qFormat="1"/>
  </w:latentStyles>
  <w:style w:type="paragraph" w:default="1" w:styleId="Normal">
    <w:name w:val="Normal"/>
    <w:uiPriority w:val="39"/>
    <w:rsid w:val="00112F1F"/>
  </w:style>
  <w:style w:type="paragraph" w:styleId="Heading1">
    <w:name w:val="heading 1"/>
    <w:basedOn w:val="Normal"/>
    <w:next w:val="BodyText"/>
    <w:link w:val="Heading1Char"/>
    <w:uiPriority w:val="9"/>
    <w:qFormat/>
    <w:rsid w:val="0046444F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70" w:after="228"/>
      <w:outlineLvl w:val="0"/>
    </w:pPr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A06C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A06C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2B3B5F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788184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2D239A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32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2D239A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7C19C3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AC41CF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9"/>
    <w:rsid w:val="00112F1F"/>
    <w:rPr>
      <w:rFonts w:asciiTheme="majorHAnsi" w:hAnsiTheme="majorHAnsi"/>
      <w:bCs/>
      <w:color w:val="2B3B5F" w:themeColor="text2"/>
      <w:spacing w:val="-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112F1F"/>
    <w:rPr>
      <w:rFonts w:ascii="Calibri" w:hAnsi="Calibri"/>
      <w:b/>
      <w:bCs/>
      <w:iCs/>
      <w:color w:val="2B3B5F" w:themeColor="text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C41CF"/>
    <w:rPr>
      <w:i/>
      <w:color w:val="2B3B5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788184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89737A"/>
    <w:rPr>
      <w:rFonts w:asciiTheme="majorHAnsi" w:eastAsiaTheme="majorEastAsia" w:hAnsiTheme="majorHAnsi" w:cstheme="majorBidi"/>
      <w:color w:val="2B3B5F" w:themeColor="text2"/>
      <w:sz w:val="32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89737A"/>
    <w:rPr>
      <w:rFonts w:asciiTheme="majorHAnsi" w:hAnsiTheme="majorHAnsi"/>
      <w:color w:val="2B3B5F" w:themeColor="text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788184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476133"/>
    <w:pPr>
      <w:keepLines/>
      <w:numPr>
        <w:numId w:val="2"/>
      </w:numPr>
      <w:spacing w:after="120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476133"/>
    <w:pPr>
      <w:numPr>
        <w:ilvl w:val="1"/>
      </w:numPr>
      <w:ind w:left="908" w:hanging="454"/>
    </w:pPr>
  </w:style>
  <w:style w:type="paragraph" w:styleId="ListBullet3">
    <w:name w:val="List Bullet 3"/>
    <w:basedOn w:val="ListBullet2"/>
    <w:uiPriority w:val="9"/>
    <w:qFormat/>
    <w:rsid w:val="00961DBB"/>
    <w:pPr>
      <w:numPr>
        <w:ilvl w:val="2"/>
      </w:numPr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56001A"/>
    <w:pPr>
      <w:keepLines/>
      <w:numPr>
        <w:numId w:val="7"/>
      </w:numPr>
      <w:spacing w:after="50" w:line="260" w:lineRule="atLeast"/>
      <w:contextualSpacing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2B3B5F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788184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6444F"/>
    <w:pPr>
      <w:spacing w:line="240" w:lineRule="auto"/>
    </w:pPr>
    <w:tblPr>
      <w:tblStyleRowBandSize w:val="1"/>
      <w:tblStyleColBandSize w:val="1"/>
      <w:tblBorders>
        <w:top w:val="single" w:sz="8" w:space="0" w:color="788184" w:themeColor="accent6"/>
        <w:left w:val="single" w:sz="8" w:space="0" w:color="788184" w:themeColor="accent6"/>
        <w:bottom w:val="single" w:sz="8" w:space="0" w:color="788184" w:themeColor="accent6"/>
        <w:right w:val="single" w:sz="8" w:space="0" w:color="788184" w:themeColor="accent6"/>
        <w:insideH w:val="single" w:sz="8" w:space="0" w:color="788184" w:themeColor="accent6"/>
        <w:insideV w:val="single" w:sz="8" w:space="0" w:color="7881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1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H w:val="nil"/>
          <w:insideV w:val="single" w:sz="8" w:space="0" w:color="7881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</w:tcPr>
    </w:tblStylePr>
    <w:tblStylePr w:type="band1Vert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4" w:themeColor="accent6"/>
          <w:left w:val="single" w:sz="8" w:space="0" w:color="788184" w:themeColor="accent6"/>
          <w:bottom w:val="single" w:sz="8" w:space="0" w:color="788184" w:themeColor="accent6"/>
          <w:right w:val="single" w:sz="8" w:space="0" w:color="788184" w:themeColor="accent6"/>
          <w:insideV w:val="single" w:sz="8" w:space="0" w:color="788184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D7DDE9" w:themeColor="accent3"/>
        <w:left w:val="single" w:sz="8" w:space="0" w:color="D7DDE9" w:themeColor="accent3"/>
        <w:bottom w:val="single" w:sz="8" w:space="0" w:color="D7DDE9" w:themeColor="accent3"/>
        <w:right w:val="single" w:sz="8" w:space="0" w:color="D7DDE9" w:themeColor="accent3"/>
        <w:insideH w:val="single" w:sz="8" w:space="0" w:color="D7DDE9" w:themeColor="accent3"/>
        <w:insideV w:val="single" w:sz="8" w:space="0" w:color="D7DD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1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H w:val="nil"/>
          <w:insideV w:val="single" w:sz="8" w:space="0" w:color="D7DD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</w:tcPr>
    </w:tblStylePr>
    <w:tblStylePr w:type="band1Vert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</w:tcBorders>
        <w:shd w:val="clear" w:color="auto" w:fill="F5F6F9" w:themeFill="accent3" w:themeFillTint="3F"/>
      </w:tcPr>
    </w:tblStylePr>
    <w:tblStylePr w:type="band1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  <w:shd w:val="clear" w:color="auto" w:fill="F5F6F9" w:themeFill="accent3" w:themeFillTint="3F"/>
      </w:tcPr>
    </w:tblStylePr>
    <w:tblStylePr w:type="band2Horz">
      <w:tblPr/>
      <w:tcPr>
        <w:tcBorders>
          <w:top w:val="single" w:sz="8" w:space="0" w:color="D7DDE9" w:themeColor="accent3"/>
          <w:left w:val="single" w:sz="8" w:space="0" w:color="D7DDE9" w:themeColor="accent3"/>
          <w:bottom w:val="single" w:sz="8" w:space="0" w:color="D7DDE9" w:themeColor="accent3"/>
          <w:right w:val="single" w:sz="8" w:space="0" w:color="D7DDE9" w:themeColor="accent3"/>
          <w:insideV w:val="single" w:sz="8" w:space="0" w:color="D7DDE9" w:themeColor="accent3"/>
        </w:tcBorders>
      </w:tcPr>
    </w:tblStylePr>
  </w:style>
  <w:style w:type="paragraph" w:customStyle="1" w:styleId="Lettertext">
    <w:name w:val="Letter text"/>
    <w:basedOn w:val="BodyText"/>
    <w:qFormat/>
    <w:rsid w:val="00E64480"/>
    <w:pPr>
      <w:spacing w:before="240" w:after="0"/>
    </w:pPr>
    <w:rPr>
      <w:rFonts w:ascii="Times New Roman" w:hAnsi="Times New Roman"/>
      <w:spacing w:val="0"/>
      <w:sz w:val="24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000000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Letterbullet">
    <w:name w:val="Letter bullet"/>
    <w:basedOn w:val="Lettertext"/>
    <w:uiPriority w:val="1"/>
    <w:qFormat/>
    <w:rsid w:val="00112F1F"/>
    <w:pPr>
      <w:numPr>
        <w:numId w:val="12"/>
      </w:numPr>
      <w:ind w:left="284" w:hanging="284"/>
    </w:pPr>
  </w:style>
  <w:style w:type="character" w:styleId="CommentReference">
    <w:name w:val="annotation reference"/>
    <w:basedOn w:val="DefaultParagraphFont"/>
    <w:semiHidden/>
    <w:unhideWhenUsed/>
    <w:rsid w:val="00E405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5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5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Com16</b:Tag>
    <b:SourceType>Report</b:SourceType>
    <b:Guid>{5B4EC681-07DE-47A5-8D75-A81C9B5C55A0}</b:Guid>
    <b:Author>
      <b:Author>
        <b:Corporate>Commonwealth of Australia</b:Corporate>
      </b:Author>
    </b:Author>
    <b:Title>2016-17 Budget</b:Title>
    <b:Year>2016</b:Year>
    <b:Publisher>Commonwealth of Australia</b:Publisher>
    <b:City>Canberra</b:City>
    <b:RefOrder>1</b:RefOrder>
  </b:Source>
  <b:Source>
    <b:Tag>Aus16</b:Tag>
    <b:SourceType>Report</b:SourceType>
    <b:Guid>{21C73CF8-9778-4AAA-9666-8B75D0F6F710}</b:Guid>
    <b:Author>
      <b:Author>
        <b:Corporate>Australian Bureau of Statistics</b:Corporate>
      </b:Author>
    </b:Author>
    <b:Title>Population Projections (Cat. No 3222.0)</b:Title>
    <b:Year>2016</b:Year>
    <b:Publisher>Australian Bureau of Statistics</b:Publisher>
    <b:City>Canberra</b:City>
    <b:RefOrder>2</b:RefOrder>
  </b:Source>
  <b:Source>
    <b:Tag>Aus161</b:Tag>
    <b:SourceType>Report</b:SourceType>
    <b:Guid>{6CFF8D00-4BBB-4D9A-8A2E-78C81CFF11A7}</b:Guid>
    <b:Author>
      <b:Author>
        <b:Corporate>Australian Bureau of Statistics</b:Corporate>
      </b:Author>
    </b:Author>
    <b:Title>Residential Property Price Indexes: Eight Capital Cities</b:Title>
    <b:Year>June 2016</b:Year>
    <b:Publisher>Australian Bureau of Statistics</b:Publisher>
    <b:City>Canberra</b:City>
    <b:RefOrder>3</b:RefOrder>
  </b:Source>
  <b:Source>
    <b:Tag>Com116</b:Tag>
    <b:SourceType>Report</b:SourceType>
    <b:Guid>{31E00405-EA0B-4C04-BD91-8F48B1745104}</b:Guid>
    <b:Author>
      <b:Author>
        <b:Corporate>Commonwealth of Australia</b:Corporate>
      </b:Author>
    </b:Author>
    <b:Title>Pre-election Economic and Fiscal Outlook</b:Title>
    <b:Year>2016</b:Year>
    <b:Publisher>Commonwealth of Australia</b:Publisher>
    <b:City>Canberra</b:City>
    <b:RefOrder>4</b:RefOrder>
  </b:Source>
  <b:Source>
    <b:Tag>Gav12</b:Tag>
    <b:SourceType>Report</b:SourceType>
    <b:Guid>{15B2566A-7905-4B26-9ED0-1C60AFACFA88}</b:Guid>
    <b:Author>
      <b:Author>
        <b:NameList>
          <b:Person>
            <b:Last>Gavin Wood</b:Last>
            <b:First>Rachel</b:First>
            <b:Middle>Ong, Melek Cigdem and Elizabeth Taylor</b:Middle>
          </b:Person>
        </b:NameList>
      </b:Author>
    </b:Author>
    <b:Title>The spatial and distributional impacts of the Henry Review recommendations on stamp duty and land tax</b:Title>
    <b:Year>2012</b:Year>
    <b:Publisher>Australian Housing and Urban Research Institute</b:Publisher>
    <b:City>Perth</b:City>
    <b:RefOrder>5</b:RefOrder>
  </b:Source>
  <b:Source>
    <b:Tag>Dep15</b:Tag>
    <b:SourceType>Report</b:SourceType>
    <b:Guid>{92BC5634-4D63-45D6-9D3B-27CEE402235E}</b:Guid>
    <b:Author>
      <b:Author>
        <b:Corporate>Department of Environment, Land, Water and Planning</b:Corporate>
      </b:Author>
    </b:Author>
    <b:Title>A guide to Property Values - Statistics 2015</b:Title>
    <b:Year>2015</b:Year>
    <b:Publisher>Victorian State Government</b:Publisher>
    <b:City>Melbourne</b:City>
    <b:RefOrder>6</b:RefOrder>
  </b:Source>
  <b:Source>
    <b:Tag>Com10</b:Tag>
    <b:SourceType>Report</b:SourceType>
    <b:Guid>{8A3CC821-622E-4041-A660-3BFA94B26335}</b:Guid>
    <b:Author>
      <b:Author>
        <b:Corporate>Commonwealth of Australia</b:Corporate>
      </b:Author>
    </b:Author>
    <b:Title>2009-10 Australia's Future Tax System review</b:Title>
    <b:Year>2010</b:Year>
    <b:Publisher>Commonwealth of Australia</b:Publisher>
    <b:City>Canberra</b:City>
    <b:RefOrder>7</b:RefOrder>
  </b:Source>
</b:Sources>
</file>

<file path=customXml/itemProps1.xml><?xml version="1.0" encoding="utf-8"?>
<ds:datastoreItem xmlns:ds="http://schemas.openxmlformats.org/officeDocument/2006/customXml" ds:itemID="{61672351-1A71-4086-BD82-F44FFD2D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Financing state property tax reform</vt:lpstr>
    </vt:vector>
  </TitlesOfParts>
  <Company>Parliament of Australia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state property tax reform</dc:title>
  <dc:creator>PBO@pbo.gov.au</dc:creator>
  <cp:lastModifiedBy>Pratley, Lauren (PBO)</cp:lastModifiedBy>
  <cp:revision>5</cp:revision>
  <cp:lastPrinted>2016-11-18T05:20:00Z</cp:lastPrinted>
  <dcterms:created xsi:type="dcterms:W3CDTF">2018-02-14T00:11:00Z</dcterms:created>
  <dcterms:modified xsi:type="dcterms:W3CDTF">2018-02-14T00:32:00Z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