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10" w:rsidRPr="00071A10" w:rsidRDefault="00071A10" w:rsidP="00071A10">
      <w:pPr>
        <w:spacing w:before="480" w:after="340" w:line="240" w:lineRule="auto"/>
        <w:rPr>
          <w:rFonts w:asciiTheme="majorHAnsi" w:eastAsiaTheme="majorEastAsia" w:hAnsiTheme="majorHAnsi" w:cstheme="majorBidi"/>
          <w:color w:val="2B3B5F" w:themeColor="text2"/>
          <w:spacing w:val="-2"/>
          <w:sz w:val="32"/>
          <w:szCs w:val="50"/>
        </w:rPr>
      </w:pPr>
      <w:r w:rsidRPr="00071A10">
        <w:rPr>
          <w:rFonts w:asciiTheme="majorHAnsi" w:eastAsiaTheme="majorEastAsia" w:hAnsiTheme="majorHAnsi" w:cstheme="majorBidi"/>
          <w:color w:val="2B3B5F" w:themeColor="text2"/>
          <w:spacing w:val="-2"/>
          <w:sz w:val="32"/>
          <w:szCs w:val="50"/>
        </w:rPr>
        <w:t>Policy costing—outside the caretaker period</w:t>
      </w:r>
    </w:p>
    <w:tbl>
      <w:tblPr>
        <w:tblStyle w:val="LightGrid-Accent62"/>
        <w:tblW w:w="5000" w:type="pct"/>
        <w:tblLook w:val="0600" w:firstRow="0" w:lastRow="0" w:firstColumn="0" w:lastColumn="0" w:noHBand="1" w:noVBand="1"/>
      </w:tblPr>
      <w:tblGrid>
        <w:gridCol w:w="3085"/>
        <w:gridCol w:w="1276"/>
        <w:gridCol w:w="4167"/>
      </w:tblGrid>
      <w:tr w:rsidR="00071A10" w:rsidRPr="00071A10" w:rsidTr="00D652D1">
        <w:tc>
          <w:tcPr>
            <w:tcW w:w="1809" w:type="pct"/>
            <w:shd w:val="clear" w:color="auto" w:fill="D7DDE9" w:themeFill="accent3"/>
          </w:tcPr>
          <w:p w:rsidR="00071A10" w:rsidRPr="00071A10" w:rsidRDefault="00071A10" w:rsidP="00071A10">
            <w:pPr>
              <w:keepNext/>
              <w:keepLines/>
              <w:spacing w:before="120" w:after="120"/>
              <w:ind w:left="57" w:right="57"/>
              <w:rPr>
                <w:b/>
                <w:spacing w:val="-1"/>
              </w:rPr>
            </w:pPr>
            <w:r w:rsidRPr="00071A10">
              <w:rPr>
                <w:b/>
                <w:spacing w:val="-1"/>
              </w:rPr>
              <w:t>Name of proposal:</w:t>
            </w:r>
          </w:p>
        </w:tc>
        <w:tc>
          <w:tcPr>
            <w:tcW w:w="3191" w:type="pct"/>
            <w:gridSpan w:val="2"/>
            <w:shd w:val="clear" w:color="auto" w:fill="D7DDE9" w:themeFill="accent3"/>
          </w:tcPr>
          <w:p w:rsidR="00071A10" w:rsidRPr="00071A10" w:rsidRDefault="00071A10" w:rsidP="00071A10">
            <w:pPr>
              <w:keepNext/>
              <w:keepLines/>
              <w:spacing w:before="120" w:after="120"/>
              <w:ind w:left="57" w:right="57"/>
              <w:rPr>
                <w:b/>
                <w:spacing w:val="-1"/>
              </w:rPr>
            </w:pPr>
            <w:r w:rsidRPr="00071A10">
              <w:rPr>
                <w:b/>
                <w:spacing w:val="-1"/>
              </w:rPr>
              <w:t>Energy</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Summary of proposal:</w:t>
            </w:r>
          </w:p>
        </w:tc>
        <w:tc>
          <w:tcPr>
            <w:tcW w:w="3191" w:type="pct"/>
            <w:gridSpan w:val="2"/>
          </w:tcPr>
          <w:p w:rsidR="00071A10" w:rsidRPr="00071A10" w:rsidRDefault="00071A10" w:rsidP="00071A10">
            <w:pPr>
              <w:tabs>
                <w:tab w:val="left" w:pos="884"/>
              </w:tabs>
              <w:spacing w:before="120" w:after="120"/>
              <w:ind w:left="57" w:right="57"/>
              <w:rPr>
                <w:spacing w:val="-1"/>
              </w:rPr>
            </w:pPr>
            <w:r w:rsidRPr="00071A10">
              <w:rPr>
                <w:spacing w:val="-1"/>
              </w:rPr>
              <w:t>The proposal would abolish the Climate Change Authority (CCA), the Emissions Reduction Fund (ERF), the Renewable Energy Target (RET), the Australian Renewable Energy Agency (ARENA), the Clean Energy Finance Corporation (CEFC) and the Clean Energy Innovation Fund (CEIF).</w:t>
            </w:r>
          </w:p>
          <w:p w:rsidR="00071A10" w:rsidRPr="00071A10" w:rsidRDefault="00071A10" w:rsidP="00071A10">
            <w:pPr>
              <w:tabs>
                <w:tab w:val="left" w:pos="884"/>
              </w:tabs>
              <w:spacing w:before="120" w:after="120"/>
              <w:ind w:left="57" w:right="57"/>
              <w:rPr>
                <w:spacing w:val="-1"/>
              </w:rPr>
            </w:pPr>
            <w:r w:rsidRPr="00071A10">
              <w:rPr>
                <w:spacing w:val="-1"/>
              </w:rPr>
              <w:t>This proposal would commence on 1 July 2017.</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Person/party requesting the costing:</w:t>
            </w:r>
          </w:p>
        </w:tc>
        <w:tc>
          <w:tcPr>
            <w:tcW w:w="3191" w:type="pct"/>
            <w:gridSpan w:val="2"/>
          </w:tcPr>
          <w:p w:rsidR="00071A10" w:rsidRPr="00071A10" w:rsidRDefault="00071A10" w:rsidP="00071A10">
            <w:pPr>
              <w:spacing w:before="120" w:after="120"/>
              <w:ind w:left="57" w:right="57"/>
              <w:rPr>
                <w:spacing w:val="-1"/>
              </w:rPr>
            </w:pPr>
            <w:r w:rsidRPr="00071A10">
              <w:rPr>
                <w:spacing w:val="-1"/>
              </w:rPr>
              <w:t xml:space="preserve">Senator David </w:t>
            </w:r>
            <w:proofErr w:type="spellStart"/>
            <w:r w:rsidRPr="00071A10">
              <w:rPr>
                <w:spacing w:val="-1"/>
              </w:rPr>
              <w:t>Leyonhjelm</w:t>
            </w:r>
            <w:proofErr w:type="spellEnd"/>
            <w:r w:rsidRPr="00071A10">
              <w:rPr>
                <w:spacing w:val="-1"/>
              </w:rPr>
              <w:t>, Liberal Democratic Party</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Did the applicant request the costing be confidential:</w:t>
            </w:r>
          </w:p>
        </w:tc>
        <w:tc>
          <w:tcPr>
            <w:tcW w:w="748" w:type="pct"/>
            <w:tcBorders>
              <w:right w:val="nil"/>
            </w:tcBorders>
          </w:tcPr>
          <w:p w:rsidR="00071A10" w:rsidRPr="00071A10" w:rsidRDefault="00D52089" w:rsidP="00071A10">
            <w:pPr>
              <w:spacing w:before="120" w:after="120"/>
              <w:ind w:left="57" w:right="57"/>
              <w:rPr>
                <w:spacing w:val="-1"/>
              </w:rPr>
            </w:pPr>
            <w:sdt>
              <w:sdtPr>
                <w:rPr>
                  <w:spacing w:val="-1"/>
                </w:rPr>
                <w:id w:val="33003715"/>
                <w14:checkbox>
                  <w14:checked w14:val="1"/>
                  <w14:checkedState w14:val="2612" w14:font="MS Gothic"/>
                  <w14:uncheckedState w14:val="2610" w14:font="MS Gothic"/>
                </w14:checkbox>
              </w:sdtPr>
              <w:sdtEndPr/>
              <w:sdtContent>
                <w:r w:rsidR="00071A10" w:rsidRPr="00071A10">
                  <w:rPr>
                    <w:rFonts w:hint="eastAsia"/>
                    <w:spacing w:val="-1"/>
                  </w:rPr>
                  <w:t>☒</w:t>
                </w:r>
              </w:sdtContent>
            </w:sdt>
            <w:r w:rsidR="00071A10" w:rsidRPr="00071A10">
              <w:rPr>
                <w:spacing w:val="-1"/>
              </w:rPr>
              <w:t xml:space="preserve"> Yes</w:t>
            </w:r>
          </w:p>
        </w:tc>
        <w:tc>
          <w:tcPr>
            <w:tcW w:w="2443" w:type="pct"/>
            <w:tcBorders>
              <w:left w:val="nil"/>
              <w:right w:val="single" w:sz="4" w:space="0" w:color="auto"/>
            </w:tcBorders>
          </w:tcPr>
          <w:p w:rsidR="00071A10" w:rsidRPr="00071A10" w:rsidRDefault="00D52089" w:rsidP="00071A10">
            <w:pPr>
              <w:spacing w:before="120" w:after="120"/>
              <w:ind w:left="57" w:right="57"/>
              <w:rPr>
                <w:spacing w:val="-1"/>
              </w:rPr>
            </w:pPr>
            <w:sdt>
              <w:sdtPr>
                <w:rPr>
                  <w:spacing w:val="-1"/>
                </w:rPr>
                <w:id w:val="-864130722"/>
                <w14:checkbox>
                  <w14:checked w14:val="0"/>
                  <w14:checkedState w14:val="2612" w14:font="MS Gothic"/>
                  <w14:uncheckedState w14:val="2610" w14:font="MS Gothic"/>
                </w14:checkbox>
              </w:sdtPr>
              <w:sdtEndPr/>
              <w:sdtContent>
                <w:r w:rsidR="00071A10" w:rsidRPr="00071A10">
                  <w:rPr>
                    <w:rFonts w:hint="eastAsia"/>
                    <w:spacing w:val="-1"/>
                  </w:rPr>
                  <w:t>☐</w:t>
                </w:r>
              </w:sdtContent>
            </w:sdt>
            <w:r w:rsidR="00071A10" w:rsidRPr="00071A10">
              <w:rPr>
                <w:spacing w:val="-1"/>
              </w:rPr>
              <w:t xml:space="preserve"> No</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Date costing request received:</w:t>
            </w:r>
          </w:p>
        </w:tc>
        <w:tc>
          <w:tcPr>
            <w:tcW w:w="3191" w:type="pct"/>
            <w:gridSpan w:val="2"/>
          </w:tcPr>
          <w:p w:rsidR="00071A10" w:rsidRPr="00071A10" w:rsidRDefault="00071A10" w:rsidP="00071A10">
            <w:pPr>
              <w:spacing w:before="120" w:after="120"/>
              <w:ind w:left="57" w:right="57"/>
              <w:rPr>
                <w:spacing w:val="-1"/>
              </w:rPr>
            </w:pPr>
            <w:r w:rsidRPr="00071A10">
              <w:rPr>
                <w:spacing w:val="-1"/>
              </w:rPr>
              <w:t>9 August 2016</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Date costing completed:</w:t>
            </w:r>
          </w:p>
        </w:tc>
        <w:tc>
          <w:tcPr>
            <w:tcW w:w="3191" w:type="pct"/>
            <w:gridSpan w:val="2"/>
          </w:tcPr>
          <w:p w:rsidR="00071A10" w:rsidRPr="00071A10" w:rsidRDefault="00071A10" w:rsidP="00071A10">
            <w:pPr>
              <w:spacing w:before="120" w:after="120"/>
              <w:ind w:left="57" w:right="57"/>
              <w:rPr>
                <w:spacing w:val="-1"/>
              </w:rPr>
            </w:pPr>
            <w:r w:rsidRPr="00071A10">
              <w:rPr>
                <w:spacing w:val="-1"/>
              </w:rPr>
              <w:t>27 October 2016</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Additional information requested (including date):</w:t>
            </w:r>
          </w:p>
        </w:tc>
        <w:tc>
          <w:tcPr>
            <w:tcW w:w="3191" w:type="pct"/>
            <w:gridSpan w:val="2"/>
          </w:tcPr>
          <w:p w:rsidR="00071A10" w:rsidRPr="00071A10" w:rsidRDefault="00071A10" w:rsidP="00071A10">
            <w:pPr>
              <w:spacing w:before="120" w:after="120"/>
              <w:ind w:left="57" w:right="57"/>
              <w:rPr>
                <w:spacing w:val="-1"/>
              </w:rPr>
            </w:pPr>
            <w:r w:rsidRPr="00071A10">
              <w:rPr>
                <w:spacing w:val="-1"/>
              </w:rPr>
              <w:t xml:space="preserve">On 29 August 2016, Senator </w:t>
            </w:r>
            <w:proofErr w:type="spellStart"/>
            <w:r w:rsidRPr="00071A10">
              <w:rPr>
                <w:spacing w:val="-1"/>
              </w:rPr>
              <w:t>Leyonhjelm’s</w:t>
            </w:r>
            <w:proofErr w:type="spellEnd"/>
            <w:r w:rsidRPr="00071A10">
              <w:rPr>
                <w:spacing w:val="-1"/>
              </w:rPr>
              <w:t xml:space="preserve"> office (the office) was contacted to confirm whether the proposal was intended to include the abolition of the CEIF which is administered by the CEFC and the ARENA.</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Additional information received (including date):</w:t>
            </w:r>
          </w:p>
        </w:tc>
        <w:tc>
          <w:tcPr>
            <w:tcW w:w="3191" w:type="pct"/>
            <w:gridSpan w:val="2"/>
          </w:tcPr>
          <w:p w:rsidR="00071A10" w:rsidRPr="00071A10" w:rsidRDefault="00071A10" w:rsidP="00071A10">
            <w:pPr>
              <w:spacing w:before="120" w:after="120"/>
              <w:ind w:left="57" w:right="57"/>
              <w:rPr>
                <w:spacing w:val="-1"/>
              </w:rPr>
            </w:pPr>
            <w:r w:rsidRPr="00071A10">
              <w:rPr>
                <w:spacing w:val="-1"/>
              </w:rPr>
              <w:t>On 29 August 2016 the office confirmed that the proposal should include the abolition of the CEIF.</w:t>
            </w:r>
          </w:p>
        </w:tc>
      </w:tr>
      <w:tr w:rsidR="00071A10" w:rsidRPr="00071A10" w:rsidTr="00D652D1">
        <w:tc>
          <w:tcPr>
            <w:tcW w:w="1809" w:type="pct"/>
          </w:tcPr>
          <w:p w:rsidR="00071A10" w:rsidRPr="00071A10" w:rsidRDefault="00071A10" w:rsidP="00071A10">
            <w:pPr>
              <w:spacing w:before="120" w:after="120"/>
              <w:ind w:left="57" w:right="57"/>
              <w:rPr>
                <w:spacing w:val="-1"/>
              </w:rPr>
            </w:pPr>
            <w:r w:rsidRPr="00071A10">
              <w:rPr>
                <w:spacing w:val="-1"/>
              </w:rPr>
              <w:t>Expiry date of the costing:</w:t>
            </w:r>
          </w:p>
        </w:tc>
        <w:tc>
          <w:tcPr>
            <w:tcW w:w="3191" w:type="pct"/>
            <w:gridSpan w:val="2"/>
          </w:tcPr>
          <w:p w:rsidR="00071A10" w:rsidRPr="00071A10" w:rsidRDefault="00071A10" w:rsidP="00071A10">
            <w:pPr>
              <w:spacing w:before="120" w:after="120"/>
              <w:ind w:left="57" w:right="57"/>
              <w:rPr>
                <w:spacing w:val="-1"/>
              </w:rPr>
            </w:pPr>
            <w:r w:rsidRPr="00071A10">
              <w:rPr>
                <w:spacing w:val="-1"/>
              </w:rPr>
              <w:t>Release of the next economic and fiscal outlook report.</w:t>
            </w:r>
          </w:p>
        </w:tc>
      </w:tr>
    </w:tbl>
    <w:p w:rsidR="00071A10" w:rsidRPr="00071A10" w:rsidRDefault="00071A10" w:rsidP="00071A10">
      <w:pPr>
        <w:keepNext/>
        <w:keepLines/>
        <w:numPr>
          <w:ilvl w:val="0"/>
          <w:numId w:val="10"/>
        </w:numPr>
        <w:tabs>
          <w:tab w:val="right" w:pos="1418"/>
          <w:tab w:val="right" w:pos="1701"/>
          <w:tab w:val="right" w:pos="1985"/>
        </w:tabs>
        <w:spacing w:before="470" w:after="228"/>
        <w:outlineLvl w:val="0"/>
        <w:rPr>
          <w:rFonts w:asciiTheme="majorHAnsi" w:hAnsiTheme="majorHAnsi"/>
          <w:bCs/>
          <w:color w:val="2B3B5F" w:themeColor="text2"/>
          <w:spacing w:val="-6"/>
          <w:kern w:val="32"/>
          <w:sz w:val="32"/>
          <w:szCs w:val="32"/>
        </w:rPr>
      </w:pPr>
      <w:r w:rsidRPr="00071A10">
        <w:rPr>
          <w:rFonts w:asciiTheme="majorHAnsi" w:hAnsiTheme="majorHAnsi"/>
          <w:bCs/>
          <w:color w:val="2B3B5F" w:themeColor="text2"/>
          <w:spacing w:val="-6"/>
          <w:kern w:val="32"/>
          <w:sz w:val="32"/>
          <w:szCs w:val="32"/>
        </w:rPr>
        <w:t>Costing overview</w:t>
      </w:r>
    </w:p>
    <w:p w:rsidR="00071A10" w:rsidRPr="00071A10" w:rsidRDefault="00071A10" w:rsidP="00071A10">
      <w:pPr>
        <w:keepLines/>
        <w:spacing w:before="113" w:after="113"/>
        <w:rPr>
          <w:rFonts w:cs="Times New Roman"/>
          <w:spacing w:val="-1"/>
        </w:rPr>
      </w:pPr>
      <w:r w:rsidRPr="00071A10">
        <w:rPr>
          <w:rFonts w:cs="Times New Roman"/>
          <w:spacing w:val="-1"/>
        </w:rPr>
        <w:t>The proposal would be expected to increase the fiscal balance by $149.9 million, the underlying cash balance by $58.5 million and the headline cash balance by $1,763.5 million over the 2016-17 Budget forward estimates period.  On a fiscal balance basis, this reflects a decrease in administered expenses of $103.2 million and public debt interest (PDI) of $67.1 million.  These reductions are partially offset by an increase in departmental expenses of $20.4 million, largely driven by redundancy provisions associated with the necessary reductions in staffing levels.</w:t>
      </w:r>
    </w:p>
    <w:p w:rsidR="00071A10" w:rsidRPr="00071A10" w:rsidRDefault="00071A10" w:rsidP="00071A10">
      <w:pPr>
        <w:keepLines/>
        <w:spacing w:before="113" w:after="113"/>
        <w:rPr>
          <w:rFonts w:cs="Times New Roman"/>
          <w:spacing w:val="-1"/>
        </w:rPr>
      </w:pPr>
      <w:r w:rsidRPr="00071A10">
        <w:rPr>
          <w:rFonts w:cs="Times New Roman"/>
          <w:spacing w:val="-1"/>
        </w:rPr>
        <w:lastRenderedPageBreak/>
        <w:t>On an underlying cash balance basis, the impact of the proposal reflects a decrease in administered expenses of $103.2 million and PDI of $64.3 million.  These reductions are partially offset by an increase in departmental expenses of $108.9 million.  The departmental effect is considerably larger on an underlying cash balance basis as it does not account for the net effect of ceasing the concessional loan facility of the CEFC.</w:t>
      </w:r>
    </w:p>
    <w:p w:rsidR="00071A10" w:rsidRPr="00071A10" w:rsidRDefault="00071A10" w:rsidP="00071A10">
      <w:pPr>
        <w:keepLines/>
        <w:spacing w:before="113" w:after="113"/>
        <w:rPr>
          <w:rFonts w:cs="Times New Roman"/>
          <w:spacing w:val="-1"/>
        </w:rPr>
      </w:pPr>
      <w:r w:rsidRPr="00071A10">
        <w:rPr>
          <w:rFonts w:cs="Times New Roman"/>
          <w:spacing w:val="-1"/>
        </w:rPr>
        <w:t>On a headline cash balance basis, the impact of the proposal reflects a decrease in departmental expenses of $1,596.1 million, administered expenses of $103.2 million and PDI of $64.3 million.  The significantly larger impact on departmental expenses on a headline cash balance basis reflects the cessation of funding provided to the CEFC in order for that agency to undertake investments.</w:t>
      </w:r>
    </w:p>
    <w:p w:rsidR="00071A10" w:rsidRPr="00071A10" w:rsidRDefault="00071A10" w:rsidP="00071A10">
      <w:pPr>
        <w:keepLines/>
        <w:widowControl w:val="0"/>
        <w:spacing w:before="340" w:after="114"/>
        <w:rPr>
          <w:b/>
          <w:bCs/>
          <w:color w:val="2B3B5F" w:themeColor="text2"/>
          <w:spacing w:val="-4"/>
        </w:rPr>
      </w:pPr>
      <w:r w:rsidRPr="00071A10">
        <w:rPr>
          <w:b/>
          <w:bCs/>
          <w:color w:val="2B3B5F" w:themeColor="text2"/>
          <w:spacing w:val="-4"/>
        </w:rPr>
        <w:t xml:space="preserve">Table </w:t>
      </w:r>
      <w:r w:rsidRPr="00071A10">
        <w:rPr>
          <w:b/>
          <w:bCs/>
          <w:color w:val="2B3B5F" w:themeColor="text2"/>
          <w:spacing w:val="-4"/>
        </w:rPr>
        <w:fldChar w:fldCharType="begin"/>
      </w:r>
      <w:r w:rsidRPr="00071A10">
        <w:rPr>
          <w:b/>
          <w:bCs/>
          <w:color w:val="2B3B5F" w:themeColor="text2"/>
          <w:spacing w:val="-4"/>
        </w:rPr>
        <w:instrText xml:space="preserve"> SEQ Table \* ARABIC \s 1 </w:instrText>
      </w:r>
      <w:r w:rsidRPr="00071A10">
        <w:rPr>
          <w:b/>
          <w:bCs/>
          <w:color w:val="2B3B5F" w:themeColor="text2"/>
          <w:spacing w:val="-4"/>
        </w:rPr>
        <w:fldChar w:fldCharType="separate"/>
      </w:r>
      <w:r w:rsidRPr="00071A10">
        <w:rPr>
          <w:b/>
          <w:bCs/>
          <w:noProof/>
          <w:color w:val="2B3B5F" w:themeColor="text2"/>
          <w:spacing w:val="-4"/>
        </w:rPr>
        <w:t>1</w:t>
      </w:r>
      <w:r w:rsidRPr="00071A10">
        <w:rPr>
          <w:b/>
          <w:bCs/>
          <w:noProof/>
          <w:color w:val="2B3B5F" w:themeColor="text2"/>
          <w:spacing w:val="-4"/>
        </w:rPr>
        <w:fldChar w:fldCharType="end"/>
      </w:r>
      <w:r w:rsidRPr="00071A10">
        <w:rPr>
          <w:b/>
          <w:bCs/>
          <w:color w:val="2B3B5F" w:themeColor="text2"/>
          <w:spacing w:val="-4"/>
        </w:rPr>
        <w:t>: Financial implications (outturn prices</w:t>
      </w:r>
      <w:proofErr w:type="gramStart"/>
      <w:r w:rsidRPr="00071A10">
        <w:rPr>
          <w:b/>
          <w:bCs/>
          <w:color w:val="2B3B5F" w:themeColor="text2"/>
          <w:spacing w:val="-4"/>
        </w:rPr>
        <w:t>)</w:t>
      </w:r>
      <w:r w:rsidRPr="00071A10">
        <w:rPr>
          <w:b/>
          <w:bCs/>
          <w:color w:val="2B3B5F" w:themeColor="text2"/>
          <w:spacing w:val="-4"/>
          <w:vertAlign w:val="superscript"/>
        </w:rPr>
        <w:t>(</w:t>
      </w:r>
      <w:proofErr w:type="gramEnd"/>
      <w:r w:rsidRPr="00071A10">
        <w:rPr>
          <w:b/>
          <w:bCs/>
          <w:color w:val="2B3B5F" w:themeColor="text2"/>
          <w:spacing w:val="-4"/>
          <w:vertAlign w:val="superscript"/>
        </w:rPr>
        <w:t>a)(b)</w:t>
      </w:r>
    </w:p>
    <w:tbl>
      <w:tblPr>
        <w:tblStyle w:val="LightGrid-Accent62"/>
        <w:tblW w:w="5000" w:type="pct"/>
        <w:tblLook w:val="0680" w:firstRow="0" w:lastRow="0" w:firstColumn="1" w:lastColumn="0" w:noHBand="1" w:noVBand="1"/>
      </w:tblPr>
      <w:tblGrid>
        <w:gridCol w:w="2518"/>
        <w:gridCol w:w="1203"/>
        <w:gridCol w:w="1202"/>
        <w:gridCol w:w="1202"/>
        <w:gridCol w:w="1202"/>
        <w:gridCol w:w="1201"/>
      </w:tblGrid>
      <w:tr w:rsidR="00071A10" w:rsidRPr="00071A10" w:rsidTr="00D652D1">
        <w:tc>
          <w:tcPr>
            <w:cnfStyle w:val="001000000000" w:firstRow="0" w:lastRow="0" w:firstColumn="1" w:lastColumn="0" w:oddVBand="0" w:evenVBand="0" w:oddHBand="0" w:evenHBand="0" w:firstRowFirstColumn="0" w:firstRowLastColumn="0" w:lastRowFirstColumn="0" w:lastRowLastColumn="0"/>
            <w:tcW w:w="1476" w:type="pct"/>
            <w:shd w:val="clear" w:color="auto" w:fill="D7DDE9" w:themeFill="accent3"/>
            <w:vAlign w:val="center"/>
          </w:tcPr>
          <w:p w:rsidR="00071A10" w:rsidRPr="00071A10" w:rsidRDefault="00071A10" w:rsidP="00071A10">
            <w:pPr>
              <w:keepLines/>
              <w:widowControl w:val="0"/>
              <w:spacing w:before="70" w:after="70" w:line="260" w:lineRule="atLeast"/>
              <w:ind w:left="57" w:right="57"/>
              <w:rPr>
                <w:rFonts w:asciiTheme="minorHAnsi" w:hAnsiTheme="minorHAnsi" w:cs="Times New Roman"/>
                <w:b w:val="0"/>
                <w:sz w:val="20"/>
                <w:szCs w:val="20"/>
              </w:rPr>
            </w:pPr>
            <w:r w:rsidRPr="00071A10">
              <w:rPr>
                <w:rFonts w:asciiTheme="minorHAnsi" w:hAnsiTheme="minorHAnsi" w:cs="Times New Roman"/>
                <w:b w:val="0"/>
                <w:sz w:val="20"/>
                <w:szCs w:val="20"/>
              </w:rPr>
              <w:t>Impact on ($m)</w:t>
            </w:r>
          </w:p>
        </w:tc>
        <w:tc>
          <w:tcPr>
            <w:tcW w:w="705" w:type="pct"/>
            <w:shd w:val="clear" w:color="auto" w:fill="D7DDE9" w:themeFill="accent3"/>
            <w:vAlign w:val="center"/>
          </w:tcPr>
          <w:p w:rsidR="00071A10" w:rsidRPr="00071A10" w:rsidRDefault="00071A10" w:rsidP="00071A10">
            <w:pPr>
              <w:keepLines/>
              <w:widowControl w:val="0"/>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071A10">
              <w:rPr>
                <w:rFonts w:ascii="Calibri" w:hAnsi="Calibri" w:cs="Times New Roman"/>
                <w:sz w:val="20"/>
                <w:szCs w:val="20"/>
              </w:rPr>
              <w:t>2016–17</w:t>
            </w:r>
          </w:p>
        </w:tc>
        <w:tc>
          <w:tcPr>
            <w:tcW w:w="705" w:type="pct"/>
            <w:shd w:val="clear" w:color="auto" w:fill="D7DDE9" w:themeFill="accent3"/>
            <w:vAlign w:val="center"/>
          </w:tcPr>
          <w:p w:rsidR="00071A10" w:rsidRPr="00071A10" w:rsidRDefault="00071A10" w:rsidP="00071A10">
            <w:pPr>
              <w:keepLines/>
              <w:widowControl w:val="0"/>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071A10">
              <w:rPr>
                <w:rFonts w:ascii="Calibri" w:hAnsi="Calibri" w:cs="Times New Roman"/>
                <w:sz w:val="20"/>
                <w:szCs w:val="20"/>
              </w:rPr>
              <w:t>2017–18</w:t>
            </w:r>
          </w:p>
        </w:tc>
        <w:tc>
          <w:tcPr>
            <w:tcW w:w="705" w:type="pct"/>
            <w:shd w:val="clear" w:color="auto" w:fill="D7DDE9" w:themeFill="accent3"/>
            <w:vAlign w:val="center"/>
          </w:tcPr>
          <w:p w:rsidR="00071A10" w:rsidRPr="00071A10" w:rsidRDefault="00071A10" w:rsidP="00071A10">
            <w:pPr>
              <w:keepLines/>
              <w:widowControl w:val="0"/>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071A10">
              <w:rPr>
                <w:rFonts w:ascii="Calibri" w:hAnsi="Calibri" w:cs="Times New Roman"/>
                <w:sz w:val="20"/>
                <w:szCs w:val="20"/>
              </w:rPr>
              <w:t>2018–19</w:t>
            </w:r>
          </w:p>
        </w:tc>
        <w:tc>
          <w:tcPr>
            <w:tcW w:w="705" w:type="pct"/>
            <w:shd w:val="clear" w:color="auto" w:fill="D7DDE9" w:themeFill="accent3"/>
            <w:vAlign w:val="center"/>
          </w:tcPr>
          <w:p w:rsidR="00071A10" w:rsidRPr="00071A10" w:rsidRDefault="00071A10" w:rsidP="00071A10">
            <w:pPr>
              <w:keepLines/>
              <w:widowControl w:val="0"/>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rPr>
            </w:pPr>
            <w:r w:rsidRPr="00071A10">
              <w:rPr>
                <w:rFonts w:ascii="Calibri" w:hAnsi="Calibri" w:cs="Times New Roman"/>
                <w:sz w:val="20"/>
                <w:szCs w:val="20"/>
              </w:rPr>
              <w:t>2019–20</w:t>
            </w:r>
          </w:p>
        </w:tc>
        <w:tc>
          <w:tcPr>
            <w:tcW w:w="704" w:type="pct"/>
            <w:shd w:val="clear" w:color="auto" w:fill="D7DDE9" w:themeFill="accent3"/>
            <w:vAlign w:val="center"/>
          </w:tcPr>
          <w:p w:rsidR="00071A10" w:rsidRPr="00071A10" w:rsidRDefault="00071A10" w:rsidP="00071A10">
            <w:pPr>
              <w:keepLines/>
              <w:widowControl w:val="0"/>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szCs w:val="20"/>
              </w:rPr>
            </w:pPr>
            <w:r w:rsidRPr="00071A10">
              <w:rPr>
                <w:rFonts w:ascii="Calibri" w:hAnsi="Calibri" w:cs="Times New Roman"/>
                <w:b/>
                <w:sz w:val="20"/>
                <w:szCs w:val="20"/>
              </w:rPr>
              <w:t>Total to 2019–20</w:t>
            </w:r>
          </w:p>
        </w:tc>
      </w:tr>
      <w:tr w:rsidR="00071A10" w:rsidRPr="00071A10" w:rsidTr="00D652D1">
        <w:tc>
          <w:tcPr>
            <w:cnfStyle w:val="001000000000" w:firstRow="0" w:lastRow="0" w:firstColumn="1" w:lastColumn="0" w:oddVBand="0" w:evenVBand="0" w:oddHBand="0" w:evenHBand="0" w:firstRowFirstColumn="0" w:firstRowLastColumn="0" w:lastRowFirstColumn="0" w:lastRowLastColumn="0"/>
            <w:tcW w:w="1476" w:type="pct"/>
            <w:vAlign w:val="center"/>
          </w:tcPr>
          <w:p w:rsidR="00071A10" w:rsidRPr="00071A10" w:rsidRDefault="00071A10" w:rsidP="00071A10">
            <w:pPr>
              <w:keepLines/>
              <w:widowControl w:val="0"/>
              <w:spacing w:before="70" w:after="70" w:line="260" w:lineRule="atLeast"/>
              <w:ind w:left="57" w:right="57"/>
              <w:rPr>
                <w:rFonts w:asciiTheme="minorHAnsi" w:hAnsiTheme="minorHAnsi" w:cs="Times New Roman"/>
                <w:b w:val="0"/>
                <w:sz w:val="20"/>
                <w:szCs w:val="20"/>
              </w:rPr>
            </w:pPr>
            <w:r w:rsidRPr="00071A10">
              <w:rPr>
                <w:rFonts w:asciiTheme="minorHAnsi" w:hAnsiTheme="minorHAnsi" w:cs="Times New Roman"/>
                <w:b w:val="0"/>
                <w:sz w:val="20"/>
                <w:szCs w:val="20"/>
              </w:rPr>
              <w:t>Fiscal balance</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64.8</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67.5</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17.6</w:t>
            </w:r>
          </w:p>
        </w:tc>
        <w:tc>
          <w:tcPr>
            <w:tcW w:w="704"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071A10">
              <w:rPr>
                <w:rFonts w:ascii="Calibri" w:hAnsi="Calibri"/>
                <w:b/>
                <w:bCs/>
                <w:color w:val="000000"/>
                <w:sz w:val="20"/>
                <w:szCs w:val="20"/>
              </w:rPr>
              <w:t xml:space="preserve"> 149.9</w:t>
            </w:r>
          </w:p>
        </w:tc>
      </w:tr>
      <w:tr w:rsidR="00071A10" w:rsidRPr="00071A10" w:rsidTr="00D652D1">
        <w:tc>
          <w:tcPr>
            <w:cnfStyle w:val="001000000000" w:firstRow="0" w:lastRow="0" w:firstColumn="1" w:lastColumn="0" w:oddVBand="0" w:evenVBand="0" w:oddHBand="0" w:evenHBand="0" w:firstRowFirstColumn="0" w:firstRowLastColumn="0" w:lastRowFirstColumn="0" w:lastRowLastColumn="0"/>
            <w:tcW w:w="1476" w:type="pct"/>
            <w:vAlign w:val="center"/>
          </w:tcPr>
          <w:p w:rsidR="00071A10" w:rsidRPr="00071A10" w:rsidRDefault="00071A10" w:rsidP="00071A10">
            <w:pPr>
              <w:keepLines/>
              <w:widowControl w:val="0"/>
              <w:spacing w:before="70" w:after="70" w:line="260" w:lineRule="atLeast"/>
              <w:ind w:left="57" w:right="57"/>
              <w:rPr>
                <w:rFonts w:asciiTheme="minorHAnsi" w:hAnsiTheme="minorHAnsi" w:cs="Times New Roman"/>
                <w:b w:val="0"/>
                <w:sz w:val="20"/>
                <w:szCs w:val="20"/>
              </w:rPr>
            </w:pPr>
            <w:r w:rsidRPr="00071A10">
              <w:rPr>
                <w:rFonts w:asciiTheme="minorHAnsi" w:hAnsiTheme="minorHAnsi" w:cs="Times New Roman"/>
                <w:b w:val="0"/>
                <w:sz w:val="20"/>
                <w:szCs w:val="20"/>
              </w:rPr>
              <w:t>Underlying cash balance</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45.1</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34.5</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-21.1</w:t>
            </w:r>
          </w:p>
        </w:tc>
        <w:tc>
          <w:tcPr>
            <w:tcW w:w="704"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071A10">
              <w:rPr>
                <w:rFonts w:ascii="Calibri" w:hAnsi="Calibri"/>
                <w:b/>
                <w:bCs/>
                <w:color w:val="000000"/>
                <w:sz w:val="20"/>
                <w:szCs w:val="20"/>
              </w:rPr>
              <w:t xml:space="preserve"> 58.5</w:t>
            </w:r>
          </w:p>
        </w:tc>
      </w:tr>
      <w:tr w:rsidR="00071A10" w:rsidRPr="00071A10" w:rsidTr="00D652D1">
        <w:tc>
          <w:tcPr>
            <w:cnfStyle w:val="001000000000" w:firstRow="0" w:lastRow="0" w:firstColumn="1" w:lastColumn="0" w:oddVBand="0" w:evenVBand="0" w:oddHBand="0" w:evenHBand="0" w:firstRowFirstColumn="0" w:firstRowLastColumn="0" w:lastRowFirstColumn="0" w:lastRowLastColumn="0"/>
            <w:tcW w:w="1476" w:type="pct"/>
            <w:vAlign w:val="center"/>
          </w:tcPr>
          <w:p w:rsidR="00071A10" w:rsidRPr="00071A10" w:rsidRDefault="00071A10" w:rsidP="00071A10">
            <w:pPr>
              <w:keepLines/>
              <w:widowControl w:val="0"/>
              <w:spacing w:before="70" w:after="70" w:line="260" w:lineRule="atLeast"/>
              <w:ind w:left="57" w:right="57"/>
              <w:rPr>
                <w:rFonts w:asciiTheme="minorHAnsi" w:hAnsiTheme="minorHAnsi" w:cs="Times New Roman"/>
                <w:b w:val="0"/>
                <w:sz w:val="20"/>
                <w:szCs w:val="20"/>
              </w:rPr>
            </w:pPr>
            <w:r w:rsidRPr="00071A10">
              <w:rPr>
                <w:rFonts w:asciiTheme="minorHAnsi" w:hAnsiTheme="minorHAnsi" w:cs="Times New Roman"/>
                <w:b w:val="0"/>
                <w:sz w:val="20"/>
                <w:szCs w:val="20"/>
              </w:rPr>
              <w:t>Headline cash balance</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505.1</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659.5</w:t>
            </w:r>
          </w:p>
        </w:tc>
        <w:tc>
          <w:tcPr>
            <w:tcW w:w="705"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071A10">
              <w:rPr>
                <w:rFonts w:ascii="Calibri" w:hAnsi="Calibri"/>
                <w:color w:val="000000"/>
                <w:sz w:val="20"/>
                <w:szCs w:val="20"/>
              </w:rPr>
              <w:t xml:space="preserve"> 598.9</w:t>
            </w:r>
          </w:p>
        </w:tc>
        <w:tc>
          <w:tcPr>
            <w:tcW w:w="704" w:type="pct"/>
            <w:vAlign w:val="center"/>
          </w:tcPr>
          <w:p w:rsidR="00071A10" w:rsidRPr="00071A10" w:rsidRDefault="00071A10" w:rsidP="00071A10">
            <w:pPr>
              <w:keepLines/>
              <w:widowControl w:val="0"/>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071A10">
              <w:rPr>
                <w:rFonts w:ascii="Calibri" w:hAnsi="Calibri"/>
                <w:b/>
                <w:bCs/>
                <w:color w:val="000000"/>
                <w:sz w:val="20"/>
                <w:szCs w:val="20"/>
              </w:rPr>
              <w:t xml:space="preserve"> 1,763.5</w:t>
            </w:r>
          </w:p>
        </w:tc>
      </w:tr>
    </w:tbl>
    <w:p w:rsidR="00071A10" w:rsidRPr="00071A10" w:rsidRDefault="00071A10" w:rsidP="00071A10">
      <w:pPr>
        <w:keepNext/>
        <w:keepLines/>
        <w:numPr>
          <w:ilvl w:val="0"/>
          <w:numId w:val="11"/>
        </w:numPr>
        <w:spacing w:after="50" w:line="260" w:lineRule="atLeast"/>
        <w:ind w:left="284" w:hanging="284"/>
        <w:contextualSpacing/>
        <w:rPr>
          <w:sz w:val="20"/>
        </w:rPr>
      </w:pPr>
      <w:r w:rsidRPr="00071A10">
        <w:rPr>
          <w:sz w:val="20"/>
        </w:rPr>
        <w:t>A positive number represents an increase in the relevant budget balance; a negative number represents a decrease.</w:t>
      </w:r>
    </w:p>
    <w:p w:rsidR="00071A10" w:rsidRPr="00071A10" w:rsidRDefault="00071A10" w:rsidP="00071A10">
      <w:pPr>
        <w:keepNext/>
        <w:keepLines/>
        <w:numPr>
          <w:ilvl w:val="0"/>
          <w:numId w:val="11"/>
        </w:numPr>
        <w:spacing w:after="50" w:line="260" w:lineRule="atLeast"/>
        <w:ind w:left="284" w:hanging="284"/>
        <w:contextualSpacing/>
        <w:rPr>
          <w:sz w:val="20"/>
        </w:rPr>
      </w:pPr>
      <w:r w:rsidRPr="00071A10">
        <w:rPr>
          <w:sz w:val="20"/>
        </w:rPr>
        <w:t>Figures may not sum to totals due to rounding.</w:t>
      </w:r>
    </w:p>
    <w:p w:rsidR="00071A10" w:rsidRPr="00071A10" w:rsidRDefault="00071A10" w:rsidP="00071A10">
      <w:pPr>
        <w:keepLines/>
        <w:widowControl w:val="0"/>
        <w:numPr>
          <w:ilvl w:val="0"/>
          <w:numId w:val="12"/>
        </w:numPr>
        <w:spacing w:after="228" w:line="260" w:lineRule="atLeast"/>
        <w:ind w:left="284" w:hanging="284"/>
        <w:rPr>
          <w:sz w:val="20"/>
        </w:rPr>
      </w:pPr>
      <w:r w:rsidRPr="00071A10">
        <w:rPr>
          <w:sz w:val="20"/>
        </w:rPr>
        <w:t>Indicates nil.</w:t>
      </w:r>
    </w:p>
    <w:p w:rsidR="00071A10" w:rsidRPr="00071A10" w:rsidRDefault="00071A10" w:rsidP="00071A10">
      <w:pPr>
        <w:keepNext/>
        <w:keepLines/>
        <w:spacing w:before="113" w:after="113"/>
        <w:rPr>
          <w:rFonts w:cs="Times New Roman"/>
          <w:spacing w:val="-1"/>
        </w:rPr>
      </w:pPr>
      <w:r w:rsidRPr="00071A10">
        <w:rPr>
          <w:rFonts w:cs="Times New Roman"/>
          <w:spacing w:val="-1"/>
        </w:rPr>
        <w:t>The proposal would be expected to have an ongoing impact beyond the 2016-17 Budget forward estimates period.  The impacts of this proposal, over the period 2016</w:t>
      </w:r>
      <w:r w:rsidRPr="00071A10">
        <w:rPr>
          <w:rFonts w:cs="Times New Roman"/>
          <w:spacing w:val="-1"/>
        </w:rPr>
        <w:noBreakHyphen/>
        <w:t>17 to 2026</w:t>
      </w:r>
      <w:r w:rsidRPr="00071A10">
        <w:rPr>
          <w:rFonts w:cs="Times New Roman"/>
          <w:spacing w:val="-1"/>
        </w:rPr>
        <w:noBreakHyphen/>
        <w:t xml:space="preserve">27, have been provided disaggregated by program at </w:t>
      </w:r>
      <w:r w:rsidRPr="00071A10">
        <w:rPr>
          <w:rFonts w:cs="Times New Roman"/>
          <w:spacing w:val="-1"/>
          <w:u w:val="single"/>
        </w:rPr>
        <w:t>Attachment A</w:t>
      </w:r>
      <w:r w:rsidRPr="00071A10">
        <w:rPr>
          <w:rFonts w:cs="Times New Roman"/>
          <w:spacing w:val="-1"/>
        </w:rPr>
        <w:t xml:space="preserve"> and by financial component at </w:t>
      </w:r>
      <w:r w:rsidRPr="00071A10">
        <w:rPr>
          <w:rFonts w:cs="Times New Roman"/>
          <w:spacing w:val="-1"/>
          <w:u w:val="single"/>
        </w:rPr>
        <w:t>Attachment B</w:t>
      </w:r>
      <w:r w:rsidRPr="00071A10">
        <w:rPr>
          <w:rFonts w:cs="Times New Roman"/>
          <w:spacing w:val="-1"/>
        </w:rPr>
        <w:t xml:space="preserve">.  Similarly, a breakdown of the impact of abolishing each agency or program, on which there would be a financial impact, has been provided at </w:t>
      </w:r>
      <w:r w:rsidRPr="00071A10">
        <w:rPr>
          <w:rFonts w:cs="Times New Roman"/>
          <w:spacing w:val="-1"/>
          <w:u w:val="single"/>
        </w:rPr>
        <w:t>Attachment C</w:t>
      </w:r>
      <w:r w:rsidRPr="00071A10">
        <w:rPr>
          <w:rFonts w:cs="Times New Roman"/>
          <w:spacing w:val="-1"/>
        </w:rPr>
        <w:t xml:space="preserve"> to </w:t>
      </w:r>
      <w:r w:rsidRPr="00071A10">
        <w:rPr>
          <w:rFonts w:cs="Times New Roman"/>
          <w:spacing w:val="-1"/>
          <w:u w:val="single"/>
        </w:rPr>
        <w:t>Attachment E</w:t>
      </w:r>
      <w:r w:rsidRPr="00071A10">
        <w:rPr>
          <w:rFonts w:cs="Times New Roman"/>
          <w:spacing w:val="-1"/>
        </w:rPr>
        <w:t>.</w:t>
      </w:r>
    </w:p>
    <w:p w:rsidR="00071A10" w:rsidRPr="00071A10" w:rsidRDefault="00071A10" w:rsidP="00071A10">
      <w:pPr>
        <w:autoSpaceDE w:val="0"/>
        <w:autoSpaceDN w:val="0"/>
        <w:adjustRightInd w:val="0"/>
        <w:spacing w:line="240" w:lineRule="auto"/>
      </w:pPr>
      <w:r w:rsidRPr="00071A10">
        <w:t>This costing is considered to be of medium reliability.  This costing does not take account of the potential impacts on electricity prices and consumption due to the highly complex nature of pricing in electricity markets and uncertainty regarding the responsiveness of electricity demand to changes in prices.</w:t>
      </w:r>
    </w:p>
    <w:p w:rsidR="00071A10" w:rsidRPr="00071A10" w:rsidRDefault="00071A10" w:rsidP="00071A10">
      <w:pPr>
        <w:keepNext/>
        <w:keepLines/>
        <w:numPr>
          <w:ilvl w:val="0"/>
          <w:numId w:val="10"/>
        </w:numPr>
        <w:tabs>
          <w:tab w:val="right" w:pos="1418"/>
          <w:tab w:val="right" w:pos="1701"/>
          <w:tab w:val="right" w:pos="1985"/>
        </w:tabs>
        <w:spacing w:before="470" w:after="228"/>
        <w:outlineLvl w:val="0"/>
        <w:rPr>
          <w:rFonts w:asciiTheme="majorHAnsi" w:hAnsiTheme="majorHAnsi"/>
          <w:bCs/>
          <w:color w:val="2B3B5F" w:themeColor="text2"/>
          <w:spacing w:val="-6"/>
          <w:kern w:val="32"/>
          <w:sz w:val="32"/>
          <w:szCs w:val="32"/>
        </w:rPr>
      </w:pPr>
      <w:r w:rsidRPr="00071A10">
        <w:rPr>
          <w:rFonts w:asciiTheme="majorHAnsi" w:hAnsiTheme="majorHAnsi"/>
          <w:bCs/>
          <w:color w:val="2B3B5F" w:themeColor="text2"/>
          <w:spacing w:val="-6"/>
          <w:kern w:val="32"/>
          <w:sz w:val="32"/>
          <w:szCs w:val="32"/>
        </w:rPr>
        <w:t>Key assumptions</w:t>
      </w:r>
    </w:p>
    <w:p w:rsidR="00071A10" w:rsidRPr="00071A10" w:rsidRDefault="00071A10" w:rsidP="00071A10">
      <w:pPr>
        <w:spacing w:before="113" w:after="113"/>
        <w:rPr>
          <w:rFonts w:cs="Times New Roman"/>
          <w:spacing w:val="-1"/>
        </w:rPr>
      </w:pPr>
      <w:r w:rsidRPr="00071A10">
        <w:rPr>
          <w:rFonts w:cs="Times New Roman"/>
          <w:spacing w:val="-1"/>
        </w:rPr>
        <w:t>In costing this proposal it has been assumed that: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projects which have been approved to date by the ARENA but not yet contractually committed would be committed by 1 July 2017</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Department of Environment and Energy (DEE) has advised that all RET administered expenses are committed over the 2016-17 Budget forward estimates period.  In costing the impact of abolishing the RET it has been assumed that:</w:t>
      </w:r>
    </w:p>
    <w:p w:rsidR="00071A10" w:rsidRPr="00071A10" w:rsidRDefault="00071A10" w:rsidP="00071A10">
      <w:pPr>
        <w:keepLines/>
        <w:numPr>
          <w:ilvl w:val="1"/>
          <w:numId w:val="2"/>
        </w:numPr>
        <w:spacing w:after="120"/>
        <w:ind w:left="908" w:hanging="454"/>
        <w:rPr>
          <w:spacing w:val="-1"/>
        </w:rPr>
      </w:pPr>
      <w:r w:rsidRPr="00071A10">
        <w:rPr>
          <w:spacing w:val="-1"/>
        </w:rPr>
        <w:t>all revenue generated would be unaffected over the 2016-17 Budget forward estimates period</w:t>
      </w:r>
    </w:p>
    <w:p w:rsidR="00071A10" w:rsidRPr="00071A10" w:rsidRDefault="00071A10" w:rsidP="00071A10">
      <w:pPr>
        <w:keepLines/>
        <w:numPr>
          <w:ilvl w:val="1"/>
          <w:numId w:val="2"/>
        </w:numPr>
        <w:spacing w:after="120"/>
        <w:ind w:left="908" w:hanging="454"/>
        <w:rPr>
          <w:spacing w:val="-1"/>
        </w:rPr>
      </w:pPr>
      <w:r w:rsidRPr="00071A10">
        <w:rPr>
          <w:spacing w:val="-1"/>
        </w:rPr>
        <w:lastRenderedPageBreak/>
        <w:t>all administered expenses would be uncommitted beyond the 2016</w:t>
      </w:r>
      <w:r w:rsidRPr="00071A10">
        <w:rPr>
          <w:spacing w:val="-1"/>
        </w:rPr>
        <w:noBreakHyphen/>
        <w:t>17 Budget forward estimates period</w:t>
      </w:r>
    </w:p>
    <w:p w:rsidR="00071A10" w:rsidRPr="00071A10" w:rsidRDefault="00071A10" w:rsidP="00071A10">
      <w:pPr>
        <w:keepLines/>
        <w:numPr>
          <w:ilvl w:val="1"/>
          <w:numId w:val="2"/>
        </w:numPr>
        <w:spacing w:after="120"/>
        <w:ind w:left="908" w:hanging="454"/>
        <w:rPr>
          <w:spacing w:val="-1"/>
        </w:rPr>
      </w:pPr>
      <w:r w:rsidRPr="00071A10">
        <w:rPr>
          <w:spacing w:val="-1"/>
        </w:rPr>
        <w:t>departmental expenses would decline over the 2016-17 Budget forward estimates period to reflect natural attrition with redundancies for remaining staff provided in 2020</w:t>
      </w:r>
      <w:r w:rsidRPr="00071A10">
        <w:rPr>
          <w:spacing w:val="-1"/>
        </w:rPr>
        <w:noBreakHyphen/>
        <w:t>21</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required staffing reductions associated with the closure of the ARENA would be achieved through natural attrition</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the CEFC would continue to operate and manage its existing portfolio of investment</w:t>
      </w:r>
    </w:p>
    <w:p w:rsidR="00071A10" w:rsidRPr="00071A10" w:rsidRDefault="00071A10" w:rsidP="00071A10">
      <w:pPr>
        <w:keepLines/>
        <w:numPr>
          <w:ilvl w:val="0"/>
          <w:numId w:val="2"/>
        </w:numPr>
        <w:tabs>
          <w:tab w:val="clear" w:pos="454"/>
          <w:tab w:val="num" w:pos="596"/>
        </w:tabs>
        <w:spacing w:after="120"/>
        <w:ind w:left="426" w:hanging="284"/>
        <w:rPr>
          <w:spacing w:val="-1"/>
        </w:rPr>
      </w:pPr>
      <w:proofErr w:type="gramStart"/>
      <w:r w:rsidRPr="00071A10">
        <w:rPr>
          <w:spacing w:val="-1"/>
        </w:rPr>
        <w:t>the</w:t>
      </w:r>
      <w:proofErr w:type="gramEnd"/>
      <w:r w:rsidRPr="00071A10">
        <w:rPr>
          <w:spacing w:val="-1"/>
        </w:rPr>
        <w:t xml:space="preserve"> CEFC would reduce expenditure, including on staff, over the medium term.</w:t>
      </w:r>
    </w:p>
    <w:p w:rsidR="00071A10" w:rsidRPr="00071A10" w:rsidRDefault="00071A10" w:rsidP="00071A10">
      <w:pPr>
        <w:keepNext/>
        <w:keepLines/>
        <w:numPr>
          <w:ilvl w:val="0"/>
          <w:numId w:val="10"/>
        </w:numPr>
        <w:tabs>
          <w:tab w:val="right" w:pos="1418"/>
          <w:tab w:val="right" w:pos="1701"/>
          <w:tab w:val="right" w:pos="1985"/>
        </w:tabs>
        <w:spacing w:before="470" w:after="228"/>
        <w:outlineLvl w:val="0"/>
        <w:rPr>
          <w:rFonts w:asciiTheme="majorHAnsi" w:hAnsiTheme="majorHAnsi"/>
          <w:bCs/>
          <w:color w:val="2B3B5F" w:themeColor="text2"/>
          <w:spacing w:val="-6"/>
          <w:kern w:val="32"/>
          <w:sz w:val="32"/>
          <w:szCs w:val="32"/>
        </w:rPr>
      </w:pPr>
      <w:r w:rsidRPr="00071A10">
        <w:rPr>
          <w:rFonts w:asciiTheme="majorHAnsi" w:hAnsiTheme="majorHAnsi"/>
          <w:bCs/>
          <w:color w:val="2B3B5F" w:themeColor="text2"/>
          <w:spacing w:val="-6"/>
          <w:kern w:val="32"/>
          <w:sz w:val="32"/>
          <w:szCs w:val="32"/>
        </w:rPr>
        <w:t>Methodology</w:t>
      </w:r>
    </w:p>
    <w:p w:rsidR="00071A10" w:rsidRPr="00071A10" w:rsidRDefault="00071A10" w:rsidP="00071A10">
      <w:pPr>
        <w:keepNext/>
        <w:keepLines/>
        <w:numPr>
          <w:ilvl w:val="1"/>
          <w:numId w:val="10"/>
        </w:numPr>
        <w:tabs>
          <w:tab w:val="left" w:pos="1418"/>
          <w:tab w:val="left" w:pos="1701"/>
          <w:tab w:val="left" w:pos="1985"/>
        </w:tabs>
        <w:spacing w:before="470" w:after="227"/>
        <w:outlineLvl w:val="1"/>
        <w:rPr>
          <w:rFonts w:ascii="Calibri" w:hAnsi="Calibri"/>
          <w:b/>
          <w:bCs/>
          <w:iCs/>
          <w:color w:val="2B3B5F" w:themeColor="text2"/>
          <w:kern w:val="20"/>
          <w:sz w:val="24"/>
          <w:szCs w:val="28"/>
        </w:rPr>
      </w:pPr>
      <w:r w:rsidRPr="00071A10">
        <w:rPr>
          <w:rFonts w:ascii="Calibri" w:hAnsi="Calibri"/>
          <w:b/>
          <w:bCs/>
          <w:iCs/>
          <w:color w:val="2B3B5F" w:themeColor="text2"/>
          <w:kern w:val="20"/>
          <w:sz w:val="24"/>
          <w:szCs w:val="28"/>
        </w:rPr>
        <w:t>Climate Change Authority</w:t>
      </w:r>
    </w:p>
    <w:p w:rsidR="00071A10" w:rsidRPr="00071A10" w:rsidRDefault="00071A10" w:rsidP="00071A10">
      <w:pPr>
        <w:spacing w:before="113" w:after="113"/>
        <w:rPr>
          <w:rFonts w:cs="Times New Roman"/>
          <w:spacing w:val="-1"/>
        </w:rPr>
      </w:pPr>
      <w:r w:rsidRPr="00071A10">
        <w:rPr>
          <w:rFonts w:cs="Times New Roman"/>
          <w:spacing w:val="-1"/>
        </w:rPr>
        <w:t xml:space="preserve">The abolition of the CCA was announced in the 2013-14 Mid-Year Economic and Fiscal Outlook (MYEFO) measure </w:t>
      </w:r>
      <w:r w:rsidRPr="00071A10">
        <w:rPr>
          <w:rFonts w:cs="Times New Roman"/>
          <w:i/>
          <w:spacing w:val="-1"/>
        </w:rPr>
        <w:t>Repeal of the Carbon Tax – abolishing and initiatives and unnecessary bureaucracies</w:t>
      </w:r>
      <w:r w:rsidRPr="00071A10">
        <w:rPr>
          <w:rFonts w:cs="Times New Roman"/>
          <w:spacing w:val="-1"/>
        </w:rPr>
        <w:t>.  In the 2014-15 MYEFO it was announced that the CCA would not be abolished in the life of the 44</w:t>
      </w:r>
      <w:r w:rsidRPr="00071A10">
        <w:rPr>
          <w:rFonts w:cs="Times New Roman"/>
          <w:spacing w:val="-1"/>
          <w:vertAlign w:val="superscript"/>
        </w:rPr>
        <w:t>th</w:t>
      </w:r>
      <w:r w:rsidRPr="00071A10">
        <w:rPr>
          <w:rFonts w:cs="Times New Roman"/>
          <w:spacing w:val="-1"/>
        </w:rPr>
        <w:t xml:space="preserve"> Parliament.  Further, the 2015-16 Budget measure </w:t>
      </w:r>
      <w:r w:rsidRPr="00071A10">
        <w:rPr>
          <w:rFonts w:cs="Times New Roman"/>
          <w:i/>
          <w:spacing w:val="-1"/>
        </w:rPr>
        <w:t>Climate Change Authority – extension</w:t>
      </w:r>
      <w:r w:rsidRPr="00071A10">
        <w:rPr>
          <w:rFonts w:cs="Times New Roman"/>
          <w:spacing w:val="-1"/>
        </w:rPr>
        <w:t xml:space="preserve"> provided funding to the CCA into 2016-17 only.  Accordingly, this component of the proposal would have no financial impact.</w:t>
      </w:r>
    </w:p>
    <w:p w:rsidR="00071A10" w:rsidRPr="00071A10" w:rsidRDefault="00071A10" w:rsidP="00071A10">
      <w:pPr>
        <w:keepNext/>
        <w:keepLines/>
        <w:numPr>
          <w:ilvl w:val="1"/>
          <w:numId w:val="10"/>
        </w:numPr>
        <w:tabs>
          <w:tab w:val="left" w:pos="1418"/>
          <w:tab w:val="left" w:pos="1701"/>
          <w:tab w:val="left" w:pos="1985"/>
        </w:tabs>
        <w:spacing w:before="470" w:after="227"/>
        <w:outlineLvl w:val="1"/>
        <w:rPr>
          <w:rFonts w:ascii="Calibri" w:hAnsi="Calibri"/>
          <w:b/>
          <w:bCs/>
          <w:iCs/>
          <w:color w:val="2B3B5F" w:themeColor="text2"/>
          <w:kern w:val="20"/>
          <w:sz w:val="24"/>
          <w:szCs w:val="28"/>
        </w:rPr>
      </w:pPr>
      <w:r w:rsidRPr="00071A10">
        <w:rPr>
          <w:rFonts w:ascii="Calibri" w:hAnsi="Calibri"/>
          <w:b/>
          <w:bCs/>
          <w:iCs/>
          <w:color w:val="2B3B5F" w:themeColor="text2"/>
          <w:kern w:val="20"/>
          <w:sz w:val="24"/>
          <w:szCs w:val="28"/>
        </w:rPr>
        <w:t>Emissions Reduction Fund</w:t>
      </w:r>
    </w:p>
    <w:p w:rsidR="00071A10" w:rsidRPr="00071A10" w:rsidRDefault="00071A10" w:rsidP="00071A10">
      <w:pPr>
        <w:spacing w:before="113" w:after="113"/>
        <w:rPr>
          <w:rFonts w:cs="Times New Roman"/>
          <w:spacing w:val="-1"/>
        </w:rPr>
      </w:pPr>
      <w:r w:rsidRPr="00071A10">
        <w:rPr>
          <w:rFonts w:cs="Times New Roman"/>
          <w:spacing w:val="-1"/>
        </w:rPr>
        <w:t>The Clean Energy Regulator has announced $1.7 billion in commitments from the first three ERF auctions</w:t>
      </w:r>
      <w:r w:rsidRPr="00071A10">
        <w:rPr>
          <w:rFonts w:cs="Times New Roman"/>
          <w:spacing w:val="-1"/>
          <w:vertAlign w:val="superscript"/>
        </w:rPr>
        <w:footnoteReference w:id="1"/>
      </w:r>
      <w:r w:rsidRPr="00071A10">
        <w:rPr>
          <w:rFonts w:cs="Times New Roman"/>
          <w:spacing w:val="-1"/>
        </w:rPr>
        <w:t>.  Based on the most recent advice from DEE and the historic operation of the program, it is expected that all remaining uncommitted funds would be committed by 1 July 2017.  Accordingly, this component of the proposal would have no financial impact.</w:t>
      </w:r>
    </w:p>
    <w:p w:rsidR="00071A10" w:rsidRPr="00071A10" w:rsidRDefault="00071A10" w:rsidP="00071A10">
      <w:pPr>
        <w:keepNext/>
        <w:keepLines/>
        <w:numPr>
          <w:ilvl w:val="1"/>
          <w:numId w:val="10"/>
        </w:numPr>
        <w:tabs>
          <w:tab w:val="left" w:pos="1418"/>
          <w:tab w:val="left" w:pos="1701"/>
          <w:tab w:val="left" w:pos="1985"/>
        </w:tabs>
        <w:spacing w:before="470" w:after="227"/>
        <w:outlineLvl w:val="1"/>
        <w:rPr>
          <w:rFonts w:ascii="Calibri" w:hAnsi="Calibri"/>
          <w:b/>
          <w:bCs/>
          <w:iCs/>
          <w:color w:val="2B3B5F" w:themeColor="text2"/>
          <w:kern w:val="20"/>
          <w:sz w:val="24"/>
          <w:szCs w:val="28"/>
        </w:rPr>
      </w:pPr>
      <w:r w:rsidRPr="00071A10">
        <w:rPr>
          <w:rFonts w:ascii="Calibri" w:hAnsi="Calibri"/>
          <w:b/>
          <w:bCs/>
          <w:iCs/>
          <w:color w:val="2B3B5F" w:themeColor="text2"/>
          <w:kern w:val="20"/>
          <w:sz w:val="24"/>
          <w:szCs w:val="28"/>
        </w:rPr>
        <w:t>Renewable Energy Target</w:t>
      </w:r>
    </w:p>
    <w:p w:rsidR="00071A10" w:rsidRPr="00071A10" w:rsidRDefault="00071A10" w:rsidP="00071A10">
      <w:pPr>
        <w:spacing w:before="113" w:after="113"/>
        <w:rPr>
          <w:rFonts w:cs="Times New Roman"/>
          <w:spacing w:val="-1"/>
        </w:rPr>
      </w:pPr>
      <w:r w:rsidRPr="00071A10">
        <w:rPr>
          <w:rFonts w:cs="Times New Roman"/>
          <w:spacing w:val="-1"/>
        </w:rPr>
        <w:t xml:space="preserve">The impact of abolishing the RET was calculated based on reversing the impact of administered, departmental and revenue estimates from 1 July 2017.  Based on advice from DEE, all administered funds are committed over the 2016-17 Budget forward estimates period.  </w:t>
      </w:r>
    </w:p>
    <w:p w:rsidR="00071A10" w:rsidRPr="00071A10" w:rsidRDefault="00071A10" w:rsidP="00071A10">
      <w:pPr>
        <w:spacing w:before="113" w:after="113"/>
        <w:rPr>
          <w:rFonts w:cs="Times New Roman"/>
          <w:spacing w:val="-1"/>
        </w:rPr>
      </w:pPr>
      <w:r w:rsidRPr="00071A10">
        <w:rPr>
          <w:rFonts w:cs="Times New Roman"/>
          <w:spacing w:val="-1"/>
        </w:rPr>
        <w:t xml:space="preserve">Due to the magnitude of the decrease in departmental expenses, a provision has been included for redundancies.  The impact of redundancy payments was calculated as the total number of redundancies multiplied by the average cost per person.  The number of required redundancies was derived as the estimated reduction in average staffing levels, minus natural </w:t>
      </w:r>
    </w:p>
    <w:p w:rsidR="00071A10" w:rsidRPr="00071A10" w:rsidRDefault="00071A10" w:rsidP="00071A10">
      <w:pPr>
        <w:rPr>
          <w:rFonts w:cs="Times New Roman"/>
          <w:spacing w:val="-1"/>
        </w:rPr>
      </w:pPr>
      <w:r w:rsidRPr="00071A10">
        <w:br w:type="page"/>
      </w:r>
    </w:p>
    <w:p w:rsidR="00071A10" w:rsidRPr="00071A10" w:rsidRDefault="00071A10" w:rsidP="00071A10">
      <w:pPr>
        <w:spacing w:before="113" w:after="113"/>
        <w:rPr>
          <w:rFonts w:cs="Times New Roman"/>
          <w:spacing w:val="-1"/>
        </w:rPr>
      </w:pPr>
      <w:proofErr w:type="gramStart"/>
      <w:r w:rsidRPr="00071A10">
        <w:rPr>
          <w:rFonts w:cs="Times New Roman"/>
          <w:spacing w:val="-1"/>
        </w:rPr>
        <w:lastRenderedPageBreak/>
        <w:t>attrition</w:t>
      </w:r>
      <w:proofErr w:type="gramEnd"/>
      <w:r w:rsidRPr="00071A10">
        <w:rPr>
          <w:rFonts w:cs="Times New Roman"/>
          <w:spacing w:val="-1"/>
        </w:rPr>
        <w:t xml:space="preserve">. The average per person cost of a redundancy has been estimated at approximately $53,000.  This is based on average salary (excluding on-costs), average service length of 10.4 years (APS Statistical Bulletin 2015-16) with a payout equal to two weeks’ salary per year of service, pro-rated for months of service.  </w:t>
      </w:r>
    </w:p>
    <w:p w:rsidR="00071A10" w:rsidRPr="00071A10" w:rsidRDefault="00071A10" w:rsidP="00071A10">
      <w:pPr>
        <w:keepNext/>
        <w:keepLines/>
        <w:numPr>
          <w:ilvl w:val="1"/>
          <w:numId w:val="10"/>
        </w:numPr>
        <w:tabs>
          <w:tab w:val="left" w:pos="1418"/>
          <w:tab w:val="left" w:pos="1701"/>
          <w:tab w:val="left" w:pos="1985"/>
        </w:tabs>
        <w:spacing w:before="470" w:after="227"/>
        <w:outlineLvl w:val="1"/>
        <w:rPr>
          <w:rFonts w:ascii="Calibri" w:hAnsi="Calibri"/>
          <w:b/>
          <w:bCs/>
          <w:iCs/>
          <w:color w:val="2B3B5F" w:themeColor="text2"/>
          <w:kern w:val="20"/>
          <w:sz w:val="24"/>
          <w:szCs w:val="28"/>
        </w:rPr>
      </w:pPr>
      <w:r w:rsidRPr="00071A10">
        <w:rPr>
          <w:rFonts w:ascii="Calibri" w:hAnsi="Calibri"/>
          <w:b/>
          <w:bCs/>
          <w:iCs/>
          <w:color w:val="2B3B5F" w:themeColor="text2"/>
          <w:kern w:val="20"/>
          <w:sz w:val="24"/>
          <w:szCs w:val="28"/>
        </w:rPr>
        <w:t>Australian Renewable Energy Agency</w:t>
      </w:r>
    </w:p>
    <w:p w:rsidR="00071A10" w:rsidRPr="00071A10" w:rsidRDefault="00071A10" w:rsidP="00071A10">
      <w:pPr>
        <w:spacing w:before="113" w:after="113"/>
        <w:rPr>
          <w:rFonts w:cs="Times New Roman"/>
          <w:spacing w:val="-1"/>
        </w:rPr>
      </w:pPr>
      <w:r w:rsidRPr="00071A10">
        <w:rPr>
          <w:rFonts w:cs="Times New Roman"/>
          <w:spacing w:val="-1"/>
        </w:rPr>
        <w:t xml:space="preserve">The impact of abolishing the ARENA has been estimated based on DEE projections of committed and uncommitted costs.  The ARENA was established and is funded through the </w:t>
      </w:r>
      <w:r w:rsidRPr="00071A10">
        <w:rPr>
          <w:rFonts w:cs="Times New Roman"/>
          <w:i/>
          <w:spacing w:val="-1"/>
        </w:rPr>
        <w:t>Australian Renewable Energy Act 2011</w:t>
      </w:r>
      <w:r w:rsidRPr="00071A10">
        <w:rPr>
          <w:rFonts w:cs="Times New Roman"/>
          <w:spacing w:val="-1"/>
        </w:rPr>
        <w:t xml:space="preserve"> which provides funding out to 2021-22.  As a result, savings from the ARENA’s abolition are over the period from 1 July 2017 to 2021-22 only.</w:t>
      </w:r>
    </w:p>
    <w:p w:rsidR="00071A10" w:rsidRPr="00071A10" w:rsidRDefault="00071A10" w:rsidP="00071A10">
      <w:pPr>
        <w:keepNext/>
        <w:keepLines/>
        <w:numPr>
          <w:ilvl w:val="1"/>
          <w:numId w:val="10"/>
        </w:numPr>
        <w:tabs>
          <w:tab w:val="left" w:pos="1418"/>
          <w:tab w:val="left" w:pos="1701"/>
          <w:tab w:val="left" w:pos="1985"/>
        </w:tabs>
        <w:spacing w:before="470" w:after="227"/>
        <w:outlineLvl w:val="1"/>
        <w:rPr>
          <w:rFonts w:ascii="Calibri" w:hAnsi="Calibri"/>
          <w:b/>
          <w:bCs/>
          <w:iCs/>
          <w:color w:val="2B3B5F" w:themeColor="text2"/>
          <w:kern w:val="20"/>
          <w:sz w:val="24"/>
          <w:szCs w:val="28"/>
        </w:rPr>
      </w:pPr>
      <w:r w:rsidRPr="00071A10">
        <w:rPr>
          <w:rFonts w:ascii="Calibri" w:hAnsi="Calibri"/>
          <w:b/>
          <w:bCs/>
          <w:iCs/>
          <w:color w:val="2B3B5F" w:themeColor="text2"/>
          <w:kern w:val="20"/>
          <w:sz w:val="24"/>
          <w:szCs w:val="28"/>
        </w:rPr>
        <w:t>Clean Energy Finance Corporation</w:t>
      </w:r>
    </w:p>
    <w:p w:rsidR="00071A10" w:rsidRPr="00071A10" w:rsidRDefault="00071A10" w:rsidP="00071A10">
      <w:pPr>
        <w:spacing w:before="113" w:after="113"/>
        <w:rPr>
          <w:rFonts w:cs="Times New Roman"/>
          <w:spacing w:val="-1"/>
        </w:rPr>
      </w:pPr>
      <w:r w:rsidRPr="00071A10">
        <w:rPr>
          <w:rFonts w:cs="Times New Roman"/>
          <w:spacing w:val="-1"/>
        </w:rPr>
        <w:t>The impact of abolishing the CEFC has been estimated based on DEE estimates of committed and uncommitted costs, as well as expected investments and revenues, over the 2016-17 Budget forward estimates period.  These estimates have been extended by the PBO based on advice from DEE regarding expected ongoing investment by the CEFC.</w:t>
      </w:r>
    </w:p>
    <w:p w:rsidR="00071A10" w:rsidRPr="00071A10" w:rsidRDefault="00071A10" w:rsidP="00071A10">
      <w:pPr>
        <w:spacing w:before="113" w:after="113"/>
        <w:rPr>
          <w:rFonts w:cs="Times New Roman"/>
          <w:spacing w:val="-1"/>
        </w:rPr>
      </w:pPr>
      <w:r w:rsidRPr="00071A10">
        <w:rPr>
          <w:rFonts w:cs="Times New Roman"/>
          <w:spacing w:val="-1"/>
        </w:rPr>
        <w:t>The financial implications of the unwinding of the concessional financing facility were estimated by applying the standard treatment for estimating the cost of unwinding concessional loans, including PDI costs.</w:t>
      </w:r>
    </w:p>
    <w:p w:rsidR="00071A10" w:rsidRPr="00071A10" w:rsidRDefault="00071A10" w:rsidP="00071A10">
      <w:pPr>
        <w:spacing w:before="113" w:after="113"/>
        <w:rPr>
          <w:rFonts w:cs="Times New Roman"/>
          <w:spacing w:val="-1"/>
        </w:rPr>
      </w:pPr>
      <w:r w:rsidRPr="00071A10">
        <w:rPr>
          <w:rFonts w:cs="Times New Roman"/>
          <w:spacing w:val="-1"/>
        </w:rPr>
        <w:t xml:space="preserve">The fiscal balance impact for each year is: </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operational expense (positive impact)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own-source income that accrues  from investments (negative impact)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the concessional loan discount expense (positive impact)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the unwinding of the concessional loan discount expense (negative impact)</w:t>
      </w:r>
    </w:p>
    <w:p w:rsidR="00071A10" w:rsidRPr="00071A10" w:rsidRDefault="00071A10" w:rsidP="00071A10">
      <w:pPr>
        <w:keepLines/>
        <w:numPr>
          <w:ilvl w:val="0"/>
          <w:numId w:val="2"/>
        </w:numPr>
        <w:tabs>
          <w:tab w:val="clear" w:pos="454"/>
          <w:tab w:val="num" w:pos="596"/>
        </w:tabs>
        <w:spacing w:after="120"/>
        <w:ind w:left="426" w:hanging="284"/>
        <w:rPr>
          <w:spacing w:val="-1"/>
        </w:rPr>
      </w:pPr>
      <w:proofErr w:type="gramStart"/>
      <w:r w:rsidRPr="00071A10">
        <w:rPr>
          <w:spacing w:val="-1"/>
        </w:rPr>
        <w:t>the</w:t>
      </w:r>
      <w:proofErr w:type="gramEnd"/>
      <w:r w:rsidRPr="00071A10">
        <w:rPr>
          <w:spacing w:val="-1"/>
        </w:rPr>
        <w:t xml:space="preserve"> PDI/financing cost (positive impact). </w:t>
      </w:r>
    </w:p>
    <w:p w:rsidR="00071A10" w:rsidRPr="00071A10" w:rsidRDefault="00071A10" w:rsidP="00071A10">
      <w:pPr>
        <w:spacing w:before="113" w:after="113"/>
        <w:rPr>
          <w:rFonts w:cs="Times New Roman"/>
          <w:spacing w:val="-1"/>
        </w:rPr>
      </w:pPr>
      <w:r w:rsidRPr="00071A10">
        <w:rPr>
          <w:rFonts w:cs="Times New Roman"/>
          <w:spacing w:val="-1"/>
        </w:rPr>
        <w:t>The underlying cash balance impact for each year is:</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operational expenses (positive impact)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own-source income receipts  from investments (negative impact)</w:t>
      </w:r>
    </w:p>
    <w:p w:rsidR="00071A10" w:rsidRPr="00071A10" w:rsidRDefault="00071A10" w:rsidP="00071A10">
      <w:pPr>
        <w:keepLines/>
        <w:numPr>
          <w:ilvl w:val="0"/>
          <w:numId w:val="2"/>
        </w:numPr>
        <w:tabs>
          <w:tab w:val="clear" w:pos="454"/>
          <w:tab w:val="num" w:pos="596"/>
        </w:tabs>
        <w:spacing w:after="120"/>
        <w:ind w:left="426" w:hanging="284"/>
        <w:rPr>
          <w:spacing w:val="-1"/>
        </w:rPr>
      </w:pPr>
      <w:proofErr w:type="gramStart"/>
      <w:r w:rsidRPr="00071A10">
        <w:rPr>
          <w:spacing w:val="-1"/>
        </w:rPr>
        <w:t>the</w:t>
      </w:r>
      <w:proofErr w:type="gramEnd"/>
      <w:r w:rsidRPr="00071A10">
        <w:rPr>
          <w:spacing w:val="-1"/>
        </w:rPr>
        <w:t xml:space="preserve"> PDI/financing cost (positive impact).</w:t>
      </w:r>
    </w:p>
    <w:p w:rsidR="00071A10" w:rsidRPr="00071A10" w:rsidRDefault="00071A10" w:rsidP="00071A10">
      <w:pPr>
        <w:spacing w:before="113" w:after="113"/>
        <w:rPr>
          <w:rFonts w:cs="Times New Roman"/>
          <w:spacing w:val="-1"/>
        </w:rPr>
      </w:pPr>
      <w:r w:rsidRPr="00071A10">
        <w:rPr>
          <w:rFonts w:cs="Times New Roman"/>
          <w:spacing w:val="-1"/>
        </w:rPr>
        <w:t>The headline cash balance impact for each year is:</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operational expenses (positive impact)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the loan principal advanced under the financing facility (positive impact)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own-source income receipts  from investments (negative impact)</w:t>
      </w:r>
    </w:p>
    <w:p w:rsidR="00071A10" w:rsidRPr="00071A10" w:rsidRDefault="00071A10" w:rsidP="00071A10">
      <w:pPr>
        <w:keepLines/>
        <w:numPr>
          <w:ilvl w:val="0"/>
          <w:numId w:val="2"/>
        </w:numPr>
        <w:tabs>
          <w:tab w:val="clear" w:pos="454"/>
          <w:tab w:val="num" w:pos="596"/>
        </w:tabs>
        <w:spacing w:after="120"/>
        <w:ind w:left="426" w:hanging="284"/>
        <w:rPr>
          <w:spacing w:val="-1"/>
        </w:rPr>
      </w:pPr>
      <w:r w:rsidRPr="00071A10">
        <w:rPr>
          <w:spacing w:val="-1"/>
        </w:rPr>
        <w:t>loan repayments (negative impact)</w:t>
      </w:r>
    </w:p>
    <w:p w:rsidR="00071A10" w:rsidRPr="00071A10" w:rsidRDefault="00071A10" w:rsidP="00071A10">
      <w:pPr>
        <w:keepLines/>
        <w:numPr>
          <w:ilvl w:val="0"/>
          <w:numId w:val="2"/>
        </w:numPr>
        <w:tabs>
          <w:tab w:val="clear" w:pos="454"/>
          <w:tab w:val="num" w:pos="596"/>
        </w:tabs>
        <w:spacing w:after="120"/>
        <w:ind w:left="426" w:hanging="284"/>
        <w:rPr>
          <w:spacing w:val="-1"/>
        </w:rPr>
      </w:pPr>
      <w:proofErr w:type="gramStart"/>
      <w:r w:rsidRPr="00071A10">
        <w:rPr>
          <w:spacing w:val="-1"/>
        </w:rPr>
        <w:t>the</w:t>
      </w:r>
      <w:proofErr w:type="gramEnd"/>
      <w:r w:rsidRPr="00071A10">
        <w:rPr>
          <w:spacing w:val="-1"/>
        </w:rPr>
        <w:t xml:space="preserve"> PDI/financing cost (positive impact).</w:t>
      </w:r>
    </w:p>
    <w:p w:rsidR="00071A10" w:rsidRPr="00071A10" w:rsidRDefault="00071A10" w:rsidP="00071A10">
      <w:pPr>
        <w:keepNext/>
        <w:keepLines/>
        <w:numPr>
          <w:ilvl w:val="1"/>
          <w:numId w:val="10"/>
        </w:numPr>
        <w:tabs>
          <w:tab w:val="left" w:pos="1418"/>
          <w:tab w:val="left" w:pos="1701"/>
          <w:tab w:val="left" w:pos="1985"/>
        </w:tabs>
        <w:spacing w:before="470" w:after="227"/>
        <w:outlineLvl w:val="1"/>
        <w:rPr>
          <w:rFonts w:ascii="Calibri" w:hAnsi="Calibri"/>
          <w:b/>
          <w:bCs/>
          <w:iCs/>
          <w:color w:val="2B3B5F" w:themeColor="text2"/>
          <w:kern w:val="20"/>
          <w:sz w:val="24"/>
          <w:szCs w:val="28"/>
        </w:rPr>
      </w:pPr>
      <w:r w:rsidRPr="00071A10">
        <w:rPr>
          <w:rFonts w:ascii="Calibri" w:hAnsi="Calibri"/>
          <w:b/>
          <w:bCs/>
          <w:iCs/>
          <w:color w:val="2B3B5F" w:themeColor="text2"/>
          <w:kern w:val="20"/>
          <w:sz w:val="24"/>
          <w:szCs w:val="28"/>
        </w:rPr>
        <w:lastRenderedPageBreak/>
        <w:t xml:space="preserve">Clean Energy Innovation Fund </w:t>
      </w:r>
    </w:p>
    <w:p w:rsidR="00071A10" w:rsidRPr="00071A10" w:rsidRDefault="00071A10" w:rsidP="00071A10">
      <w:pPr>
        <w:spacing w:before="113" w:after="113"/>
        <w:rPr>
          <w:rFonts w:cs="Times New Roman"/>
          <w:spacing w:val="-1"/>
        </w:rPr>
      </w:pPr>
      <w:r w:rsidRPr="00071A10">
        <w:rPr>
          <w:rFonts w:cs="Times New Roman"/>
          <w:spacing w:val="-1"/>
        </w:rPr>
        <w:t>The administration costs of the CEIF are borne by the ARENA and the CEFC.  The reduction in departmental costs associated with the abolition of the ARENA and the CEFC includes the savings associated with no longer administering the CEIF.  Additionally, as CEIF investments are incorporated in the CEFC income statement, the impact of their cessation is reflected in the CEFC results.</w:t>
      </w:r>
    </w:p>
    <w:p w:rsidR="00071A10" w:rsidRPr="00071A10" w:rsidRDefault="00071A10" w:rsidP="00071A10">
      <w:pPr>
        <w:keepNext/>
        <w:keepLines/>
        <w:numPr>
          <w:ilvl w:val="0"/>
          <w:numId w:val="10"/>
        </w:numPr>
        <w:tabs>
          <w:tab w:val="right" w:pos="1418"/>
          <w:tab w:val="right" w:pos="1701"/>
          <w:tab w:val="right" w:pos="1985"/>
        </w:tabs>
        <w:spacing w:before="470" w:after="228"/>
        <w:outlineLvl w:val="0"/>
        <w:rPr>
          <w:rFonts w:asciiTheme="majorHAnsi" w:hAnsiTheme="majorHAnsi"/>
          <w:bCs/>
          <w:color w:val="2B3B5F" w:themeColor="text2"/>
          <w:spacing w:val="-6"/>
          <w:kern w:val="32"/>
          <w:sz w:val="32"/>
          <w:szCs w:val="32"/>
        </w:rPr>
      </w:pPr>
      <w:r w:rsidRPr="00071A10">
        <w:rPr>
          <w:rFonts w:asciiTheme="majorHAnsi" w:hAnsiTheme="majorHAnsi"/>
          <w:bCs/>
          <w:color w:val="2B3B5F" w:themeColor="text2"/>
          <w:spacing w:val="-6"/>
          <w:kern w:val="32"/>
          <w:sz w:val="32"/>
          <w:szCs w:val="32"/>
        </w:rPr>
        <w:t>Data sources</w:t>
      </w:r>
    </w:p>
    <w:p w:rsidR="00071A10" w:rsidRPr="00071A10" w:rsidRDefault="00071A10" w:rsidP="00071A10">
      <w:pPr>
        <w:spacing w:before="113" w:after="113"/>
        <w:rPr>
          <w:rFonts w:cs="Times New Roman"/>
          <w:spacing w:val="-1"/>
        </w:rPr>
      </w:pPr>
      <w:r w:rsidRPr="00071A10">
        <w:rPr>
          <w:rFonts w:cs="Times New Roman"/>
          <w:i/>
          <w:spacing w:val="-1"/>
        </w:rPr>
        <w:t>Australian Public Service Statistical Bulletin, State of the Service Series 2015-16</w:t>
      </w:r>
      <w:r w:rsidRPr="00071A10">
        <w:rPr>
          <w:rFonts w:cs="Times New Roman"/>
          <w:spacing w:val="-1"/>
        </w:rPr>
        <w:t xml:space="preserve">, Australian Public Service Commission, </w:t>
      </w:r>
      <w:hyperlink r:id="rId9" w:history="1">
        <w:r w:rsidRPr="00071A10">
          <w:rPr>
            <w:rFonts w:cs="Times New Roman"/>
            <w:color w:val="0070C0"/>
            <w:spacing w:val="-1"/>
            <w:u w:val="single"/>
          </w:rPr>
          <w:t>http://www.apsc.gov.au/about-the-apsc/parliamentary/aps-statistical-bulletin/statisticalbulletin1516</w:t>
        </w:r>
      </w:hyperlink>
      <w:r w:rsidRPr="00071A10">
        <w:rPr>
          <w:rFonts w:cs="Times New Roman"/>
          <w:color w:val="0070C0"/>
          <w:spacing w:val="-1"/>
        </w:rPr>
        <w:t xml:space="preserve"> </w:t>
      </w:r>
    </w:p>
    <w:p w:rsidR="00071A10" w:rsidRPr="00071A10" w:rsidRDefault="00071A10" w:rsidP="00071A10">
      <w:pPr>
        <w:spacing w:before="113" w:after="113"/>
        <w:rPr>
          <w:rFonts w:cs="Times New Roman"/>
          <w:spacing w:val="-1"/>
        </w:rPr>
      </w:pPr>
      <w:r w:rsidRPr="00071A10">
        <w:rPr>
          <w:rFonts w:cs="Times New Roman"/>
          <w:spacing w:val="-1"/>
        </w:rPr>
        <w:t>The DEE provided forward estimates models, including current and expected contractual commitments (where appropriate), for the CCA, ERF, RET, ARENA, CEFC, and CEIF.</w:t>
      </w:r>
    </w:p>
    <w:p w:rsidR="00071A10" w:rsidRPr="00071A10" w:rsidRDefault="00071A10" w:rsidP="00071A10">
      <w:pPr>
        <w:spacing w:before="113" w:after="113"/>
        <w:rPr>
          <w:rFonts w:cs="Times New Roman"/>
          <w:spacing w:val="-1"/>
        </w:rPr>
        <w:sectPr w:rsidR="00071A10" w:rsidRPr="00071A10" w:rsidSect="00D23D27">
          <w:headerReference w:type="default" r:id="rId10"/>
          <w:footerReference w:type="default" r:id="rId11"/>
          <w:headerReference w:type="first" r:id="rId12"/>
          <w:footerReference w:type="first" r:id="rId13"/>
          <w:pgSz w:w="11906" w:h="16838" w:code="9"/>
          <w:pgMar w:top="1361" w:right="1797" w:bottom="1418" w:left="1797" w:header="284" w:footer="454" w:gutter="0"/>
          <w:cols w:space="708"/>
          <w:titlePg/>
          <w:docGrid w:linePitch="360"/>
        </w:sectPr>
      </w:pPr>
      <w:r w:rsidRPr="00071A10">
        <w:rPr>
          <w:rFonts w:cs="Times New Roman"/>
          <w:spacing w:val="-1"/>
        </w:rPr>
        <w:t>The Department of Finance provided indexation and efficiency dividend parameters.</w:t>
      </w:r>
    </w:p>
    <w:p w:rsidR="00341BA2" w:rsidRPr="00147194" w:rsidRDefault="00DD4B54" w:rsidP="002F6310">
      <w:pPr>
        <w:pStyle w:val="Heading8"/>
        <w:numPr>
          <w:ilvl w:val="0"/>
          <w:numId w:val="1"/>
        </w:numPr>
        <w:ind w:left="0"/>
      </w:pPr>
      <w:r w:rsidRPr="002D239A">
        <w:lastRenderedPageBreak/>
        <w:t>–</w:t>
      </w:r>
      <w:r>
        <w:t xml:space="preserve"> </w:t>
      </w:r>
      <w:r w:rsidR="00341BA2" w:rsidRPr="00147194">
        <w:t>Energy</w:t>
      </w:r>
      <w:r w:rsidRPr="002D239A">
        <w:t>—</w:t>
      </w:r>
      <w:r w:rsidR="00341BA2" w:rsidRPr="00147194">
        <w:t>financial implications</w:t>
      </w:r>
    </w:p>
    <w:p w:rsidR="00341BA2" w:rsidRDefault="00341BA2" w:rsidP="00341BA2">
      <w:pPr>
        <w:pStyle w:val="PullOutBoxBodyText"/>
        <w:tabs>
          <w:tab w:val="left" w:pos="884"/>
        </w:tabs>
      </w:pPr>
      <w:r w:rsidRPr="00147194">
        <w:t>The proposal would abolish the Climate Change Authority (CCA)</w:t>
      </w:r>
      <w:r>
        <w:t>,</w:t>
      </w:r>
      <w:r w:rsidRPr="00147194">
        <w:t xml:space="preserve"> the Emissions Reduction Fund (ERF), the Renewable Energy Target (RET), the Australian</w:t>
      </w:r>
      <w:r>
        <w:t> </w:t>
      </w:r>
      <w:r w:rsidRPr="00147194">
        <w:t>Renewable Energy Agency (ARENA), the Clean En</w:t>
      </w:r>
      <w:r>
        <w:t>ergy Finance Corporation (CEFC) and</w:t>
      </w:r>
      <w:r w:rsidRPr="00147194">
        <w:t xml:space="preserve"> the Clean E</w:t>
      </w:r>
      <w:r>
        <w:t>nergy Innovation Fund (CEIF) from 1 July 2017.</w:t>
      </w:r>
      <w:r w:rsidRPr="004B644F">
        <w:t xml:space="preserve"> </w:t>
      </w:r>
      <w:r>
        <w:t xml:space="preserve"> Based on advice from </w:t>
      </w:r>
      <w:r w:rsidR="00DD4B54">
        <w:t xml:space="preserve">the </w:t>
      </w:r>
      <w:r>
        <w:t>Department of Environment and Energy (DEE)</w:t>
      </w:r>
      <w:r w:rsidR="00DD4B54">
        <w:t>,</w:t>
      </w:r>
      <w:r>
        <w:t xml:space="preserve"> the abolition of the CCA and the ERF would not be expected to have an impact on the budget as the CCA only funded into 2016-17 and all ERF funds would be committed by 1 July 2017.  The CEIF is jointly administered by the ARENA and the CEFC; the impact of abolishing the CEIF is included in the impacts on the ARENA and the CEFC.</w:t>
      </w:r>
    </w:p>
    <w:p w:rsidR="00341BA2" w:rsidRPr="00147194" w:rsidRDefault="00341BA2" w:rsidP="00341BA2">
      <w:pPr>
        <w:pStyle w:val="Caption"/>
        <w:keepLines/>
        <w:rPr>
          <w:vertAlign w:val="superscript"/>
        </w:rPr>
      </w:pPr>
      <w:r w:rsidRPr="00147194">
        <w:t xml:space="preserve">Table </w:t>
      </w:r>
      <w:fldSimple w:instr=" STYLEREF 8 \s ">
        <w:r w:rsidR="00FF1ABD">
          <w:rPr>
            <w:noProof/>
          </w:rPr>
          <w:t>A</w:t>
        </w:r>
      </w:fldSimple>
      <w:r w:rsidRPr="00147194">
        <w:t>1: Energy</w:t>
      </w:r>
      <w:r w:rsidR="00DD4B54">
        <w:t>—</w:t>
      </w:r>
      <w:r>
        <w:t xml:space="preserve">Fiscal </w:t>
      </w:r>
      <w:proofErr w:type="gramStart"/>
      <w:r>
        <w:t>balance</w:t>
      </w:r>
      <w:r>
        <w:rPr>
          <w:vertAlign w:val="superscript"/>
        </w:rPr>
        <w:t>(</w:t>
      </w:r>
      <w:proofErr w:type="gramEnd"/>
      <w:r>
        <w:rPr>
          <w:vertAlign w:val="superscript"/>
        </w:rPr>
        <w:t>a</w:t>
      </w:r>
      <w:r w:rsidRPr="00147194">
        <w:rPr>
          <w:vertAlign w:val="superscript"/>
        </w:rPr>
        <w:t>)(b)</w:t>
      </w:r>
      <w:r>
        <w:rPr>
          <w:vertAlign w:val="superscript"/>
        </w:rPr>
        <w:t>(c)</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2020–21</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2021–22</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2022–23</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2023–24</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2024–25</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2025–26</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2026–27</w:t>
            </w:r>
          </w:p>
        </w:tc>
        <w:tc>
          <w:tcPr>
            <w:tcW w:w="315"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2026–27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8A0A9D" w:rsidRDefault="00341BA2" w:rsidP="00DD4B54">
            <w:pPr>
              <w:pStyle w:val="TableText"/>
              <w:rPr>
                <w:b w:val="0"/>
              </w:rPr>
            </w:pPr>
            <w:r>
              <w:rPr>
                <w:b w:val="0"/>
              </w:rPr>
              <w:t>Abolition of the RET</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0.6</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1.2</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1.9</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3.7</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0.6</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3.1</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3.3</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3.5</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3.7</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4.0</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4.3</w:t>
            </w:r>
          </w:p>
        </w:tc>
        <w:tc>
          <w:tcPr>
            <w:tcW w:w="315"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26.3</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8A0A9D" w:rsidRDefault="00341BA2" w:rsidP="00DD4B54">
            <w:pPr>
              <w:pStyle w:val="TableText"/>
              <w:rPr>
                <w:b w:val="0"/>
              </w:rPr>
            </w:pPr>
            <w:r>
              <w:rPr>
                <w:b w:val="0"/>
              </w:rPr>
              <w:t>Abolition of the ARENA</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54.3</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55.7</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16.3</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126.3</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16.5</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18.1</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6.7</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7.7</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8.9</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10.2</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11.7</w:t>
            </w:r>
          </w:p>
        </w:tc>
        <w:tc>
          <w:tcPr>
            <w:tcW w:w="315"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206.1</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8A0A9D" w:rsidRDefault="00341BA2" w:rsidP="00DD4B54">
            <w:pPr>
              <w:pStyle w:val="TableText"/>
              <w:rPr>
                <w:b w:val="0"/>
              </w:rPr>
            </w:pPr>
            <w:r>
              <w:rPr>
                <w:b w:val="0"/>
              </w:rPr>
              <w:t>Abolition of the CEFC</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9.9</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10.5</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-0.6</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19.9</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5"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w:t>
            </w:r>
          </w:p>
        </w:tc>
      </w:tr>
      <w:tr w:rsidR="00341BA2" w:rsidRPr="008A0A9D"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8A0A9D" w:rsidRDefault="00341BA2" w:rsidP="00DD4B54">
            <w:pPr>
              <w:pStyle w:val="TableText"/>
            </w:pPr>
            <w:r w:rsidRPr="008A0A9D">
              <w:rPr>
                <w:b w:val="0"/>
                <w:bCs w:val="0"/>
              </w:rPr>
              <w:t>Total</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64.8</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67.5</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17.6</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149.9</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5"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r>
    </w:tbl>
    <w:p w:rsidR="00341BA2" w:rsidRPr="00B346C8" w:rsidRDefault="00341BA2" w:rsidP="00341BA2">
      <w:pPr>
        <w:pStyle w:val="TableFootnotes"/>
        <w:keepNext/>
        <w:numPr>
          <w:ilvl w:val="0"/>
          <w:numId w:val="11"/>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Default="00341BA2" w:rsidP="00341BA2">
      <w:pPr>
        <w:pStyle w:val="TableFootnotes"/>
        <w:keepNext/>
        <w:numPr>
          <w:ilvl w:val="0"/>
          <w:numId w:val="11"/>
        </w:numPr>
        <w:ind w:left="284" w:hanging="284"/>
      </w:pPr>
      <w:r w:rsidRPr="00147194">
        <w:t>Figures may not sum to totals due to rounding.</w:t>
      </w:r>
    </w:p>
    <w:p w:rsidR="00341BA2" w:rsidRPr="00147194" w:rsidRDefault="00341BA2" w:rsidP="00341BA2">
      <w:pPr>
        <w:pStyle w:val="TableFootnotes"/>
        <w:keepNext/>
        <w:numPr>
          <w:ilvl w:val="0"/>
          <w:numId w:val="11"/>
        </w:numPr>
        <w:ind w:left="284" w:hanging="284"/>
      </w:pPr>
      <w:r>
        <w:t>Estimates for each program are inclusive of public debt interest.</w:t>
      </w:r>
    </w:p>
    <w:p w:rsidR="00341BA2" w:rsidRPr="008665A4" w:rsidRDefault="00341BA2" w:rsidP="00341BA2">
      <w:pPr>
        <w:pStyle w:val="TableFootnotes"/>
        <w:numPr>
          <w:ilvl w:val="0"/>
          <w:numId w:val="0"/>
        </w:numPr>
        <w:ind w:left="360" w:hanging="360"/>
      </w:pPr>
      <w:r w:rsidRPr="008665A4">
        <w:t>*    Estimates are not available for the abolition of the CEFC beyond 2019-20.</w:t>
      </w:r>
    </w:p>
    <w:p w:rsidR="00341BA2" w:rsidRPr="00147194" w:rsidRDefault="00FF1ABD" w:rsidP="002F6310">
      <w:pPr>
        <w:pStyle w:val="TableFootnotes"/>
        <w:numPr>
          <w:ilvl w:val="0"/>
          <w:numId w:val="0"/>
        </w:numPr>
        <w:ind w:left="284" w:hanging="284"/>
      </w:pPr>
      <w:r>
        <w:t>-</w:t>
      </w:r>
      <w:r>
        <w:tab/>
      </w:r>
      <w:r w:rsidR="00341BA2" w:rsidRPr="00147194">
        <w:t>Indicates nil.</w:t>
      </w:r>
    </w:p>
    <w:p w:rsidR="00341BA2" w:rsidRDefault="00341BA2" w:rsidP="00341BA2">
      <w:pPr>
        <w:pStyle w:val="Caption"/>
        <w:keepLines/>
        <w:rPr>
          <w:vertAlign w:val="superscript"/>
        </w:rPr>
      </w:pPr>
      <w:r w:rsidRPr="00147194">
        <w:lastRenderedPageBreak/>
        <w:t xml:space="preserve">Table </w:t>
      </w:r>
      <w:fldSimple w:instr=" STYLEREF 8 \s ">
        <w:r w:rsidR="00FF1ABD">
          <w:rPr>
            <w:noProof/>
          </w:rPr>
          <w:t>A</w:t>
        </w:r>
      </w:fldSimple>
      <w:r w:rsidRPr="00147194">
        <w:t>2: Energy</w:t>
      </w:r>
      <w:r w:rsidR="00FF1ABD">
        <w:t>—</w:t>
      </w:r>
      <w:r w:rsidRPr="00147194">
        <w:t xml:space="preserve">Underlying cash </w:t>
      </w:r>
      <w:proofErr w:type="gramStart"/>
      <w:r w:rsidRPr="00147194">
        <w:t>balance</w:t>
      </w:r>
      <w:r w:rsidRPr="00147194">
        <w:rPr>
          <w:vertAlign w:val="superscript"/>
        </w:rPr>
        <w:t>(</w:t>
      </w:r>
      <w:proofErr w:type="gramEnd"/>
      <w:r w:rsidRPr="00147194">
        <w:rPr>
          <w:vertAlign w:val="superscript"/>
        </w:rPr>
        <w:t>a)(b)</w:t>
      </w:r>
      <w:r>
        <w:rPr>
          <w:vertAlign w:val="superscript"/>
        </w:rPr>
        <w:t>(c)</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2020–21</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2021–22</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2022–23</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2023–24</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2024–25</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2025–26</w:t>
            </w:r>
          </w:p>
        </w:tc>
        <w:tc>
          <w:tcPr>
            <w:tcW w:w="317"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2026–27</w:t>
            </w:r>
          </w:p>
        </w:tc>
        <w:tc>
          <w:tcPr>
            <w:tcW w:w="315"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2026–27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8A0A9D" w:rsidRDefault="00341BA2" w:rsidP="00DD4B54">
            <w:pPr>
              <w:pStyle w:val="TableText"/>
              <w:rPr>
                <w:b w:val="0"/>
              </w:rPr>
            </w:pPr>
            <w:r>
              <w:rPr>
                <w:b w:val="0"/>
              </w:rPr>
              <w:t>Abolition of the RET</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0.6</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1.2</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1.9</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3.7</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0.6</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3.1</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3.3</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3.5</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3.7</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4.0</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4.3</w:t>
            </w:r>
          </w:p>
        </w:tc>
        <w:tc>
          <w:tcPr>
            <w:tcW w:w="315"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26.3</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8A0A9D" w:rsidRDefault="00341BA2" w:rsidP="00DD4B54">
            <w:pPr>
              <w:pStyle w:val="TableText"/>
              <w:rPr>
                <w:b w:val="0"/>
              </w:rPr>
            </w:pPr>
            <w:r>
              <w:rPr>
                <w:b w:val="0"/>
              </w:rPr>
              <w:t>Abolition of the ARENA</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54.3</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55.6</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16.2</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126.1</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16.4</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18.0</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6.6</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7.6</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8.8</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10.1</w:t>
            </w:r>
          </w:p>
        </w:tc>
        <w:tc>
          <w:tcPr>
            <w:tcW w:w="317"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11.6</w:t>
            </w:r>
          </w:p>
        </w:tc>
        <w:tc>
          <w:tcPr>
            <w:tcW w:w="315"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205.3</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8A0A9D" w:rsidRDefault="00341BA2" w:rsidP="00DD4B54">
            <w:pPr>
              <w:pStyle w:val="TableText"/>
              <w:rPr>
                <w:b w:val="0"/>
              </w:rPr>
            </w:pPr>
            <w:r>
              <w:rPr>
                <w:b w:val="0"/>
              </w:rPr>
              <w:t>Abolition of the CEFC</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-9.8</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-22.3</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-39.1</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-71.2</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7"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5"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w:t>
            </w:r>
          </w:p>
        </w:tc>
      </w:tr>
      <w:tr w:rsidR="00341BA2" w:rsidRPr="008A0A9D"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8A0A9D" w:rsidRDefault="00341BA2" w:rsidP="00DD4B54">
            <w:pPr>
              <w:pStyle w:val="TableText"/>
            </w:pPr>
            <w:r w:rsidRPr="008A0A9D">
              <w:rPr>
                <w:bCs w:val="0"/>
              </w:rPr>
              <w:t>Total</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45.1</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34.5</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-21.1</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58.5</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7"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5"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r>
    </w:tbl>
    <w:p w:rsidR="00341BA2" w:rsidRPr="008A0A9D" w:rsidRDefault="00341BA2" w:rsidP="00341BA2">
      <w:pPr>
        <w:pStyle w:val="TableFootnotes"/>
        <w:keepNext/>
        <w:numPr>
          <w:ilvl w:val="0"/>
          <w:numId w:val="15"/>
        </w:numPr>
        <w:ind w:left="284" w:hanging="284"/>
      </w:pPr>
      <w:r w:rsidRPr="008A0A9D">
        <w:t xml:space="preserve">A positive number indicates an increase in revenue or decrease in expenses or net capital investment in cash terms.  A negative number indicates a decrease in revenue or an increase in expenses or net capital investment in cash terms. </w:t>
      </w:r>
    </w:p>
    <w:p w:rsidR="00341BA2" w:rsidRDefault="00341BA2" w:rsidP="00341BA2">
      <w:pPr>
        <w:pStyle w:val="TableFootnotes"/>
        <w:keepNext/>
        <w:numPr>
          <w:ilvl w:val="0"/>
          <w:numId w:val="11"/>
        </w:numPr>
        <w:ind w:left="284" w:hanging="284"/>
      </w:pPr>
      <w:r w:rsidRPr="00147194">
        <w:t>Figures may not sum to totals due to rounding.</w:t>
      </w:r>
    </w:p>
    <w:p w:rsidR="00341BA2" w:rsidRDefault="00341BA2" w:rsidP="00341BA2">
      <w:pPr>
        <w:pStyle w:val="TableFootnotes"/>
        <w:keepNext/>
        <w:numPr>
          <w:ilvl w:val="0"/>
          <w:numId w:val="11"/>
        </w:numPr>
        <w:ind w:left="284" w:hanging="284"/>
      </w:pPr>
      <w:r>
        <w:t>Estimates for each program are inclusive of public debt interest.</w:t>
      </w:r>
    </w:p>
    <w:p w:rsidR="00341BA2" w:rsidRPr="008665A4" w:rsidRDefault="00341BA2" w:rsidP="00341BA2">
      <w:pPr>
        <w:pStyle w:val="TableFootnotes"/>
        <w:numPr>
          <w:ilvl w:val="0"/>
          <w:numId w:val="0"/>
        </w:numPr>
        <w:ind w:left="360" w:hanging="360"/>
      </w:pPr>
      <w:r w:rsidRPr="008665A4">
        <w:t>*    Estimates are not available for the abolition of the CEFC beyond 2019-20.</w:t>
      </w:r>
    </w:p>
    <w:p w:rsidR="00341BA2" w:rsidRPr="00147194" w:rsidRDefault="00FF1ABD" w:rsidP="002F6310">
      <w:pPr>
        <w:pStyle w:val="TableFootnotes"/>
        <w:numPr>
          <w:ilvl w:val="0"/>
          <w:numId w:val="0"/>
        </w:numPr>
        <w:ind w:left="284" w:hanging="284"/>
      </w:pPr>
      <w:r>
        <w:t>-</w:t>
      </w:r>
      <w:r>
        <w:tab/>
      </w:r>
      <w:r w:rsidR="00341BA2" w:rsidRPr="00147194">
        <w:t>Indicates nil.</w:t>
      </w:r>
    </w:p>
    <w:p w:rsidR="00341BA2" w:rsidRPr="00147194" w:rsidRDefault="00341BA2" w:rsidP="00341BA2">
      <w:r w:rsidRPr="00147194">
        <w:br w:type="page"/>
      </w:r>
    </w:p>
    <w:p w:rsidR="00341BA2" w:rsidRPr="00147194" w:rsidRDefault="00341BA2" w:rsidP="00341BA2">
      <w:pPr>
        <w:pStyle w:val="Caption"/>
        <w:keepLines/>
        <w:rPr>
          <w:vertAlign w:val="superscript"/>
        </w:rPr>
      </w:pPr>
      <w:r w:rsidRPr="00147194">
        <w:lastRenderedPageBreak/>
        <w:t xml:space="preserve">Table </w:t>
      </w:r>
      <w:fldSimple w:instr=" STYLEREF 8 \s ">
        <w:r w:rsidR="00FF1ABD">
          <w:rPr>
            <w:noProof/>
          </w:rPr>
          <w:t>A</w:t>
        </w:r>
      </w:fldSimple>
      <w:r w:rsidRPr="00147194">
        <w:t>3: Energy</w:t>
      </w:r>
      <w:r w:rsidR="00FF1ABD">
        <w:t>—</w:t>
      </w:r>
      <w:r>
        <w:t xml:space="preserve">Headline cash </w:t>
      </w:r>
      <w:proofErr w:type="gramStart"/>
      <w:r>
        <w:t>balance</w:t>
      </w:r>
      <w:r w:rsidRPr="00147194">
        <w:rPr>
          <w:vertAlign w:val="superscript"/>
        </w:rPr>
        <w:t>(</w:t>
      </w:r>
      <w:proofErr w:type="gramEnd"/>
      <w:r w:rsidRPr="00147194">
        <w:rPr>
          <w:vertAlign w:val="superscript"/>
        </w:rPr>
        <w:t>a)(b)</w:t>
      </w:r>
      <w:r>
        <w:rPr>
          <w:vertAlign w:val="superscript"/>
        </w:rPr>
        <w:t>(c)</w:t>
      </w:r>
    </w:p>
    <w:tbl>
      <w:tblPr>
        <w:tblStyle w:val="LightGrid-Accent61"/>
        <w:tblW w:w="5000" w:type="pct"/>
        <w:tblLook w:val="0680" w:firstRow="0" w:lastRow="0" w:firstColumn="1" w:lastColumn="0" w:noHBand="1" w:noVBand="1"/>
      </w:tblPr>
      <w:tblGrid>
        <w:gridCol w:w="2495"/>
        <w:gridCol w:w="891"/>
        <w:gridCol w:w="890"/>
        <w:gridCol w:w="890"/>
        <w:gridCol w:w="890"/>
        <w:gridCol w:w="942"/>
        <w:gridCol w:w="890"/>
        <w:gridCol w:w="890"/>
        <w:gridCol w:w="890"/>
        <w:gridCol w:w="890"/>
        <w:gridCol w:w="890"/>
        <w:gridCol w:w="941"/>
        <w:gridCol w:w="890"/>
        <w:gridCol w:w="941"/>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877" w:type="pct"/>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331"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2020–21</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2021–22</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2022–23</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2023–24</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2024–25</w:t>
            </w:r>
          </w:p>
        </w:tc>
        <w:tc>
          <w:tcPr>
            <w:tcW w:w="331"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2025–26</w:t>
            </w:r>
          </w:p>
        </w:tc>
        <w:tc>
          <w:tcPr>
            <w:tcW w:w="313"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2026–27</w:t>
            </w:r>
          </w:p>
        </w:tc>
        <w:tc>
          <w:tcPr>
            <w:tcW w:w="331" w:type="pct"/>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2026–27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77" w:type="pct"/>
            <w:vAlign w:val="center"/>
          </w:tcPr>
          <w:p w:rsidR="00341BA2" w:rsidRPr="008A0A9D" w:rsidRDefault="00341BA2" w:rsidP="00DD4B54">
            <w:pPr>
              <w:pStyle w:val="TableText"/>
              <w:rPr>
                <w:b w:val="0"/>
              </w:rPr>
            </w:pPr>
            <w:r>
              <w:rPr>
                <w:b w:val="0"/>
              </w:rPr>
              <w:t>Abolition of the RET</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0.6</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1.2</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1.9</w:t>
            </w:r>
          </w:p>
        </w:tc>
        <w:tc>
          <w:tcPr>
            <w:tcW w:w="331"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3.7</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0.6</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3.1</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3.3</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3.5</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3.7</w:t>
            </w:r>
          </w:p>
        </w:tc>
        <w:tc>
          <w:tcPr>
            <w:tcW w:w="331"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4.0</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4.3</w:t>
            </w:r>
          </w:p>
        </w:tc>
        <w:tc>
          <w:tcPr>
            <w:tcW w:w="331"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26.3</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77" w:type="pct"/>
            <w:vAlign w:val="center"/>
          </w:tcPr>
          <w:p w:rsidR="00341BA2" w:rsidRPr="008A0A9D" w:rsidRDefault="00341BA2" w:rsidP="00DD4B54">
            <w:pPr>
              <w:pStyle w:val="TableText"/>
              <w:rPr>
                <w:b w:val="0"/>
              </w:rPr>
            </w:pPr>
            <w:r>
              <w:rPr>
                <w:b w:val="0"/>
              </w:rPr>
              <w:t>Abolition of the ARENA</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54.3</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55.6</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16.2</w:t>
            </w:r>
          </w:p>
        </w:tc>
        <w:tc>
          <w:tcPr>
            <w:tcW w:w="331"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126.1</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16.4</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18.0</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6.6</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7.6</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8.8</w:t>
            </w:r>
          </w:p>
        </w:tc>
        <w:tc>
          <w:tcPr>
            <w:tcW w:w="331"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10.1</w:t>
            </w:r>
          </w:p>
        </w:tc>
        <w:tc>
          <w:tcPr>
            <w:tcW w:w="313"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11.6</w:t>
            </w:r>
          </w:p>
        </w:tc>
        <w:tc>
          <w:tcPr>
            <w:tcW w:w="331" w:type="pct"/>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 xml:space="preserve"> 205.3</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77" w:type="pct"/>
            <w:shd w:val="clear" w:color="auto" w:fill="auto"/>
            <w:vAlign w:val="center"/>
          </w:tcPr>
          <w:p w:rsidR="00341BA2" w:rsidRPr="008A0A9D" w:rsidRDefault="00341BA2" w:rsidP="00DD4B54">
            <w:pPr>
              <w:pStyle w:val="TableText"/>
              <w:rPr>
                <w:b w:val="0"/>
              </w:rPr>
            </w:pPr>
            <w:r>
              <w:rPr>
                <w:b w:val="0"/>
              </w:rPr>
              <w:t>Abolition of the CEFC</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450.2</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602.7</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 xml:space="preserve"> 580.9</w:t>
            </w:r>
          </w:p>
        </w:tc>
        <w:tc>
          <w:tcPr>
            <w:tcW w:w="331"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1,633.8</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31"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13"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i/>
              </w:rPr>
            </w:pPr>
            <w:r w:rsidRPr="002F6310">
              <w:rPr>
                <w:i/>
              </w:rPr>
              <w:t>*</w:t>
            </w:r>
          </w:p>
        </w:tc>
        <w:tc>
          <w:tcPr>
            <w:tcW w:w="331" w:type="pct"/>
            <w:shd w:val="clear" w:color="auto" w:fill="auto"/>
            <w:vAlign w:val="center"/>
          </w:tcPr>
          <w:p w:rsidR="00341BA2" w:rsidRPr="002F6310"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i/>
              </w:rPr>
            </w:pPr>
            <w:r w:rsidRPr="002F6310">
              <w:rPr>
                <w:b/>
                <w:i/>
              </w:rPr>
              <w:t>*</w:t>
            </w:r>
          </w:p>
        </w:tc>
      </w:tr>
      <w:tr w:rsidR="00341BA2" w:rsidRPr="008A0A9D" w:rsidTr="00DD4B54">
        <w:tc>
          <w:tcPr>
            <w:cnfStyle w:val="001000000000" w:firstRow="0" w:lastRow="0" w:firstColumn="1" w:lastColumn="0" w:oddVBand="0" w:evenVBand="0" w:oddHBand="0" w:evenHBand="0" w:firstRowFirstColumn="0" w:firstRowLastColumn="0" w:lastRowFirstColumn="0" w:lastRowLastColumn="0"/>
            <w:tcW w:w="877" w:type="pct"/>
            <w:shd w:val="clear" w:color="auto" w:fill="D7DDE9" w:themeFill="accent3"/>
            <w:vAlign w:val="center"/>
          </w:tcPr>
          <w:p w:rsidR="00341BA2" w:rsidRPr="008A0A9D" w:rsidRDefault="00341BA2" w:rsidP="00DD4B54">
            <w:pPr>
              <w:pStyle w:val="TableText"/>
            </w:pPr>
            <w:r w:rsidRPr="008A0A9D">
              <w:rPr>
                <w:bCs w:val="0"/>
              </w:rPr>
              <w:t>Total</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505.1</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659.5</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 xml:space="preserve"> 598.9</w:t>
            </w:r>
          </w:p>
        </w:tc>
        <w:tc>
          <w:tcPr>
            <w:tcW w:w="331"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sidRPr="008A0A9D">
              <w:rPr>
                <w:b/>
              </w:rPr>
              <w:t>1,763.5</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31"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13"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331" w:type="pct"/>
            <w:shd w:val="clear" w:color="auto" w:fill="D7DDE9" w:themeFill="accent3"/>
            <w:vAlign w:val="center"/>
          </w:tcPr>
          <w:p w:rsidR="00341BA2" w:rsidRPr="008A0A9D"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r>
              <w:rPr>
                <w:b/>
              </w:rPr>
              <w:t>*</w:t>
            </w:r>
          </w:p>
        </w:tc>
      </w:tr>
    </w:tbl>
    <w:p w:rsidR="00341BA2" w:rsidRPr="008A0A9D" w:rsidRDefault="00341BA2" w:rsidP="00341BA2">
      <w:pPr>
        <w:pStyle w:val="TableFootnotes"/>
        <w:keepNext/>
        <w:numPr>
          <w:ilvl w:val="0"/>
          <w:numId w:val="16"/>
        </w:numPr>
        <w:ind w:left="284" w:hanging="284"/>
      </w:pPr>
      <w:r w:rsidRPr="008A0A9D">
        <w:t xml:space="preserve">A positive number indicates an increase in revenue or decrease in expenses or net capital investment in cash flow terms.  A negative number indicates a decrease in revenue or an increase in expenses or net capital investment in cash flow terms. </w:t>
      </w:r>
    </w:p>
    <w:p w:rsidR="00341BA2" w:rsidRDefault="00341BA2" w:rsidP="00341BA2">
      <w:pPr>
        <w:pStyle w:val="TableFootnotes"/>
        <w:keepNext/>
        <w:numPr>
          <w:ilvl w:val="0"/>
          <w:numId w:val="11"/>
        </w:numPr>
        <w:ind w:left="284" w:hanging="284"/>
      </w:pPr>
      <w:r w:rsidRPr="00147194">
        <w:t>Figures may not sum to totals due to rounding.</w:t>
      </w:r>
    </w:p>
    <w:p w:rsidR="00341BA2" w:rsidRPr="00147194" w:rsidRDefault="00341BA2" w:rsidP="00341BA2">
      <w:pPr>
        <w:pStyle w:val="TableFootnotes"/>
        <w:keepNext/>
        <w:numPr>
          <w:ilvl w:val="0"/>
          <w:numId w:val="11"/>
        </w:numPr>
        <w:ind w:left="284" w:hanging="284"/>
      </w:pPr>
      <w:r>
        <w:t>Estimates for each program are inclusive of public debt interest.</w:t>
      </w:r>
    </w:p>
    <w:p w:rsidR="00341BA2" w:rsidRDefault="00341BA2" w:rsidP="002F6310">
      <w:pPr>
        <w:pStyle w:val="TableFootnotes"/>
        <w:numPr>
          <w:ilvl w:val="0"/>
          <w:numId w:val="0"/>
        </w:numPr>
        <w:ind w:left="360" w:hanging="360"/>
      </w:pPr>
      <w:r>
        <w:t>*    Estimates are not available for the abolition of the CEFC beyond 2019-20.</w:t>
      </w:r>
    </w:p>
    <w:p w:rsidR="00341BA2" w:rsidRPr="00147194" w:rsidRDefault="00FF1ABD" w:rsidP="002F6310">
      <w:pPr>
        <w:pStyle w:val="TableFootnotes"/>
        <w:numPr>
          <w:ilvl w:val="0"/>
          <w:numId w:val="0"/>
        </w:numPr>
        <w:ind w:left="284" w:hanging="284"/>
      </w:pPr>
      <w:r>
        <w:t>-</w:t>
      </w:r>
      <w:r>
        <w:tab/>
      </w:r>
      <w:r w:rsidR="00341BA2" w:rsidRPr="00147194">
        <w:t>Indicates nil.</w:t>
      </w:r>
    </w:p>
    <w:p w:rsidR="00513111" w:rsidRPr="002F6310" w:rsidRDefault="00513111" w:rsidP="002F6310">
      <w:pPr>
        <w:pStyle w:val="TableFootnotes"/>
        <w:numPr>
          <w:ilvl w:val="0"/>
          <w:numId w:val="0"/>
        </w:numPr>
        <w:ind w:left="360" w:hanging="360"/>
        <w:sectPr w:rsidR="00513111" w:rsidRPr="002F6310" w:rsidSect="00071A10">
          <w:headerReference w:type="even" r:id="rId14"/>
          <w:headerReference w:type="default" r:id="rId15"/>
          <w:footerReference w:type="even" r:id="rId16"/>
          <w:footerReference w:type="default" r:id="rId17"/>
          <w:headerReference w:type="first" r:id="rId18"/>
          <w:footerReference w:type="first" r:id="rId19"/>
          <w:pgSz w:w="16839" w:h="11907" w:orient="landscape" w:code="9"/>
          <w:pgMar w:top="1797" w:right="1361" w:bottom="1797" w:left="1474" w:header="283" w:footer="454" w:gutter="0"/>
          <w:cols w:space="708"/>
          <w:docGrid w:linePitch="360"/>
        </w:sectPr>
      </w:pPr>
    </w:p>
    <w:p w:rsidR="00341BA2" w:rsidRPr="00147194" w:rsidRDefault="00FF1ABD" w:rsidP="00341BA2">
      <w:pPr>
        <w:pStyle w:val="Heading8"/>
      </w:pPr>
      <w:r>
        <w:lastRenderedPageBreak/>
        <w:t xml:space="preserve">Attachment B </w:t>
      </w:r>
      <w:r w:rsidR="00341BA2" w:rsidRPr="00147194">
        <w:t>– Energy</w:t>
      </w:r>
      <w:r w:rsidRPr="002D239A">
        <w:t>—</w:t>
      </w:r>
      <w:r w:rsidR="00341BA2" w:rsidRPr="00147194">
        <w:t>financial implications</w:t>
      </w:r>
      <w:r w:rsidR="00341BA2">
        <w:t xml:space="preserve"> by financial component</w:t>
      </w:r>
    </w:p>
    <w:p w:rsidR="00341BA2" w:rsidRDefault="00341BA2" w:rsidP="00341BA2">
      <w:pPr>
        <w:pStyle w:val="PullOutBoxBodyText"/>
        <w:tabs>
          <w:tab w:val="left" w:pos="884"/>
        </w:tabs>
      </w:pPr>
      <w:r w:rsidRPr="00147194">
        <w:t>The proposal would abolish the Climate Change Authority (CCA)</w:t>
      </w:r>
      <w:r>
        <w:t>,</w:t>
      </w:r>
      <w:r w:rsidRPr="00147194">
        <w:t xml:space="preserve"> the Emissions Reduction Fund (ERF), the Renewable Energy Target (RET), the Australian</w:t>
      </w:r>
      <w:r>
        <w:t> </w:t>
      </w:r>
      <w:r w:rsidRPr="00147194">
        <w:t>Renewable Energy Agency (ARENA), the Clean En</w:t>
      </w:r>
      <w:r>
        <w:t>ergy Finance Corporation (CEFC) and</w:t>
      </w:r>
      <w:r w:rsidRPr="00147194">
        <w:t xml:space="preserve"> the Clean E</w:t>
      </w:r>
      <w:r>
        <w:t>nergy Innovation Fund (CEIF) from 1 July 2017.</w:t>
      </w:r>
      <w:r w:rsidRPr="004B644F">
        <w:t xml:space="preserve"> </w:t>
      </w:r>
      <w:r>
        <w:t xml:space="preserve"> Based on advice from </w:t>
      </w:r>
      <w:r w:rsidR="00FF1ABD">
        <w:t xml:space="preserve">the </w:t>
      </w:r>
      <w:r>
        <w:t>Department of Environment and Energy (DEE)</w:t>
      </w:r>
      <w:r w:rsidR="00FF1ABD">
        <w:t>,</w:t>
      </w:r>
      <w:r>
        <w:t xml:space="preserve"> the abolition of the CCA and the ERF would not be expected to have an impact on the budget as the CCA only funded into 2016-17 and all ERF funds would be committed by 1 July 2017.  The CEIF is jointly administered by the ARENA and the CEFC; the impact of abolishing the CEIF is included in the impacts on the ARENA and the CEFC.</w:t>
      </w:r>
    </w:p>
    <w:p w:rsidR="00341BA2" w:rsidRDefault="00341BA2" w:rsidP="00341BA2">
      <w:pPr>
        <w:pStyle w:val="Caption"/>
        <w:keepLines/>
        <w:rPr>
          <w:vertAlign w:val="superscript"/>
        </w:rPr>
      </w:pPr>
      <w:r w:rsidRPr="00147194">
        <w:t xml:space="preserve">Table </w:t>
      </w:r>
      <w:r>
        <w:t>B</w:t>
      </w:r>
      <w:r w:rsidRPr="00147194">
        <w:t>1: Energy</w:t>
      </w:r>
      <w:r w:rsidR="00FF1ABD">
        <w:t>—</w:t>
      </w:r>
      <w:r>
        <w:t xml:space="preserve">Fiscal </w:t>
      </w:r>
      <w:proofErr w:type="gramStart"/>
      <w:r>
        <w:t>balance</w:t>
      </w:r>
      <w:r>
        <w:rPr>
          <w:vertAlign w:val="superscript"/>
        </w:rPr>
        <w:t>(</w:t>
      </w:r>
      <w:proofErr w:type="gramEnd"/>
      <w:r>
        <w:rPr>
          <w:vertAlign w:val="superscript"/>
        </w:rPr>
        <w:t>a</w:t>
      </w:r>
      <w:r w:rsidRPr="00147194">
        <w:rPr>
          <w:vertAlign w:val="superscript"/>
        </w:rPr>
        <w:t>)(b)</w:t>
      </w:r>
    </w:p>
    <w:tbl>
      <w:tblPr>
        <w:tblStyle w:val="LightGrid-Accent61"/>
        <w:tblW w:w="3956" w:type="pct"/>
        <w:tblInd w:w="250" w:type="dxa"/>
        <w:tblLook w:val="0680" w:firstRow="0" w:lastRow="0" w:firstColumn="1" w:lastColumn="0" w:noHBand="1" w:noVBand="1"/>
      </w:tblPr>
      <w:tblGrid>
        <w:gridCol w:w="2233"/>
        <w:gridCol w:w="972"/>
        <w:gridCol w:w="850"/>
        <w:gridCol w:w="851"/>
        <w:gridCol w:w="850"/>
        <w:gridCol w:w="992"/>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97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851"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99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3A0F74" w:rsidRDefault="00341BA2" w:rsidP="00DD4B54">
            <w:pPr>
              <w:pStyle w:val="TableText"/>
              <w:ind w:left="34"/>
            </w:pPr>
            <w:r w:rsidRPr="003A0F74">
              <w:t>Expenditure</w:t>
            </w:r>
          </w:p>
        </w:tc>
        <w:tc>
          <w:tcPr>
            <w:tcW w:w="972"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851"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992"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8A0A9D" w:rsidRDefault="00341BA2" w:rsidP="00DD4B54">
            <w:pPr>
              <w:pStyle w:val="TableText"/>
              <w:ind w:left="34"/>
              <w:rPr>
                <w:b w:val="0"/>
              </w:rPr>
            </w:pPr>
            <w:r>
              <w:rPr>
                <w:b w:val="0"/>
              </w:rPr>
              <w:t>Administered</w:t>
            </w:r>
          </w:p>
        </w:tc>
        <w:tc>
          <w:tcPr>
            <w:tcW w:w="97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46.8</w:t>
            </w:r>
          </w:p>
        </w:tc>
        <w:tc>
          <w:tcPr>
            <w:tcW w:w="851"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47.5</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8.9</w:t>
            </w:r>
          </w:p>
        </w:tc>
        <w:tc>
          <w:tcPr>
            <w:tcW w:w="99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b/>
                <w:bCs/>
                <w:i/>
                <w:iCs/>
                <w:color w:val="000000"/>
                <w:sz w:val="20"/>
                <w:szCs w:val="20"/>
              </w:rPr>
              <w:t xml:space="preserve"> 103.2</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8A0A9D" w:rsidRDefault="00341BA2" w:rsidP="00DD4B54">
            <w:pPr>
              <w:pStyle w:val="TableText"/>
              <w:ind w:left="34"/>
              <w:rPr>
                <w:b w:val="0"/>
              </w:rPr>
            </w:pPr>
            <w:r>
              <w:rPr>
                <w:b w:val="0"/>
              </w:rPr>
              <w:t>Departmental</w:t>
            </w:r>
          </w:p>
        </w:tc>
        <w:tc>
          <w:tcPr>
            <w:tcW w:w="97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11.6</w:t>
            </w:r>
          </w:p>
        </w:tc>
        <w:tc>
          <w:tcPr>
            <w:tcW w:w="851"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-1.0</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-31.0</w:t>
            </w:r>
          </w:p>
        </w:tc>
        <w:tc>
          <w:tcPr>
            <w:tcW w:w="99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b/>
                <w:bCs/>
                <w:i/>
                <w:iCs/>
                <w:color w:val="000000"/>
                <w:sz w:val="20"/>
                <w:szCs w:val="20"/>
              </w:rPr>
              <w:t>-20.4</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E9ECF3"/>
            <w:vAlign w:val="center"/>
          </w:tcPr>
          <w:p w:rsidR="00341BA2" w:rsidRDefault="00341BA2" w:rsidP="00DD4B54">
            <w:pPr>
              <w:pStyle w:val="TableText"/>
              <w:ind w:left="34"/>
            </w:pPr>
            <w:r>
              <w:t>Total expenditure</w:t>
            </w:r>
          </w:p>
        </w:tc>
        <w:tc>
          <w:tcPr>
            <w:tcW w:w="97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58.4</w:t>
            </w:r>
          </w:p>
        </w:tc>
        <w:tc>
          <w:tcPr>
            <w:tcW w:w="851"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46.5</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-22.1</w:t>
            </w:r>
          </w:p>
        </w:tc>
        <w:tc>
          <w:tcPr>
            <w:tcW w:w="99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82.8</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auto"/>
            <w:vAlign w:val="center"/>
          </w:tcPr>
          <w:p w:rsidR="00341BA2" w:rsidRPr="003A0F74" w:rsidRDefault="00341BA2" w:rsidP="00DD4B54">
            <w:pPr>
              <w:pStyle w:val="TableText"/>
              <w:ind w:left="34"/>
              <w:rPr>
                <w:b w:val="0"/>
              </w:rPr>
            </w:pPr>
            <w:r>
              <w:rPr>
                <w:b w:val="0"/>
              </w:rPr>
              <w:t>Revenue</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b/>
                <w:bCs/>
                <w:i/>
                <w:iCs/>
                <w:color w:val="000000"/>
                <w:sz w:val="20"/>
                <w:szCs w:val="20"/>
              </w:rPr>
              <w:t xml:space="preserve"> -</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auto"/>
            <w:vAlign w:val="center"/>
          </w:tcPr>
          <w:p w:rsidR="00341BA2" w:rsidRPr="008A0A9D" w:rsidRDefault="00341BA2" w:rsidP="00DD4B54">
            <w:pPr>
              <w:pStyle w:val="TableText"/>
              <w:ind w:left="34"/>
              <w:rPr>
                <w:b w:val="0"/>
              </w:rPr>
            </w:pPr>
            <w:r>
              <w:rPr>
                <w:b w:val="0"/>
              </w:rPr>
              <w:t>PDI</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6.4</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21.0</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39.7</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67.1</w:t>
            </w:r>
          </w:p>
        </w:tc>
      </w:tr>
      <w:tr w:rsidR="00341BA2" w:rsidRPr="008A0A9D"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D7DDE9" w:themeFill="accent3"/>
            <w:vAlign w:val="center"/>
          </w:tcPr>
          <w:p w:rsidR="00341BA2" w:rsidRPr="003A0F74" w:rsidRDefault="00341BA2" w:rsidP="00DD4B54">
            <w:pPr>
              <w:pStyle w:val="TableText"/>
              <w:ind w:left="34"/>
            </w:pPr>
            <w:r w:rsidRPr="003A0F74">
              <w:rPr>
                <w:bCs w:val="0"/>
              </w:rPr>
              <w:t>Total</w:t>
            </w:r>
          </w:p>
        </w:tc>
        <w:tc>
          <w:tcPr>
            <w:tcW w:w="97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64.8</w:t>
            </w:r>
          </w:p>
        </w:tc>
        <w:tc>
          <w:tcPr>
            <w:tcW w:w="851"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67.5</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17.6</w:t>
            </w:r>
          </w:p>
        </w:tc>
        <w:tc>
          <w:tcPr>
            <w:tcW w:w="99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149.9</w:t>
            </w:r>
          </w:p>
        </w:tc>
      </w:tr>
    </w:tbl>
    <w:p w:rsidR="00341BA2" w:rsidRPr="00B346C8" w:rsidRDefault="00341BA2" w:rsidP="00341BA2">
      <w:pPr>
        <w:pStyle w:val="TableFootnotes"/>
        <w:keepNext/>
        <w:numPr>
          <w:ilvl w:val="0"/>
          <w:numId w:val="17"/>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147194" w:rsidRDefault="00341BA2" w:rsidP="00341BA2">
      <w:pPr>
        <w:pStyle w:val="TableFootnotes"/>
        <w:keepNext/>
        <w:numPr>
          <w:ilvl w:val="0"/>
          <w:numId w:val="11"/>
        </w:numPr>
        <w:ind w:left="284" w:hanging="284"/>
      </w:pPr>
      <w:r w:rsidRPr="00147194">
        <w:t>Figures may not sum to totals due to rounding.</w:t>
      </w:r>
    </w:p>
    <w:p w:rsidR="00341BA2" w:rsidRPr="00147194" w:rsidRDefault="00341BA2" w:rsidP="002F6310">
      <w:pPr>
        <w:pStyle w:val="TableFootnotes"/>
        <w:numPr>
          <w:ilvl w:val="0"/>
          <w:numId w:val="31"/>
        </w:numPr>
        <w:ind w:left="284" w:hanging="284"/>
      </w:pPr>
      <w:r w:rsidRPr="00147194">
        <w:t>Indicates nil.</w:t>
      </w:r>
    </w:p>
    <w:p w:rsidR="00341BA2" w:rsidRPr="00147194" w:rsidRDefault="00341BA2" w:rsidP="00341BA2">
      <w:pPr>
        <w:rPr>
          <w:b/>
          <w:bCs/>
          <w:color w:val="2B3B5F" w:themeColor="text2"/>
          <w:spacing w:val="-4"/>
        </w:rPr>
      </w:pPr>
    </w:p>
    <w:p w:rsidR="00341BA2" w:rsidRDefault="00341BA2" w:rsidP="00341BA2">
      <w:pPr>
        <w:rPr>
          <w:b/>
          <w:bCs/>
          <w:color w:val="2B3B5F" w:themeColor="text2"/>
          <w:spacing w:val="-4"/>
        </w:rPr>
      </w:pPr>
      <w:r>
        <w:br w:type="page"/>
      </w:r>
    </w:p>
    <w:p w:rsidR="00341BA2" w:rsidRPr="00147194" w:rsidRDefault="00341BA2" w:rsidP="00341BA2">
      <w:pPr>
        <w:pStyle w:val="Caption"/>
        <w:keepLines/>
        <w:rPr>
          <w:vertAlign w:val="superscript"/>
        </w:rPr>
      </w:pPr>
      <w:r w:rsidRPr="00147194">
        <w:lastRenderedPageBreak/>
        <w:t xml:space="preserve">Table </w:t>
      </w:r>
      <w:r>
        <w:t>B2: Energy</w:t>
      </w:r>
      <w:r w:rsidR="00FF1ABD">
        <w:t>—</w:t>
      </w:r>
      <w:r w:rsidRPr="00147194">
        <w:t xml:space="preserve">Underlying cash </w:t>
      </w:r>
      <w:proofErr w:type="gramStart"/>
      <w:r w:rsidRPr="00147194">
        <w:t>balance</w:t>
      </w:r>
      <w:r w:rsidRPr="00147194">
        <w:rPr>
          <w:vertAlign w:val="superscript"/>
        </w:rPr>
        <w:t>(</w:t>
      </w:r>
      <w:proofErr w:type="gramEnd"/>
      <w:r w:rsidRPr="00147194">
        <w:rPr>
          <w:vertAlign w:val="superscript"/>
        </w:rPr>
        <w:t>a)(b)</w:t>
      </w:r>
    </w:p>
    <w:tbl>
      <w:tblPr>
        <w:tblStyle w:val="LightGrid-Accent61"/>
        <w:tblW w:w="3956" w:type="pct"/>
        <w:tblInd w:w="250" w:type="dxa"/>
        <w:tblLook w:val="0680" w:firstRow="0" w:lastRow="0" w:firstColumn="1" w:lastColumn="0" w:noHBand="1" w:noVBand="1"/>
      </w:tblPr>
      <w:tblGrid>
        <w:gridCol w:w="2233"/>
        <w:gridCol w:w="972"/>
        <w:gridCol w:w="850"/>
        <w:gridCol w:w="851"/>
        <w:gridCol w:w="850"/>
        <w:gridCol w:w="992"/>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D7DDE9" w:themeFill="accent3"/>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97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851"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99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3A0F74" w:rsidRDefault="00341BA2" w:rsidP="00DD4B54">
            <w:pPr>
              <w:pStyle w:val="TableText"/>
              <w:keepLines/>
              <w:ind w:left="34"/>
            </w:pPr>
            <w:r w:rsidRPr="003A0F74">
              <w:t>Expenditure</w:t>
            </w:r>
          </w:p>
        </w:tc>
        <w:tc>
          <w:tcPr>
            <w:tcW w:w="972" w:type="dxa"/>
            <w:vAlign w:val="center"/>
          </w:tcPr>
          <w:p w:rsidR="00341BA2" w:rsidRPr="004B644F" w:rsidRDefault="00341BA2" w:rsidP="00DD4B54">
            <w:pPr>
              <w:pStyle w:val="TableText"/>
              <w:keepLines/>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rsidR="00341BA2" w:rsidRPr="004B644F" w:rsidRDefault="00341BA2" w:rsidP="00DD4B54">
            <w:pPr>
              <w:pStyle w:val="TableText"/>
              <w:keepLines/>
              <w:jc w:val="right"/>
              <w:cnfStyle w:val="000000000000" w:firstRow="0" w:lastRow="0" w:firstColumn="0" w:lastColumn="0" w:oddVBand="0" w:evenVBand="0" w:oddHBand="0" w:evenHBand="0" w:firstRowFirstColumn="0" w:firstRowLastColumn="0" w:lastRowFirstColumn="0" w:lastRowLastColumn="0"/>
            </w:pPr>
          </w:p>
        </w:tc>
        <w:tc>
          <w:tcPr>
            <w:tcW w:w="851" w:type="dxa"/>
            <w:vAlign w:val="center"/>
          </w:tcPr>
          <w:p w:rsidR="00341BA2" w:rsidRPr="004B644F" w:rsidRDefault="00341BA2" w:rsidP="00DD4B54">
            <w:pPr>
              <w:pStyle w:val="TableText"/>
              <w:keepLines/>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rsidR="00341BA2" w:rsidRPr="004B644F" w:rsidRDefault="00341BA2" w:rsidP="00DD4B54">
            <w:pPr>
              <w:pStyle w:val="TableText"/>
              <w:keepLines/>
              <w:jc w:val="right"/>
              <w:cnfStyle w:val="000000000000" w:firstRow="0" w:lastRow="0" w:firstColumn="0" w:lastColumn="0" w:oddVBand="0" w:evenVBand="0" w:oddHBand="0" w:evenHBand="0" w:firstRowFirstColumn="0" w:firstRowLastColumn="0" w:lastRowFirstColumn="0" w:lastRowLastColumn="0"/>
            </w:pPr>
          </w:p>
        </w:tc>
        <w:tc>
          <w:tcPr>
            <w:tcW w:w="992" w:type="dxa"/>
            <w:vAlign w:val="center"/>
          </w:tcPr>
          <w:p w:rsidR="00341BA2" w:rsidRPr="004B644F" w:rsidRDefault="00341BA2" w:rsidP="00DD4B54">
            <w:pPr>
              <w:pStyle w:val="TableText"/>
              <w:keepLines/>
              <w:jc w:val="right"/>
              <w:cnfStyle w:val="000000000000" w:firstRow="0" w:lastRow="0" w:firstColumn="0" w:lastColumn="0" w:oddVBand="0" w:evenVBand="0" w:oddHBand="0" w:evenHBand="0" w:firstRowFirstColumn="0" w:firstRowLastColumn="0" w:lastRowFirstColumn="0" w:lastRowLastColumn="0"/>
              <w:rPr>
                <w:b/>
              </w:rPr>
            </w:pP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8A0A9D" w:rsidRDefault="00341BA2" w:rsidP="00DD4B54">
            <w:pPr>
              <w:pStyle w:val="TableText"/>
              <w:keepLines/>
              <w:ind w:left="34"/>
              <w:rPr>
                <w:b w:val="0"/>
              </w:rPr>
            </w:pPr>
            <w:r>
              <w:rPr>
                <w:b w:val="0"/>
              </w:rPr>
              <w:t>Administered</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46.8</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47.5</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8.9</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103.2</w:t>
            </w: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8A0A9D" w:rsidRDefault="00341BA2" w:rsidP="00DD4B54">
            <w:pPr>
              <w:pStyle w:val="TableText"/>
              <w:keepLines/>
              <w:ind w:left="34"/>
              <w:rPr>
                <w:b w:val="0"/>
              </w:rPr>
            </w:pPr>
            <w:r>
              <w:rPr>
                <w:b w:val="0"/>
              </w:rPr>
              <w:t>Departmental</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-7.7</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-32.9</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-68.3</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-108.9</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E9ECF3"/>
            <w:vAlign w:val="center"/>
          </w:tcPr>
          <w:p w:rsidR="00341BA2" w:rsidRDefault="00341BA2" w:rsidP="00DD4B54">
            <w:pPr>
              <w:pStyle w:val="TableText"/>
              <w:keepLines/>
              <w:ind w:left="34"/>
            </w:pPr>
            <w:r>
              <w:t>Total expenditure</w:t>
            </w:r>
          </w:p>
        </w:tc>
        <w:tc>
          <w:tcPr>
            <w:tcW w:w="97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39.1</w:t>
            </w:r>
          </w:p>
        </w:tc>
        <w:tc>
          <w:tcPr>
            <w:tcW w:w="851"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14.6</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-59.4</w:t>
            </w:r>
          </w:p>
        </w:tc>
        <w:tc>
          <w:tcPr>
            <w:tcW w:w="99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-5.7</w:t>
            </w: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auto"/>
            <w:vAlign w:val="center"/>
          </w:tcPr>
          <w:p w:rsidR="00341BA2" w:rsidRPr="003A0F74" w:rsidRDefault="00341BA2" w:rsidP="00DD4B54">
            <w:pPr>
              <w:pStyle w:val="TableText"/>
              <w:keepLines/>
              <w:ind w:left="34"/>
              <w:rPr>
                <w:b w:val="0"/>
              </w:rPr>
            </w:pPr>
            <w:r>
              <w:rPr>
                <w:b w:val="0"/>
              </w:rPr>
              <w:t>Revenue</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b/>
                <w:bCs/>
                <w:i/>
                <w:iCs/>
                <w:color w:val="000000"/>
                <w:sz w:val="20"/>
                <w:szCs w:val="20"/>
              </w:rPr>
              <w:t xml:space="preserve"> -</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auto"/>
            <w:vAlign w:val="center"/>
          </w:tcPr>
          <w:p w:rsidR="00341BA2" w:rsidRPr="008A0A9D" w:rsidRDefault="00341BA2" w:rsidP="00DD4B54">
            <w:pPr>
              <w:pStyle w:val="TableText"/>
              <w:keepLines/>
              <w:ind w:left="34"/>
              <w:rPr>
                <w:b w:val="0"/>
              </w:rPr>
            </w:pPr>
            <w:r>
              <w:rPr>
                <w:b w:val="0"/>
              </w:rPr>
              <w:t>PDI</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6.0</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19.9</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38.4</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64.3</w:t>
            </w:r>
          </w:p>
        </w:tc>
      </w:tr>
      <w:tr w:rsidR="00341BA2" w:rsidRPr="008A0A9D"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D7DDE9" w:themeFill="accent3"/>
            <w:vAlign w:val="center"/>
          </w:tcPr>
          <w:p w:rsidR="00341BA2" w:rsidRPr="003A0F74" w:rsidRDefault="00341BA2" w:rsidP="00DD4B54">
            <w:pPr>
              <w:pStyle w:val="TableText"/>
              <w:keepLines/>
              <w:ind w:left="34"/>
            </w:pPr>
            <w:r w:rsidRPr="003A0F74">
              <w:rPr>
                <w:bCs w:val="0"/>
              </w:rPr>
              <w:t>Total</w:t>
            </w:r>
          </w:p>
        </w:tc>
        <w:tc>
          <w:tcPr>
            <w:tcW w:w="97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45.1</w:t>
            </w:r>
          </w:p>
        </w:tc>
        <w:tc>
          <w:tcPr>
            <w:tcW w:w="851"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34.5</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-21.1</w:t>
            </w:r>
          </w:p>
        </w:tc>
        <w:tc>
          <w:tcPr>
            <w:tcW w:w="99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58.5</w:t>
            </w:r>
          </w:p>
        </w:tc>
      </w:tr>
    </w:tbl>
    <w:p w:rsidR="00341BA2" w:rsidRPr="00B346C8" w:rsidRDefault="00341BA2" w:rsidP="00341BA2">
      <w:pPr>
        <w:pStyle w:val="TableFootnotes"/>
        <w:keepNext/>
        <w:numPr>
          <w:ilvl w:val="0"/>
          <w:numId w:val="18"/>
        </w:numPr>
        <w:ind w:left="284" w:hanging="284"/>
      </w:pPr>
      <w:r w:rsidRPr="00B346C8">
        <w:t xml:space="preserve">A positive number indicates an increase in revenue or decrease in expenses or net capital investment in cash terms.  A negative number indicates a decrease in revenue or an increase in expenses or net capital investment in cash terms. </w:t>
      </w:r>
    </w:p>
    <w:p w:rsidR="00341BA2" w:rsidRPr="00147194" w:rsidRDefault="00341BA2" w:rsidP="00341BA2">
      <w:pPr>
        <w:pStyle w:val="TableFootnotes"/>
        <w:keepNext/>
        <w:numPr>
          <w:ilvl w:val="0"/>
          <w:numId w:val="11"/>
        </w:numPr>
        <w:ind w:left="284" w:hanging="284"/>
      </w:pPr>
      <w:r w:rsidRPr="00147194">
        <w:t>Figures may not sum to totals due to rounding.</w:t>
      </w:r>
    </w:p>
    <w:p w:rsidR="00341BA2" w:rsidRPr="00147194" w:rsidRDefault="00341BA2" w:rsidP="002F6310">
      <w:pPr>
        <w:pStyle w:val="TableFootnotes"/>
        <w:numPr>
          <w:ilvl w:val="0"/>
          <w:numId w:val="31"/>
        </w:numPr>
        <w:ind w:left="284" w:hanging="284"/>
      </w:pPr>
      <w:r w:rsidRPr="00147194">
        <w:t>Indicates nil.</w:t>
      </w:r>
    </w:p>
    <w:p w:rsidR="00341BA2" w:rsidRPr="00147194" w:rsidRDefault="00341BA2" w:rsidP="00341BA2">
      <w:pPr>
        <w:pStyle w:val="Caption"/>
        <w:keepLines/>
        <w:rPr>
          <w:vertAlign w:val="superscript"/>
        </w:rPr>
      </w:pPr>
      <w:r w:rsidRPr="00147194">
        <w:t xml:space="preserve">Table </w:t>
      </w:r>
      <w:r>
        <w:t>B3: Energy</w:t>
      </w:r>
      <w:r w:rsidRPr="00147194">
        <w:t xml:space="preserve"> – Headline cash </w:t>
      </w:r>
      <w:proofErr w:type="gramStart"/>
      <w:r w:rsidRPr="00147194">
        <w:t>balance</w:t>
      </w:r>
      <w:r w:rsidRPr="00147194">
        <w:rPr>
          <w:vertAlign w:val="superscript"/>
        </w:rPr>
        <w:t>(</w:t>
      </w:r>
      <w:proofErr w:type="gramEnd"/>
      <w:r w:rsidRPr="00147194">
        <w:rPr>
          <w:vertAlign w:val="superscript"/>
        </w:rPr>
        <w:t>a)(b)</w:t>
      </w:r>
    </w:p>
    <w:tbl>
      <w:tblPr>
        <w:tblStyle w:val="LightGrid-Accent61"/>
        <w:tblW w:w="3956" w:type="pct"/>
        <w:tblInd w:w="250" w:type="dxa"/>
        <w:tblLook w:val="0680" w:firstRow="0" w:lastRow="0" w:firstColumn="1" w:lastColumn="0" w:noHBand="1" w:noVBand="1"/>
      </w:tblPr>
      <w:tblGrid>
        <w:gridCol w:w="2233"/>
        <w:gridCol w:w="972"/>
        <w:gridCol w:w="850"/>
        <w:gridCol w:w="851"/>
        <w:gridCol w:w="850"/>
        <w:gridCol w:w="992"/>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D7DDE9" w:themeFill="accent3"/>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97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851"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99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3A0F74" w:rsidRDefault="00341BA2" w:rsidP="00DD4B54">
            <w:pPr>
              <w:pStyle w:val="TableText"/>
              <w:ind w:left="34"/>
            </w:pPr>
            <w:r w:rsidRPr="003A0F74">
              <w:t>Expenditure</w:t>
            </w:r>
          </w:p>
        </w:tc>
        <w:tc>
          <w:tcPr>
            <w:tcW w:w="972"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851"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pPr>
          </w:p>
        </w:tc>
        <w:tc>
          <w:tcPr>
            <w:tcW w:w="992" w:type="dxa"/>
            <w:vAlign w:val="center"/>
          </w:tcPr>
          <w:p w:rsidR="00341BA2" w:rsidRPr="004B644F" w:rsidRDefault="00341BA2" w:rsidP="00DD4B54">
            <w:pPr>
              <w:pStyle w:val="TableText"/>
              <w:jc w:val="right"/>
              <w:cnfStyle w:val="000000000000" w:firstRow="0" w:lastRow="0" w:firstColumn="0" w:lastColumn="0" w:oddVBand="0" w:evenVBand="0" w:oddHBand="0" w:evenHBand="0" w:firstRowFirstColumn="0" w:firstRowLastColumn="0" w:lastRowFirstColumn="0" w:lastRowLastColumn="0"/>
              <w:rPr>
                <w:b/>
              </w:rPr>
            </w:pP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8A0A9D" w:rsidRDefault="00341BA2" w:rsidP="00DD4B54">
            <w:pPr>
              <w:pStyle w:val="TableText"/>
              <w:ind w:left="34"/>
              <w:rPr>
                <w:b w:val="0"/>
              </w:rPr>
            </w:pPr>
            <w:r>
              <w:rPr>
                <w:b w:val="0"/>
              </w:rPr>
              <w:t>Administered</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46.8</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47.5</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8.9</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103.2</w:t>
            </w: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233" w:type="dxa"/>
            <w:vAlign w:val="center"/>
          </w:tcPr>
          <w:p w:rsidR="00341BA2" w:rsidRPr="008A0A9D" w:rsidRDefault="00341BA2" w:rsidP="00DD4B54">
            <w:pPr>
              <w:pStyle w:val="TableText"/>
              <w:ind w:left="34"/>
              <w:rPr>
                <w:b w:val="0"/>
              </w:rPr>
            </w:pPr>
            <w:r>
              <w:rPr>
                <w:b w:val="0"/>
              </w:rPr>
              <w:t>Departmental</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452.3</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592.1</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551.7</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1,596.1</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E9ECF3"/>
            <w:vAlign w:val="center"/>
          </w:tcPr>
          <w:p w:rsidR="00341BA2" w:rsidRDefault="00341BA2" w:rsidP="00DD4B54">
            <w:pPr>
              <w:pStyle w:val="TableText"/>
              <w:ind w:left="34"/>
            </w:pPr>
            <w:r>
              <w:t>Total expenditure</w:t>
            </w:r>
          </w:p>
        </w:tc>
        <w:tc>
          <w:tcPr>
            <w:tcW w:w="97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499.1</w:t>
            </w:r>
          </w:p>
        </w:tc>
        <w:tc>
          <w:tcPr>
            <w:tcW w:w="851"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639.6</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560.6</w:t>
            </w:r>
          </w:p>
        </w:tc>
        <w:tc>
          <w:tcPr>
            <w:tcW w:w="99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1,699.3</w:t>
            </w: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auto"/>
            <w:vAlign w:val="center"/>
          </w:tcPr>
          <w:p w:rsidR="00341BA2" w:rsidRPr="003A0F74" w:rsidRDefault="00341BA2" w:rsidP="00DD4B54">
            <w:pPr>
              <w:pStyle w:val="TableText"/>
              <w:ind w:left="34"/>
              <w:rPr>
                <w:b w:val="0"/>
              </w:rPr>
            </w:pPr>
            <w:r>
              <w:rPr>
                <w:b w:val="0"/>
              </w:rPr>
              <w:t>Revenue</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b/>
                <w:bCs/>
                <w:i/>
                <w:iCs/>
                <w:color w:val="000000"/>
                <w:sz w:val="20"/>
                <w:szCs w:val="20"/>
              </w:rPr>
              <w:t xml:space="preserve"> -</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auto"/>
            <w:vAlign w:val="center"/>
          </w:tcPr>
          <w:p w:rsidR="00341BA2" w:rsidRPr="008A0A9D" w:rsidRDefault="00341BA2" w:rsidP="00DD4B54">
            <w:pPr>
              <w:pStyle w:val="TableText"/>
              <w:ind w:left="34"/>
              <w:rPr>
                <w:b w:val="0"/>
              </w:rPr>
            </w:pPr>
            <w:r>
              <w:rPr>
                <w:b w:val="0"/>
              </w:rPr>
              <w:t>PDI</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6.0</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19.9</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38.4</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64.3</w:t>
            </w:r>
          </w:p>
        </w:tc>
      </w:tr>
      <w:tr w:rsidR="00341BA2" w:rsidRPr="008A0A9D" w:rsidTr="00DD4B54">
        <w:tc>
          <w:tcPr>
            <w:cnfStyle w:val="001000000000" w:firstRow="0" w:lastRow="0" w:firstColumn="1" w:lastColumn="0" w:oddVBand="0" w:evenVBand="0" w:oddHBand="0" w:evenHBand="0" w:firstRowFirstColumn="0" w:firstRowLastColumn="0" w:lastRowFirstColumn="0" w:lastRowLastColumn="0"/>
            <w:tcW w:w="2233" w:type="dxa"/>
            <w:shd w:val="clear" w:color="auto" w:fill="D7DDE9" w:themeFill="accent3"/>
            <w:vAlign w:val="center"/>
          </w:tcPr>
          <w:p w:rsidR="00341BA2" w:rsidRPr="003A0F74" w:rsidRDefault="00341BA2" w:rsidP="00DD4B54">
            <w:pPr>
              <w:pStyle w:val="TableText"/>
              <w:ind w:left="34"/>
            </w:pPr>
            <w:r w:rsidRPr="003A0F74">
              <w:rPr>
                <w:bCs w:val="0"/>
              </w:rPr>
              <w:t>Total</w:t>
            </w:r>
          </w:p>
        </w:tc>
        <w:tc>
          <w:tcPr>
            <w:tcW w:w="97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505.1</w:t>
            </w:r>
          </w:p>
        </w:tc>
        <w:tc>
          <w:tcPr>
            <w:tcW w:w="851"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659.5</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598.9</w:t>
            </w:r>
          </w:p>
        </w:tc>
        <w:tc>
          <w:tcPr>
            <w:tcW w:w="99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1,763.5</w:t>
            </w:r>
          </w:p>
        </w:tc>
      </w:tr>
    </w:tbl>
    <w:p w:rsidR="00341BA2" w:rsidRPr="00B346C8" w:rsidRDefault="00341BA2" w:rsidP="00341BA2">
      <w:pPr>
        <w:pStyle w:val="TableFootnotes"/>
        <w:keepNext/>
        <w:numPr>
          <w:ilvl w:val="0"/>
          <w:numId w:val="19"/>
        </w:numPr>
        <w:ind w:left="284" w:hanging="284"/>
      </w:pPr>
      <w:r w:rsidRPr="00B346C8">
        <w:t xml:space="preserve">A positive number indicates an increase in revenue or decrease in expenses or net capital investment in cash flow terms.  A negative number indicates a decrease in revenue or an increase in expenses or net capital investment in cash flow terms. </w:t>
      </w:r>
    </w:p>
    <w:p w:rsidR="00341BA2" w:rsidRPr="00147194" w:rsidRDefault="00341BA2" w:rsidP="00341BA2">
      <w:pPr>
        <w:pStyle w:val="TableFootnotes"/>
        <w:keepNext/>
        <w:numPr>
          <w:ilvl w:val="0"/>
          <w:numId w:val="11"/>
        </w:numPr>
        <w:ind w:left="284" w:hanging="284"/>
      </w:pPr>
      <w:r w:rsidRPr="00147194">
        <w:t>Figures may not sum to totals due to rounding.</w:t>
      </w:r>
    </w:p>
    <w:p w:rsidR="00341BA2" w:rsidRPr="00147194" w:rsidRDefault="00341BA2" w:rsidP="002F6310">
      <w:pPr>
        <w:pStyle w:val="TableFootnotes"/>
        <w:numPr>
          <w:ilvl w:val="0"/>
          <w:numId w:val="31"/>
        </w:numPr>
        <w:ind w:left="284" w:hanging="284"/>
      </w:pPr>
      <w:r w:rsidRPr="00147194">
        <w:t>Indicates nil.</w:t>
      </w:r>
    </w:p>
    <w:p w:rsidR="00513111" w:rsidRPr="002F6310" w:rsidRDefault="00513111" w:rsidP="002F6310">
      <w:pPr>
        <w:pStyle w:val="TableFootnotes"/>
        <w:numPr>
          <w:ilvl w:val="0"/>
          <w:numId w:val="31"/>
        </w:numPr>
        <w:ind w:left="284" w:hanging="284"/>
        <w:sectPr w:rsidR="00513111" w:rsidRPr="002F6310" w:rsidSect="00DD4B54">
          <w:pgSz w:w="11907" w:h="16839" w:code="9"/>
          <w:pgMar w:top="1361" w:right="1797" w:bottom="1474" w:left="1797" w:header="283" w:footer="454" w:gutter="0"/>
          <w:cols w:space="708"/>
          <w:docGrid w:linePitch="360"/>
        </w:sectPr>
      </w:pPr>
    </w:p>
    <w:p w:rsidR="00341BA2" w:rsidRPr="00147194" w:rsidRDefault="00341BA2" w:rsidP="00341BA2">
      <w:pPr>
        <w:rPr>
          <w:rFonts w:asciiTheme="majorHAnsi" w:eastAsiaTheme="majorEastAsia" w:hAnsiTheme="majorHAnsi" w:cstheme="majorBidi"/>
          <w:color w:val="2B3B5F" w:themeColor="text2"/>
          <w:sz w:val="32"/>
        </w:rPr>
      </w:pPr>
    </w:p>
    <w:p w:rsidR="00341BA2" w:rsidRPr="00147194" w:rsidRDefault="00FF1ABD" w:rsidP="00341BA2">
      <w:pPr>
        <w:pStyle w:val="Heading8"/>
      </w:pPr>
      <w:r>
        <w:t xml:space="preserve">Attachment C </w:t>
      </w:r>
      <w:r w:rsidR="00341BA2" w:rsidRPr="00147194">
        <w:t xml:space="preserve">– </w:t>
      </w:r>
      <w:r w:rsidR="00341BA2">
        <w:t xml:space="preserve">Abolition of the </w:t>
      </w:r>
      <w:r w:rsidR="00341BA2" w:rsidRPr="00147194">
        <w:t xml:space="preserve">Renewable Energy Target </w:t>
      </w:r>
      <w:r w:rsidR="00341BA2">
        <w:t xml:space="preserve">(RET) </w:t>
      </w:r>
    </w:p>
    <w:p w:rsidR="00341BA2" w:rsidRPr="00147194" w:rsidRDefault="00341BA2" w:rsidP="00341BA2">
      <w:pPr>
        <w:pStyle w:val="Caption"/>
        <w:keepLines/>
        <w:rPr>
          <w:vertAlign w:val="superscript"/>
        </w:rPr>
      </w:pPr>
      <w:r w:rsidRPr="00147194">
        <w:t xml:space="preserve">Table </w:t>
      </w:r>
      <w:r>
        <w:t>C</w:t>
      </w:r>
      <w:r w:rsidRPr="00147194">
        <w:t xml:space="preserve">1: </w:t>
      </w:r>
      <w:r>
        <w:t>Abolition of the RET</w:t>
      </w:r>
      <w:r w:rsidR="00FF1ABD">
        <w:t>—</w:t>
      </w:r>
      <w:r w:rsidRPr="00147194">
        <w:t xml:space="preserve">Fiscal </w:t>
      </w:r>
      <w:proofErr w:type="gramStart"/>
      <w:r w:rsidRPr="00147194">
        <w:t>balance</w:t>
      </w:r>
      <w:r w:rsidRPr="00147194">
        <w:rPr>
          <w:vertAlign w:val="superscript"/>
        </w:rPr>
        <w:t>(</w:t>
      </w:r>
      <w:proofErr w:type="gramEnd"/>
      <w:r w:rsidRPr="00147194">
        <w:rPr>
          <w:vertAlign w:val="superscript"/>
        </w:rPr>
        <w:t>a)(b)</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2020–21</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2021–22</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2022–23</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2023–24</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2024–25</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2025–26</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2026–27</w:t>
            </w:r>
          </w:p>
        </w:tc>
        <w:tc>
          <w:tcPr>
            <w:tcW w:w="315"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2026–27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Administered</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5"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29.5</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Departmental</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0.6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1.8</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3.6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12.6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5"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103.7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E9ECF3"/>
            <w:vAlign w:val="center"/>
          </w:tcPr>
          <w:p w:rsidR="00341BA2" w:rsidRPr="00147194" w:rsidRDefault="00341BA2" w:rsidP="002F6310">
            <w:pPr>
              <w:keepNext/>
              <w:keepLines/>
              <w:spacing w:before="70" w:after="70" w:line="260" w:lineRule="atLeast"/>
              <w:ind w:left="57" w:right="57"/>
              <w:rPr>
                <w:rFonts w:ascii="Calibri" w:hAnsi="Calibri" w:cs="Times New Roman"/>
                <w:sz w:val="20"/>
              </w:rPr>
            </w:pPr>
            <w:r w:rsidRPr="00147194">
              <w:rPr>
                <w:rFonts w:ascii="Calibri" w:hAnsi="Calibri" w:cs="Times New Roman"/>
                <w:sz w:val="20"/>
              </w:rPr>
              <w:t>Total expenditure</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0.6</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1.2</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1.8</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3.6</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16.8</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18.8</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18.8</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18.8</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18.8</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18.8</w:t>
            </w:r>
          </w:p>
        </w:tc>
        <w:tc>
          <w:tcPr>
            <w:tcW w:w="317"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18.8</w:t>
            </w:r>
          </w:p>
        </w:tc>
        <w:tc>
          <w:tcPr>
            <w:tcW w:w="315" w:type="pct"/>
            <w:shd w:val="clear" w:color="auto" w:fill="E9ECF3"/>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133.2</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Revenue</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4B644F">
              <w:rPr>
                <w:rFonts w:ascii="Calibri" w:hAnsi="Calibri"/>
                <w:b/>
                <w:bCs/>
                <w:color w:val="000000"/>
                <w:sz w:val="20"/>
                <w:szCs w:val="20"/>
              </w:rPr>
              <w:t xml:space="preserve"> -</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-16.3</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-15.9</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-15.9</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-15.9</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-15.9</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-15.9</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-15.9</w:t>
            </w:r>
          </w:p>
        </w:tc>
        <w:tc>
          <w:tcPr>
            <w:tcW w:w="315"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4B644F">
              <w:rPr>
                <w:rFonts w:ascii="Calibri" w:hAnsi="Calibri"/>
                <w:b/>
                <w:bCs/>
                <w:color w:val="000000"/>
                <w:sz w:val="20"/>
                <w:szCs w:val="20"/>
              </w:rPr>
              <w:t>-111.5</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PDI</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0.1</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4B644F">
              <w:rPr>
                <w:rFonts w:ascii="Calibri" w:hAnsi="Calibri"/>
                <w:b/>
                <w:bCs/>
                <w:color w:val="000000"/>
                <w:sz w:val="20"/>
                <w:szCs w:val="20"/>
              </w:rPr>
              <w:t xml:space="preserve"> 0.1</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0.1</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0.2</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0.4</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0.6</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0.8</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1.1</w:t>
            </w:r>
          </w:p>
        </w:tc>
        <w:tc>
          <w:tcPr>
            <w:tcW w:w="317"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4B644F">
              <w:rPr>
                <w:rFonts w:ascii="Calibri" w:hAnsi="Calibri"/>
                <w:color w:val="000000"/>
                <w:sz w:val="20"/>
                <w:szCs w:val="20"/>
              </w:rPr>
              <w:t xml:space="preserve"> 1.4</w:t>
            </w:r>
          </w:p>
        </w:tc>
        <w:tc>
          <w:tcPr>
            <w:tcW w:w="315" w:type="pct"/>
            <w:shd w:val="clear" w:color="auto" w:fill="auto"/>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4B644F">
              <w:rPr>
                <w:rFonts w:ascii="Calibri" w:hAnsi="Calibri"/>
                <w:b/>
                <w:bCs/>
                <w:color w:val="000000"/>
                <w:sz w:val="20"/>
                <w:szCs w:val="20"/>
              </w:rPr>
              <w:t xml:space="preserve"> 4.7</w:t>
            </w:r>
          </w:p>
        </w:tc>
      </w:tr>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sz w:val="20"/>
              </w:rPr>
            </w:pPr>
            <w:r w:rsidRPr="00147194">
              <w:rPr>
                <w:rFonts w:ascii="Calibri" w:hAnsi="Calibri" w:cs="Times New Roman"/>
                <w:sz w:val="20"/>
              </w:rPr>
              <w:t>Total</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0.6</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1.2</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1.9</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3.7</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0.6</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3.1</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3.3</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3.5</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3.7</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4.0</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4.3</w:t>
            </w:r>
          </w:p>
        </w:tc>
        <w:tc>
          <w:tcPr>
            <w:tcW w:w="315"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26.3</w:t>
            </w:r>
          </w:p>
        </w:tc>
      </w:tr>
    </w:tbl>
    <w:p w:rsidR="00341BA2" w:rsidRPr="00B346C8" w:rsidRDefault="00341BA2" w:rsidP="00341BA2">
      <w:pPr>
        <w:pStyle w:val="TableFootnotes"/>
        <w:keepNext/>
        <w:numPr>
          <w:ilvl w:val="0"/>
          <w:numId w:val="20"/>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147194" w:rsidRDefault="00341BA2" w:rsidP="00341BA2">
      <w:pPr>
        <w:pStyle w:val="TableFootnotes"/>
        <w:keepNext/>
        <w:numPr>
          <w:ilvl w:val="0"/>
          <w:numId w:val="11"/>
        </w:numPr>
        <w:ind w:left="284" w:hanging="284"/>
      </w:pPr>
      <w:r w:rsidRPr="00147194">
        <w:t>Figures may not sum to totals due to rounding.</w:t>
      </w:r>
    </w:p>
    <w:p w:rsidR="00341BA2" w:rsidRPr="00147194" w:rsidRDefault="00341BA2" w:rsidP="002F6310">
      <w:pPr>
        <w:pStyle w:val="TableFootnotes"/>
        <w:numPr>
          <w:ilvl w:val="0"/>
          <w:numId w:val="0"/>
        </w:numPr>
      </w:pPr>
      <w:r w:rsidRPr="00147194">
        <w:t>..    Not zero but rounded to zero.</w:t>
      </w:r>
    </w:p>
    <w:p w:rsidR="00341BA2" w:rsidRPr="00147194" w:rsidRDefault="00341BA2" w:rsidP="002F6310">
      <w:pPr>
        <w:pStyle w:val="TableFootnotes"/>
        <w:numPr>
          <w:ilvl w:val="0"/>
          <w:numId w:val="31"/>
        </w:numPr>
        <w:ind w:left="284" w:hanging="284"/>
      </w:pPr>
      <w:r w:rsidRPr="00147194">
        <w:t>Indicates nil.</w:t>
      </w:r>
    </w:p>
    <w:p w:rsidR="00341BA2" w:rsidRPr="00147194" w:rsidRDefault="00341BA2" w:rsidP="00341BA2">
      <w:pPr>
        <w:pStyle w:val="Caption"/>
        <w:keepLines/>
        <w:rPr>
          <w:vertAlign w:val="superscript"/>
        </w:rPr>
      </w:pPr>
      <w:r w:rsidRPr="00147194">
        <w:lastRenderedPageBreak/>
        <w:t xml:space="preserve">Table </w:t>
      </w:r>
      <w:r>
        <w:t>C</w:t>
      </w:r>
      <w:r w:rsidRPr="00147194">
        <w:t xml:space="preserve">2: </w:t>
      </w:r>
      <w:r>
        <w:t>Abolition of the RET</w:t>
      </w:r>
      <w:r w:rsidR="00FF1ABD">
        <w:t>—</w:t>
      </w:r>
      <w:r>
        <w:t xml:space="preserve">Underlying cash </w:t>
      </w:r>
      <w:proofErr w:type="gramStart"/>
      <w:r>
        <w:t>balance</w:t>
      </w:r>
      <w:r w:rsidRPr="00147194">
        <w:rPr>
          <w:vertAlign w:val="superscript"/>
        </w:rPr>
        <w:t>(</w:t>
      </w:r>
      <w:proofErr w:type="gramEnd"/>
      <w:r w:rsidRPr="00147194">
        <w:rPr>
          <w:vertAlign w:val="superscript"/>
        </w:rPr>
        <w:t>a)(b)</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2020–21</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2021–22</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2022–23</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2023–24</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2024–25</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2025–26</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2026–27</w:t>
            </w:r>
          </w:p>
        </w:tc>
        <w:tc>
          <w:tcPr>
            <w:tcW w:w="315"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2026–27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Administered</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4.2</w:t>
            </w:r>
          </w:p>
        </w:tc>
        <w:tc>
          <w:tcPr>
            <w:tcW w:w="315"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29.5</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Departmental</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0.6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1.2</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1.8</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3.6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12.6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7"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4B644F">
              <w:rPr>
                <w:rFonts w:ascii="Calibri" w:hAnsi="Calibri"/>
                <w:i/>
                <w:color w:val="000000"/>
                <w:sz w:val="20"/>
                <w:szCs w:val="20"/>
              </w:rPr>
              <w:t xml:space="preserve"> 14.6</w:t>
            </w:r>
          </w:p>
        </w:tc>
        <w:tc>
          <w:tcPr>
            <w:tcW w:w="315" w:type="pct"/>
            <w:vAlign w:val="center"/>
          </w:tcPr>
          <w:p w:rsidR="00341BA2" w:rsidRPr="004B644F"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4B644F">
              <w:rPr>
                <w:rFonts w:ascii="Calibri" w:hAnsi="Calibri"/>
                <w:b/>
                <w:bCs/>
                <w:i/>
                <w:color w:val="000000"/>
                <w:sz w:val="20"/>
                <w:szCs w:val="20"/>
              </w:rPr>
              <w:t xml:space="preserve"> 103.7</w:t>
            </w:r>
          </w:p>
        </w:tc>
      </w:tr>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E9ECF3"/>
            <w:vAlign w:val="center"/>
          </w:tcPr>
          <w:p w:rsidR="00341BA2" w:rsidRPr="00147194" w:rsidRDefault="00341BA2" w:rsidP="00DD4B54">
            <w:pPr>
              <w:keepNext/>
              <w:keepLines/>
              <w:spacing w:before="70" w:after="70" w:line="260" w:lineRule="atLeast"/>
              <w:ind w:left="-57" w:right="-57"/>
              <w:rPr>
                <w:rFonts w:ascii="Calibri" w:hAnsi="Calibri" w:cs="Times New Roman"/>
                <w:sz w:val="20"/>
              </w:rPr>
            </w:pPr>
            <w:r w:rsidRPr="00147194">
              <w:rPr>
                <w:rFonts w:ascii="Calibri" w:hAnsi="Calibri" w:cs="Times New Roman"/>
                <w:sz w:val="20"/>
              </w:rPr>
              <w:t>Total expenditure</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0.6</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1.2</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3.6</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16.8</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18.8</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18.8</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18.8</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18.8</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18.8</w:t>
            </w:r>
          </w:p>
        </w:tc>
        <w:tc>
          <w:tcPr>
            <w:tcW w:w="317"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18.8</w:t>
            </w:r>
          </w:p>
        </w:tc>
        <w:tc>
          <w:tcPr>
            <w:tcW w:w="315" w:type="pct"/>
            <w:shd w:val="clear" w:color="auto" w:fill="E9ECF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133.2</w:t>
            </w:r>
          </w:p>
        </w:tc>
      </w:tr>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Revenue</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-16.3</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-15.9</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-15.9</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-15.9</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-15.9</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-15.9</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-15.9</w:t>
            </w:r>
          </w:p>
        </w:tc>
        <w:tc>
          <w:tcPr>
            <w:tcW w:w="315"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-111.5</w:t>
            </w:r>
          </w:p>
        </w:tc>
      </w:tr>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PDI</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0.1</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0.1</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0.1</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0.2</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0.4</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0.5</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0.8</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1.1</w:t>
            </w:r>
          </w:p>
        </w:tc>
        <w:tc>
          <w:tcPr>
            <w:tcW w:w="317"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47194">
              <w:rPr>
                <w:rFonts w:ascii="Calibri" w:hAnsi="Calibri"/>
                <w:color w:val="000000"/>
                <w:sz w:val="20"/>
                <w:szCs w:val="20"/>
              </w:rPr>
              <w:t xml:space="preserve"> 1.4</w:t>
            </w:r>
          </w:p>
        </w:tc>
        <w:tc>
          <w:tcPr>
            <w:tcW w:w="315" w:type="pct"/>
            <w:shd w:val="clear" w:color="auto" w:fill="auto"/>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4.6</w:t>
            </w:r>
          </w:p>
        </w:tc>
      </w:tr>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147194" w:rsidRDefault="00341BA2" w:rsidP="00DD4B54">
            <w:pPr>
              <w:keepNext/>
              <w:keepLines/>
              <w:spacing w:before="70" w:after="70" w:line="260" w:lineRule="atLeast"/>
              <w:ind w:left="-57" w:right="-57"/>
              <w:rPr>
                <w:rFonts w:ascii="Calibri" w:hAnsi="Calibri" w:cs="Times New Roman"/>
                <w:sz w:val="20"/>
              </w:rPr>
            </w:pPr>
            <w:r w:rsidRPr="00147194">
              <w:rPr>
                <w:rFonts w:ascii="Calibri" w:hAnsi="Calibri" w:cs="Times New Roman"/>
                <w:sz w:val="20"/>
              </w:rPr>
              <w:t>Total</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0.6</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1.2</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1.9</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3.7</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0.6</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3.1</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3.3</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3.5</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3.7</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4.0</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4.3</w:t>
            </w:r>
          </w:p>
        </w:tc>
        <w:tc>
          <w:tcPr>
            <w:tcW w:w="315"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26.3</w:t>
            </w:r>
          </w:p>
        </w:tc>
      </w:tr>
    </w:tbl>
    <w:p w:rsidR="00341BA2" w:rsidRPr="00B346C8" w:rsidRDefault="00341BA2" w:rsidP="00341BA2">
      <w:pPr>
        <w:pStyle w:val="TableFootnotes"/>
        <w:keepNext/>
        <w:numPr>
          <w:ilvl w:val="0"/>
          <w:numId w:val="21"/>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B346C8" w:rsidRDefault="00341BA2" w:rsidP="00341BA2">
      <w:pPr>
        <w:pStyle w:val="TableFootnotes"/>
        <w:keepNext/>
        <w:numPr>
          <w:ilvl w:val="0"/>
          <w:numId w:val="11"/>
        </w:numPr>
        <w:ind w:left="284" w:hanging="284"/>
      </w:pPr>
      <w:r w:rsidRPr="00B346C8">
        <w:t>Figures may not sum to totals due to rounding.</w:t>
      </w:r>
    </w:p>
    <w:p w:rsidR="00341BA2" w:rsidRPr="00147194" w:rsidRDefault="00341BA2" w:rsidP="00341BA2">
      <w:pPr>
        <w:pStyle w:val="TableFootnotes"/>
        <w:numPr>
          <w:ilvl w:val="0"/>
          <w:numId w:val="0"/>
        </w:numPr>
      </w:pPr>
      <w:r w:rsidRPr="00147194">
        <w:t>..    Not zero but rounded to zero.</w:t>
      </w:r>
    </w:p>
    <w:p w:rsidR="00341BA2" w:rsidRPr="00147194" w:rsidRDefault="00341BA2" w:rsidP="002F6310">
      <w:pPr>
        <w:pStyle w:val="TableFootnotes"/>
        <w:numPr>
          <w:ilvl w:val="0"/>
          <w:numId w:val="31"/>
        </w:numPr>
        <w:ind w:left="284" w:hanging="284"/>
      </w:pPr>
      <w:r w:rsidRPr="00147194">
        <w:t>Indicates nil.</w:t>
      </w:r>
    </w:p>
    <w:p w:rsidR="00341BA2" w:rsidRPr="00147194" w:rsidRDefault="00341BA2" w:rsidP="00341BA2">
      <w:pPr>
        <w:rPr>
          <w:rFonts w:cs="Times New Roman"/>
          <w:spacing w:val="-1"/>
        </w:rPr>
      </w:pPr>
      <w:r w:rsidRPr="00147194">
        <w:br w:type="page"/>
      </w:r>
    </w:p>
    <w:p w:rsidR="00341BA2" w:rsidRPr="00147194" w:rsidRDefault="00FF1ABD" w:rsidP="00341BA2">
      <w:pPr>
        <w:pStyle w:val="Heading8"/>
      </w:pPr>
      <w:r>
        <w:lastRenderedPageBreak/>
        <w:t xml:space="preserve">Attachment D </w:t>
      </w:r>
      <w:r w:rsidR="00341BA2" w:rsidRPr="00147194">
        <w:t>–</w:t>
      </w:r>
      <w:r w:rsidR="00341BA2">
        <w:t xml:space="preserve"> Abolition of the </w:t>
      </w:r>
      <w:r w:rsidR="00341BA2" w:rsidRPr="00147194">
        <w:t xml:space="preserve">Australian Renewable Energy Agency </w:t>
      </w:r>
      <w:r w:rsidR="00341BA2">
        <w:t xml:space="preserve">(ARENA) </w:t>
      </w:r>
    </w:p>
    <w:p w:rsidR="00341BA2" w:rsidRPr="00147194" w:rsidRDefault="00341BA2" w:rsidP="00341BA2">
      <w:pPr>
        <w:pStyle w:val="Caption"/>
        <w:keepLines/>
        <w:rPr>
          <w:vertAlign w:val="superscript"/>
        </w:rPr>
      </w:pPr>
      <w:r w:rsidRPr="00147194">
        <w:t xml:space="preserve">Table </w:t>
      </w:r>
      <w:r>
        <w:t>D</w:t>
      </w:r>
      <w:r w:rsidRPr="00147194">
        <w:t xml:space="preserve">1: </w:t>
      </w:r>
      <w:r>
        <w:t>Abolition of the ARENA</w:t>
      </w:r>
      <w:r w:rsidR="00FF1ABD">
        <w:t>—</w:t>
      </w:r>
      <w:r>
        <w:t xml:space="preserve">Fiscal </w:t>
      </w:r>
      <w:proofErr w:type="gramStart"/>
      <w:r>
        <w:t>balance</w:t>
      </w:r>
      <w:r w:rsidRPr="00147194">
        <w:rPr>
          <w:vertAlign w:val="superscript"/>
        </w:rPr>
        <w:t>(</w:t>
      </w:r>
      <w:proofErr w:type="gramEnd"/>
      <w:r w:rsidRPr="00147194">
        <w:rPr>
          <w:vertAlign w:val="superscript"/>
        </w:rPr>
        <w:t>a)(b)</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2020–21</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2021–22</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2022–23</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2023–24</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2024–25</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2025–26</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2026–27</w:t>
            </w:r>
          </w:p>
        </w:tc>
        <w:tc>
          <w:tcPr>
            <w:tcW w:w="315"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2026–27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Administered</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46.8</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47.5</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8.9</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103.2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8.1</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8.6</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5"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120.0</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Departmental</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6.8</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17.2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4.1</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4.0</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5"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25.3</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PDI</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0.7</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2.1</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3.2</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6.0</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4.2</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5.5</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6.7</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7.7</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8.9</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10.2</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11.7</w:t>
            </w:r>
          </w:p>
        </w:tc>
        <w:tc>
          <w:tcPr>
            <w:tcW w:w="315"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60.8</w:t>
            </w:r>
          </w:p>
        </w:tc>
      </w:tr>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sz w:val="20"/>
              </w:rPr>
            </w:pPr>
            <w:r w:rsidRPr="00147194">
              <w:rPr>
                <w:rFonts w:ascii="Calibri" w:hAnsi="Calibri" w:cs="Times New Roman"/>
                <w:sz w:val="20"/>
              </w:rPr>
              <w:t>Total</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54.3</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55.7</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16.3</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126.3</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16.5</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18.1</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6.7</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7.7</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8.9</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10.2</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11.7</w:t>
            </w:r>
          </w:p>
        </w:tc>
        <w:tc>
          <w:tcPr>
            <w:tcW w:w="315"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206.1</w:t>
            </w:r>
          </w:p>
        </w:tc>
      </w:tr>
    </w:tbl>
    <w:p w:rsidR="00341BA2" w:rsidRPr="00B346C8" w:rsidRDefault="00341BA2" w:rsidP="00341BA2">
      <w:pPr>
        <w:pStyle w:val="TableFootnotes"/>
        <w:keepNext/>
        <w:numPr>
          <w:ilvl w:val="0"/>
          <w:numId w:val="22"/>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147194" w:rsidRDefault="00341BA2" w:rsidP="00341BA2">
      <w:pPr>
        <w:keepNext/>
        <w:keepLines/>
        <w:numPr>
          <w:ilvl w:val="0"/>
          <w:numId w:val="7"/>
        </w:numPr>
        <w:spacing w:after="50" w:line="260" w:lineRule="atLeast"/>
        <w:ind w:left="284" w:hanging="284"/>
        <w:contextualSpacing/>
        <w:rPr>
          <w:sz w:val="20"/>
        </w:rPr>
      </w:pPr>
      <w:r w:rsidRPr="00147194">
        <w:rPr>
          <w:sz w:val="20"/>
        </w:rPr>
        <w:t>Figures may not sum to totals due to rounding.</w:t>
      </w:r>
    </w:p>
    <w:p w:rsidR="00341BA2" w:rsidRPr="00147194" w:rsidRDefault="00341BA2" w:rsidP="00341BA2">
      <w:pPr>
        <w:numPr>
          <w:ilvl w:val="0"/>
          <w:numId w:val="12"/>
        </w:numPr>
        <w:spacing w:after="50" w:line="260" w:lineRule="atLeast"/>
        <w:ind w:left="284" w:hanging="284"/>
        <w:contextualSpacing/>
        <w:rPr>
          <w:sz w:val="20"/>
        </w:rPr>
      </w:pPr>
      <w:r w:rsidRPr="00147194">
        <w:rPr>
          <w:sz w:val="20"/>
        </w:rPr>
        <w:t>Indicates nil.</w:t>
      </w:r>
    </w:p>
    <w:p w:rsidR="00341BA2" w:rsidRPr="00147194" w:rsidRDefault="00341BA2" w:rsidP="00341BA2">
      <w:pPr>
        <w:pStyle w:val="Caption"/>
        <w:keepLines/>
        <w:rPr>
          <w:vertAlign w:val="superscript"/>
        </w:rPr>
      </w:pPr>
      <w:r w:rsidRPr="00147194">
        <w:lastRenderedPageBreak/>
        <w:t xml:space="preserve">Table </w:t>
      </w:r>
      <w:r>
        <w:t>D</w:t>
      </w:r>
      <w:r w:rsidRPr="00147194">
        <w:t xml:space="preserve">2: </w:t>
      </w:r>
      <w:r>
        <w:t>Abolition of the ARENA</w:t>
      </w:r>
      <w:r w:rsidR="00FF1ABD">
        <w:t>—</w:t>
      </w:r>
      <w:r w:rsidRPr="00147194">
        <w:t>Underly</w:t>
      </w:r>
      <w:r>
        <w:t xml:space="preserve">ing and headline cash </w:t>
      </w:r>
      <w:proofErr w:type="gramStart"/>
      <w:r>
        <w:t>balances</w:t>
      </w:r>
      <w:r w:rsidRPr="00147194">
        <w:rPr>
          <w:vertAlign w:val="superscript"/>
        </w:rPr>
        <w:t>(</w:t>
      </w:r>
      <w:proofErr w:type="gramEnd"/>
      <w:r w:rsidRPr="00147194">
        <w:rPr>
          <w:vertAlign w:val="superscript"/>
        </w:rPr>
        <w:t>a)(b)</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2020–21</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2021–22</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2022–23</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2023–24</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2024–25</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2025–26</w:t>
            </w:r>
          </w:p>
        </w:tc>
        <w:tc>
          <w:tcPr>
            <w:tcW w:w="317"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2026–27</w:t>
            </w:r>
          </w:p>
        </w:tc>
        <w:tc>
          <w:tcPr>
            <w:tcW w:w="315" w:type="pct"/>
            <w:shd w:val="clear" w:color="auto" w:fill="D7DDE9"/>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2026–27</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Administered</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46.8</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47.5</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8.9</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103.2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8.1</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8.6</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5"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120.0</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Departmental</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6.8</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17.2</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4.1</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4.0</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5" w:type="pct"/>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25.3</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PDI</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0.6</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2.0</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3.1</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5.7</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4.2</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5.4</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6.6</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7.6</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8.8</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10.1</w:t>
            </w:r>
          </w:p>
        </w:tc>
        <w:tc>
          <w:tcPr>
            <w:tcW w:w="317"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11.6</w:t>
            </w:r>
          </w:p>
        </w:tc>
        <w:tc>
          <w:tcPr>
            <w:tcW w:w="315" w:type="pct"/>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60.0</w:t>
            </w:r>
          </w:p>
        </w:tc>
      </w:tr>
      <w:tr w:rsidR="00341BA2" w:rsidRPr="00147194" w:rsidTr="00DD4B54">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sz w:val="20"/>
              </w:rPr>
            </w:pPr>
            <w:r w:rsidRPr="00147194">
              <w:rPr>
                <w:rFonts w:ascii="Calibri" w:hAnsi="Calibri" w:cs="Times New Roman"/>
                <w:sz w:val="20"/>
              </w:rPr>
              <w:t>Total</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54.3</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55.6</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16.2</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126.1</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16.4</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18.0</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6.6</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7.6</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8.8</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10.1</w:t>
            </w:r>
          </w:p>
        </w:tc>
        <w:tc>
          <w:tcPr>
            <w:tcW w:w="317"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11.6</w:t>
            </w:r>
          </w:p>
        </w:tc>
        <w:tc>
          <w:tcPr>
            <w:tcW w:w="315" w:type="pct"/>
            <w:shd w:val="clear" w:color="auto" w:fill="D7DDE9" w:themeFill="accent3"/>
            <w:vAlign w:val="center"/>
          </w:tcPr>
          <w:p w:rsidR="00341BA2" w:rsidRPr="00147194"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sidRPr="00147194">
              <w:rPr>
                <w:rFonts w:ascii="Calibri" w:hAnsi="Calibri"/>
                <w:b/>
                <w:bCs/>
                <w:color w:val="000000"/>
                <w:sz w:val="20"/>
                <w:szCs w:val="20"/>
              </w:rPr>
              <w:t xml:space="preserve"> 205.3</w:t>
            </w:r>
          </w:p>
        </w:tc>
      </w:tr>
    </w:tbl>
    <w:p w:rsidR="00341BA2" w:rsidRPr="00B346C8" w:rsidRDefault="00341BA2" w:rsidP="00341BA2">
      <w:pPr>
        <w:pStyle w:val="TableFootnotes"/>
        <w:keepNext/>
        <w:numPr>
          <w:ilvl w:val="0"/>
          <w:numId w:val="23"/>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147194" w:rsidRDefault="00341BA2" w:rsidP="00341BA2">
      <w:pPr>
        <w:keepNext/>
        <w:keepLines/>
        <w:numPr>
          <w:ilvl w:val="0"/>
          <w:numId w:val="7"/>
        </w:numPr>
        <w:spacing w:after="50" w:line="260" w:lineRule="atLeast"/>
        <w:ind w:left="284" w:hanging="284"/>
        <w:contextualSpacing/>
        <w:rPr>
          <w:sz w:val="20"/>
        </w:rPr>
      </w:pPr>
      <w:r w:rsidRPr="00147194">
        <w:rPr>
          <w:sz w:val="20"/>
        </w:rPr>
        <w:t>Figures may not sum to totals due to rounding.</w:t>
      </w:r>
    </w:p>
    <w:p w:rsidR="00341BA2" w:rsidRPr="00147194" w:rsidRDefault="00341BA2" w:rsidP="00341BA2">
      <w:pPr>
        <w:numPr>
          <w:ilvl w:val="0"/>
          <w:numId w:val="12"/>
        </w:numPr>
        <w:spacing w:after="50" w:line="260" w:lineRule="atLeast"/>
        <w:ind w:left="284" w:hanging="284"/>
        <w:contextualSpacing/>
        <w:rPr>
          <w:sz w:val="20"/>
        </w:rPr>
      </w:pPr>
      <w:r w:rsidRPr="00147194">
        <w:rPr>
          <w:sz w:val="20"/>
        </w:rPr>
        <w:t>Indicates nil.</w:t>
      </w:r>
    </w:p>
    <w:p w:rsidR="00341BA2" w:rsidRDefault="00341BA2" w:rsidP="00341BA2">
      <w:pPr>
        <w:rPr>
          <w:rFonts w:asciiTheme="majorHAnsi" w:eastAsiaTheme="majorEastAsia" w:hAnsiTheme="majorHAnsi" w:cstheme="majorBidi"/>
          <w:color w:val="2B3B5F" w:themeColor="text2"/>
          <w:sz w:val="32"/>
        </w:rPr>
        <w:sectPr w:rsidR="00341BA2" w:rsidSect="00DD4B54">
          <w:pgSz w:w="16839" w:h="11907" w:orient="landscape" w:code="9"/>
          <w:pgMar w:top="1797" w:right="1361" w:bottom="1797" w:left="1474" w:header="283" w:footer="454" w:gutter="0"/>
          <w:cols w:space="708"/>
          <w:docGrid w:linePitch="360"/>
        </w:sectPr>
      </w:pPr>
    </w:p>
    <w:p w:rsidR="00341BA2" w:rsidRPr="00147194" w:rsidRDefault="00FF1ABD" w:rsidP="00341BA2">
      <w:pPr>
        <w:pStyle w:val="Heading8"/>
      </w:pPr>
      <w:r>
        <w:lastRenderedPageBreak/>
        <w:t>Atta</w:t>
      </w:r>
      <w:bookmarkStart w:id="0" w:name="_GoBack"/>
      <w:bookmarkEnd w:id="0"/>
      <w:r>
        <w:t xml:space="preserve">chment E </w:t>
      </w:r>
      <w:r w:rsidR="00341BA2" w:rsidRPr="00147194">
        <w:t>–</w:t>
      </w:r>
      <w:r w:rsidR="00341BA2">
        <w:t xml:space="preserve"> Abolition of the </w:t>
      </w:r>
      <w:r w:rsidR="00341BA2" w:rsidRPr="00147194">
        <w:t xml:space="preserve">Clean Energy Finance Corporation </w:t>
      </w:r>
      <w:r w:rsidR="00341BA2">
        <w:t xml:space="preserve">(CEFC) </w:t>
      </w:r>
    </w:p>
    <w:p w:rsidR="00341BA2" w:rsidRPr="00147194" w:rsidRDefault="00341BA2" w:rsidP="00341BA2">
      <w:pPr>
        <w:pStyle w:val="Caption"/>
        <w:keepLines/>
        <w:rPr>
          <w:vertAlign w:val="superscript"/>
        </w:rPr>
      </w:pPr>
      <w:r w:rsidRPr="00147194">
        <w:t xml:space="preserve">Table </w:t>
      </w:r>
      <w:r>
        <w:t>E</w:t>
      </w:r>
      <w:r w:rsidRPr="00147194">
        <w:t xml:space="preserve">1: </w:t>
      </w:r>
      <w:r>
        <w:t>Abolition of the CEFC</w:t>
      </w:r>
      <w:r w:rsidR="00FF1ABD">
        <w:t>—</w:t>
      </w:r>
      <w:r w:rsidRPr="00147194">
        <w:t xml:space="preserve">Fiscal </w:t>
      </w:r>
      <w:proofErr w:type="gramStart"/>
      <w:r w:rsidRPr="00147194">
        <w:t>balance</w:t>
      </w:r>
      <w:r w:rsidRPr="00147194">
        <w:rPr>
          <w:vertAlign w:val="superscript"/>
        </w:rPr>
        <w:t>(</w:t>
      </w:r>
      <w:proofErr w:type="gramEnd"/>
      <w:r w:rsidRPr="00147194">
        <w:rPr>
          <w:vertAlign w:val="superscript"/>
        </w:rPr>
        <w:t>a)(b)</w:t>
      </w:r>
    </w:p>
    <w:tbl>
      <w:tblPr>
        <w:tblStyle w:val="LightGrid-Accent61"/>
        <w:tblW w:w="4475" w:type="pct"/>
        <w:tblLook w:val="0680" w:firstRow="0" w:lastRow="0" w:firstColumn="1" w:lastColumn="0" w:noHBand="1" w:noVBand="1"/>
      </w:tblPr>
      <w:tblGrid>
        <w:gridCol w:w="3118"/>
        <w:gridCol w:w="972"/>
        <w:gridCol w:w="850"/>
        <w:gridCol w:w="851"/>
        <w:gridCol w:w="850"/>
        <w:gridCol w:w="992"/>
      </w:tblGrid>
      <w:tr w:rsidR="00341BA2" w:rsidRPr="00147194"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D7DDE9" w:themeFill="accent3"/>
            <w:vAlign w:val="center"/>
          </w:tcPr>
          <w:p w:rsidR="00341BA2" w:rsidRPr="00147194" w:rsidRDefault="00341BA2" w:rsidP="002F6310">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97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851"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99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vAlign w:val="center"/>
          </w:tcPr>
          <w:p w:rsidR="00341BA2" w:rsidRPr="003A0F74" w:rsidRDefault="00341BA2" w:rsidP="002F6310">
            <w:pPr>
              <w:pStyle w:val="TableText"/>
              <w:rPr>
                <w:b w:val="0"/>
              </w:rPr>
            </w:pPr>
            <w:r>
              <w:rPr>
                <w:b w:val="0"/>
              </w:rPr>
              <w:t>Own-source income</w:t>
            </w:r>
          </w:p>
        </w:tc>
        <w:tc>
          <w:tcPr>
            <w:tcW w:w="97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-16.2</w:t>
            </w:r>
          </w:p>
        </w:tc>
        <w:tc>
          <w:tcPr>
            <w:tcW w:w="851"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-42.1</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-76.6</w:t>
            </w:r>
          </w:p>
        </w:tc>
        <w:tc>
          <w:tcPr>
            <w:tcW w:w="99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-134.9</w:t>
            </w:r>
          </w:p>
        </w:tc>
      </w:tr>
      <w:tr w:rsidR="00341BA2" w:rsidRPr="003A0F74" w:rsidTr="002F6310">
        <w:tc>
          <w:tcPr>
            <w:cnfStyle w:val="001000000000" w:firstRow="0" w:lastRow="0" w:firstColumn="1" w:lastColumn="0" w:oddVBand="0" w:evenVBand="0" w:oddHBand="0" w:evenHBand="0" w:firstRowFirstColumn="0" w:firstRowLastColumn="0" w:lastRowFirstColumn="0" w:lastRowLastColumn="0"/>
            <w:tcW w:w="3118" w:type="dxa"/>
            <w:vAlign w:val="center"/>
          </w:tcPr>
          <w:p w:rsidR="00341BA2" w:rsidRPr="003A0F74" w:rsidRDefault="00341BA2" w:rsidP="002F6310">
            <w:pPr>
              <w:pStyle w:val="TableText"/>
              <w:rPr>
                <w:b w:val="0"/>
              </w:rPr>
            </w:pPr>
            <w:r>
              <w:rPr>
                <w:b w:val="0"/>
              </w:rPr>
              <w:t>Operational expenditure</w:t>
            </w:r>
          </w:p>
        </w:tc>
        <w:tc>
          <w:tcPr>
            <w:tcW w:w="97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1.0</w:t>
            </w:r>
          </w:p>
        </w:tc>
        <w:tc>
          <w:tcPr>
            <w:tcW w:w="851"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1.8</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2.3</w:t>
            </w:r>
          </w:p>
        </w:tc>
        <w:tc>
          <w:tcPr>
            <w:tcW w:w="99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5.2</w:t>
            </w:r>
          </w:p>
        </w:tc>
      </w:tr>
      <w:tr w:rsidR="00341BA2" w:rsidRPr="003A0F74" w:rsidTr="002F6310">
        <w:tc>
          <w:tcPr>
            <w:cnfStyle w:val="001000000000" w:firstRow="0" w:lastRow="0" w:firstColumn="1" w:lastColumn="0" w:oddVBand="0" w:evenVBand="0" w:oddHBand="0" w:evenHBand="0" w:firstRowFirstColumn="0" w:firstRowLastColumn="0" w:lastRowFirstColumn="0" w:lastRowLastColumn="0"/>
            <w:tcW w:w="3118" w:type="dxa"/>
            <w:vAlign w:val="center"/>
          </w:tcPr>
          <w:p w:rsidR="00341BA2" w:rsidRPr="003A0F74" w:rsidRDefault="00341BA2" w:rsidP="002F6310">
            <w:pPr>
              <w:pStyle w:val="TableText"/>
            </w:pPr>
            <w:r w:rsidRPr="003A0F74">
              <w:t>Net concessional loan effect</w:t>
            </w:r>
          </w:p>
        </w:tc>
        <w:tc>
          <w:tcPr>
            <w:tcW w:w="97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851"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850"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w:t>
            </w:r>
          </w:p>
        </w:tc>
        <w:tc>
          <w:tcPr>
            <w:tcW w:w="992" w:type="dxa"/>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341BA2" w:rsidRDefault="00341BA2" w:rsidP="002F6310">
            <w:pPr>
              <w:pStyle w:val="TableText"/>
              <w:rPr>
                <w:b w:val="0"/>
              </w:rPr>
            </w:pPr>
            <w:r>
              <w:rPr>
                <w:b w:val="0"/>
              </w:rPr>
              <w:t>Concessional loan discount expense</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20.4</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30.7</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33.3</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84.4</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341BA2" w:rsidRDefault="00341BA2" w:rsidP="002F6310">
            <w:pPr>
              <w:pStyle w:val="TableText"/>
              <w:rPr>
                <w:b w:val="0"/>
              </w:rPr>
            </w:pPr>
            <w:r>
              <w:rPr>
                <w:b w:val="0"/>
              </w:rPr>
              <w:t>Unwinding of concessional loan discount expense</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-2.9</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-7.2</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20"/>
                <w:szCs w:val="20"/>
              </w:rPr>
            </w:pPr>
            <w:r>
              <w:rPr>
                <w:rFonts w:ascii="Calibri" w:hAnsi="Calibri"/>
                <w:i/>
                <w:iCs/>
                <w:color w:val="000000"/>
                <w:sz w:val="20"/>
                <w:szCs w:val="20"/>
              </w:rPr>
              <w:t>-12.6</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-22.7</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E9ECF3"/>
            <w:vAlign w:val="center"/>
          </w:tcPr>
          <w:p w:rsidR="00341BA2" w:rsidRPr="003A0F74" w:rsidRDefault="00FF1ABD" w:rsidP="002F6310">
            <w:pPr>
              <w:pStyle w:val="TableText"/>
            </w:pPr>
            <w:r>
              <w:t xml:space="preserve">Total net </w:t>
            </w:r>
            <w:r w:rsidR="00341BA2">
              <w:t>concessional loan effect</w:t>
            </w:r>
          </w:p>
        </w:tc>
        <w:tc>
          <w:tcPr>
            <w:tcW w:w="97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17.5</w:t>
            </w:r>
          </w:p>
        </w:tc>
        <w:tc>
          <w:tcPr>
            <w:tcW w:w="851"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23.5</w:t>
            </w:r>
          </w:p>
        </w:tc>
        <w:tc>
          <w:tcPr>
            <w:tcW w:w="850"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20.8</w:t>
            </w:r>
          </w:p>
        </w:tc>
        <w:tc>
          <w:tcPr>
            <w:tcW w:w="992" w:type="dxa"/>
            <w:shd w:val="clear" w:color="auto" w:fill="E9ECF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61.7</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341BA2" w:rsidRDefault="00341BA2" w:rsidP="002F6310">
            <w:pPr>
              <w:pStyle w:val="TableText"/>
              <w:rPr>
                <w:b w:val="0"/>
              </w:rPr>
            </w:pPr>
            <w:r>
              <w:rPr>
                <w:b w:val="0"/>
              </w:rPr>
              <w:t>Other adjustments</w:t>
            </w:r>
            <w:r w:rsidRPr="003A0F74">
              <w:rPr>
                <w:b w:val="0"/>
                <w:vertAlign w:val="superscript"/>
              </w:rPr>
              <w:t>(c)</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1.8</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8.5</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16.6</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26.8</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341BA2" w:rsidRPr="008A0A9D" w:rsidRDefault="00341BA2" w:rsidP="002F6310">
            <w:pPr>
              <w:pStyle w:val="TableText"/>
              <w:rPr>
                <w:b w:val="0"/>
              </w:rPr>
            </w:pPr>
            <w:r>
              <w:rPr>
                <w:b w:val="0"/>
              </w:rPr>
              <w:t>PDI</w:t>
            </w:r>
          </w:p>
        </w:tc>
        <w:tc>
          <w:tcPr>
            <w:tcW w:w="97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5.7</w:t>
            </w:r>
          </w:p>
        </w:tc>
        <w:tc>
          <w:tcPr>
            <w:tcW w:w="851"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18.9</w:t>
            </w:r>
          </w:p>
        </w:tc>
        <w:tc>
          <w:tcPr>
            <w:tcW w:w="850"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36.4</w:t>
            </w:r>
          </w:p>
        </w:tc>
        <w:tc>
          <w:tcPr>
            <w:tcW w:w="992" w:type="dxa"/>
            <w:shd w:val="clear" w:color="auto" w:fill="auto"/>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61.0</w:t>
            </w:r>
          </w:p>
        </w:tc>
      </w:tr>
      <w:tr w:rsidR="00341BA2" w:rsidRPr="003A0F74"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D7DDE9" w:themeFill="accent3"/>
            <w:vAlign w:val="center"/>
          </w:tcPr>
          <w:p w:rsidR="00341BA2" w:rsidRPr="003A0F74" w:rsidRDefault="00341BA2" w:rsidP="002F6310">
            <w:pPr>
              <w:pStyle w:val="TableText"/>
            </w:pPr>
            <w:r w:rsidRPr="003A0F74">
              <w:rPr>
                <w:bCs w:val="0"/>
              </w:rPr>
              <w:t>Total</w:t>
            </w:r>
          </w:p>
        </w:tc>
        <w:tc>
          <w:tcPr>
            <w:tcW w:w="97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9.9</w:t>
            </w:r>
          </w:p>
        </w:tc>
        <w:tc>
          <w:tcPr>
            <w:tcW w:w="851"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10.5</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-0.6</w:t>
            </w:r>
          </w:p>
        </w:tc>
        <w:tc>
          <w:tcPr>
            <w:tcW w:w="99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19.9</w:t>
            </w:r>
          </w:p>
        </w:tc>
      </w:tr>
    </w:tbl>
    <w:p w:rsidR="00341BA2" w:rsidRPr="00B346C8" w:rsidRDefault="00341BA2" w:rsidP="00341BA2">
      <w:pPr>
        <w:pStyle w:val="TableFootnotes"/>
        <w:keepNext/>
        <w:numPr>
          <w:ilvl w:val="0"/>
          <w:numId w:val="24"/>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147194" w:rsidRDefault="00341BA2" w:rsidP="00341BA2">
      <w:pPr>
        <w:keepNext/>
        <w:keepLines/>
        <w:numPr>
          <w:ilvl w:val="0"/>
          <w:numId w:val="7"/>
        </w:numPr>
        <w:spacing w:after="50" w:line="260" w:lineRule="atLeast"/>
        <w:ind w:left="284" w:hanging="284"/>
        <w:contextualSpacing/>
        <w:rPr>
          <w:sz w:val="20"/>
        </w:rPr>
      </w:pPr>
      <w:r w:rsidRPr="00147194">
        <w:rPr>
          <w:sz w:val="20"/>
        </w:rPr>
        <w:t>Figures may not sum to totals due to rounding.</w:t>
      </w:r>
    </w:p>
    <w:p w:rsidR="00341BA2" w:rsidRPr="00147194" w:rsidRDefault="00341BA2" w:rsidP="00341BA2">
      <w:pPr>
        <w:keepNext/>
        <w:keepLines/>
        <w:numPr>
          <w:ilvl w:val="0"/>
          <w:numId w:val="7"/>
        </w:numPr>
        <w:spacing w:after="50" w:line="260" w:lineRule="atLeast"/>
        <w:ind w:left="284" w:hanging="284"/>
        <w:contextualSpacing/>
        <w:rPr>
          <w:sz w:val="20"/>
        </w:rPr>
      </w:pPr>
      <w:r w:rsidRPr="00147194">
        <w:rPr>
          <w:sz w:val="20"/>
        </w:rPr>
        <w:t>Other adjustments are changes in asset revaluations and, write-down and impairment of assets.</w:t>
      </w:r>
    </w:p>
    <w:p w:rsidR="00341BA2" w:rsidRPr="00147194" w:rsidRDefault="00341BA2" w:rsidP="00341BA2">
      <w:pPr>
        <w:numPr>
          <w:ilvl w:val="0"/>
          <w:numId w:val="12"/>
        </w:numPr>
        <w:spacing w:after="50" w:line="260" w:lineRule="atLeast"/>
        <w:ind w:left="284" w:hanging="284"/>
        <w:contextualSpacing/>
        <w:rPr>
          <w:sz w:val="20"/>
        </w:rPr>
      </w:pPr>
      <w:r w:rsidRPr="00147194">
        <w:rPr>
          <w:sz w:val="20"/>
        </w:rPr>
        <w:t>Indicates nil.</w:t>
      </w:r>
    </w:p>
    <w:p w:rsidR="00341BA2" w:rsidRPr="00147194" w:rsidRDefault="00341BA2" w:rsidP="00341BA2">
      <w:pPr>
        <w:pStyle w:val="Caption"/>
        <w:keepLines/>
        <w:rPr>
          <w:vertAlign w:val="superscript"/>
        </w:rPr>
      </w:pPr>
      <w:r w:rsidRPr="00147194">
        <w:t xml:space="preserve">Table </w:t>
      </w:r>
      <w:r>
        <w:t>E</w:t>
      </w:r>
      <w:r w:rsidRPr="00147194">
        <w:t xml:space="preserve">2: </w:t>
      </w:r>
      <w:r>
        <w:t>Abolition of the CEFC</w:t>
      </w:r>
      <w:r w:rsidR="00FF1ABD">
        <w:t>—</w:t>
      </w:r>
      <w:r>
        <w:t xml:space="preserve">Underlying cash </w:t>
      </w:r>
      <w:proofErr w:type="gramStart"/>
      <w:r>
        <w:t>balance</w:t>
      </w:r>
      <w:r w:rsidRPr="00147194">
        <w:rPr>
          <w:vertAlign w:val="superscript"/>
        </w:rPr>
        <w:t>(</w:t>
      </w:r>
      <w:proofErr w:type="gramEnd"/>
      <w:r w:rsidRPr="00147194">
        <w:rPr>
          <w:vertAlign w:val="superscript"/>
        </w:rPr>
        <w:t>a)(b)</w:t>
      </w:r>
    </w:p>
    <w:tbl>
      <w:tblPr>
        <w:tblStyle w:val="LightGrid-Accent61"/>
        <w:tblW w:w="4475" w:type="pct"/>
        <w:tblLook w:val="0680" w:firstRow="0" w:lastRow="0" w:firstColumn="1" w:lastColumn="0" w:noHBand="1" w:noVBand="1"/>
      </w:tblPr>
      <w:tblGrid>
        <w:gridCol w:w="3118"/>
        <w:gridCol w:w="972"/>
        <w:gridCol w:w="850"/>
        <w:gridCol w:w="851"/>
        <w:gridCol w:w="850"/>
        <w:gridCol w:w="992"/>
      </w:tblGrid>
      <w:tr w:rsidR="00341BA2" w:rsidRPr="00147194"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D7DDE9" w:themeFill="accent3"/>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97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851"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99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vAlign w:val="center"/>
          </w:tcPr>
          <w:p w:rsidR="00341BA2" w:rsidRPr="003A0F74" w:rsidRDefault="00341BA2" w:rsidP="00DD4B54">
            <w:pPr>
              <w:pStyle w:val="TableText"/>
              <w:ind w:left="34"/>
              <w:rPr>
                <w:b w:val="0"/>
              </w:rPr>
            </w:pPr>
            <w:r>
              <w:rPr>
                <w:b w:val="0"/>
              </w:rPr>
              <w:t>Own-source income</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-16.2</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-42.1</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-76.6</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-134.9</w:t>
            </w:r>
          </w:p>
        </w:tc>
      </w:tr>
      <w:tr w:rsidR="00341BA2" w:rsidRPr="003A0F74" w:rsidTr="002F6310">
        <w:tc>
          <w:tcPr>
            <w:cnfStyle w:val="001000000000" w:firstRow="0" w:lastRow="0" w:firstColumn="1" w:lastColumn="0" w:oddVBand="0" w:evenVBand="0" w:oddHBand="0" w:evenHBand="0" w:firstRowFirstColumn="0" w:firstRowLastColumn="0" w:lastRowFirstColumn="0" w:lastRowLastColumn="0"/>
            <w:tcW w:w="3118" w:type="dxa"/>
            <w:vAlign w:val="center"/>
          </w:tcPr>
          <w:p w:rsidR="00341BA2" w:rsidRPr="003A0F74" w:rsidRDefault="00341BA2" w:rsidP="00DD4B54">
            <w:pPr>
              <w:pStyle w:val="TableText"/>
              <w:ind w:left="34"/>
              <w:rPr>
                <w:b w:val="0"/>
              </w:rPr>
            </w:pPr>
            <w:r>
              <w:rPr>
                <w:b w:val="0"/>
              </w:rPr>
              <w:t>Operational expenditure</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1.0</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1.8</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2.3</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5.2</w:t>
            </w:r>
          </w:p>
        </w:tc>
      </w:tr>
      <w:tr w:rsidR="00341BA2" w:rsidRPr="004B644F"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341BA2" w:rsidRPr="008A0A9D" w:rsidRDefault="00341BA2" w:rsidP="00DD4B54">
            <w:pPr>
              <w:pStyle w:val="TableText"/>
              <w:ind w:left="34"/>
              <w:rPr>
                <w:b w:val="0"/>
              </w:rPr>
            </w:pPr>
            <w:r>
              <w:rPr>
                <w:b w:val="0"/>
              </w:rPr>
              <w:t>PDI</w:t>
            </w:r>
          </w:p>
        </w:tc>
        <w:tc>
          <w:tcPr>
            <w:tcW w:w="972"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5.3</w:t>
            </w:r>
          </w:p>
        </w:tc>
        <w:tc>
          <w:tcPr>
            <w:tcW w:w="851"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18.0</w:t>
            </w:r>
          </w:p>
        </w:tc>
        <w:tc>
          <w:tcPr>
            <w:tcW w:w="850"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35.2</w:t>
            </w:r>
          </w:p>
        </w:tc>
        <w:tc>
          <w:tcPr>
            <w:tcW w:w="992"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58.5</w:t>
            </w:r>
          </w:p>
        </w:tc>
      </w:tr>
      <w:tr w:rsidR="00341BA2" w:rsidRPr="003A0F74" w:rsidTr="002F6310">
        <w:tc>
          <w:tcPr>
            <w:cnfStyle w:val="001000000000" w:firstRow="0" w:lastRow="0" w:firstColumn="1" w:lastColumn="0" w:oddVBand="0" w:evenVBand="0" w:oddHBand="0" w:evenHBand="0" w:firstRowFirstColumn="0" w:firstRowLastColumn="0" w:lastRowFirstColumn="0" w:lastRowLastColumn="0"/>
            <w:tcW w:w="3118" w:type="dxa"/>
            <w:shd w:val="clear" w:color="auto" w:fill="D7DDE9" w:themeFill="accent3"/>
            <w:vAlign w:val="center"/>
          </w:tcPr>
          <w:p w:rsidR="00341BA2" w:rsidRPr="003A0F74" w:rsidRDefault="00341BA2" w:rsidP="00DD4B54">
            <w:pPr>
              <w:pStyle w:val="TableText"/>
              <w:ind w:left="34"/>
            </w:pPr>
            <w:r w:rsidRPr="003A0F74">
              <w:rPr>
                <w:bCs w:val="0"/>
              </w:rPr>
              <w:t>Total</w:t>
            </w:r>
          </w:p>
        </w:tc>
        <w:tc>
          <w:tcPr>
            <w:tcW w:w="97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-9.8</w:t>
            </w:r>
          </w:p>
        </w:tc>
        <w:tc>
          <w:tcPr>
            <w:tcW w:w="851"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-22.3</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-39.1</w:t>
            </w:r>
          </w:p>
        </w:tc>
        <w:tc>
          <w:tcPr>
            <w:tcW w:w="99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-71.2</w:t>
            </w:r>
          </w:p>
        </w:tc>
      </w:tr>
    </w:tbl>
    <w:p w:rsidR="00341BA2" w:rsidRPr="00B346C8" w:rsidRDefault="00341BA2" w:rsidP="00341BA2">
      <w:pPr>
        <w:pStyle w:val="TableFootnotes"/>
        <w:keepNext/>
        <w:numPr>
          <w:ilvl w:val="0"/>
          <w:numId w:val="25"/>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147194" w:rsidRDefault="00341BA2" w:rsidP="00341BA2">
      <w:pPr>
        <w:keepNext/>
        <w:keepLines/>
        <w:numPr>
          <w:ilvl w:val="0"/>
          <w:numId w:val="7"/>
        </w:numPr>
        <w:spacing w:after="50" w:line="260" w:lineRule="atLeast"/>
        <w:ind w:left="284" w:hanging="284"/>
        <w:contextualSpacing/>
        <w:rPr>
          <w:sz w:val="20"/>
        </w:rPr>
      </w:pPr>
      <w:r w:rsidRPr="00147194">
        <w:rPr>
          <w:sz w:val="20"/>
        </w:rPr>
        <w:t>Figures may not sum to totals due to rounding.</w:t>
      </w:r>
    </w:p>
    <w:p w:rsidR="00341BA2" w:rsidRPr="00CD3055" w:rsidRDefault="00341BA2" w:rsidP="00341BA2">
      <w:pPr>
        <w:numPr>
          <w:ilvl w:val="0"/>
          <w:numId w:val="12"/>
        </w:numPr>
        <w:spacing w:after="50" w:line="260" w:lineRule="atLeast"/>
        <w:ind w:left="284" w:hanging="284"/>
        <w:contextualSpacing/>
        <w:rPr>
          <w:sz w:val="20"/>
        </w:rPr>
      </w:pPr>
      <w:r w:rsidRPr="00147194">
        <w:rPr>
          <w:sz w:val="20"/>
        </w:rPr>
        <w:t>Indicates nil.</w:t>
      </w:r>
    </w:p>
    <w:p w:rsidR="00341BA2" w:rsidRPr="00147194" w:rsidRDefault="00341BA2" w:rsidP="00341BA2">
      <w:pPr>
        <w:pStyle w:val="Caption"/>
        <w:keepLines/>
        <w:rPr>
          <w:vertAlign w:val="superscript"/>
        </w:rPr>
      </w:pPr>
      <w:r w:rsidRPr="00147194">
        <w:lastRenderedPageBreak/>
        <w:t xml:space="preserve">Table </w:t>
      </w:r>
      <w:r>
        <w:t>E</w:t>
      </w:r>
      <w:r w:rsidRPr="00147194">
        <w:t xml:space="preserve">3: </w:t>
      </w:r>
      <w:r>
        <w:t>Abolition of the CEFC</w:t>
      </w:r>
      <w:r w:rsidR="00FF1ABD">
        <w:t>—</w:t>
      </w:r>
      <w:r>
        <w:t xml:space="preserve">Headline cash </w:t>
      </w:r>
      <w:proofErr w:type="gramStart"/>
      <w:r>
        <w:t>balance</w:t>
      </w:r>
      <w:r w:rsidRPr="00147194">
        <w:rPr>
          <w:vertAlign w:val="superscript"/>
        </w:rPr>
        <w:t>(</w:t>
      </w:r>
      <w:proofErr w:type="gramEnd"/>
      <w:r w:rsidRPr="00147194">
        <w:rPr>
          <w:vertAlign w:val="superscript"/>
        </w:rPr>
        <w:t>a)(b)</w:t>
      </w:r>
    </w:p>
    <w:tbl>
      <w:tblPr>
        <w:tblStyle w:val="LightGrid-Accent61"/>
        <w:tblW w:w="4371" w:type="pct"/>
        <w:tblLook w:val="0680" w:firstRow="0" w:lastRow="0" w:firstColumn="1" w:lastColumn="0" w:noHBand="1" w:noVBand="1"/>
      </w:tblPr>
      <w:tblGrid>
        <w:gridCol w:w="2941"/>
        <w:gridCol w:w="972"/>
        <w:gridCol w:w="850"/>
        <w:gridCol w:w="851"/>
        <w:gridCol w:w="850"/>
        <w:gridCol w:w="992"/>
      </w:tblGrid>
      <w:tr w:rsidR="00341BA2" w:rsidRPr="00147194" w:rsidTr="00DD4B54">
        <w:tc>
          <w:tcPr>
            <w:cnfStyle w:val="001000000000" w:firstRow="0" w:lastRow="0" w:firstColumn="1" w:lastColumn="0" w:oddVBand="0" w:evenVBand="0" w:oddHBand="0" w:evenHBand="0" w:firstRowFirstColumn="0" w:firstRowLastColumn="0" w:lastRowFirstColumn="0" w:lastRowLastColumn="0"/>
            <w:tcW w:w="2941" w:type="dxa"/>
            <w:shd w:val="clear" w:color="auto" w:fill="D7DDE9" w:themeFill="accent3"/>
            <w:vAlign w:val="center"/>
          </w:tcPr>
          <w:p w:rsidR="00341BA2" w:rsidRPr="00147194" w:rsidRDefault="00341BA2" w:rsidP="00DD4B54">
            <w:pPr>
              <w:keepNext/>
              <w:keepLines/>
              <w:spacing w:before="70" w:after="70" w:line="260" w:lineRule="atLeast"/>
              <w:ind w:left="-57" w:right="-57"/>
              <w:rPr>
                <w:rFonts w:ascii="Calibri" w:hAnsi="Calibri" w:cs="Times New Roman"/>
                <w:b w:val="0"/>
                <w:sz w:val="20"/>
              </w:rPr>
            </w:pPr>
            <w:r w:rsidRPr="00147194">
              <w:rPr>
                <w:rFonts w:ascii="Calibri" w:hAnsi="Calibri" w:cs="Times New Roman"/>
                <w:b w:val="0"/>
                <w:sz w:val="20"/>
              </w:rPr>
              <w:t>($m)</w:t>
            </w:r>
          </w:p>
        </w:tc>
        <w:tc>
          <w:tcPr>
            <w:tcW w:w="97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2016–17</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2017–18</w:t>
            </w:r>
          </w:p>
        </w:tc>
        <w:tc>
          <w:tcPr>
            <w:tcW w:w="851"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2018–19</w:t>
            </w:r>
          </w:p>
        </w:tc>
        <w:tc>
          <w:tcPr>
            <w:tcW w:w="850"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147194">
              <w:rPr>
                <w:rFonts w:ascii="Calibri" w:hAnsi="Calibri" w:cs="Times New Roman"/>
                <w:sz w:val="20"/>
              </w:rPr>
              <w:t>2019–20</w:t>
            </w:r>
          </w:p>
        </w:tc>
        <w:tc>
          <w:tcPr>
            <w:tcW w:w="992" w:type="dxa"/>
            <w:shd w:val="clear" w:color="auto" w:fill="D7DDE9" w:themeFill="accent3"/>
            <w:vAlign w:val="center"/>
          </w:tcPr>
          <w:p w:rsidR="00341BA2" w:rsidRPr="00147194" w:rsidRDefault="00341BA2" w:rsidP="00DD4B54">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147194">
              <w:rPr>
                <w:rFonts w:ascii="Calibri" w:hAnsi="Calibri" w:cs="Times New Roman"/>
                <w:b/>
                <w:sz w:val="20"/>
              </w:rPr>
              <w:t>Total to 2019–20</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941" w:type="dxa"/>
            <w:vAlign w:val="center"/>
          </w:tcPr>
          <w:p w:rsidR="00341BA2" w:rsidRPr="003A0F74" w:rsidRDefault="00341BA2" w:rsidP="00DD4B54">
            <w:pPr>
              <w:pStyle w:val="TableText"/>
              <w:ind w:left="34"/>
              <w:rPr>
                <w:b w:val="0"/>
              </w:rPr>
            </w:pPr>
            <w:r>
              <w:rPr>
                <w:b w:val="0"/>
              </w:rPr>
              <w:t>Own-source income</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-16.2</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-42.1</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-76.6</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-134.9</w:t>
            </w: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941" w:type="dxa"/>
            <w:vAlign w:val="center"/>
          </w:tcPr>
          <w:p w:rsidR="00341BA2" w:rsidRPr="003A0F74" w:rsidRDefault="00341BA2" w:rsidP="00DD4B54">
            <w:pPr>
              <w:pStyle w:val="TableText"/>
              <w:ind w:left="34"/>
              <w:rPr>
                <w:b w:val="0"/>
              </w:rPr>
            </w:pPr>
            <w:r>
              <w:rPr>
                <w:b w:val="0"/>
              </w:rPr>
              <w:t>Operational expenditure</w:t>
            </w:r>
          </w:p>
        </w:tc>
        <w:tc>
          <w:tcPr>
            <w:tcW w:w="97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1.0</w:t>
            </w:r>
          </w:p>
        </w:tc>
        <w:tc>
          <w:tcPr>
            <w:tcW w:w="851"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1.8</w:t>
            </w:r>
          </w:p>
        </w:tc>
        <w:tc>
          <w:tcPr>
            <w:tcW w:w="850"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2.3</w:t>
            </w:r>
          </w:p>
        </w:tc>
        <w:tc>
          <w:tcPr>
            <w:tcW w:w="992" w:type="dxa"/>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5.2</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941" w:type="dxa"/>
            <w:shd w:val="clear" w:color="auto" w:fill="auto"/>
            <w:vAlign w:val="center"/>
          </w:tcPr>
          <w:p w:rsidR="00341BA2" w:rsidRDefault="00341BA2" w:rsidP="00DD4B54">
            <w:pPr>
              <w:pStyle w:val="TableText"/>
              <w:ind w:left="34"/>
              <w:rPr>
                <w:b w:val="0"/>
              </w:rPr>
            </w:pPr>
            <w:r>
              <w:rPr>
                <w:b w:val="0"/>
              </w:rPr>
              <w:t>Investments</w:t>
            </w:r>
          </w:p>
        </w:tc>
        <w:tc>
          <w:tcPr>
            <w:tcW w:w="972"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460.0</w:t>
            </w:r>
          </w:p>
        </w:tc>
        <w:tc>
          <w:tcPr>
            <w:tcW w:w="851"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625.0</w:t>
            </w:r>
          </w:p>
        </w:tc>
        <w:tc>
          <w:tcPr>
            <w:tcW w:w="850"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620.0</w:t>
            </w:r>
          </w:p>
        </w:tc>
        <w:tc>
          <w:tcPr>
            <w:tcW w:w="992"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1,705.0</w:t>
            </w:r>
          </w:p>
        </w:tc>
      </w:tr>
      <w:tr w:rsidR="00341BA2" w:rsidRPr="004B644F" w:rsidTr="00DD4B54">
        <w:tc>
          <w:tcPr>
            <w:cnfStyle w:val="001000000000" w:firstRow="0" w:lastRow="0" w:firstColumn="1" w:lastColumn="0" w:oddVBand="0" w:evenVBand="0" w:oddHBand="0" w:evenHBand="0" w:firstRowFirstColumn="0" w:firstRowLastColumn="0" w:lastRowFirstColumn="0" w:lastRowLastColumn="0"/>
            <w:tcW w:w="2941" w:type="dxa"/>
            <w:shd w:val="clear" w:color="auto" w:fill="auto"/>
            <w:vAlign w:val="center"/>
          </w:tcPr>
          <w:p w:rsidR="00341BA2" w:rsidRPr="008A0A9D" w:rsidRDefault="00341BA2" w:rsidP="00DD4B54">
            <w:pPr>
              <w:pStyle w:val="TableText"/>
              <w:ind w:left="34"/>
              <w:rPr>
                <w:b w:val="0"/>
              </w:rPr>
            </w:pPr>
            <w:r>
              <w:rPr>
                <w:b w:val="0"/>
              </w:rPr>
              <w:t>PDI</w:t>
            </w:r>
          </w:p>
        </w:tc>
        <w:tc>
          <w:tcPr>
            <w:tcW w:w="972"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w:t>
            </w:r>
          </w:p>
        </w:tc>
        <w:tc>
          <w:tcPr>
            <w:tcW w:w="850"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5.3</w:t>
            </w:r>
          </w:p>
        </w:tc>
        <w:tc>
          <w:tcPr>
            <w:tcW w:w="851"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18.0</w:t>
            </w:r>
          </w:p>
        </w:tc>
        <w:tc>
          <w:tcPr>
            <w:tcW w:w="850"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20"/>
                <w:szCs w:val="20"/>
              </w:rPr>
            </w:pPr>
            <w:r w:rsidRPr="002F6310">
              <w:rPr>
                <w:rFonts w:ascii="Calibri" w:hAnsi="Calibri"/>
                <w:i/>
                <w:color w:val="000000"/>
                <w:sz w:val="20"/>
                <w:szCs w:val="20"/>
              </w:rPr>
              <w:t xml:space="preserve"> 35.2</w:t>
            </w:r>
          </w:p>
        </w:tc>
        <w:tc>
          <w:tcPr>
            <w:tcW w:w="992" w:type="dxa"/>
            <w:shd w:val="clear" w:color="auto" w:fill="auto"/>
            <w:vAlign w:val="center"/>
          </w:tcPr>
          <w:p w:rsidR="00341BA2" w:rsidRPr="002F6310"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i/>
                <w:color w:val="000000"/>
                <w:sz w:val="20"/>
                <w:szCs w:val="20"/>
              </w:rPr>
            </w:pPr>
            <w:r w:rsidRPr="002F6310">
              <w:rPr>
                <w:rFonts w:ascii="Calibri" w:hAnsi="Calibri"/>
                <w:b/>
                <w:bCs/>
                <w:i/>
                <w:color w:val="000000"/>
                <w:sz w:val="20"/>
                <w:szCs w:val="20"/>
              </w:rPr>
              <w:t xml:space="preserve"> 58.5</w:t>
            </w:r>
          </w:p>
        </w:tc>
      </w:tr>
      <w:tr w:rsidR="00341BA2" w:rsidRPr="003A0F74" w:rsidTr="00DD4B54">
        <w:tc>
          <w:tcPr>
            <w:cnfStyle w:val="001000000000" w:firstRow="0" w:lastRow="0" w:firstColumn="1" w:lastColumn="0" w:oddVBand="0" w:evenVBand="0" w:oddHBand="0" w:evenHBand="0" w:firstRowFirstColumn="0" w:firstRowLastColumn="0" w:lastRowFirstColumn="0" w:lastRowLastColumn="0"/>
            <w:tcW w:w="2941" w:type="dxa"/>
            <w:shd w:val="clear" w:color="auto" w:fill="D7DDE9" w:themeFill="accent3"/>
            <w:vAlign w:val="center"/>
          </w:tcPr>
          <w:p w:rsidR="00341BA2" w:rsidRPr="003A0F74" w:rsidRDefault="00341BA2" w:rsidP="00DD4B54">
            <w:pPr>
              <w:pStyle w:val="TableText"/>
              <w:ind w:left="34"/>
            </w:pPr>
            <w:r w:rsidRPr="003A0F74">
              <w:rPr>
                <w:bCs w:val="0"/>
              </w:rPr>
              <w:t>Total</w:t>
            </w:r>
          </w:p>
        </w:tc>
        <w:tc>
          <w:tcPr>
            <w:tcW w:w="97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450.2</w:t>
            </w:r>
          </w:p>
        </w:tc>
        <w:tc>
          <w:tcPr>
            <w:tcW w:w="851"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602.7</w:t>
            </w:r>
          </w:p>
        </w:tc>
        <w:tc>
          <w:tcPr>
            <w:tcW w:w="850"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580.9</w:t>
            </w:r>
          </w:p>
        </w:tc>
        <w:tc>
          <w:tcPr>
            <w:tcW w:w="992" w:type="dxa"/>
            <w:shd w:val="clear" w:color="auto" w:fill="D7DDE9" w:themeFill="accent3"/>
            <w:vAlign w:val="center"/>
          </w:tcPr>
          <w:p w:rsidR="00341BA2" w:rsidRDefault="00341BA2" w:rsidP="00DD4B54">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 xml:space="preserve"> 1,633.8</w:t>
            </w:r>
          </w:p>
        </w:tc>
      </w:tr>
    </w:tbl>
    <w:p w:rsidR="00341BA2" w:rsidRPr="00B346C8" w:rsidRDefault="00341BA2" w:rsidP="00341BA2">
      <w:pPr>
        <w:pStyle w:val="TableFootnotes"/>
        <w:keepNext/>
        <w:numPr>
          <w:ilvl w:val="0"/>
          <w:numId w:val="26"/>
        </w:numPr>
        <w:ind w:left="284" w:hanging="284"/>
      </w:pPr>
      <w:r w:rsidRPr="00B346C8">
        <w:t xml:space="preserve">A positive number indicates an increase in revenue or decrease in expenses or net capital investment in accrual terms.  A negative number indicates a decrease in revenue or an increase in expenses or net capital investment in accrual terms. </w:t>
      </w:r>
    </w:p>
    <w:p w:rsidR="00341BA2" w:rsidRPr="00147194" w:rsidRDefault="00341BA2" w:rsidP="00341BA2">
      <w:pPr>
        <w:keepNext/>
        <w:keepLines/>
        <w:numPr>
          <w:ilvl w:val="0"/>
          <w:numId w:val="7"/>
        </w:numPr>
        <w:spacing w:after="50" w:line="260" w:lineRule="atLeast"/>
        <w:ind w:left="284" w:hanging="284"/>
        <w:contextualSpacing/>
        <w:rPr>
          <w:sz w:val="20"/>
        </w:rPr>
      </w:pPr>
      <w:r w:rsidRPr="00147194">
        <w:rPr>
          <w:sz w:val="20"/>
        </w:rPr>
        <w:t>Figures may not sum to totals due to rounding.</w:t>
      </w:r>
    </w:p>
    <w:p w:rsidR="00341BA2" w:rsidRPr="00147194" w:rsidRDefault="00341BA2" w:rsidP="00341BA2">
      <w:pPr>
        <w:numPr>
          <w:ilvl w:val="0"/>
          <w:numId w:val="12"/>
        </w:numPr>
        <w:spacing w:after="50" w:line="260" w:lineRule="atLeast"/>
        <w:ind w:left="284" w:hanging="284"/>
        <w:contextualSpacing/>
        <w:rPr>
          <w:sz w:val="20"/>
        </w:rPr>
      </w:pPr>
      <w:r w:rsidRPr="00147194">
        <w:rPr>
          <w:sz w:val="20"/>
        </w:rPr>
        <w:t>Indicates nil.</w:t>
      </w:r>
    </w:p>
    <w:sectPr w:rsidR="00341BA2" w:rsidRPr="00147194" w:rsidSect="00DD4B54">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11" w:rsidRDefault="00513111" w:rsidP="00A20802">
      <w:pPr>
        <w:spacing w:line="240" w:lineRule="auto"/>
      </w:pPr>
      <w:r>
        <w:separator/>
      </w:r>
    </w:p>
    <w:p w:rsidR="00513111" w:rsidRDefault="00513111"/>
  </w:endnote>
  <w:endnote w:type="continuationSeparator" w:id="0">
    <w:p w:rsidR="00513111" w:rsidRDefault="00513111" w:rsidP="00A20802">
      <w:pPr>
        <w:spacing w:line="240" w:lineRule="auto"/>
      </w:pPr>
      <w:r>
        <w:continuationSeparator/>
      </w:r>
    </w:p>
    <w:p w:rsidR="00513111" w:rsidRDefault="00513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10" w:rsidRDefault="00071A10" w:rsidP="00071A10">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C44101">
      <w:rPr>
        <w:rStyle w:val="FooterChar"/>
        <w:b/>
        <w:noProof/>
      </w:rPr>
      <w:t>5</w:t>
    </w:r>
    <w:r w:rsidRPr="002C4DA6">
      <w:rPr>
        <w:rStyle w:val="FooterChar"/>
        <w:b/>
      </w:rPr>
      <w:fldChar w:fldCharType="end"/>
    </w:r>
    <w:r w:rsidRPr="002C4DA6">
      <w:rPr>
        <w:rStyle w:val="FooterChar"/>
        <w:b/>
      </w:rPr>
      <w:t xml:space="preserve"> of </w:t>
    </w:r>
    <w:r w:rsidRPr="002C4DA6">
      <w:rPr>
        <w:rStyle w:val="FooterChar"/>
        <w:b/>
      </w:rPr>
      <w:fldChar w:fldCharType="begin"/>
    </w:r>
    <w:r w:rsidRPr="002C4DA6">
      <w:rPr>
        <w:rStyle w:val="FooterChar"/>
        <w:b/>
      </w:rPr>
      <w:instrText xml:space="preserve"> NUMPAGES  \* Arabic  \* MERGEFORMAT </w:instrText>
    </w:r>
    <w:r w:rsidRPr="002C4DA6">
      <w:rPr>
        <w:rStyle w:val="FooterChar"/>
        <w:b/>
      </w:rPr>
      <w:fldChar w:fldCharType="separate"/>
    </w:r>
    <w:r w:rsidR="00C44101">
      <w:rPr>
        <w:rStyle w:val="FooterChar"/>
        <w:b/>
        <w:noProof/>
      </w:rPr>
      <w:t>16</w:t>
    </w:r>
    <w:r w:rsidRPr="002C4DA6">
      <w:rPr>
        <w:rStyle w:val="FooterChar"/>
        <w:b/>
      </w:rPr>
      <w:fldChar w:fldCharType="end"/>
    </w:r>
  </w:p>
  <w:p w:rsidR="00071A10" w:rsidRPr="00F076CA" w:rsidRDefault="00071A10" w:rsidP="00071A10">
    <w:pPr>
      <w:pStyle w:val="Footer"/>
      <w:ind w:left="3714" w:hanging="3714"/>
      <w:jc w:val="center"/>
      <w:rPr>
        <w:rFonts w:cs="Arial"/>
        <w:strike/>
        <w:color w:val="FF0000"/>
        <w:sz w:val="40"/>
        <w:szCs w:val="40"/>
      </w:rPr>
    </w:pPr>
    <w:r w:rsidRPr="00F076CA">
      <w:rPr>
        <w:rStyle w:val="FooterChar"/>
        <w:rFonts w:cs="Arial"/>
        <w:b/>
        <w:strike/>
        <w:color w:val="FF0000"/>
        <w:sz w:val="40"/>
        <w:szCs w:val="40"/>
      </w:rPr>
      <w:t>Sensitive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10" w:rsidRDefault="00071A10" w:rsidP="00476133">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C44101">
      <w:rPr>
        <w:rStyle w:val="FooterChar"/>
        <w:b/>
        <w:noProof/>
      </w:rPr>
      <w:t>1</w:t>
    </w:r>
    <w:r w:rsidRPr="002C4DA6">
      <w:rPr>
        <w:rStyle w:val="FooterChar"/>
        <w:b/>
      </w:rPr>
      <w:fldChar w:fldCharType="end"/>
    </w:r>
    <w:r w:rsidRPr="002C4DA6">
      <w:rPr>
        <w:rStyle w:val="FooterChar"/>
        <w:b/>
      </w:rPr>
      <w:t xml:space="preserve"> of </w:t>
    </w:r>
    <w:r w:rsidRPr="002C4DA6">
      <w:rPr>
        <w:rStyle w:val="FooterChar"/>
        <w:b/>
      </w:rPr>
      <w:fldChar w:fldCharType="begin"/>
    </w:r>
    <w:r w:rsidRPr="002C4DA6">
      <w:rPr>
        <w:rStyle w:val="FooterChar"/>
        <w:b/>
      </w:rPr>
      <w:instrText xml:space="preserve"> NUMPAGES  \* Arabic  \* MERGEFORMAT </w:instrText>
    </w:r>
    <w:r w:rsidRPr="002C4DA6">
      <w:rPr>
        <w:rStyle w:val="FooterChar"/>
        <w:b/>
      </w:rPr>
      <w:fldChar w:fldCharType="separate"/>
    </w:r>
    <w:r w:rsidR="00C44101">
      <w:rPr>
        <w:rStyle w:val="FooterChar"/>
        <w:b/>
        <w:noProof/>
      </w:rPr>
      <w:t>16</w:t>
    </w:r>
    <w:r w:rsidRPr="002C4DA6">
      <w:rPr>
        <w:rStyle w:val="FooterChar"/>
        <w:b/>
      </w:rPr>
      <w:fldChar w:fldCharType="end"/>
    </w:r>
  </w:p>
  <w:p w:rsidR="00071A10" w:rsidRPr="00F076CA" w:rsidRDefault="00071A10" w:rsidP="00EF0A00">
    <w:pPr>
      <w:pStyle w:val="Footer"/>
      <w:ind w:left="3714" w:hanging="3714"/>
      <w:jc w:val="center"/>
      <w:rPr>
        <w:rFonts w:cs="Arial"/>
        <w:strike/>
        <w:color w:val="FF0000"/>
        <w:sz w:val="40"/>
        <w:szCs w:val="40"/>
      </w:rPr>
    </w:pPr>
    <w:r w:rsidRPr="00F076CA">
      <w:rPr>
        <w:rStyle w:val="FooterChar"/>
        <w:rFonts w:cs="Arial"/>
        <w:b/>
        <w:strike/>
        <w:color w:val="FF0000"/>
        <w:sz w:val="40"/>
        <w:szCs w:val="40"/>
      </w:rPr>
      <w:t>Sensitive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513111" w:rsidRPr="00EB388E" w:rsidTr="002D239A">
      <w:trPr>
        <w:trHeight w:val="340"/>
      </w:trPr>
      <w:tc>
        <w:tcPr>
          <w:tcW w:w="567" w:type="dxa"/>
          <w:tcBorders>
            <w:right w:val="single" w:sz="4" w:space="0" w:color="788184" w:themeColor="background2"/>
          </w:tcBorders>
          <w:vAlign w:val="center"/>
        </w:tcPr>
        <w:p w:rsidR="00513111" w:rsidRPr="00CB70DF" w:rsidRDefault="00513111" w:rsidP="002D239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Pr>
              <w:noProof/>
            </w:rPr>
            <w:t>13</w:t>
          </w:r>
          <w:r w:rsidRPr="00EB388E">
            <w:fldChar w:fldCharType="end"/>
          </w:r>
        </w:p>
      </w:tc>
      <w:tc>
        <w:tcPr>
          <w:tcW w:w="8164" w:type="dxa"/>
          <w:tcBorders>
            <w:left w:val="single" w:sz="4" w:space="0" w:color="788184" w:themeColor="background2"/>
          </w:tcBorders>
          <w:vAlign w:val="center"/>
        </w:tcPr>
        <w:p w:rsidR="00513111" w:rsidRPr="00CB70DF" w:rsidRDefault="00513111" w:rsidP="002D239A">
          <w:pPr>
            <w:pStyle w:val="FooterLeft"/>
            <w:framePr w:wrap="auto" w:vAnchor="margin" w:hAnchor="text" w:yAlign="inline"/>
          </w:pPr>
          <w:r>
            <w:fldChar w:fldCharType="begin"/>
          </w:r>
          <w:r>
            <w:instrText xml:space="preserve"> STYLEREF  Title  \* MERGEFORMAT </w:instrText>
          </w:r>
          <w:r>
            <w:fldChar w:fldCharType="separate"/>
          </w:r>
          <w:r>
            <w:rPr>
              <w:b w:val="0"/>
              <w:bCs/>
              <w:noProof/>
              <w:lang w:val="en-US"/>
            </w:rPr>
            <w:t>Error! No text of specified style in document.</w:t>
          </w:r>
          <w:r>
            <w:rPr>
              <w:noProof/>
            </w:rPr>
            <w:fldChar w:fldCharType="end"/>
          </w:r>
        </w:p>
      </w:tc>
    </w:tr>
    <w:tr w:rsidR="00513111" w:rsidRPr="00EB388E" w:rsidTr="002D239A">
      <w:trPr>
        <w:trHeight w:hRule="exact" w:val="403"/>
      </w:trPr>
      <w:tc>
        <w:tcPr>
          <w:tcW w:w="567" w:type="dxa"/>
          <w:tcMar>
            <w:bottom w:w="284" w:type="dxa"/>
          </w:tcMar>
        </w:tcPr>
        <w:p w:rsidR="00513111" w:rsidRPr="00EB388E" w:rsidRDefault="00513111" w:rsidP="002D239A">
          <w:pPr>
            <w:pStyle w:val="FooterRightPageNumber"/>
          </w:pPr>
        </w:p>
      </w:tc>
      <w:tc>
        <w:tcPr>
          <w:tcW w:w="8164" w:type="dxa"/>
          <w:tcMar>
            <w:bottom w:w="284" w:type="dxa"/>
          </w:tcMar>
        </w:tcPr>
        <w:p w:rsidR="00513111" w:rsidRPr="00090E70" w:rsidRDefault="00513111" w:rsidP="002D239A"/>
      </w:tc>
    </w:tr>
  </w:tbl>
  <w:p w:rsidR="00513111" w:rsidRDefault="00513111">
    <w:pPr>
      <w:pStyle w:val="Footer"/>
    </w:pPr>
  </w:p>
  <w:p w:rsidR="00513111" w:rsidRPr="004816D7" w:rsidRDefault="00513111" w:rsidP="005600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11" w:rsidRDefault="00513111" w:rsidP="002C4DA6">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D52089">
      <w:rPr>
        <w:rStyle w:val="FooterChar"/>
        <w:b/>
        <w:noProof/>
      </w:rPr>
      <w:t>16</w:t>
    </w:r>
    <w:r w:rsidRPr="002C4DA6">
      <w:rPr>
        <w:rStyle w:val="FooterChar"/>
        <w:b/>
      </w:rPr>
      <w:fldChar w:fldCharType="end"/>
    </w:r>
    <w:r w:rsidRPr="002C4DA6">
      <w:rPr>
        <w:rStyle w:val="FooterChar"/>
        <w:b/>
      </w:rPr>
      <w:t xml:space="preserve"> of </w:t>
    </w:r>
    <w:r w:rsidRPr="002C4DA6">
      <w:rPr>
        <w:rStyle w:val="FooterChar"/>
        <w:b/>
      </w:rPr>
      <w:fldChar w:fldCharType="begin"/>
    </w:r>
    <w:r w:rsidRPr="002C4DA6">
      <w:rPr>
        <w:rStyle w:val="FooterChar"/>
        <w:b/>
      </w:rPr>
      <w:instrText xml:space="preserve"> NUMPAGES  \* Arabic  \* MERGEFORMAT </w:instrText>
    </w:r>
    <w:r w:rsidRPr="002C4DA6">
      <w:rPr>
        <w:rStyle w:val="FooterChar"/>
        <w:b/>
      </w:rPr>
      <w:fldChar w:fldCharType="separate"/>
    </w:r>
    <w:r w:rsidR="00D52089">
      <w:rPr>
        <w:rStyle w:val="FooterChar"/>
        <w:b/>
        <w:noProof/>
      </w:rPr>
      <w:t>16</w:t>
    </w:r>
    <w:r w:rsidRPr="002C4DA6">
      <w:rPr>
        <w:rStyle w:val="FooterChar"/>
        <w:b/>
      </w:rPr>
      <w:fldChar w:fldCharType="end"/>
    </w:r>
  </w:p>
  <w:p w:rsidR="00513111" w:rsidRPr="00F076CA" w:rsidRDefault="00513111" w:rsidP="0000071C">
    <w:pPr>
      <w:pStyle w:val="Footer"/>
      <w:ind w:left="3714" w:hanging="3714"/>
      <w:jc w:val="center"/>
      <w:rPr>
        <w:rFonts w:ascii="Calibri" w:hAnsi="Calibri" w:cs="Arial"/>
        <w:strike/>
        <w:color w:val="FF0000"/>
        <w:sz w:val="40"/>
        <w:szCs w:val="40"/>
      </w:rPr>
    </w:pPr>
    <w:r w:rsidRPr="00F076CA">
      <w:rPr>
        <w:rStyle w:val="FooterChar"/>
        <w:rFonts w:ascii="Calibri" w:hAnsi="Calibri" w:cs="Arial"/>
        <w:b/>
        <w:strike/>
        <w:color w:val="FF0000"/>
        <w:sz w:val="40"/>
        <w:szCs w:val="40"/>
      </w:rPr>
      <w:t>Sensitive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11" w:rsidRPr="0046444F" w:rsidRDefault="00513111" w:rsidP="0046444F">
    <w:pPr>
      <w:pStyle w:val="Header"/>
      <w:spacing w:after="240"/>
      <w:ind w:left="7309" w:hanging="7309"/>
    </w:pPr>
    <w:r w:rsidRPr="0092572B">
      <w:rPr>
        <w:b/>
        <w:color w:val="FF0000"/>
        <w:sz w:val="28"/>
        <w:szCs w:val="28"/>
      </w:rPr>
      <w:t>Sensitive</w:t>
    </w:r>
    <w:r>
      <w:rPr>
        <w:b/>
        <w:color w:val="FF0000"/>
        <w:sz w:val="28"/>
        <w:szCs w:val="28"/>
      </w:rPr>
      <w:tab/>
    </w:r>
    <w:r w:rsidRPr="00D67648">
      <w:rPr>
        <w:rStyle w:val="FooterChar"/>
      </w:rPr>
      <w:t xml:space="preserve">Page </w:t>
    </w:r>
    <w:r w:rsidRPr="00D67648">
      <w:rPr>
        <w:rStyle w:val="FooterChar"/>
      </w:rPr>
      <w:fldChar w:fldCharType="begin"/>
    </w:r>
    <w:r w:rsidRPr="00D67648">
      <w:rPr>
        <w:rStyle w:val="FooterChar"/>
      </w:rPr>
      <w:instrText xml:space="preserve"> PAGE  \* Arabic  \* MERGEFORMAT </w:instrText>
    </w:r>
    <w:r w:rsidRPr="00D67648">
      <w:rPr>
        <w:rStyle w:val="FooterChar"/>
      </w:rPr>
      <w:fldChar w:fldCharType="separate"/>
    </w:r>
    <w:r>
      <w:rPr>
        <w:rStyle w:val="FooterChar"/>
        <w:noProof/>
      </w:rPr>
      <w:t>13</w:t>
    </w:r>
    <w:r w:rsidRPr="00D67648">
      <w:rPr>
        <w:rStyle w:val="FooterChar"/>
      </w:rPr>
      <w:fldChar w:fldCharType="end"/>
    </w:r>
    <w:r w:rsidRPr="00D67648">
      <w:rPr>
        <w:rStyle w:val="FooterChar"/>
      </w:rPr>
      <w:t xml:space="preserve"> of </w:t>
    </w:r>
    <w:r w:rsidRPr="00D67648">
      <w:rPr>
        <w:rStyle w:val="FooterChar"/>
      </w:rPr>
      <w:fldChar w:fldCharType="begin"/>
    </w:r>
    <w:r w:rsidRPr="00D67648">
      <w:rPr>
        <w:rStyle w:val="FooterChar"/>
      </w:rPr>
      <w:instrText xml:space="preserve"> NUMPAGES  \* Arabic  \* MERGEFORMAT </w:instrText>
    </w:r>
    <w:r w:rsidRPr="00D67648">
      <w:rPr>
        <w:rStyle w:val="FooterChar"/>
      </w:rPr>
      <w:fldChar w:fldCharType="separate"/>
    </w:r>
    <w:r>
      <w:rPr>
        <w:rStyle w:val="FooterChar"/>
        <w:noProof/>
      </w:rPr>
      <w:t>13</w:t>
    </w:r>
    <w:r w:rsidRPr="00D67648">
      <w:rPr>
        <w:rStyle w:val="Footer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11" w:rsidRPr="000557A7" w:rsidRDefault="00513111" w:rsidP="008D5A11">
      <w:pPr>
        <w:pBdr>
          <w:top w:val="single" w:sz="4" w:space="1" w:color="auto"/>
        </w:pBdr>
        <w:spacing w:before="240" w:line="60" w:lineRule="exact"/>
        <w:rPr>
          <w:sz w:val="16"/>
          <w:szCs w:val="16"/>
        </w:rPr>
      </w:pPr>
    </w:p>
  </w:footnote>
  <w:footnote w:type="continuationSeparator" w:id="0">
    <w:p w:rsidR="00513111" w:rsidRDefault="00513111" w:rsidP="00A20802">
      <w:pPr>
        <w:spacing w:line="240" w:lineRule="auto"/>
      </w:pPr>
      <w:r>
        <w:continuationSeparator/>
      </w:r>
    </w:p>
    <w:p w:rsidR="00513111" w:rsidRDefault="00513111"/>
  </w:footnote>
  <w:footnote w:id="1">
    <w:p w:rsidR="00071A10" w:rsidRDefault="00071A10" w:rsidP="00071A10">
      <w:pPr>
        <w:pStyle w:val="FootnoteText"/>
        <w:ind w:left="0" w:firstLine="0"/>
      </w:pPr>
      <w:r>
        <w:rPr>
          <w:rStyle w:val="FootnoteReference"/>
        </w:rPr>
        <w:footnoteRef/>
      </w:r>
      <w:r>
        <w:t xml:space="preserve"> The three ERF auctions were conducted on 23 April 2015, 12 November 2015 and 5 May 2016, and produced commitments of $660.5 million, $557.0 million and $516.0 million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6CA" w:rsidRPr="00F076CA" w:rsidRDefault="00F076CA" w:rsidP="00F076CA">
    <w:pPr>
      <w:pStyle w:val="Header"/>
      <w:jc w:val="center"/>
      <w:rPr>
        <w:b/>
        <w:strike/>
        <w:color w:val="FF0000"/>
        <w:sz w:val="40"/>
        <w:szCs w:val="40"/>
      </w:rPr>
    </w:pPr>
    <w:r w:rsidRPr="00F076CA">
      <w:rPr>
        <w:b/>
        <w:strike/>
        <w:color w:val="FF0000"/>
        <w:sz w:val="40"/>
        <w:szCs w:val="40"/>
      </w:rPr>
      <w:t>Sensitive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10" w:rsidRPr="00F076CA" w:rsidRDefault="00071A10" w:rsidP="002C4DA6">
    <w:pPr>
      <w:pStyle w:val="Header"/>
      <w:jc w:val="center"/>
      <w:rPr>
        <w:b/>
        <w:strike/>
        <w:color w:val="FF0000"/>
        <w:sz w:val="40"/>
        <w:szCs w:val="40"/>
      </w:rPr>
    </w:pPr>
    <w:r w:rsidRPr="00F076CA">
      <w:rPr>
        <w:b/>
        <w:strike/>
        <w:color w:val="FF0000"/>
        <w:sz w:val="40"/>
        <w:szCs w:val="40"/>
      </w:rPr>
      <w:t>Sensitive</w:t>
    </w:r>
  </w:p>
  <w:p w:rsidR="00071A10" w:rsidRPr="0046444F" w:rsidRDefault="00071A10" w:rsidP="0046444F">
    <w:pPr>
      <w:pStyle w:val="Header"/>
    </w:pPr>
    <w:r>
      <w:rPr>
        <w:noProof/>
        <w:lang w:eastAsia="en-AU"/>
      </w:rPr>
      <w:drawing>
        <wp:inline distT="0" distB="0" distL="0" distR="0" wp14:anchorId="5233A759" wp14:editId="22A7D8A0">
          <wp:extent cx="2696845" cy="572135"/>
          <wp:effectExtent l="0" t="0" r="8255" b="0"/>
          <wp:docPr id="2" name="Picture 2"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11" w:rsidRDefault="00513111">
    <w:pPr>
      <w:pStyle w:val="Header"/>
    </w:pPr>
    <w:r>
      <w:rPr>
        <w:noProof/>
        <w:lang w:eastAsia="en-AU"/>
      </w:rPr>
      <mc:AlternateContent>
        <mc:Choice Requires="wps">
          <w:drawing>
            <wp:anchor distT="0" distB="0" distL="114300" distR="114300" simplePos="0" relativeHeight="251686912" behindDoc="1" locked="1" layoutInCell="1" allowOverlap="1" wp14:anchorId="58F66F44" wp14:editId="01176424">
              <wp:simplePos x="0" y="0"/>
              <wp:positionH relativeFrom="page">
                <wp:align>center</wp:align>
              </wp:positionH>
              <wp:positionV relativeFrom="page">
                <wp:align>center</wp:align>
              </wp:positionV>
              <wp:extent cx="7560000" cy="1796400"/>
              <wp:effectExtent l="0" t="0" r="0" b="0"/>
              <wp:wrapNone/>
              <wp:docPr id="2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111" w:rsidRPr="0001226A" w:rsidRDefault="00513111"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0;margin-top:0;width:595.3pt;height:141.45pt;z-index:-2516295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iutwIAAL0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NMBK0gx49stGgOzmiKIxt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yU5+j8lpvt&#10;+6nZF9xo2nED46PlXYYXJyeaWg2uReVaayhvp/VFKWz651JAu4+Ndoq1Ip3kasbNCChWxhtZPYF2&#10;lQRlgQph5sGikeobRgPMjwzrrzuqGEbtOwH6T0JC7MBxGzKLI9ioS8vm0kJFCVAZNhhNy5WZhtSu&#10;V3zbQKTpxQl5C2+m5k7N56wOLw1mhCN1mGd2CF3undd56i5/Ag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GnJeK63AgAAvQUA&#10;AA4AAAAAAAAAAAAAAAAALgIAAGRycy9lMm9Eb2MueG1sUEsBAi0AFAAGAAgAAAAhADTFRM7bAAAA&#10;BgEAAA8AAAAAAAAAAAAAAAAAEQUAAGRycy9kb3ducmV2LnhtbFBLBQYAAAAABAAEAPMAAAAZBgAA&#10;AAA=&#10;" filled="f" stroked="f">
              <v:textbox>
                <w:txbxContent>
                  <w:p w:rsidR="00513111" w:rsidRPr="0001226A" w:rsidRDefault="00513111"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11" w:rsidRPr="00F076CA" w:rsidRDefault="00F076CA" w:rsidP="00F076CA">
    <w:pPr>
      <w:pStyle w:val="Footer"/>
      <w:spacing w:before="400"/>
      <w:ind w:left="3714" w:hanging="3714"/>
      <w:jc w:val="center"/>
      <w:rPr>
        <w:rFonts w:ascii="Calibri" w:hAnsi="Calibri" w:cs="Arial"/>
        <w:strike/>
        <w:color w:val="FF0000"/>
        <w:sz w:val="40"/>
        <w:szCs w:val="40"/>
      </w:rPr>
    </w:pPr>
    <w:r w:rsidRPr="00F076CA">
      <w:rPr>
        <w:rStyle w:val="FooterChar"/>
        <w:rFonts w:ascii="Calibri" w:hAnsi="Calibri" w:cs="Arial"/>
        <w:b/>
        <w:strike/>
        <w:color w:val="FF0000"/>
        <w:sz w:val="40"/>
        <w:szCs w:val="40"/>
      </w:rPr>
      <w:t>Sensitive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11" w:rsidRDefault="00513111" w:rsidP="0046444F">
    <w:pPr>
      <w:pStyle w:val="Header"/>
      <w:jc w:val="right"/>
      <w:rPr>
        <w:b/>
        <w:color w:val="FF0000"/>
        <w:sz w:val="28"/>
        <w:szCs w:val="28"/>
      </w:rPr>
    </w:pPr>
    <w:r w:rsidRPr="0092572B">
      <w:rPr>
        <w:b/>
        <w:color w:val="FF0000"/>
        <w:sz w:val="28"/>
        <w:szCs w:val="28"/>
      </w:rPr>
      <w:t>Sensitive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CE3A3256"/>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E0A6CF32"/>
    <w:name w:val="TableFootnotes"/>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06779E6"/>
    <w:multiLevelType w:val="hybridMultilevel"/>
    <w:tmpl w:val="E026BD3C"/>
    <w:lvl w:ilvl="0" w:tplc="08ECCB1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58044C98"/>
    <w:multiLevelType w:val="hybridMultilevel"/>
    <w:tmpl w:val="E3749454"/>
    <w:lvl w:ilvl="0" w:tplc="D1AEAEB2">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0540A9"/>
    <w:multiLevelType w:val="multilevel"/>
    <w:tmpl w:val="E4D434E6"/>
    <w:name w:val="AppendicesNumbering"/>
    <w:lvl w:ilvl="0">
      <w:start w:val="1"/>
      <w:numFmt w:val="upperLetter"/>
      <w:lvlRestart w:val="0"/>
      <w:suff w:val="space"/>
      <w:lvlText w:val="Attachment %1"/>
      <w:lvlJc w:val="left"/>
      <w:pPr>
        <w:ind w:left="426"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tabs>
          <w:tab w:val="num" w:pos="-1134"/>
        </w:tabs>
        <w:ind w:left="-1134" w:firstLine="0"/>
      </w:pPr>
      <w:rPr>
        <w:rFonts w:hint="default"/>
        <w:sz w:val="26"/>
      </w:rPr>
    </w:lvl>
    <w:lvl w:ilvl="2">
      <w:start w:val="1"/>
      <w:numFmt w:val="none"/>
      <w:suff w:val="nothing"/>
      <w:lvlText w:val=""/>
      <w:lvlJc w:val="left"/>
      <w:pPr>
        <w:tabs>
          <w:tab w:val="num" w:pos="-1134"/>
        </w:tabs>
        <w:ind w:left="-1134" w:firstLine="0"/>
      </w:pPr>
      <w:rPr>
        <w:rFonts w:hint="default"/>
      </w:rPr>
    </w:lvl>
    <w:lvl w:ilvl="3">
      <w:start w:val="1"/>
      <w:numFmt w:val="none"/>
      <w:lvlRestart w:val="2"/>
      <w:suff w:val="nothing"/>
      <w:lvlText w:val=""/>
      <w:lvlJc w:val="left"/>
      <w:pPr>
        <w:tabs>
          <w:tab w:val="num" w:pos="-1134"/>
        </w:tabs>
        <w:ind w:left="-1134" w:firstLine="0"/>
      </w:pPr>
      <w:rPr>
        <w:rFonts w:hint="default"/>
      </w:rPr>
    </w:lvl>
    <w:lvl w:ilvl="4">
      <w:start w:val="1"/>
      <w:numFmt w:val="decimal"/>
      <w:lvlText w:val="%1%2.%3.%4.%5"/>
      <w:lvlJc w:val="left"/>
      <w:pPr>
        <w:tabs>
          <w:tab w:val="num" w:pos="0"/>
        </w:tabs>
        <w:ind w:left="-369" w:hanging="765"/>
      </w:pPr>
      <w:rPr>
        <w:rFonts w:hint="default"/>
      </w:rPr>
    </w:lvl>
    <w:lvl w:ilvl="5">
      <w:start w:val="1"/>
      <w:numFmt w:val="none"/>
      <w:lvlText w:val=""/>
      <w:lvlJc w:val="right"/>
      <w:pPr>
        <w:ind w:left="-369" w:hanging="765"/>
      </w:pPr>
      <w:rPr>
        <w:rFonts w:hint="default"/>
      </w:rPr>
    </w:lvl>
    <w:lvl w:ilvl="6">
      <w:start w:val="1"/>
      <w:numFmt w:val="none"/>
      <w:lvlText w:val=""/>
      <w:lvlJc w:val="left"/>
      <w:pPr>
        <w:ind w:left="-369" w:hanging="765"/>
      </w:pPr>
      <w:rPr>
        <w:rFonts w:hint="default"/>
      </w:rPr>
    </w:lvl>
    <w:lvl w:ilvl="7">
      <w:start w:val="1"/>
      <w:numFmt w:val="none"/>
      <w:lvlText w:val=""/>
      <w:lvlJc w:val="left"/>
      <w:pPr>
        <w:ind w:left="-369" w:hanging="765"/>
      </w:pPr>
      <w:rPr>
        <w:rFonts w:hint="default"/>
      </w:rPr>
    </w:lvl>
    <w:lvl w:ilvl="8">
      <w:start w:val="1"/>
      <w:numFmt w:val="none"/>
      <w:lvlText w:val=""/>
      <w:lvlJc w:val="right"/>
      <w:pPr>
        <w:ind w:left="-369" w:hanging="765"/>
      </w:pPr>
      <w:rPr>
        <w:rFonts w:hint="default"/>
      </w:rPr>
    </w:lvl>
  </w:abstractNum>
  <w:abstractNum w:abstractNumId="10">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2">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nsid w:val="79EA63D9"/>
    <w:multiLevelType w:val="hybridMultilevel"/>
    <w:tmpl w:val="92E4AE7E"/>
    <w:lvl w:ilvl="0" w:tplc="CC7AE5C8">
      <w:start w:val="1"/>
      <w:numFmt w:val="lowerLetter"/>
      <w:pStyle w:val="Footnotes"/>
      <w:lvlText w:val="(%1)"/>
      <w:lvlJc w:val="left"/>
      <w:pPr>
        <w:ind w:left="360" w:hanging="360"/>
      </w:pPr>
      <w:rPr>
        <w:rFonts w:asciiTheme="minorHAnsi" w:hAnsiTheme="minorHAnsi" w:hint="default"/>
      </w:rPr>
    </w:lvl>
    <w:lvl w:ilvl="1" w:tplc="0C090019">
      <w:start w:val="1"/>
      <w:numFmt w:val="lowerLetter"/>
      <w:lvlText w:val="%2."/>
      <w:lvlJc w:val="left"/>
      <w:pPr>
        <w:ind w:left="967" w:hanging="360"/>
      </w:pPr>
    </w:lvl>
    <w:lvl w:ilvl="2" w:tplc="0C09001B">
      <w:start w:val="1"/>
      <w:numFmt w:val="lowerRoman"/>
      <w:lvlText w:val="%3."/>
      <w:lvlJc w:val="right"/>
      <w:pPr>
        <w:ind w:left="1687" w:hanging="180"/>
      </w:pPr>
    </w:lvl>
    <w:lvl w:ilvl="3" w:tplc="0C09000F">
      <w:start w:val="1"/>
      <w:numFmt w:val="decimal"/>
      <w:lvlText w:val="%4."/>
      <w:lvlJc w:val="left"/>
      <w:pPr>
        <w:ind w:left="2407" w:hanging="360"/>
      </w:pPr>
    </w:lvl>
    <w:lvl w:ilvl="4" w:tplc="0C090019">
      <w:start w:val="1"/>
      <w:numFmt w:val="lowerLetter"/>
      <w:lvlText w:val="%5."/>
      <w:lvlJc w:val="left"/>
      <w:pPr>
        <w:ind w:left="3127" w:hanging="360"/>
      </w:pPr>
    </w:lvl>
    <w:lvl w:ilvl="5" w:tplc="0C09001B">
      <w:start w:val="1"/>
      <w:numFmt w:val="lowerRoman"/>
      <w:lvlText w:val="%6."/>
      <w:lvlJc w:val="right"/>
      <w:pPr>
        <w:ind w:left="3847" w:hanging="180"/>
      </w:pPr>
    </w:lvl>
    <w:lvl w:ilvl="6" w:tplc="0C09000F">
      <w:start w:val="1"/>
      <w:numFmt w:val="decimal"/>
      <w:lvlText w:val="%7."/>
      <w:lvlJc w:val="left"/>
      <w:pPr>
        <w:ind w:left="4567" w:hanging="360"/>
      </w:pPr>
    </w:lvl>
    <w:lvl w:ilvl="7" w:tplc="0C090019">
      <w:start w:val="1"/>
      <w:numFmt w:val="lowerLetter"/>
      <w:lvlText w:val="%8."/>
      <w:lvlJc w:val="left"/>
      <w:pPr>
        <w:ind w:left="5287" w:hanging="360"/>
      </w:pPr>
    </w:lvl>
    <w:lvl w:ilvl="8" w:tplc="0C09001B">
      <w:start w:val="1"/>
      <w:numFmt w:val="lowerRoman"/>
      <w:lvlText w:val="%9."/>
      <w:lvlJc w:val="right"/>
      <w:pPr>
        <w:ind w:left="6007" w:hanging="180"/>
      </w:pPr>
    </w:lvl>
  </w:abstractNum>
  <w:num w:numId="1">
    <w:abstractNumId w:val="9"/>
  </w:num>
  <w:num w:numId="2">
    <w:abstractNumId w:val="0"/>
  </w:num>
  <w:num w:numId="3">
    <w:abstractNumId w:val="12"/>
  </w:num>
  <w:num w:numId="4">
    <w:abstractNumId w:val="7"/>
  </w:num>
  <w:num w:numId="5">
    <w:abstractNumId w:val="6"/>
  </w:num>
  <w:num w:numId="6">
    <w:abstractNumId w:val="11"/>
  </w:num>
  <w:num w:numId="7">
    <w:abstractNumId w:val="2"/>
  </w:num>
  <w:num w:numId="8">
    <w:abstractNumId w:val="4"/>
  </w:num>
  <w:num w:numId="9">
    <w:abstractNumId w:val="10"/>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num>
  <w:num w:numId="31">
    <w:abstractNumId w:val="3"/>
  </w:num>
  <w:num w:numId="32">
    <w:abstractNumId w:val="2"/>
  </w:num>
  <w:num w:numId="33">
    <w:abstractNumId w:val="2"/>
  </w:num>
  <w:num w:numId="34">
    <w:abstractNumId w:val="2"/>
  </w:num>
  <w:num w:numId="35">
    <w:abstractNumId w:val="13"/>
  </w:num>
  <w:num w:numId="36">
    <w:abstractNumId w:val="2"/>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A357CB"/>
    <w:rsid w:val="0000071C"/>
    <w:rsid w:val="0000322C"/>
    <w:rsid w:val="00003CDD"/>
    <w:rsid w:val="0001406F"/>
    <w:rsid w:val="000168A7"/>
    <w:rsid w:val="00016D53"/>
    <w:rsid w:val="000278D0"/>
    <w:rsid w:val="00027E62"/>
    <w:rsid w:val="000307C8"/>
    <w:rsid w:val="00030F73"/>
    <w:rsid w:val="00035ADE"/>
    <w:rsid w:val="0004224B"/>
    <w:rsid w:val="00046226"/>
    <w:rsid w:val="0005330D"/>
    <w:rsid w:val="000557A7"/>
    <w:rsid w:val="00055805"/>
    <w:rsid w:val="00056CB3"/>
    <w:rsid w:val="00066D54"/>
    <w:rsid w:val="00067A28"/>
    <w:rsid w:val="00071A10"/>
    <w:rsid w:val="0007260F"/>
    <w:rsid w:val="000805D5"/>
    <w:rsid w:val="0008103B"/>
    <w:rsid w:val="00085F97"/>
    <w:rsid w:val="00092A33"/>
    <w:rsid w:val="000973F9"/>
    <w:rsid w:val="000A2FEC"/>
    <w:rsid w:val="000A348F"/>
    <w:rsid w:val="000B6942"/>
    <w:rsid w:val="000C09FA"/>
    <w:rsid w:val="000C37A9"/>
    <w:rsid w:val="000C4C68"/>
    <w:rsid w:val="000C6728"/>
    <w:rsid w:val="000C702E"/>
    <w:rsid w:val="000D15E9"/>
    <w:rsid w:val="000D3182"/>
    <w:rsid w:val="000D45C4"/>
    <w:rsid w:val="000E18F3"/>
    <w:rsid w:val="000E266E"/>
    <w:rsid w:val="000F1515"/>
    <w:rsid w:val="000F16B5"/>
    <w:rsid w:val="000F616E"/>
    <w:rsid w:val="00110D43"/>
    <w:rsid w:val="00112F1F"/>
    <w:rsid w:val="001159EA"/>
    <w:rsid w:val="00120A75"/>
    <w:rsid w:val="00125410"/>
    <w:rsid w:val="00130858"/>
    <w:rsid w:val="00136C26"/>
    <w:rsid w:val="0014059F"/>
    <w:rsid w:val="00141551"/>
    <w:rsid w:val="001417CE"/>
    <w:rsid w:val="0014479F"/>
    <w:rsid w:val="00146EAD"/>
    <w:rsid w:val="00154DC5"/>
    <w:rsid w:val="00160C8D"/>
    <w:rsid w:val="001629C0"/>
    <w:rsid w:val="00165122"/>
    <w:rsid w:val="00165854"/>
    <w:rsid w:val="001738DB"/>
    <w:rsid w:val="00173DFD"/>
    <w:rsid w:val="00180FF9"/>
    <w:rsid w:val="00181E32"/>
    <w:rsid w:val="00195228"/>
    <w:rsid w:val="00195696"/>
    <w:rsid w:val="00196532"/>
    <w:rsid w:val="001A1EFC"/>
    <w:rsid w:val="001A48EF"/>
    <w:rsid w:val="001A49CC"/>
    <w:rsid w:val="001A5553"/>
    <w:rsid w:val="001A716E"/>
    <w:rsid w:val="001B2C65"/>
    <w:rsid w:val="001B4255"/>
    <w:rsid w:val="001B7058"/>
    <w:rsid w:val="001C3A4F"/>
    <w:rsid w:val="001C4121"/>
    <w:rsid w:val="001C48DE"/>
    <w:rsid w:val="001D30C1"/>
    <w:rsid w:val="001D52E3"/>
    <w:rsid w:val="001D576F"/>
    <w:rsid w:val="001D7C29"/>
    <w:rsid w:val="001E0475"/>
    <w:rsid w:val="001E33C2"/>
    <w:rsid w:val="001F5C90"/>
    <w:rsid w:val="001F767C"/>
    <w:rsid w:val="00207321"/>
    <w:rsid w:val="00210FCF"/>
    <w:rsid w:val="00222EFF"/>
    <w:rsid w:val="002240D5"/>
    <w:rsid w:val="002261A7"/>
    <w:rsid w:val="00226AEC"/>
    <w:rsid w:val="00230148"/>
    <w:rsid w:val="002545F3"/>
    <w:rsid w:val="0026344F"/>
    <w:rsid w:val="00266A17"/>
    <w:rsid w:val="00270372"/>
    <w:rsid w:val="00275534"/>
    <w:rsid w:val="00277075"/>
    <w:rsid w:val="002775D2"/>
    <w:rsid w:val="00281ADD"/>
    <w:rsid w:val="0028563E"/>
    <w:rsid w:val="00293E0D"/>
    <w:rsid w:val="00293E80"/>
    <w:rsid w:val="002973B0"/>
    <w:rsid w:val="00297C14"/>
    <w:rsid w:val="002A220F"/>
    <w:rsid w:val="002A24F1"/>
    <w:rsid w:val="002A5778"/>
    <w:rsid w:val="002A6E3B"/>
    <w:rsid w:val="002B1E84"/>
    <w:rsid w:val="002B2085"/>
    <w:rsid w:val="002B3EC4"/>
    <w:rsid w:val="002C37D5"/>
    <w:rsid w:val="002C4DA6"/>
    <w:rsid w:val="002D239A"/>
    <w:rsid w:val="002D34DB"/>
    <w:rsid w:val="002D4B11"/>
    <w:rsid w:val="002E5633"/>
    <w:rsid w:val="002F1963"/>
    <w:rsid w:val="002F5B6E"/>
    <w:rsid w:val="002F61B5"/>
    <w:rsid w:val="002F6310"/>
    <w:rsid w:val="00300066"/>
    <w:rsid w:val="0030209B"/>
    <w:rsid w:val="003127E4"/>
    <w:rsid w:val="00313215"/>
    <w:rsid w:val="003174C3"/>
    <w:rsid w:val="0032557A"/>
    <w:rsid w:val="00340778"/>
    <w:rsid w:val="00341BA2"/>
    <w:rsid w:val="00344D2C"/>
    <w:rsid w:val="003458CE"/>
    <w:rsid w:val="00345A57"/>
    <w:rsid w:val="00346D90"/>
    <w:rsid w:val="00351F62"/>
    <w:rsid w:val="003601F4"/>
    <w:rsid w:val="003671E2"/>
    <w:rsid w:val="00372AE6"/>
    <w:rsid w:val="00376C3A"/>
    <w:rsid w:val="003837E1"/>
    <w:rsid w:val="0038584D"/>
    <w:rsid w:val="0039257F"/>
    <w:rsid w:val="003931DE"/>
    <w:rsid w:val="00397D1A"/>
    <w:rsid w:val="003A163C"/>
    <w:rsid w:val="003A2B4E"/>
    <w:rsid w:val="003A2FBB"/>
    <w:rsid w:val="003A3799"/>
    <w:rsid w:val="003A4913"/>
    <w:rsid w:val="003A54A9"/>
    <w:rsid w:val="003A7083"/>
    <w:rsid w:val="003B3103"/>
    <w:rsid w:val="003B38B3"/>
    <w:rsid w:val="003B3A97"/>
    <w:rsid w:val="003B3D44"/>
    <w:rsid w:val="003B47BC"/>
    <w:rsid w:val="003C6BB5"/>
    <w:rsid w:val="003C7CC2"/>
    <w:rsid w:val="003D50B6"/>
    <w:rsid w:val="003E05DF"/>
    <w:rsid w:val="003E1562"/>
    <w:rsid w:val="003E6085"/>
    <w:rsid w:val="003E6CA3"/>
    <w:rsid w:val="003F4C96"/>
    <w:rsid w:val="00401C49"/>
    <w:rsid w:val="00406002"/>
    <w:rsid w:val="00406AD3"/>
    <w:rsid w:val="00412E42"/>
    <w:rsid w:val="00425C05"/>
    <w:rsid w:val="00426356"/>
    <w:rsid w:val="00426929"/>
    <w:rsid w:val="0043669D"/>
    <w:rsid w:val="00442C16"/>
    <w:rsid w:val="00445410"/>
    <w:rsid w:val="00446439"/>
    <w:rsid w:val="00450BDA"/>
    <w:rsid w:val="00453A3E"/>
    <w:rsid w:val="0045452F"/>
    <w:rsid w:val="00456EC2"/>
    <w:rsid w:val="0045766B"/>
    <w:rsid w:val="0046444F"/>
    <w:rsid w:val="00474BB7"/>
    <w:rsid w:val="00476133"/>
    <w:rsid w:val="00476AB9"/>
    <w:rsid w:val="004816D7"/>
    <w:rsid w:val="0048342E"/>
    <w:rsid w:val="00487478"/>
    <w:rsid w:val="0048782D"/>
    <w:rsid w:val="00494DC1"/>
    <w:rsid w:val="004A3F56"/>
    <w:rsid w:val="004A5E21"/>
    <w:rsid w:val="004A666A"/>
    <w:rsid w:val="004B143F"/>
    <w:rsid w:val="004B3022"/>
    <w:rsid w:val="004B49A0"/>
    <w:rsid w:val="004C6306"/>
    <w:rsid w:val="004C6F5E"/>
    <w:rsid w:val="004C7E94"/>
    <w:rsid w:val="004D7CF8"/>
    <w:rsid w:val="004D7EDA"/>
    <w:rsid w:val="004E0E49"/>
    <w:rsid w:val="004E197A"/>
    <w:rsid w:val="004E5D52"/>
    <w:rsid w:val="004F07D7"/>
    <w:rsid w:val="004F1297"/>
    <w:rsid w:val="004F16DB"/>
    <w:rsid w:val="004F4D7E"/>
    <w:rsid w:val="004F5B16"/>
    <w:rsid w:val="004F5D9D"/>
    <w:rsid w:val="004F68E5"/>
    <w:rsid w:val="004F7037"/>
    <w:rsid w:val="004F741B"/>
    <w:rsid w:val="00503253"/>
    <w:rsid w:val="00503BB0"/>
    <w:rsid w:val="00503E03"/>
    <w:rsid w:val="00512226"/>
    <w:rsid w:val="00513111"/>
    <w:rsid w:val="005147C6"/>
    <w:rsid w:val="005159B1"/>
    <w:rsid w:val="00522502"/>
    <w:rsid w:val="005255A1"/>
    <w:rsid w:val="00525825"/>
    <w:rsid w:val="0052641C"/>
    <w:rsid w:val="0053795D"/>
    <w:rsid w:val="00544522"/>
    <w:rsid w:val="005468AB"/>
    <w:rsid w:val="005501A0"/>
    <w:rsid w:val="00550831"/>
    <w:rsid w:val="00554273"/>
    <w:rsid w:val="0056001A"/>
    <w:rsid w:val="005642B6"/>
    <w:rsid w:val="00571D5E"/>
    <w:rsid w:val="005823D0"/>
    <w:rsid w:val="005835D5"/>
    <w:rsid w:val="005A2748"/>
    <w:rsid w:val="005A443F"/>
    <w:rsid w:val="005A7C26"/>
    <w:rsid w:val="005B0970"/>
    <w:rsid w:val="005B58D4"/>
    <w:rsid w:val="005C0528"/>
    <w:rsid w:val="005C07B3"/>
    <w:rsid w:val="005C284E"/>
    <w:rsid w:val="005C47D4"/>
    <w:rsid w:val="005D51D0"/>
    <w:rsid w:val="005D66B0"/>
    <w:rsid w:val="005D6F83"/>
    <w:rsid w:val="005D7877"/>
    <w:rsid w:val="005D7CCF"/>
    <w:rsid w:val="005E04CF"/>
    <w:rsid w:val="005E58C4"/>
    <w:rsid w:val="005E5D8F"/>
    <w:rsid w:val="005F5A5C"/>
    <w:rsid w:val="005F5CD9"/>
    <w:rsid w:val="0060340A"/>
    <w:rsid w:val="0061135C"/>
    <w:rsid w:val="006136DD"/>
    <w:rsid w:val="006149F0"/>
    <w:rsid w:val="006220A5"/>
    <w:rsid w:val="00622D86"/>
    <w:rsid w:val="00624AC8"/>
    <w:rsid w:val="00633812"/>
    <w:rsid w:val="00633C60"/>
    <w:rsid w:val="0064126D"/>
    <w:rsid w:val="006451B8"/>
    <w:rsid w:val="00645722"/>
    <w:rsid w:val="00652432"/>
    <w:rsid w:val="00657840"/>
    <w:rsid w:val="0066003C"/>
    <w:rsid w:val="0066041E"/>
    <w:rsid w:val="00673CCC"/>
    <w:rsid w:val="00675C98"/>
    <w:rsid w:val="0069026B"/>
    <w:rsid w:val="006956EA"/>
    <w:rsid w:val="006A490C"/>
    <w:rsid w:val="006B4F7D"/>
    <w:rsid w:val="006C114C"/>
    <w:rsid w:val="006C3668"/>
    <w:rsid w:val="006C3864"/>
    <w:rsid w:val="006C5383"/>
    <w:rsid w:val="006C5E72"/>
    <w:rsid w:val="006D2AEC"/>
    <w:rsid w:val="006D4C8E"/>
    <w:rsid w:val="006E19D1"/>
    <w:rsid w:val="006E1CBB"/>
    <w:rsid w:val="006F100B"/>
    <w:rsid w:val="006F239A"/>
    <w:rsid w:val="006F2C9D"/>
    <w:rsid w:val="006F6B51"/>
    <w:rsid w:val="0070637D"/>
    <w:rsid w:val="007071DD"/>
    <w:rsid w:val="0070771F"/>
    <w:rsid w:val="00712A14"/>
    <w:rsid w:val="00714769"/>
    <w:rsid w:val="00716C04"/>
    <w:rsid w:val="00717180"/>
    <w:rsid w:val="007179D2"/>
    <w:rsid w:val="00720750"/>
    <w:rsid w:val="0072549C"/>
    <w:rsid w:val="00725A80"/>
    <w:rsid w:val="00733970"/>
    <w:rsid w:val="00741D0B"/>
    <w:rsid w:val="00754C58"/>
    <w:rsid w:val="00776E78"/>
    <w:rsid w:val="0078138A"/>
    <w:rsid w:val="00783014"/>
    <w:rsid w:val="007834DC"/>
    <w:rsid w:val="007959D8"/>
    <w:rsid w:val="0079630F"/>
    <w:rsid w:val="007A04C2"/>
    <w:rsid w:val="007B146A"/>
    <w:rsid w:val="007B57C9"/>
    <w:rsid w:val="007C0E7C"/>
    <w:rsid w:val="007C0EAA"/>
    <w:rsid w:val="007C19C3"/>
    <w:rsid w:val="007C44B2"/>
    <w:rsid w:val="007C6496"/>
    <w:rsid w:val="007C745E"/>
    <w:rsid w:val="007D0ABE"/>
    <w:rsid w:val="007E356F"/>
    <w:rsid w:val="007E3F8C"/>
    <w:rsid w:val="007F2058"/>
    <w:rsid w:val="007F7685"/>
    <w:rsid w:val="0080011D"/>
    <w:rsid w:val="00800EA5"/>
    <w:rsid w:val="00801C01"/>
    <w:rsid w:val="008112CC"/>
    <w:rsid w:val="008130BB"/>
    <w:rsid w:val="00817406"/>
    <w:rsid w:val="008237FA"/>
    <w:rsid w:val="00825D37"/>
    <w:rsid w:val="008369B0"/>
    <w:rsid w:val="008372D1"/>
    <w:rsid w:val="0084442C"/>
    <w:rsid w:val="0085732C"/>
    <w:rsid w:val="00860B45"/>
    <w:rsid w:val="008617E5"/>
    <w:rsid w:val="00863860"/>
    <w:rsid w:val="008638B5"/>
    <w:rsid w:val="008734DB"/>
    <w:rsid w:val="0087390B"/>
    <w:rsid w:val="008745A1"/>
    <w:rsid w:val="008768E9"/>
    <w:rsid w:val="0087751B"/>
    <w:rsid w:val="00881828"/>
    <w:rsid w:val="00890995"/>
    <w:rsid w:val="008914FB"/>
    <w:rsid w:val="0089737A"/>
    <w:rsid w:val="00897E99"/>
    <w:rsid w:val="008A4829"/>
    <w:rsid w:val="008B2384"/>
    <w:rsid w:val="008B38D6"/>
    <w:rsid w:val="008B4802"/>
    <w:rsid w:val="008B69E3"/>
    <w:rsid w:val="008C1D6E"/>
    <w:rsid w:val="008C1FD1"/>
    <w:rsid w:val="008C24A8"/>
    <w:rsid w:val="008C35EF"/>
    <w:rsid w:val="008C5996"/>
    <w:rsid w:val="008D5A11"/>
    <w:rsid w:val="008D5E23"/>
    <w:rsid w:val="008D77AF"/>
    <w:rsid w:val="008E6D59"/>
    <w:rsid w:val="008F30C7"/>
    <w:rsid w:val="008F5D66"/>
    <w:rsid w:val="009028AA"/>
    <w:rsid w:val="00903E3F"/>
    <w:rsid w:val="009049C3"/>
    <w:rsid w:val="009057D9"/>
    <w:rsid w:val="0090774A"/>
    <w:rsid w:val="00910D07"/>
    <w:rsid w:val="00914B2F"/>
    <w:rsid w:val="009150E6"/>
    <w:rsid w:val="00917F89"/>
    <w:rsid w:val="00924E28"/>
    <w:rsid w:val="009255EE"/>
    <w:rsid w:val="00925603"/>
    <w:rsid w:val="00925F76"/>
    <w:rsid w:val="00932E89"/>
    <w:rsid w:val="0093359D"/>
    <w:rsid w:val="00933F2B"/>
    <w:rsid w:val="00942EEB"/>
    <w:rsid w:val="0094468E"/>
    <w:rsid w:val="00945261"/>
    <w:rsid w:val="009506A5"/>
    <w:rsid w:val="009541CC"/>
    <w:rsid w:val="00956564"/>
    <w:rsid w:val="009567A6"/>
    <w:rsid w:val="00956D5A"/>
    <w:rsid w:val="00961B2C"/>
    <w:rsid w:val="00961DBB"/>
    <w:rsid w:val="0096618E"/>
    <w:rsid w:val="00981433"/>
    <w:rsid w:val="0098222F"/>
    <w:rsid w:val="00983570"/>
    <w:rsid w:val="00985C07"/>
    <w:rsid w:val="00991CEE"/>
    <w:rsid w:val="00995B4F"/>
    <w:rsid w:val="00997582"/>
    <w:rsid w:val="009A2C21"/>
    <w:rsid w:val="009A3E58"/>
    <w:rsid w:val="009A5F02"/>
    <w:rsid w:val="009A7AB1"/>
    <w:rsid w:val="009C6DAA"/>
    <w:rsid w:val="009D0E74"/>
    <w:rsid w:val="009D1A96"/>
    <w:rsid w:val="009D370B"/>
    <w:rsid w:val="009E2087"/>
    <w:rsid w:val="009E252B"/>
    <w:rsid w:val="009E3265"/>
    <w:rsid w:val="009E3353"/>
    <w:rsid w:val="009E446D"/>
    <w:rsid w:val="009E7C09"/>
    <w:rsid w:val="009F146D"/>
    <w:rsid w:val="009F4F1E"/>
    <w:rsid w:val="00A015E4"/>
    <w:rsid w:val="00A075BC"/>
    <w:rsid w:val="00A11222"/>
    <w:rsid w:val="00A12C39"/>
    <w:rsid w:val="00A134FB"/>
    <w:rsid w:val="00A20802"/>
    <w:rsid w:val="00A25B4F"/>
    <w:rsid w:val="00A27E8B"/>
    <w:rsid w:val="00A357CB"/>
    <w:rsid w:val="00A442BF"/>
    <w:rsid w:val="00A517D0"/>
    <w:rsid w:val="00A53716"/>
    <w:rsid w:val="00A5629E"/>
    <w:rsid w:val="00A64832"/>
    <w:rsid w:val="00A732DB"/>
    <w:rsid w:val="00A838D2"/>
    <w:rsid w:val="00A86F04"/>
    <w:rsid w:val="00A946C4"/>
    <w:rsid w:val="00AC01F8"/>
    <w:rsid w:val="00AC059A"/>
    <w:rsid w:val="00AC41CF"/>
    <w:rsid w:val="00AD0308"/>
    <w:rsid w:val="00AD377A"/>
    <w:rsid w:val="00AD51AF"/>
    <w:rsid w:val="00AD67BB"/>
    <w:rsid w:val="00AE1CC1"/>
    <w:rsid w:val="00AE3EA4"/>
    <w:rsid w:val="00AE4FD2"/>
    <w:rsid w:val="00AF1B02"/>
    <w:rsid w:val="00AF41E4"/>
    <w:rsid w:val="00AF568A"/>
    <w:rsid w:val="00B06A75"/>
    <w:rsid w:val="00B06BC3"/>
    <w:rsid w:val="00B15A0F"/>
    <w:rsid w:val="00B20236"/>
    <w:rsid w:val="00B20937"/>
    <w:rsid w:val="00B220A0"/>
    <w:rsid w:val="00B22B64"/>
    <w:rsid w:val="00B22FEA"/>
    <w:rsid w:val="00B24321"/>
    <w:rsid w:val="00B30FEB"/>
    <w:rsid w:val="00B311BA"/>
    <w:rsid w:val="00B35B47"/>
    <w:rsid w:val="00B40AA3"/>
    <w:rsid w:val="00B41668"/>
    <w:rsid w:val="00B44478"/>
    <w:rsid w:val="00B4609C"/>
    <w:rsid w:val="00B6002C"/>
    <w:rsid w:val="00B620EE"/>
    <w:rsid w:val="00B81789"/>
    <w:rsid w:val="00B85366"/>
    <w:rsid w:val="00B87F60"/>
    <w:rsid w:val="00B93D3D"/>
    <w:rsid w:val="00BA471F"/>
    <w:rsid w:val="00BB5013"/>
    <w:rsid w:val="00BB528E"/>
    <w:rsid w:val="00BB615A"/>
    <w:rsid w:val="00BC2600"/>
    <w:rsid w:val="00BC36F0"/>
    <w:rsid w:val="00BC3E99"/>
    <w:rsid w:val="00BC4FA7"/>
    <w:rsid w:val="00BC5E30"/>
    <w:rsid w:val="00BD02C5"/>
    <w:rsid w:val="00BD068D"/>
    <w:rsid w:val="00BE0D9A"/>
    <w:rsid w:val="00BE1A50"/>
    <w:rsid w:val="00BE2F0D"/>
    <w:rsid w:val="00BF0BD5"/>
    <w:rsid w:val="00BF301F"/>
    <w:rsid w:val="00BF55F8"/>
    <w:rsid w:val="00C051FD"/>
    <w:rsid w:val="00C14A9C"/>
    <w:rsid w:val="00C20C7D"/>
    <w:rsid w:val="00C20DEF"/>
    <w:rsid w:val="00C21170"/>
    <w:rsid w:val="00C24B25"/>
    <w:rsid w:val="00C24E89"/>
    <w:rsid w:val="00C253F3"/>
    <w:rsid w:val="00C32C2F"/>
    <w:rsid w:val="00C3738A"/>
    <w:rsid w:val="00C4315A"/>
    <w:rsid w:val="00C43F5E"/>
    <w:rsid w:val="00C44074"/>
    <w:rsid w:val="00C44101"/>
    <w:rsid w:val="00C4651F"/>
    <w:rsid w:val="00C51D0B"/>
    <w:rsid w:val="00C52207"/>
    <w:rsid w:val="00C52A50"/>
    <w:rsid w:val="00C642D4"/>
    <w:rsid w:val="00C730F4"/>
    <w:rsid w:val="00C80200"/>
    <w:rsid w:val="00C80E0A"/>
    <w:rsid w:val="00C8270B"/>
    <w:rsid w:val="00C841A9"/>
    <w:rsid w:val="00C847F2"/>
    <w:rsid w:val="00C8728F"/>
    <w:rsid w:val="00C97FBC"/>
    <w:rsid w:val="00CA06C8"/>
    <w:rsid w:val="00CA0B7E"/>
    <w:rsid w:val="00CA4C28"/>
    <w:rsid w:val="00CA5598"/>
    <w:rsid w:val="00CA5EF8"/>
    <w:rsid w:val="00CB28A3"/>
    <w:rsid w:val="00CC00A0"/>
    <w:rsid w:val="00CC0FED"/>
    <w:rsid w:val="00CC3C34"/>
    <w:rsid w:val="00CC5455"/>
    <w:rsid w:val="00CC6C06"/>
    <w:rsid w:val="00CD1526"/>
    <w:rsid w:val="00CD2324"/>
    <w:rsid w:val="00CD5509"/>
    <w:rsid w:val="00CE1EB0"/>
    <w:rsid w:val="00CE3DF2"/>
    <w:rsid w:val="00CF0C0F"/>
    <w:rsid w:val="00CF1690"/>
    <w:rsid w:val="00CF1F2A"/>
    <w:rsid w:val="00CF5CE3"/>
    <w:rsid w:val="00CF7412"/>
    <w:rsid w:val="00D030F8"/>
    <w:rsid w:val="00D077B7"/>
    <w:rsid w:val="00D20297"/>
    <w:rsid w:val="00D21E6B"/>
    <w:rsid w:val="00D2336A"/>
    <w:rsid w:val="00D23634"/>
    <w:rsid w:val="00D34551"/>
    <w:rsid w:val="00D457D6"/>
    <w:rsid w:val="00D52089"/>
    <w:rsid w:val="00D64CE2"/>
    <w:rsid w:val="00D7751B"/>
    <w:rsid w:val="00D815DC"/>
    <w:rsid w:val="00D822B5"/>
    <w:rsid w:val="00D83D3C"/>
    <w:rsid w:val="00D867AE"/>
    <w:rsid w:val="00D87BBB"/>
    <w:rsid w:val="00D87C87"/>
    <w:rsid w:val="00D921C4"/>
    <w:rsid w:val="00D9296A"/>
    <w:rsid w:val="00D93C23"/>
    <w:rsid w:val="00D95638"/>
    <w:rsid w:val="00D9584C"/>
    <w:rsid w:val="00DA14D9"/>
    <w:rsid w:val="00DB13AD"/>
    <w:rsid w:val="00DB23F9"/>
    <w:rsid w:val="00DB58BE"/>
    <w:rsid w:val="00DB6176"/>
    <w:rsid w:val="00DB6AA0"/>
    <w:rsid w:val="00DB7C3A"/>
    <w:rsid w:val="00DD32AB"/>
    <w:rsid w:val="00DD4B54"/>
    <w:rsid w:val="00DD5BF6"/>
    <w:rsid w:val="00DD73E2"/>
    <w:rsid w:val="00DE1865"/>
    <w:rsid w:val="00DE6CEF"/>
    <w:rsid w:val="00DF11C2"/>
    <w:rsid w:val="00DF2134"/>
    <w:rsid w:val="00DF4593"/>
    <w:rsid w:val="00E07036"/>
    <w:rsid w:val="00E10D05"/>
    <w:rsid w:val="00E2223E"/>
    <w:rsid w:val="00E22D98"/>
    <w:rsid w:val="00E24623"/>
    <w:rsid w:val="00E252E3"/>
    <w:rsid w:val="00E40505"/>
    <w:rsid w:val="00E42A41"/>
    <w:rsid w:val="00E45766"/>
    <w:rsid w:val="00E567E5"/>
    <w:rsid w:val="00E64480"/>
    <w:rsid w:val="00E6708B"/>
    <w:rsid w:val="00E73A8C"/>
    <w:rsid w:val="00E75050"/>
    <w:rsid w:val="00E76F42"/>
    <w:rsid w:val="00E77BE7"/>
    <w:rsid w:val="00E77D6D"/>
    <w:rsid w:val="00E915E6"/>
    <w:rsid w:val="00EA3E11"/>
    <w:rsid w:val="00EA6EB3"/>
    <w:rsid w:val="00EB4A8E"/>
    <w:rsid w:val="00EB5EF3"/>
    <w:rsid w:val="00EB695D"/>
    <w:rsid w:val="00EC38F3"/>
    <w:rsid w:val="00ED39CE"/>
    <w:rsid w:val="00ED4134"/>
    <w:rsid w:val="00EE05F1"/>
    <w:rsid w:val="00EE471A"/>
    <w:rsid w:val="00EE5492"/>
    <w:rsid w:val="00EF0A00"/>
    <w:rsid w:val="00F076CA"/>
    <w:rsid w:val="00F07BD5"/>
    <w:rsid w:val="00F122D6"/>
    <w:rsid w:val="00F15BF4"/>
    <w:rsid w:val="00F17940"/>
    <w:rsid w:val="00F17DC0"/>
    <w:rsid w:val="00F2046C"/>
    <w:rsid w:val="00F20647"/>
    <w:rsid w:val="00F31392"/>
    <w:rsid w:val="00F348B5"/>
    <w:rsid w:val="00F3652B"/>
    <w:rsid w:val="00F377B9"/>
    <w:rsid w:val="00F45442"/>
    <w:rsid w:val="00F5145E"/>
    <w:rsid w:val="00F558EA"/>
    <w:rsid w:val="00F613CB"/>
    <w:rsid w:val="00F61F79"/>
    <w:rsid w:val="00F656A4"/>
    <w:rsid w:val="00F6665E"/>
    <w:rsid w:val="00F7075F"/>
    <w:rsid w:val="00F71D76"/>
    <w:rsid w:val="00F8349F"/>
    <w:rsid w:val="00F83FB7"/>
    <w:rsid w:val="00F85935"/>
    <w:rsid w:val="00F85D29"/>
    <w:rsid w:val="00F969D3"/>
    <w:rsid w:val="00FA190E"/>
    <w:rsid w:val="00FA54D8"/>
    <w:rsid w:val="00FC4FB7"/>
    <w:rsid w:val="00FD1EE0"/>
    <w:rsid w:val="00FD357B"/>
    <w:rsid w:val="00FD38FC"/>
    <w:rsid w:val="00FD6119"/>
    <w:rsid w:val="00FD688E"/>
    <w:rsid w:val="00FD7C0C"/>
    <w:rsid w:val="00FE045C"/>
    <w:rsid w:val="00FE0C52"/>
    <w:rsid w:val="00FE1692"/>
    <w:rsid w:val="00FE3B13"/>
    <w:rsid w:val="00FF0566"/>
    <w:rsid w:val="00FF1ABD"/>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iPriority="39" w:unhideWhenUsed="0"/>
    <w:lsdException w:name="heading 1" w:semiHidden="0" w:uiPriority="1" w:unhideWhenUsed="0" w:qFormat="1"/>
    <w:lsdException w:name="heading 2" w:uiPriority="2" w:qFormat="1"/>
    <w:lsdException w:name="heading 3" w:uiPriority="3" w:qFormat="1"/>
    <w:lsdException w:name="heading 4" w:uiPriority="4" w:qFormat="1"/>
    <w:lsdException w:name="heading 5" w:uiPriority="39"/>
    <w:lsdException w:name="heading 6" w:uiPriority="39"/>
    <w:lsdException w:name="heading 7" w:qFormat="1"/>
    <w:lsdException w:name="heading 8" w:uiPriority="31" w:qFormat="1"/>
    <w:lsdException w:name="heading 9" w:uiPriority="32"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99"/>
    <w:lsdException w:name="header" w:uiPriority="99"/>
    <w:lsdException w:name="footer" w:uiPriority="39"/>
    <w:lsdException w:name="caption" w:uiPriority="13" w:qFormat="1"/>
    <w:lsdException w:name="table of figures" w:semiHidden="0" w:uiPriority="39" w:unhideWhenUsed="0"/>
    <w:lsdException w:name="footnote reference" w:uiPriority="99"/>
    <w:lsdException w:name="List Bullet" w:qFormat="1"/>
    <w:lsdException w:name="List Number" w:uiPriority="10" w:qFormat="1"/>
    <w:lsdException w:name="List Bullet 2" w:qFormat="1"/>
    <w:lsdException w:name="List Bullet 3" w:qFormat="1"/>
    <w:lsdException w:name="List Number 2" w:uiPriority="11" w:qFormat="1"/>
    <w:lsdException w:name="List Number 3" w:uiPriority="12" w:qFormat="1"/>
    <w:lsdException w:name="Title" w:semiHidden="0" w:uiPriority="39" w:unhideWhenUsed="0" w:qFormat="1"/>
    <w:lsdException w:name="Default Paragraph Font" w:uiPriority="1"/>
    <w:lsdException w:name="Body Text" w:uiPriority="5" w:qFormat="1"/>
    <w:lsdException w:name="List Continue" w:qFormat="1"/>
    <w:lsdException w:name="List Continue 2" w:qFormat="1"/>
    <w:lsdException w:name="Subtitle" w:semiHidden="0" w:uiPriority="39"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39" w:unhideWhenUsed="0"/>
    <w:lsdException w:name="No Spacing"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iPriority="39"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9"/>
    <w:lsdException w:name="TOC Heading" w:uiPriority="39" w:qFormat="1"/>
  </w:latentStyles>
  <w:style w:type="paragraph" w:default="1" w:styleId="Normal">
    <w:name w:val="Normal"/>
    <w:uiPriority w:val="39"/>
    <w:rsid w:val="00341BA2"/>
  </w:style>
  <w:style w:type="paragraph" w:styleId="Heading1">
    <w:name w:val="heading 1"/>
    <w:basedOn w:val="Normal"/>
    <w:next w:val="BodyText"/>
    <w:link w:val="Heading1Char"/>
    <w:uiPriority w:val="1"/>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99"/>
    <w:rsid w:val="0089737A"/>
    <w:rPr>
      <w:kern w:val="16"/>
      <w:sz w:val="18"/>
    </w:rPr>
  </w:style>
  <w:style w:type="character" w:styleId="FootnoteReference">
    <w:name w:val="footnote reference"/>
    <w:basedOn w:val="DefaultParagraphFont"/>
    <w:uiPriority w:val="9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112F1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112F1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8C1D6E"/>
    <w:pPr>
      <w:keepNext/>
      <w:keepLines/>
      <w:tabs>
        <w:tab w:val="left" w:pos="1559"/>
        <w:tab w:val="left" w:pos="1843"/>
        <w:tab w:val="left" w:pos="2126"/>
        <w:tab w:val="left" w:pos="2410"/>
      </w:tabs>
      <w:spacing w:before="470" w:after="227"/>
    </w:pPr>
    <w:rPr>
      <w:rFonts w:ascii="Calibri" w:hAnsi="Calibri"/>
      <w:b/>
      <w:color w:val="2B3B5F" w:themeColor="text2"/>
      <w:sz w:val="24"/>
    </w:rPr>
  </w:style>
  <w:style w:type="paragraph" w:customStyle="1" w:styleId="AttachmentHeading3">
    <w:name w:val="Attachment Heading 3"/>
    <w:basedOn w:val="Normal"/>
    <w:next w:val="BodyText"/>
    <w:uiPriority w:val="34"/>
    <w:qFormat/>
    <w:rsid w:val="008C1D6E"/>
    <w:pPr>
      <w:keepNext/>
      <w:keepLines/>
      <w:tabs>
        <w:tab w:val="left" w:pos="1559"/>
        <w:tab w:val="left" w:pos="1843"/>
        <w:tab w:val="left" w:pos="2126"/>
        <w:tab w:val="left" w:pos="2410"/>
        <w:tab w:val="left" w:pos="6804"/>
      </w:tabs>
      <w:spacing w:before="227" w:after="113"/>
    </w:pPr>
    <w:rPr>
      <w:i/>
      <w:color w:val="2B3B5F" w:themeColor="text2"/>
      <w:sz w:val="24"/>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qFormat/>
    <w:rsid w:val="00476133"/>
    <w:pPr>
      <w:keepLines/>
      <w:numPr>
        <w:numId w:val="2"/>
      </w:numPr>
      <w:spacing w:after="120"/>
    </w:pPr>
    <w:rPr>
      <w:spacing w:val="-1"/>
    </w:rPr>
  </w:style>
  <w:style w:type="paragraph" w:styleId="ListBullet2">
    <w:name w:val="List Bullet 2"/>
    <w:basedOn w:val="ListBullet"/>
    <w:qFormat/>
    <w:rsid w:val="00476133"/>
    <w:pPr>
      <w:numPr>
        <w:ilvl w:val="1"/>
      </w:numPr>
      <w:ind w:left="908" w:hanging="454"/>
    </w:pPr>
  </w:style>
  <w:style w:type="paragraph" w:styleId="ListBullet3">
    <w:name w:val="List Bullet 3"/>
    <w:basedOn w:val="ListBullet2"/>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181E32"/>
    <w:pPr>
      <w:spacing w:line="240" w:lineRule="auto"/>
    </w:pPr>
    <w:rPr>
      <w:sz w:val="20"/>
    </w:r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blStylePr w:type="firstRow">
      <w:pPr>
        <w:spacing w:before="0" w:after="0" w:line="240" w:lineRule="auto"/>
        <w:jc w:val="right"/>
      </w:pPr>
      <w:rPr>
        <w:rFonts w:ascii="Calibri" w:eastAsiaTheme="majorEastAsia" w:hAnsi="Calibri" w:cstheme="majorBidi"/>
        <w:b w:val="0"/>
        <w:bCs/>
        <w:sz w:val="20"/>
      </w:rPr>
      <w:tblPr/>
      <w:tcPr>
        <w:shd w:val="clear" w:color="auto" w:fill="D7DDE9" w:themeFill="accent3"/>
      </w:tcPr>
    </w:tblStylePr>
    <w:tblStylePr w:type="lastRow">
      <w:pPr>
        <w:spacing w:before="0" w:after="0" w:line="240" w:lineRule="auto"/>
      </w:pPr>
      <w:rPr>
        <w:rFonts w:ascii="Calibri" w:eastAsiaTheme="majorEastAsia" w:hAnsi="Calibri" w:cstheme="majorBidi"/>
        <w:b/>
        <w:bCs/>
        <w:sz w:val="20"/>
      </w:rPr>
      <w:tblPr/>
      <w:tcPr>
        <w:shd w:val="clear" w:color="auto" w:fill="D7DDE9" w:themeFill="accent3"/>
      </w:tcPr>
    </w:tblStylePr>
    <w:tblStylePr w:type="firstCol">
      <w:pPr>
        <w:jc w:val="left"/>
      </w:pPr>
      <w:rPr>
        <w:rFonts w:ascii="Calibri" w:eastAsiaTheme="majorEastAsia" w:hAnsi="Calibri" w:cstheme="majorBidi"/>
        <w:b w:val="0"/>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lastCol">
      <w:pPr>
        <w:jc w:val="right"/>
      </w:pPr>
      <w:rPr>
        <w:rFonts w:ascii="Calibri" w:eastAsiaTheme="majorEastAsia" w:hAnsi="Calibri" w:cstheme="majorBidi"/>
        <w:b/>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band1Vert">
      <w:pPr>
        <w:jc w:val="right"/>
      </w:pPr>
      <w:rPr>
        <w:rFonts w:ascii="Calibri" w:hAnsi="Calibri"/>
        <w:sz w:val="20"/>
      </w:rPr>
      <w:tblPr/>
      <w:tcPr>
        <w:vAlign w:val="center"/>
      </w:tcPr>
    </w:tblStylePr>
    <w:tblStylePr w:type="band2Vert">
      <w:pPr>
        <w:jc w:val="right"/>
      </w:pPr>
      <w:tblPr/>
      <w:tcPr>
        <w:vAlign w:val="center"/>
      </w:tcPr>
    </w:tblStylePr>
    <w:tblStylePr w:type="band1Horz">
      <w:pPr>
        <w:jc w:val="right"/>
      </w:pPr>
      <w:rPr>
        <w:rFonts w:ascii="Calibri" w:hAnsi="Calibri"/>
        <w:sz w:val="20"/>
      </w:rPr>
      <w:tblPr/>
      <w:tcPr>
        <w:vAlign w:val="center"/>
      </w:tcPr>
    </w:tblStylePr>
    <w:tblStylePr w:type="band2Horz">
      <w:pPr>
        <w:jc w:val="right"/>
      </w:pPr>
      <w:rPr>
        <w:rFonts w:ascii="Calibri" w:hAnsi="Calibri"/>
        <w:sz w:val="20"/>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vAlign w:val="center"/>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Letterbullet">
    <w:name w:val="Letter bullet"/>
    <w:basedOn w:val="Lettertext"/>
    <w:uiPriority w:val="1"/>
    <w:qFormat/>
    <w:rsid w:val="00112F1F"/>
    <w:pPr>
      <w:numPr>
        <w:numId w:val="13"/>
      </w:numPr>
      <w:ind w:left="284" w:hanging="284"/>
    </w:pPr>
  </w:style>
  <w:style w:type="table" w:styleId="MediumShading1-Accent3">
    <w:name w:val="Medium Shading 1 Accent 3"/>
    <w:basedOn w:val="TableNormal"/>
    <w:uiPriority w:val="63"/>
    <w:rsid w:val="005C0528"/>
    <w:pPr>
      <w:spacing w:line="240" w:lineRule="auto"/>
      <w:jc w:val="right"/>
    </w:p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cPr>
      <w:vAlign w:val="center"/>
    </w:tcPr>
    <w:tblStylePr w:type="firstRow">
      <w:pPr>
        <w:spacing w:before="0" w:after="0" w:line="240" w:lineRule="auto"/>
      </w:pPr>
      <w:rPr>
        <w:rFonts w:ascii="Calibri" w:hAnsi="Calibri"/>
        <w:b/>
        <w:bCs/>
        <w:color w:val="000000" w:themeColor="text1"/>
        <w:sz w:val="20"/>
      </w:rPr>
      <w:tblPr/>
      <w:tcPr>
        <w:tcBorders>
          <w:top w:val="single" w:sz="8" w:space="0" w:color="E0E5EE" w:themeColor="accent3" w:themeTint="BF"/>
          <w:left w:val="single" w:sz="8" w:space="0" w:color="E0E5EE" w:themeColor="accent3" w:themeTint="BF"/>
          <w:bottom w:val="single" w:sz="8" w:space="0" w:color="E0E5EE" w:themeColor="accent3" w:themeTint="BF"/>
          <w:right w:val="single" w:sz="8" w:space="0" w:color="E0E5EE" w:themeColor="accent3" w:themeTint="BF"/>
          <w:insideH w:val="nil"/>
          <w:insideV w:val="nil"/>
        </w:tcBorders>
        <w:shd w:val="clear" w:color="auto" w:fill="D7DDE9" w:themeFill="accent3"/>
      </w:tcPr>
    </w:tblStylePr>
    <w:tblStylePr w:type="lastRow">
      <w:pPr>
        <w:spacing w:before="0" w:after="0" w:line="240" w:lineRule="auto"/>
      </w:pPr>
      <w:rPr>
        <w:rFonts w:ascii="Calibri" w:hAnsi="Calibri"/>
        <w:b/>
        <w:bCs/>
        <w:sz w:val="20"/>
      </w:rPr>
    </w:tblStylePr>
    <w:tblStylePr w:type="firstCol">
      <w:pPr>
        <w:jc w:val="left"/>
      </w:pPr>
      <w:rPr>
        <w:rFonts w:ascii="Calibri" w:hAnsi="Calibri"/>
        <w:b/>
        <w:bCs/>
        <w:sz w:val="20"/>
      </w:rPr>
    </w:tblStylePr>
    <w:tblStylePr w:type="lastCol">
      <w:pPr>
        <w:jc w:val="right"/>
      </w:pPr>
      <w:rPr>
        <w:rFonts w:ascii="Calibri" w:hAnsi="Calibri"/>
        <w:b/>
        <w:bCs/>
        <w:sz w:val="20"/>
      </w:rPr>
    </w:tblStylePr>
    <w:tblStylePr w:type="band1Vert">
      <w:rPr>
        <w:rFonts w:ascii="Calibri" w:hAnsi="Calibri"/>
        <w:sz w:val="20"/>
      </w:rPr>
    </w:tblStylePr>
    <w:tblStylePr w:type="band1Horz">
      <w:rPr>
        <w:rFonts w:ascii="Calibri" w:hAnsi="Calibri"/>
        <w:sz w:val="20"/>
      </w:rPr>
    </w:tblStylePr>
    <w:tblStylePr w:type="band2Horz">
      <w:rPr>
        <w:rFonts w:ascii="Calibri" w:hAnsi="Calibri"/>
        <w:sz w:val="20"/>
      </w:rPr>
      <w:tblPr/>
      <w:tcPr>
        <w:tcBorders>
          <w:insideH w:val="nil"/>
          <w:insideV w:val="nil"/>
        </w:tcBorders>
      </w:tcPr>
    </w:tblStylePr>
  </w:style>
  <w:style w:type="table" w:styleId="LightGrid-Accent1">
    <w:name w:val="Light Grid Accent 1"/>
    <w:basedOn w:val="TableNormal"/>
    <w:uiPriority w:val="62"/>
    <w:rsid w:val="005C0528"/>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insideH w:val="single" w:sz="8" w:space="0" w:color="2B3B5F" w:themeColor="accent1"/>
        <w:insideV w:val="single" w:sz="8" w:space="0" w:color="2B3B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18" w:space="0" w:color="2B3B5F" w:themeColor="accent1"/>
          <w:right w:val="single" w:sz="8" w:space="0" w:color="2B3B5F" w:themeColor="accent1"/>
          <w:insideH w:val="nil"/>
          <w:insideV w:val="single" w:sz="8" w:space="0" w:color="2B3B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insideH w:val="nil"/>
          <w:insideV w:val="single" w:sz="8" w:space="0" w:color="2B3B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shd w:val="clear" w:color="auto" w:fill="BFCAE2" w:themeFill="accent1" w:themeFillTint="3F"/>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shd w:val="clear" w:color="auto" w:fill="BFCAE2" w:themeFill="accent1" w:themeFillTint="3F"/>
      </w:tcPr>
    </w:tblStylePr>
    <w:tblStylePr w:type="band2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tcPr>
    </w:tblStylePr>
  </w:style>
  <w:style w:type="table" w:styleId="LightShading">
    <w:name w:val="Light Shading"/>
    <w:basedOn w:val="TableNormal"/>
    <w:uiPriority w:val="60"/>
    <w:rsid w:val="005C052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0528"/>
    <w:pPr>
      <w:spacing w:line="240" w:lineRule="auto"/>
    </w:pPr>
    <w:rPr>
      <w:color w:val="202C47" w:themeColor="accent1" w:themeShade="BF"/>
    </w:rPr>
    <w:tblPr>
      <w:tblStyleRowBandSize w:val="1"/>
      <w:tblStyleColBandSize w:val="1"/>
      <w:tblBorders>
        <w:top w:val="single" w:sz="8" w:space="0" w:color="2B3B5F" w:themeColor="accent1"/>
        <w:bottom w:val="single" w:sz="8" w:space="0" w:color="2B3B5F" w:themeColor="accent1"/>
      </w:tblBorders>
    </w:tblPr>
    <w:tblStylePr w:type="fir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la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AE2" w:themeFill="accent1" w:themeFillTint="3F"/>
      </w:tcPr>
    </w:tblStylePr>
    <w:tblStylePr w:type="band1Horz">
      <w:tblPr/>
      <w:tcPr>
        <w:tcBorders>
          <w:left w:val="nil"/>
          <w:right w:val="nil"/>
          <w:insideH w:val="nil"/>
          <w:insideV w:val="nil"/>
        </w:tcBorders>
        <w:shd w:val="clear" w:color="auto" w:fill="BFCAE2" w:themeFill="accent1" w:themeFillTint="3F"/>
      </w:tcPr>
    </w:tblStylePr>
  </w:style>
  <w:style w:type="table" w:styleId="LightShading-Accent2">
    <w:name w:val="Light Shading Accent 2"/>
    <w:basedOn w:val="TableNormal"/>
    <w:uiPriority w:val="60"/>
    <w:rsid w:val="005C0528"/>
    <w:pPr>
      <w:spacing w:line="240" w:lineRule="auto"/>
    </w:pPr>
    <w:rPr>
      <w:color w:val="5C73A7" w:themeColor="accent2" w:themeShade="BF"/>
    </w:rPr>
    <w:tblPr>
      <w:tblStyleRowBandSize w:val="1"/>
      <w:tblStyleColBandSize w:val="1"/>
      <w:tblBorders>
        <w:top w:val="single" w:sz="8" w:space="0" w:color="95A4C6" w:themeColor="accent2"/>
        <w:bottom w:val="single" w:sz="8" w:space="0" w:color="95A4C6" w:themeColor="accent2"/>
      </w:tblBorders>
    </w:tblPr>
    <w:tblStylePr w:type="fir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la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F1" w:themeFill="accent2" w:themeFillTint="3F"/>
      </w:tcPr>
    </w:tblStylePr>
    <w:tblStylePr w:type="band1Horz">
      <w:tblPr/>
      <w:tcPr>
        <w:tcBorders>
          <w:left w:val="nil"/>
          <w:right w:val="nil"/>
          <w:insideH w:val="nil"/>
          <w:insideV w:val="nil"/>
        </w:tcBorders>
        <w:shd w:val="clear" w:color="auto" w:fill="E4E8F1" w:themeFill="accent2" w:themeFillTint="3F"/>
      </w:tcPr>
    </w:tblStylePr>
  </w:style>
  <w:style w:type="table" w:styleId="LightGrid">
    <w:name w:val="Light Grid"/>
    <w:basedOn w:val="TableNormal"/>
    <w:uiPriority w:val="62"/>
    <w:rsid w:val="005C052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5C0528"/>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insideH w:val="single" w:sz="8" w:space="0" w:color="95A4C6" w:themeColor="accent2"/>
        <w:insideV w:val="single" w:sz="8" w:space="0" w:color="95A4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18" w:space="0" w:color="95A4C6" w:themeColor="accent2"/>
          <w:right w:val="single" w:sz="8" w:space="0" w:color="95A4C6" w:themeColor="accent2"/>
          <w:insideH w:val="nil"/>
          <w:insideV w:val="single" w:sz="8" w:space="0" w:color="95A4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insideH w:val="nil"/>
          <w:insideV w:val="single" w:sz="8" w:space="0" w:color="95A4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shd w:val="clear" w:color="auto" w:fill="E4E8F1" w:themeFill="accent2" w:themeFillTint="3F"/>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shd w:val="clear" w:color="auto" w:fill="E4E8F1" w:themeFill="accent2" w:themeFillTint="3F"/>
      </w:tcPr>
    </w:tblStylePr>
    <w:tblStylePr w:type="band2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tcPr>
    </w:tblStylePr>
  </w:style>
  <w:style w:type="table" w:customStyle="1" w:styleId="LightGrid-Accent61">
    <w:name w:val="Light Grid - Accent 61"/>
    <w:basedOn w:val="TableNormal"/>
    <w:next w:val="LightGrid-Accent6"/>
    <w:uiPriority w:val="62"/>
    <w:rsid w:val="00341BA2"/>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character" w:customStyle="1" w:styleId="FootnotesChar">
    <w:name w:val="Footnotes Char"/>
    <w:basedOn w:val="DefaultParagraphFont"/>
    <w:link w:val="Footnotes"/>
    <w:locked/>
    <w:rsid w:val="00341BA2"/>
  </w:style>
  <w:style w:type="paragraph" w:customStyle="1" w:styleId="Footnotes">
    <w:name w:val="Footnotes"/>
    <w:basedOn w:val="Normal"/>
    <w:link w:val="FootnotesChar"/>
    <w:rsid w:val="00341BA2"/>
    <w:pPr>
      <w:numPr>
        <w:numId w:val="14"/>
      </w:numPr>
      <w:spacing w:before="113" w:line="260" w:lineRule="atLeast"/>
    </w:pPr>
  </w:style>
  <w:style w:type="paragraph" w:customStyle="1" w:styleId="Bullet1">
    <w:name w:val="Bullet 1"/>
    <w:basedOn w:val="ListBullet"/>
    <w:link w:val="Bullet1Char"/>
    <w:qFormat/>
    <w:rsid w:val="00341BA2"/>
    <w:pPr>
      <w:numPr>
        <w:numId w:val="0"/>
      </w:numPr>
      <w:spacing w:after="113"/>
      <w:ind w:left="360" w:hanging="360"/>
    </w:pPr>
    <w:rPr>
      <w:rFonts w:eastAsia="Times New Roman" w:cs="Times New Roman"/>
      <w:spacing w:val="0"/>
      <w:lang w:eastAsia="en-AU"/>
    </w:rPr>
  </w:style>
  <w:style w:type="character" w:customStyle="1" w:styleId="Bullet1Char">
    <w:name w:val="Bullet 1 Char"/>
    <w:basedOn w:val="DefaultParagraphFont"/>
    <w:link w:val="Bullet1"/>
    <w:rsid w:val="00341BA2"/>
    <w:rPr>
      <w:rFonts w:eastAsia="Times New Roman" w:cs="Times New Roman"/>
      <w:lang w:eastAsia="en-AU"/>
    </w:rPr>
  </w:style>
  <w:style w:type="character" w:styleId="CommentReference">
    <w:name w:val="annotation reference"/>
    <w:basedOn w:val="DefaultParagraphFont"/>
    <w:semiHidden/>
    <w:unhideWhenUsed/>
    <w:rsid w:val="00341BA2"/>
    <w:rPr>
      <w:sz w:val="16"/>
      <w:szCs w:val="16"/>
    </w:rPr>
  </w:style>
  <w:style w:type="paragraph" w:styleId="CommentText">
    <w:name w:val="annotation text"/>
    <w:basedOn w:val="Normal"/>
    <w:link w:val="CommentTextChar"/>
    <w:semiHidden/>
    <w:unhideWhenUsed/>
    <w:rsid w:val="00341BA2"/>
    <w:pPr>
      <w:spacing w:line="240" w:lineRule="auto"/>
    </w:pPr>
    <w:rPr>
      <w:sz w:val="20"/>
      <w:szCs w:val="20"/>
    </w:rPr>
  </w:style>
  <w:style w:type="character" w:customStyle="1" w:styleId="CommentTextChar">
    <w:name w:val="Comment Text Char"/>
    <w:basedOn w:val="DefaultParagraphFont"/>
    <w:link w:val="CommentText"/>
    <w:semiHidden/>
    <w:rsid w:val="00341BA2"/>
    <w:rPr>
      <w:sz w:val="20"/>
      <w:szCs w:val="20"/>
    </w:rPr>
  </w:style>
  <w:style w:type="paragraph" w:styleId="CommentSubject">
    <w:name w:val="annotation subject"/>
    <w:basedOn w:val="CommentText"/>
    <w:next w:val="CommentText"/>
    <w:link w:val="CommentSubjectChar"/>
    <w:semiHidden/>
    <w:unhideWhenUsed/>
    <w:rsid w:val="00341BA2"/>
    <w:rPr>
      <w:b/>
      <w:bCs/>
    </w:rPr>
  </w:style>
  <w:style w:type="character" w:customStyle="1" w:styleId="CommentSubjectChar">
    <w:name w:val="Comment Subject Char"/>
    <w:basedOn w:val="CommentTextChar"/>
    <w:link w:val="CommentSubject"/>
    <w:semiHidden/>
    <w:rsid w:val="00341BA2"/>
    <w:rPr>
      <w:b/>
      <w:bCs/>
      <w:sz w:val="20"/>
      <w:szCs w:val="20"/>
    </w:rPr>
  </w:style>
  <w:style w:type="paragraph" w:styleId="ListParagraph">
    <w:name w:val="List Paragraph"/>
    <w:basedOn w:val="Normal"/>
    <w:uiPriority w:val="39"/>
    <w:rsid w:val="00341BA2"/>
    <w:pPr>
      <w:ind w:left="720"/>
      <w:contextualSpacing/>
    </w:pPr>
  </w:style>
  <w:style w:type="table" w:customStyle="1" w:styleId="LightGrid-Accent62">
    <w:name w:val="Light Grid - Accent 62"/>
    <w:basedOn w:val="TableNormal"/>
    <w:next w:val="LightGrid-Accent6"/>
    <w:uiPriority w:val="62"/>
    <w:rsid w:val="00071A10"/>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iPriority="39" w:unhideWhenUsed="0"/>
    <w:lsdException w:name="heading 1" w:semiHidden="0" w:uiPriority="1" w:unhideWhenUsed="0" w:qFormat="1"/>
    <w:lsdException w:name="heading 2" w:uiPriority="2" w:qFormat="1"/>
    <w:lsdException w:name="heading 3" w:uiPriority="3" w:qFormat="1"/>
    <w:lsdException w:name="heading 4" w:uiPriority="4" w:qFormat="1"/>
    <w:lsdException w:name="heading 5" w:uiPriority="39"/>
    <w:lsdException w:name="heading 6" w:uiPriority="39"/>
    <w:lsdException w:name="heading 7" w:qFormat="1"/>
    <w:lsdException w:name="heading 8" w:uiPriority="31" w:qFormat="1"/>
    <w:lsdException w:name="heading 9" w:uiPriority="32"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99"/>
    <w:lsdException w:name="header" w:uiPriority="99"/>
    <w:lsdException w:name="footer" w:uiPriority="39"/>
    <w:lsdException w:name="caption" w:uiPriority="13" w:qFormat="1"/>
    <w:lsdException w:name="table of figures" w:semiHidden="0" w:uiPriority="39" w:unhideWhenUsed="0"/>
    <w:lsdException w:name="footnote reference" w:uiPriority="99"/>
    <w:lsdException w:name="List Bullet" w:qFormat="1"/>
    <w:lsdException w:name="List Number" w:uiPriority="10" w:qFormat="1"/>
    <w:lsdException w:name="List Bullet 2" w:qFormat="1"/>
    <w:lsdException w:name="List Bullet 3" w:qFormat="1"/>
    <w:lsdException w:name="List Number 2" w:uiPriority="11" w:qFormat="1"/>
    <w:lsdException w:name="List Number 3" w:uiPriority="12" w:qFormat="1"/>
    <w:lsdException w:name="Title" w:semiHidden="0" w:uiPriority="39" w:unhideWhenUsed="0" w:qFormat="1"/>
    <w:lsdException w:name="Default Paragraph Font" w:uiPriority="1"/>
    <w:lsdException w:name="Body Text" w:uiPriority="5" w:qFormat="1"/>
    <w:lsdException w:name="List Continue" w:qFormat="1"/>
    <w:lsdException w:name="List Continue 2" w:qFormat="1"/>
    <w:lsdException w:name="Subtitle" w:semiHidden="0" w:uiPriority="39"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39" w:unhideWhenUsed="0"/>
    <w:lsdException w:name="No Spacing"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iPriority="39"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9"/>
    <w:lsdException w:name="TOC Heading" w:uiPriority="39" w:qFormat="1"/>
  </w:latentStyles>
  <w:style w:type="paragraph" w:default="1" w:styleId="Normal">
    <w:name w:val="Normal"/>
    <w:uiPriority w:val="39"/>
    <w:rsid w:val="00341BA2"/>
  </w:style>
  <w:style w:type="paragraph" w:styleId="Heading1">
    <w:name w:val="heading 1"/>
    <w:basedOn w:val="Normal"/>
    <w:next w:val="BodyText"/>
    <w:link w:val="Heading1Char"/>
    <w:uiPriority w:val="1"/>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99"/>
    <w:rsid w:val="0089737A"/>
    <w:rPr>
      <w:kern w:val="16"/>
      <w:sz w:val="18"/>
    </w:rPr>
  </w:style>
  <w:style w:type="character" w:styleId="FootnoteReference">
    <w:name w:val="footnote reference"/>
    <w:basedOn w:val="DefaultParagraphFont"/>
    <w:uiPriority w:val="9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112F1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112F1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8C1D6E"/>
    <w:pPr>
      <w:keepNext/>
      <w:keepLines/>
      <w:tabs>
        <w:tab w:val="left" w:pos="1559"/>
        <w:tab w:val="left" w:pos="1843"/>
        <w:tab w:val="left" w:pos="2126"/>
        <w:tab w:val="left" w:pos="2410"/>
      </w:tabs>
      <w:spacing w:before="470" w:after="227"/>
    </w:pPr>
    <w:rPr>
      <w:rFonts w:ascii="Calibri" w:hAnsi="Calibri"/>
      <w:b/>
      <w:color w:val="2B3B5F" w:themeColor="text2"/>
      <w:sz w:val="24"/>
    </w:rPr>
  </w:style>
  <w:style w:type="paragraph" w:customStyle="1" w:styleId="AttachmentHeading3">
    <w:name w:val="Attachment Heading 3"/>
    <w:basedOn w:val="Normal"/>
    <w:next w:val="BodyText"/>
    <w:uiPriority w:val="34"/>
    <w:qFormat/>
    <w:rsid w:val="008C1D6E"/>
    <w:pPr>
      <w:keepNext/>
      <w:keepLines/>
      <w:tabs>
        <w:tab w:val="left" w:pos="1559"/>
        <w:tab w:val="left" w:pos="1843"/>
        <w:tab w:val="left" w:pos="2126"/>
        <w:tab w:val="left" w:pos="2410"/>
        <w:tab w:val="left" w:pos="6804"/>
      </w:tabs>
      <w:spacing w:before="227" w:after="113"/>
    </w:pPr>
    <w:rPr>
      <w:i/>
      <w:color w:val="2B3B5F" w:themeColor="text2"/>
      <w:sz w:val="24"/>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qFormat/>
    <w:rsid w:val="00476133"/>
    <w:pPr>
      <w:keepLines/>
      <w:numPr>
        <w:numId w:val="2"/>
      </w:numPr>
      <w:spacing w:after="120"/>
    </w:pPr>
    <w:rPr>
      <w:spacing w:val="-1"/>
    </w:rPr>
  </w:style>
  <w:style w:type="paragraph" w:styleId="ListBullet2">
    <w:name w:val="List Bullet 2"/>
    <w:basedOn w:val="ListBullet"/>
    <w:qFormat/>
    <w:rsid w:val="00476133"/>
    <w:pPr>
      <w:numPr>
        <w:ilvl w:val="1"/>
      </w:numPr>
      <w:ind w:left="908" w:hanging="454"/>
    </w:pPr>
  </w:style>
  <w:style w:type="paragraph" w:styleId="ListBullet3">
    <w:name w:val="List Bullet 3"/>
    <w:basedOn w:val="ListBullet2"/>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181E32"/>
    <w:pPr>
      <w:spacing w:line="240" w:lineRule="auto"/>
    </w:pPr>
    <w:rPr>
      <w:sz w:val="20"/>
    </w:r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blStylePr w:type="firstRow">
      <w:pPr>
        <w:spacing w:before="0" w:after="0" w:line="240" w:lineRule="auto"/>
        <w:jc w:val="right"/>
      </w:pPr>
      <w:rPr>
        <w:rFonts w:ascii="Calibri" w:eastAsiaTheme="majorEastAsia" w:hAnsi="Calibri" w:cstheme="majorBidi"/>
        <w:b w:val="0"/>
        <w:bCs/>
        <w:sz w:val="20"/>
      </w:rPr>
      <w:tblPr/>
      <w:tcPr>
        <w:shd w:val="clear" w:color="auto" w:fill="D7DDE9" w:themeFill="accent3"/>
      </w:tcPr>
    </w:tblStylePr>
    <w:tblStylePr w:type="lastRow">
      <w:pPr>
        <w:spacing w:before="0" w:after="0" w:line="240" w:lineRule="auto"/>
      </w:pPr>
      <w:rPr>
        <w:rFonts w:ascii="Calibri" w:eastAsiaTheme="majorEastAsia" w:hAnsi="Calibri" w:cstheme="majorBidi"/>
        <w:b/>
        <w:bCs/>
        <w:sz w:val="20"/>
      </w:rPr>
      <w:tblPr/>
      <w:tcPr>
        <w:shd w:val="clear" w:color="auto" w:fill="D7DDE9" w:themeFill="accent3"/>
      </w:tcPr>
    </w:tblStylePr>
    <w:tblStylePr w:type="firstCol">
      <w:pPr>
        <w:jc w:val="left"/>
      </w:pPr>
      <w:rPr>
        <w:rFonts w:ascii="Calibri" w:eastAsiaTheme="majorEastAsia" w:hAnsi="Calibri" w:cstheme="majorBidi"/>
        <w:b w:val="0"/>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lastCol">
      <w:pPr>
        <w:jc w:val="right"/>
      </w:pPr>
      <w:rPr>
        <w:rFonts w:ascii="Calibri" w:eastAsiaTheme="majorEastAsia" w:hAnsi="Calibri" w:cstheme="majorBidi"/>
        <w:b/>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band1Vert">
      <w:pPr>
        <w:jc w:val="right"/>
      </w:pPr>
      <w:rPr>
        <w:rFonts w:ascii="Calibri" w:hAnsi="Calibri"/>
        <w:sz w:val="20"/>
      </w:rPr>
      <w:tblPr/>
      <w:tcPr>
        <w:vAlign w:val="center"/>
      </w:tcPr>
    </w:tblStylePr>
    <w:tblStylePr w:type="band2Vert">
      <w:pPr>
        <w:jc w:val="right"/>
      </w:pPr>
      <w:tblPr/>
      <w:tcPr>
        <w:vAlign w:val="center"/>
      </w:tcPr>
    </w:tblStylePr>
    <w:tblStylePr w:type="band1Horz">
      <w:pPr>
        <w:jc w:val="right"/>
      </w:pPr>
      <w:rPr>
        <w:rFonts w:ascii="Calibri" w:hAnsi="Calibri"/>
        <w:sz w:val="20"/>
      </w:rPr>
      <w:tblPr/>
      <w:tcPr>
        <w:vAlign w:val="center"/>
      </w:tcPr>
    </w:tblStylePr>
    <w:tblStylePr w:type="band2Horz">
      <w:pPr>
        <w:jc w:val="right"/>
      </w:pPr>
      <w:rPr>
        <w:rFonts w:ascii="Calibri" w:hAnsi="Calibri"/>
        <w:sz w:val="20"/>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vAlign w:val="center"/>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Letterbullet">
    <w:name w:val="Letter bullet"/>
    <w:basedOn w:val="Lettertext"/>
    <w:uiPriority w:val="1"/>
    <w:qFormat/>
    <w:rsid w:val="00112F1F"/>
    <w:pPr>
      <w:numPr>
        <w:numId w:val="13"/>
      </w:numPr>
      <w:ind w:left="284" w:hanging="284"/>
    </w:pPr>
  </w:style>
  <w:style w:type="table" w:styleId="MediumShading1-Accent3">
    <w:name w:val="Medium Shading 1 Accent 3"/>
    <w:basedOn w:val="TableNormal"/>
    <w:uiPriority w:val="63"/>
    <w:rsid w:val="005C0528"/>
    <w:pPr>
      <w:spacing w:line="240" w:lineRule="auto"/>
      <w:jc w:val="right"/>
    </w:p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cPr>
      <w:vAlign w:val="center"/>
    </w:tcPr>
    <w:tblStylePr w:type="firstRow">
      <w:pPr>
        <w:spacing w:before="0" w:after="0" w:line="240" w:lineRule="auto"/>
      </w:pPr>
      <w:rPr>
        <w:rFonts w:ascii="Calibri" w:hAnsi="Calibri"/>
        <w:b/>
        <w:bCs/>
        <w:color w:val="000000" w:themeColor="text1"/>
        <w:sz w:val="20"/>
      </w:rPr>
      <w:tblPr/>
      <w:tcPr>
        <w:tcBorders>
          <w:top w:val="single" w:sz="8" w:space="0" w:color="E0E5EE" w:themeColor="accent3" w:themeTint="BF"/>
          <w:left w:val="single" w:sz="8" w:space="0" w:color="E0E5EE" w:themeColor="accent3" w:themeTint="BF"/>
          <w:bottom w:val="single" w:sz="8" w:space="0" w:color="E0E5EE" w:themeColor="accent3" w:themeTint="BF"/>
          <w:right w:val="single" w:sz="8" w:space="0" w:color="E0E5EE" w:themeColor="accent3" w:themeTint="BF"/>
          <w:insideH w:val="nil"/>
          <w:insideV w:val="nil"/>
        </w:tcBorders>
        <w:shd w:val="clear" w:color="auto" w:fill="D7DDE9" w:themeFill="accent3"/>
      </w:tcPr>
    </w:tblStylePr>
    <w:tblStylePr w:type="lastRow">
      <w:pPr>
        <w:spacing w:before="0" w:after="0" w:line="240" w:lineRule="auto"/>
      </w:pPr>
      <w:rPr>
        <w:rFonts w:ascii="Calibri" w:hAnsi="Calibri"/>
        <w:b/>
        <w:bCs/>
        <w:sz w:val="20"/>
      </w:rPr>
    </w:tblStylePr>
    <w:tblStylePr w:type="firstCol">
      <w:pPr>
        <w:jc w:val="left"/>
      </w:pPr>
      <w:rPr>
        <w:rFonts w:ascii="Calibri" w:hAnsi="Calibri"/>
        <w:b/>
        <w:bCs/>
        <w:sz w:val="20"/>
      </w:rPr>
    </w:tblStylePr>
    <w:tblStylePr w:type="lastCol">
      <w:pPr>
        <w:jc w:val="right"/>
      </w:pPr>
      <w:rPr>
        <w:rFonts w:ascii="Calibri" w:hAnsi="Calibri"/>
        <w:b/>
        <w:bCs/>
        <w:sz w:val="20"/>
      </w:rPr>
    </w:tblStylePr>
    <w:tblStylePr w:type="band1Vert">
      <w:rPr>
        <w:rFonts w:ascii="Calibri" w:hAnsi="Calibri"/>
        <w:sz w:val="20"/>
      </w:rPr>
    </w:tblStylePr>
    <w:tblStylePr w:type="band1Horz">
      <w:rPr>
        <w:rFonts w:ascii="Calibri" w:hAnsi="Calibri"/>
        <w:sz w:val="20"/>
      </w:rPr>
    </w:tblStylePr>
    <w:tblStylePr w:type="band2Horz">
      <w:rPr>
        <w:rFonts w:ascii="Calibri" w:hAnsi="Calibri"/>
        <w:sz w:val="20"/>
      </w:rPr>
      <w:tblPr/>
      <w:tcPr>
        <w:tcBorders>
          <w:insideH w:val="nil"/>
          <w:insideV w:val="nil"/>
        </w:tcBorders>
      </w:tcPr>
    </w:tblStylePr>
  </w:style>
  <w:style w:type="table" w:styleId="LightGrid-Accent1">
    <w:name w:val="Light Grid Accent 1"/>
    <w:basedOn w:val="TableNormal"/>
    <w:uiPriority w:val="62"/>
    <w:rsid w:val="005C0528"/>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insideH w:val="single" w:sz="8" w:space="0" w:color="2B3B5F" w:themeColor="accent1"/>
        <w:insideV w:val="single" w:sz="8" w:space="0" w:color="2B3B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18" w:space="0" w:color="2B3B5F" w:themeColor="accent1"/>
          <w:right w:val="single" w:sz="8" w:space="0" w:color="2B3B5F" w:themeColor="accent1"/>
          <w:insideH w:val="nil"/>
          <w:insideV w:val="single" w:sz="8" w:space="0" w:color="2B3B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insideH w:val="nil"/>
          <w:insideV w:val="single" w:sz="8" w:space="0" w:color="2B3B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shd w:val="clear" w:color="auto" w:fill="BFCAE2" w:themeFill="accent1" w:themeFillTint="3F"/>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shd w:val="clear" w:color="auto" w:fill="BFCAE2" w:themeFill="accent1" w:themeFillTint="3F"/>
      </w:tcPr>
    </w:tblStylePr>
    <w:tblStylePr w:type="band2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tcPr>
    </w:tblStylePr>
  </w:style>
  <w:style w:type="table" w:styleId="LightShading">
    <w:name w:val="Light Shading"/>
    <w:basedOn w:val="TableNormal"/>
    <w:uiPriority w:val="60"/>
    <w:rsid w:val="005C052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0528"/>
    <w:pPr>
      <w:spacing w:line="240" w:lineRule="auto"/>
    </w:pPr>
    <w:rPr>
      <w:color w:val="202C47" w:themeColor="accent1" w:themeShade="BF"/>
    </w:rPr>
    <w:tblPr>
      <w:tblStyleRowBandSize w:val="1"/>
      <w:tblStyleColBandSize w:val="1"/>
      <w:tblBorders>
        <w:top w:val="single" w:sz="8" w:space="0" w:color="2B3B5F" w:themeColor="accent1"/>
        <w:bottom w:val="single" w:sz="8" w:space="0" w:color="2B3B5F" w:themeColor="accent1"/>
      </w:tblBorders>
    </w:tblPr>
    <w:tblStylePr w:type="fir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la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AE2" w:themeFill="accent1" w:themeFillTint="3F"/>
      </w:tcPr>
    </w:tblStylePr>
    <w:tblStylePr w:type="band1Horz">
      <w:tblPr/>
      <w:tcPr>
        <w:tcBorders>
          <w:left w:val="nil"/>
          <w:right w:val="nil"/>
          <w:insideH w:val="nil"/>
          <w:insideV w:val="nil"/>
        </w:tcBorders>
        <w:shd w:val="clear" w:color="auto" w:fill="BFCAE2" w:themeFill="accent1" w:themeFillTint="3F"/>
      </w:tcPr>
    </w:tblStylePr>
  </w:style>
  <w:style w:type="table" w:styleId="LightShading-Accent2">
    <w:name w:val="Light Shading Accent 2"/>
    <w:basedOn w:val="TableNormal"/>
    <w:uiPriority w:val="60"/>
    <w:rsid w:val="005C0528"/>
    <w:pPr>
      <w:spacing w:line="240" w:lineRule="auto"/>
    </w:pPr>
    <w:rPr>
      <w:color w:val="5C73A7" w:themeColor="accent2" w:themeShade="BF"/>
    </w:rPr>
    <w:tblPr>
      <w:tblStyleRowBandSize w:val="1"/>
      <w:tblStyleColBandSize w:val="1"/>
      <w:tblBorders>
        <w:top w:val="single" w:sz="8" w:space="0" w:color="95A4C6" w:themeColor="accent2"/>
        <w:bottom w:val="single" w:sz="8" w:space="0" w:color="95A4C6" w:themeColor="accent2"/>
      </w:tblBorders>
    </w:tblPr>
    <w:tblStylePr w:type="fir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la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F1" w:themeFill="accent2" w:themeFillTint="3F"/>
      </w:tcPr>
    </w:tblStylePr>
    <w:tblStylePr w:type="band1Horz">
      <w:tblPr/>
      <w:tcPr>
        <w:tcBorders>
          <w:left w:val="nil"/>
          <w:right w:val="nil"/>
          <w:insideH w:val="nil"/>
          <w:insideV w:val="nil"/>
        </w:tcBorders>
        <w:shd w:val="clear" w:color="auto" w:fill="E4E8F1" w:themeFill="accent2" w:themeFillTint="3F"/>
      </w:tcPr>
    </w:tblStylePr>
  </w:style>
  <w:style w:type="table" w:styleId="LightGrid">
    <w:name w:val="Light Grid"/>
    <w:basedOn w:val="TableNormal"/>
    <w:uiPriority w:val="62"/>
    <w:rsid w:val="005C052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5C0528"/>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insideH w:val="single" w:sz="8" w:space="0" w:color="95A4C6" w:themeColor="accent2"/>
        <w:insideV w:val="single" w:sz="8" w:space="0" w:color="95A4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18" w:space="0" w:color="95A4C6" w:themeColor="accent2"/>
          <w:right w:val="single" w:sz="8" w:space="0" w:color="95A4C6" w:themeColor="accent2"/>
          <w:insideH w:val="nil"/>
          <w:insideV w:val="single" w:sz="8" w:space="0" w:color="95A4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insideH w:val="nil"/>
          <w:insideV w:val="single" w:sz="8" w:space="0" w:color="95A4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shd w:val="clear" w:color="auto" w:fill="E4E8F1" w:themeFill="accent2" w:themeFillTint="3F"/>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shd w:val="clear" w:color="auto" w:fill="E4E8F1" w:themeFill="accent2" w:themeFillTint="3F"/>
      </w:tcPr>
    </w:tblStylePr>
    <w:tblStylePr w:type="band2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tcPr>
    </w:tblStylePr>
  </w:style>
  <w:style w:type="table" w:customStyle="1" w:styleId="LightGrid-Accent61">
    <w:name w:val="Light Grid - Accent 61"/>
    <w:basedOn w:val="TableNormal"/>
    <w:next w:val="LightGrid-Accent6"/>
    <w:uiPriority w:val="62"/>
    <w:rsid w:val="00341BA2"/>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character" w:customStyle="1" w:styleId="FootnotesChar">
    <w:name w:val="Footnotes Char"/>
    <w:basedOn w:val="DefaultParagraphFont"/>
    <w:link w:val="Footnotes"/>
    <w:locked/>
    <w:rsid w:val="00341BA2"/>
  </w:style>
  <w:style w:type="paragraph" w:customStyle="1" w:styleId="Footnotes">
    <w:name w:val="Footnotes"/>
    <w:basedOn w:val="Normal"/>
    <w:link w:val="FootnotesChar"/>
    <w:rsid w:val="00341BA2"/>
    <w:pPr>
      <w:numPr>
        <w:numId w:val="14"/>
      </w:numPr>
      <w:spacing w:before="113" w:line="260" w:lineRule="atLeast"/>
    </w:pPr>
  </w:style>
  <w:style w:type="paragraph" w:customStyle="1" w:styleId="Bullet1">
    <w:name w:val="Bullet 1"/>
    <w:basedOn w:val="ListBullet"/>
    <w:link w:val="Bullet1Char"/>
    <w:qFormat/>
    <w:rsid w:val="00341BA2"/>
    <w:pPr>
      <w:numPr>
        <w:numId w:val="0"/>
      </w:numPr>
      <w:spacing w:after="113"/>
      <w:ind w:left="360" w:hanging="360"/>
    </w:pPr>
    <w:rPr>
      <w:rFonts w:eastAsia="Times New Roman" w:cs="Times New Roman"/>
      <w:spacing w:val="0"/>
      <w:lang w:eastAsia="en-AU"/>
    </w:rPr>
  </w:style>
  <w:style w:type="character" w:customStyle="1" w:styleId="Bullet1Char">
    <w:name w:val="Bullet 1 Char"/>
    <w:basedOn w:val="DefaultParagraphFont"/>
    <w:link w:val="Bullet1"/>
    <w:rsid w:val="00341BA2"/>
    <w:rPr>
      <w:rFonts w:eastAsia="Times New Roman" w:cs="Times New Roman"/>
      <w:lang w:eastAsia="en-AU"/>
    </w:rPr>
  </w:style>
  <w:style w:type="character" w:styleId="CommentReference">
    <w:name w:val="annotation reference"/>
    <w:basedOn w:val="DefaultParagraphFont"/>
    <w:semiHidden/>
    <w:unhideWhenUsed/>
    <w:rsid w:val="00341BA2"/>
    <w:rPr>
      <w:sz w:val="16"/>
      <w:szCs w:val="16"/>
    </w:rPr>
  </w:style>
  <w:style w:type="paragraph" w:styleId="CommentText">
    <w:name w:val="annotation text"/>
    <w:basedOn w:val="Normal"/>
    <w:link w:val="CommentTextChar"/>
    <w:semiHidden/>
    <w:unhideWhenUsed/>
    <w:rsid w:val="00341BA2"/>
    <w:pPr>
      <w:spacing w:line="240" w:lineRule="auto"/>
    </w:pPr>
    <w:rPr>
      <w:sz w:val="20"/>
      <w:szCs w:val="20"/>
    </w:rPr>
  </w:style>
  <w:style w:type="character" w:customStyle="1" w:styleId="CommentTextChar">
    <w:name w:val="Comment Text Char"/>
    <w:basedOn w:val="DefaultParagraphFont"/>
    <w:link w:val="CommentText"/>
    <w:semiHidden/>
    <w:rsid w:val="00341BA2"/>
    <w:rPr>
      <w:sz w:val="20"/>
      <w:szCs w:val="20"/>
    </w:rPr>
  </w:style>
  <w:style w:type="paragraph" w:styleId="CommentSubject">
    <w:name w:val="annotation subject"/>
    <w:basedOn w:val="CommentText"/>
    <w:next w:val="CommentText"/>
    <w:link w:val="CommentSubjectChar"/>
    <w:semiHidden/>
    <w:unhideWhenUsed/>
    <w:rsid w:val="00341BA2"/>
    <w:rPr>
      <w:b/>
      <w:bCs/>
    </w:rPr>
  </w:style>
  <w:style w:type="character" w:customStyle="1" w:styleId="CommentSubjectChar">
    <w:name w:val="Comment Subject Char"/>
    <w:basedOn w:val="CommentTextChar"/>
    <w:link w:val="CommentSubject"/>
    <w:semiHidden/>
    <w:rsid w:val="00341BA2"/>
    <w:rPr>
      <w:b/>
      <w:bCs/>
      <w:sz w:val="20"/>
      <w:szCs w:val="20"/>
    </w:rPr>
  </w:style>
  <w:style w:type="paragraph" w:styleId="ListParagraph">
    <w:name w:val="List Paragraph"/>
    <w:basedOn w:val="Normal"/>
    <w:uiPriority w:val="39"/>
    <w:rsid w:val="00341BA2"/>
    <w:pPr>
      <w:ind w:left="720"/>
      <w:contextualSpacing/>
    </w:pPr>
  </w:style>
  <w:style w:type="table" w:customStyle="1" w:styleId="LightGrid-Accent62">
    <w:name w:val="Light Grid - Accent 62"/>
    <w:basedOn w:val="TableNormal"/>
    <w:next w:val="LightGrid-Accent6"/>
    <w:uiPriority w:val="62"/>
    <w:rsid w:val="00071A10"/>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apsc.gov.au/about-the-apsc/parliamentary/aps-statistical-bulletin/statisticalbulletin151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Com16</b:Tag>
    <b:SourceType>Report</b:SourceType>
    <b:Guid>{5B4EC681-07DE-47A5-8D75-A81C9B5C55A0}</b:Guid>
    <b:Author>
      <b:Author>
        <b:Corporate>Commonwealth of Australia</b:Corporate>
      </b:Author>
    </b:Author>
    <b:Title>2016-17 Budget</b:Title>
    <b:Year>2016</b:Year>
    <b:Publisher>Commonwealth of Australia</b:Publisher>
    <b:City>Canberra</b:City>
    <b:RefOrder>1</b:RefOrder>
  </b:Source>
</b:Sources>
</file>

<file path=customXml/itemProps1.xml><?xml version="1.0" encoding="utf-8"?>
<ds:datastoreItem xmlns:ds="http://schemas.openxmlformats.org/officeDocument/2006/customXml" ds:itemID="{D34DF529-6D08-475D-A89F-AD5AE126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Energy</vt:lpstr>
    </vt:vector>
  </TitlesOfParts>
  <Company>Parliament of Australia</Company>
  <LinksUpToDate>false</LinksUpToDate>
  <CharactersWithSpaces>21657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creator>Parliamentary Budget Office</dc:creator>
  <cp:lastModifiedBy>Pratley, Lauren (PBO)</cp:lastModifiedBy>
  <cp:revision>6</cp:revision>
  <cp:lastPrinted>2016-11-17T21:48:00Z</cp:lastPrinted>
  <dcterms:created xsi:type="dcterms:W3CDTF">2017-09-07T05:36:00Z</dcterms:created>
  <dcterms:modified xsi:type="dcterms:W3CDTF">2017-09-07T05:44:00Z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