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A96E98" w:rsidRDefault="005D5EE0" w:rsidP="005F0AA6">
      <w:pPr>
        <w:pStyle w:val="Heading1spacebefore"/>
        <w:tabs>
          <w:tab w:val="left" w:pos="2694"/>
        </w:tabs>
        <w:spacing w:before="480" w:after="240"/>
        <w:rPr>
          <w:sz w:val="32"/>
        </w:rPr>
      </w:pPr>
      <w:r w:rsidRPr="00A96E98">
        <w:rPr>
          <w:sz w:val="32"/>
        </w:rPr>
        <w:t xml:space="preserve">Request for </w:t>
      </w:r>
      <w:r w:rsidR="002E5FC5" w:rsidRPr="00A96E98">
        <w:rPr>
          <w:sz w:val="32"/>
        </w:rPr>
        <w:t>b</w:t>
      </w:r>
      <w:r w:rsidRPr="00A96E98">
        <w:rPr>
          <w:sz w:val="32"/>
        </w:rPr>
        <w:t xml:space="preserve">udget </w:t>
      </w:r>
      <w:r w:rsidR="002E5FC5" w:rsidRPr="00A96E98">
        <w:rPr>
          <w:sz w:val="32"/>
        </w:rPr>
        <w:t>a</w:t>
      </w:r>
      <w:r w:rsidRPr="00A96E98">
        <w:rPr>
          <w:sz w:val="32"/>
        </w:rPr>
        <w:t>nalysis</w:t>
      </w:r>
    </w:p>
    <w:tbl>
      <w:tblPr>
        <w:tblStyle w:val="LightGrid-Accent6"/>
        <w:tblW w:w="4992" w:type="pct"/>
        <w:tblLook w:val="0600" w:firstRow="0" w:lastRow="0" w:firstColumn="0" w:lastColumn="0" w:noHBand="1" w:noVBand="1"/>
      </w:tblPr>
      <w:tblGrid>
        <w:gridCol w:w="3629"/>
        <w:gridCol w:w="2821"/>
        <w:gridCol w:w="2822"/>
      </w:tblGrid>
      <w:tr w:rsidR="00AA478E" w:rsidRPr="008D77AF" w:rsidTr="00993822">
        <w:tc>
          <w:tcPr>
            <w:tcW w:w="5000" w:type="pct"/>
            <w:gridSpan w:val="3"/>
            <w:shd w:val="clear" w:color="auto" w:fill="A7B2D4" w:themeFill="background2" w:themeFillTint="66"/>
          </w:tcPr>
          <w:p w:rsidR="00AA478E" w:rsidRPr="008D77AF" w:rsidRDefault="000000DA" w:rsidP="00503C23">
            <w:pPr>
              <w:pStyle w:val="Nameofproposal"/>
            </w:pPr>
            <w:r>
              <w:t>D</w:t>
            </w:r>
            <w:r w:rsidR="000F0A45">
              <w:t xml:space="preserve">ividend </w:t>
            </w:r>
            <w:r w:rsidR="00503C23">
              <w:t>i</w:t>
            </w:r>
            <w:r w:rsidR="000F0A45">
              <w:t xml:space="preserve">mputation </w:t>
            </w:r>
            <w:r w:rsidR="00503C23">
              <w:t>c</w:t>
            </w:r>
            <w:r w:rsidR="000F0A45">
              <w:t xml:space="preserve">redit </w:t>
            </w:r>
            <w:r w:rsidR="00503C23">
              <w:t>r</w:t>
            </w:r>
            <w:r w:rsidR="000F0A45">
              <w:t>efunds</w:t>
            </w:r>
            <w:r w:rsidR="00F01F0E">
              <w:t xml:space="preserve"> – further information</w:t>
            </w:r>
          </w:p>
        </w:tc>
      </w:tr>
      <w:tr w:rsidR="008F4B1F" w:rsidRPr="008D77AF" w:rsidTr="00013620">
        <w:tc>
          <w:tcPr>
            <w:tcW w:w="1957" w:type="pct"/>
          </w:tcPr>
          <w:p w:rsidR="008F4B1F" w:rsidRPr="004F1362" w:rsidRDefault="008F4B1F" w:rsidP="00A348ED">
            <w:pPr>
              <w:pStyle w:val="BodyText"/>
            </w:pPr>
            <w:r w:rsidRPr="004F1362">
              <w:t>Person/party requesting the analysis:</w:t>
            </w:r>
          </w:p>
        </w:tc>
        <w:tc>
          <w:tcPr>
            <w:tcW w:w="3043" w:type="pct"/>
            <w:gridSpan w:val="2"/>
          </w:tcPr>
          <w:p w:rsidR="008F4B1F" w:rsidRPr="004F1362" w:rsidRDefault="008F4B1F" w:rsidP="004F1362">
            <w:pPr>
              <w:pStyle w:val="BodyText"/>
            </w:pPr>
            <w:r>
              <w:t xml:space="preserve">The Hon Matt </w:t>
            </w:r>
            <w:proofErr w:type="spellStart"/>
            <w:r>
              <w:t>Thistlethwaite</w:t>
            </w:r>
            <w:proofErr w:type="spellEnd"/>
            <w:r>
              <w:t xml:space="preserve"> MP, </w:t>
            </w:r>
            <w:r w:rsidR="00503C23">
              <w:br/>
            </w:r>
            <w:r>
              <w:t>Member for King</w:t>
            </w:r>
            <w:r w:rsidR="006F0017">
              <w:t>s</w:t>
            </w:r>
            <w:r>
              <w:t>ford Smith</w:t>
            </w:r>
          </w:p>
        </w:tc>
      </w:tr>
      <w:tr w:rsidR="008F4B1F" w:rsidRPr="008D77AF" w:rsidTr="00013620">
        <w:tc>
          <w:tcPr>
            <w:tcW w:w="1957" w:type="pct"/>
          </w:tcPr>
          <w:p w:rsidR="008F4B1F" w:rsidRPr="004F1362" w:rsidRDefault="008F4B1F" w:rsidP="004F1362">
            <w:pPr>
              <w:pStyle w:val="BodyText"/>
            </w:pPr>
            <w:r w:rsidRPr="004F1362">
              <w:t>Date analysis completed:</w:t>
            </w:r>
          </w:p>
        </w:tc>
        <w:tc>
          <w:tcPr>
            <w:tcW w:w="3043" w:type="pct"/>
            <w:gridSpan w:val="2"/>
          </w:tcPr>
          <w:p w:rsidR="008F4B1F" w:rsidRPr="004F1362" w:rsidRDefault="00351DB1" w:rsidP="004F1362">
            <w:pPr>
              <w:pStyle w:val="BodyText"/>
            </w:pPr>
            <w:r>
              <w:t xml:space="preserve">19 </w:t>
            </w:r>
            <w:r w:rsidR="00245A74">
              <w:t>November 2018</w:t>
            </w:r>
          </w:p>
        </w:tc>
      </w:tr>
      <w:tr w:rsidR="008F4B1F" w:rsidRPr="008D77AF" w:rsidTr="00013620">
        <w:tc>
          <w:tcPr>
            <w:tcW w:w="1957" w:type="pct"/>
          </w:tcPr>
          <w:p w:rsidR="008F4B1F" w:rsidRPr="004F1362" w:rsidRDefault="008F4B1F" w:rsidP="004F1362">
            <w:pPr>
              <w:pStyle w:val="BodyText"/>
            </w:pPr>
            <w:r w:rsidRPr="004F1362">
              <w:t>Expiry date of the analysis:</w:t>
            </w:r>
          </w:p>
        </w:tc>
        <w:tc>
          <w:tcPr>
            <w:tcW w:w="3043" w:type="pct"/>
            <w:gridSpan w:val="2"/>
          </w:tcPr>
          <w:p w:rsidR="008F4B1F" w:rsidRPr="004F1362" w:rsidRDefault="008F4B1F" w:rsidP="002C45D1">
            <w:pPr>
              <w:pStyle w:val="BodyText"/>
            </w:pPr>
            <w:r w:rsidRPr="004F1362">
              <w:t>Release of the next economic and fiscal outlook report.</w:t>
            </w:r>
          </w:p>
        </w:tc>
      </w:tr>
      <w:tr w:rsidR="008F4B1F" w:rsidRPr="008D77AF" w:rsidTr="005D5EE0">
        <w:tc>
          <w:tcPr>
            <w:tcW w:w="1957" w:type="pct"/>
          </w:tcPr>
          <w:p w:rsidR="008F4B1F" w:rsidRPr="004F1362" w:rsidRDefault="008F4B1F" w:rsidP="004F1362">
            <w:pPr>
              <w:pStyle w:val="BodyText"/>
            </w:pPr>
            <w:r w:rsidRPr="004F1362">
              <w:t>Status at time of request:</w:t>
            </w:r>
          </w:p>
        </w:tc>
        <w:tc>
          <w:tcPr>
            <w:tcW w:w="1521" w:type="pct"/>
            <w:tcBorders>
              <w:right w:val="nil"/>
            </w:tcBorders>
          </w:tcPr>
          <w:p w:rsidR="008F4B1F" w:rsidRPr="004F1362" w:rsidRDefault="004F4761" w:rsidP="004F1362">
            <w:pPr>
              <w:pStyle w:val="BodyText"/>
            </w:pPr>
            <w:sdt>
              <w:sdtPr>
                <w:id w:val="1782758815"/>
                <w14:checkbox>
                  <w14:checked w14:val="0"/>
                  <w14:checkedState w14:val="2612" w14:font="MS Gothic"/>
                  <w14:uncheckedState w14:val="2610" w14:font="MS Gothic"/>
                </w14:checkbox>
              </w:sdtPr>
              <w:sdtEndPr/>
              <w:sdtContent>
                <w:r w:rsidR="004B6304">
                  <w:rPr>
                    <w:rFonts w:ascii="MS Gothic" w:eastAsia="MS Gothic" w:hAnsi="MS Gothic" w:hint="eastAsia"/>
                  </w:rPr>
                  <w:t>☐</w:t>
                </w:r>
              </w:sdtContent>
            </w:sdt>
            <w:r w:rsidR="008F4B1F" w:rsidRPr="004F1362">
              <w:t xml:space="preserve"> Confidential</w:t>
            </w:r>
          </w:p>
        </w:tc>
        <w:tc>
          <w:tcPr>
            <w:tcW w:w="1522" w:type="pct"/>
            <w:tcBorders>
              <w:left w:val="nil"/>
            </w:tcBorders>
          </w:tcPr>
          <w:p w:rsidR="008F4B1F" w:rsidRPr="004F1362" w:rsidRDefault="004F4761" w:rsidP="004F1362">
            <w:pPr>
              <w:pStyle w:val="BodyText"/>
            </w:pPr>
            <w:sdt>
              <w:sdtPr>
                <w:id w:val="-219669282"/>
                <w14:checkbox>
                  <w14:checked w14:val="1"/>
                  <w14:checkedState w14:val="2612" w14:font="MS Gothic"/>
                  <w14:uncheckedState w14:val="2610" w14:font="MS Gothic"/>
                </w14:checkbox>
              </w:sdtPr>
              <w:sdtEndPr/>
              <w:sdtContent>
                <w:r w:rsidR="004B6304">
                  <w:rPr>
                    <w:rFonts w:ascii="MS Gothic" w:eastAsia="MS Gothic" w:hAnsi="MS Gothic" w:cs="MS Gothic" w:hint="eastAsia"/>
                  </w:rPr>
                  <w:t>☒</w:t>
                </w:r>
              </w:sdtContent>
            </w:sdt>
            <w:r w:rsidR="008F4B1F" w:rsidRPr="004F1362">
              <w:t xml:space="preserve"> Not confidential</w:t>
            </w:r>
          </w:p>
        </w:tc>
      </w:tr>
      <w:tr w:rsidR="008F4B1F" w:rsidRPr="008D77AF" w:rsidTr="00013620">
        <w:tc>
          <w:tcPr>
            <w:tcW w:w="5000" w:type="pct"/>
            <w:gridSpan w:val="3"/>
          </w:tcPr>
          <w:p w:rsidR="008F4B1F" w:rsidRPr="004F1362" w:rsidRDefault="008F4B1F" w:rsidP="004F1362">
            <w:pPr>
              <w:pStyle w:val="BodyText"/>
            </w:pPr>
            <w:r w:rsidRPr="004F1362">
              <w:t xml:space="preserve">Summary of </w:t>
            </w:r>
            <w:r>
              <w:t>request</w:t>
            </w:r>
            <w:r w:rsidRPr="004F1362">
              <w:t>:</w:t>
            </w:r>
          </w:p>
          <w:p w:rsidR="00B60433" w:rsidRPr="00B60433" w:rsidRDefault="00B60433">
            <w:pPr>
              <w:pStyle w:val="BodyText"/>
            </w:pPr>
            <w:r>
              <w:t xml:space="preserve">The request </w:t>
            </w:r>
            <w:r w:rsidR="00F721D3">
              <w:t xml:space="preserve">asked </w:t>
            </w:r>
            <w:r w:rsidR="00803860">
              <w:t xml:space="preserve">a </w:t>
            </w:r>
            <w:r w:rsidR="00F721D3">
              <w:t xml:space="preserve">series of questions </w:t>
            </w:r>
            <w:r w:rsidR="00803860">
              <w:t>in relation to the</w:t>
            </w:r>
            <w:r>
              <w:t xml:space="preserve"> </w:t>
            </w:r>
            <w:r w:rsidR="00803860" w:rsidRPr="00777309">
              <w:t>Parliamentary Budget Office</w:t>
            </w:r>
            <w:r w:rsidR="00A6471A">
              <w:t>’s</w:t>
            </w:r>
            <w:r w:rsidR="00803860" w:rsidRPr="00777309">
              <w:t xml:space="preserve"> </w:t>
            </w:r>
            <w:r w:rsidR="00803860">
              <w:t>(</w:t>
            </w:r>
            <w:r>
              <w:t>PBO</w:t>
            </w:r>
            <w:r w:rsidR="00803860">
              <w:t>)</w:t>
            </w:r>
            <w:r>
              <w:t xml:space="preserve"> publicly</w:t>
            </w:r>
            <w:r w:rsidR="00F3441F">
              <w:t xml:space="preserve"> </w:t>
            </w:r>
            <w:r>
              <w:t xml:space="preserve">released response to Senator David </w:t>
            </w:r>
            <w:proofErr w:type="spellStart"/>
            <w:r>
              <w:t>Leyonhjelm’s</w:t>
            </w:r>
            <w:proofErr w:type="spellEnd"/>
            <w:r>
              <w:t xml:space="preserve"> request, </w:t>
            </w:r>
            <w:r>
              <w:rPr>
                <w:i/>
              </w:rPr>
              <w:t>Dividend imputation credit refunds</w:t>
            </w:r>
            <w:r>
              <w:t xml:space="preserve"> (PBO</w:t>
            </w:r>
            <w:r w:rsidR="00503C23">
              <w:t> </w:t>
            </w:r>
            <w:r>
              <w:t xml:space="preserve">response of 4 May 2018, published on the PBO website </w:t>
            </w:r>
            <w:r w:rsidR="00503C23">
              <w:t>8 </w:t>
            </w:r>
            <w:r>
              <w:t>May</w:t>
            </w:r>
            <w:r w:rsidR="00503C23">
              <w:t> </w:t>
            </w:r>
            <w:r>
              <w:t>2018</w:t>
            </w:r>
            <w:r w:rsidR="00503C23">
              <w:t>, PBO reference PR18/00145</w:t>
            </w:r>
            <w:r>
              <w:t xml:space="preserve">).  </w:t>
            </w:r>
          </w:p>
        </w:tc>
      </w:tr>
    </w:tbl>
    <w:p w:rsidR="00AA478E" w:rsidRPr="00A96E98" w:rsidRDefault="005D5EE0" w:rsidP="00AA478E">
      <w:pPr>
        <w:pStyle w:val="Heading1"/>
      </w:pPr>
      <w:r w:rsidRPr="00A96E98">
        <w:t>O</w:t>
      </w:r>
      <w:r w:rsidR="00AA478E" w:rsidRPr="00A96E98">
        <w:t>verview</w:t>
      </w:r>
    </w:p>
    <w:p w:rsidR="0067108F" w:rsidRDefault="00C851B4" w:rsidP="0067108F">
      <w:pPr>
        <w:pStyle w:val="BodyText"/>
      </w:pPr>
      <w:r>
        <w:t xml:space="preserve">This </w:t>
      </w:r>
      <w:r w:rsidR="00461662">
        <w:t>request seeks additional</w:t>
      </w:r>
      <w:r>
        <w:t xml:space="preserve"> </w:t>
      </w:r>
      <w:r w:rsidR="000174EA">
        <w:t>information</w:t>
      </w:r>
      <w:r>
        <w:t xml:space="preserve"> </w:t>
      </w:r>
      <w:r w:rsidR="00FE48C3">
        <w:t xml:space="preserve">in relation to </w:t>
      </w:r>
      <w:r w:rsidR="00E92F7B">
        <w:t xml:space="preserve">Option </w:t>
      </w:r>
      <w:r w:rsidR="00BE5942">
        <w:t xml:space="preserve">2 of </w:t>
      </w:r>
      <w:r>
        <w:t xml:space="preserve">the policy costing </w:t>
      </w:r>
      <w:r w:rsidR="000174EA">
        <w:t xml:space="preserve">provided </w:t>
      </w:r>
      <w:r>
        <w:t>to Senator</w:t>
      </w:r>
      <w:r w:rsidR="00F47B21">
        <w:t> </w:t>
      </w:r>
      <w:r>
        <w:t>Leyonhjelm</w:t>
      </w:r>
      <w:r w:rsidR="00461662">
        <w:t>.</w:t>
      </w:r>
      <w:r>
        <w:t xml:space="preserve"> </w:t>
      </w:r>
      <w:r w:rsidR="00BE5942">
        <w:t xml:space="preserve"> Th</w:t>
      </w:r>
      <w:r w:rsidR="00FE48C3">
        <w:t xml:space="preserve">e policy proposal outlined in </w:t>
      </w:r>
      <w:r w:rsidR="00E92F7B">
        <w:t>O</w:t>
      </w:r>
      <w:r w:rsidR="00BE5942">
        <w:t>ption</w:t>
      </w:r>
      <w:r w:rsidR="00F47B21">
        <w:t> </w:t>
      </w:r>
      <w:r w:rsidR="00FE48C3">
        <w:t xml:space="preserve">2 is to </w:t>
      </w:r>
      <w:r w:rsidR="00BE5942">
        <w:t>m</w:t>
      </w:r>
      <w:r w:rsidR="00BE5942" w:rsidRPr="00777309">
        <w:t>ake franking credits non-refundable for individuals and superannuation funds, excluding Australian</w:t>
      </w:r>
      <w:r w:rsidR="00F01F0E">
        <w:t> </w:t>
      </w:r>
      <w:r w:rsidR="00BE5942" w:rsidRPr="00777309">
        <w:t>Government pension and allowance recipients.</w:t>
      </w:r>
      <w:r w:rsidR="00BE5942">
        <w:t xml:space="preserve">  </w:t>
      </w:r>
      <w:r w:rsidR="00FE48C3">
        <w:t xml:space="preserve">As this request seeks additional information </w:t>
      </w:r>
      <w:r w:rsidR="004C6F96">
        <w:t>in relation to the response provided to</w:t>
      </w:r>
      <w:r w:rsidR="00FE48C3">
        <w:t xml:space="preserve"> Senator Leyo</w:t>
      </w:r>
      <w:r w:rsidR="0047649C">
        <w:t>n</w:t>
      </w:r>
      <w:r w:rsidR="004C6F96">
        <w:t>hjelm</w:t>
      </w:r>
      <w:r w:rsidR="00FE48C3">
        <w:t xml:space="preserve">, </w:t>
      </w:r>
      <w:r w:rsidR="00FE48C3" w:rsidRPr="00F3441F">
        <w:t>t</w:t>
      </w:r>
      <w:r w:rsidR="00461662" w:rsidRPr="00F3441F">
        <w:t xml:space="preserve">he PBO has confirmed </w:t>
      </w:r>
      <w:r w:rsidR="008C3867">
        <w:t>that</w:t>
      </w:r>
      <w:r w:rsidR="00461662" w:rsidRPr="00F3441F">
        <w:t xml:space="preserve"> Senator Leyonhjelm agrees </w:t>
      </w:r>
      <w:r w:rsidR="0047649C">
        <w:t>to</w:t>
      </w:r>
      <w:r w:rsidR="00461662" w:rsidRPr="00F3441F">
        <w:t xml:space="preserve"> the provision of </w:t>
      </w:r>
      <w:r w:rsidR="00461662">
        <w:t>the additional</w:t>
      </w:r>
      <w:r w:rsidR="00461662" w:rsidRPr="00F3441F">
        <w:t xml:space="preserve"> information</w:t>
      </w:r>
      <w:r w:rsidR="00461662">
        <w:t>.</w:t>
      </w:r>
      <w:r w:rsidR="00461662" w:rsidRPr="00F3441F">
        <w:t xml:space="preserve"> </w:t>
      </w:r>
      <w:r w:rsidR="00E92F7B">
        <w:t xml:space="preserve"> </w:t>
      </w:r>
      <w:r w:rsidR="00FE48C3">
        <w:t xml:space="preserve">This </w:t>
      </w:r>
      <w:r w:rsidR="00461662">
        <w:t xml:space="preserve">approach is consistent with </w:t>
      </w:r>
      <w:r w:rsidR="00461662" w:rsidRPr="00F3441F">
        <w:t xml:space="preserve">PBO Guidance 01/2013, </w:t>
      </w:r>
      <w:r w:rsidR="0047649C">
        <w:t xml:space="preserve">which established the </w:t>
      </w:r>
      <w:r w:rsidR="0051351B">
        <w:t>princip</w:t>
      </w:r>
      <w:r w:rsidR="0047649C">
        <w:t>l</w:t>
      </w:r>
      <w:r w:rsidR="0051351B">
        <w:t>e</w:t>
      </w:r>
      <w:r w:rsidR="0047649C">
        <w:t xml:space="preserve"> that PBO analysis of policies attributed to an individual parliamentarian or political party will only be conducted </w:t>
      </w:r>
      <w:r w:rsidR="0047649C" w:rsidRPr="00F3441F">
        <w:t>with the knowledge and active participation of the individual parliamentarian or political party</w:t>
      </w:r>
      <w:r w:rsidR="00461662" w:rsidRPr="00F3441F">
        <w:t>.</w:t>
      </w:r>
    </w:p>
    <w:p w:rsidR="0067108F" w:rsidRDefault="006B0CE3" w:rsidP="0067108F">
      <w:pPr>
        <w:pStyle w:val="BodyText"/>
      </w:pPr>
      <w:r>
        <w:t>T</w:t>
      </w:r>
      <w:r w:rsidR="0067108F" w:rsidRPr="007B6220">
        <w:t>he</w:t>
      </w:r>
      <w:r w:rsidR="0067108F" w:rsidRPr="002A443E">
        <w:t xml:space="preserve"> </w:t>
      </w:r>
      <w:r>
        <w:t>PBO’s response</w:t>
      </w:r>
      <w:r w:rsidR="006A2787">
        <w:t>s are</w:t>
      </w:r>
      <w:r>
        <w:t xml:space="preserve"> based on 2014-15 administrative tax</w:t>
      </w:r>
      <w:r w:rsidR="00A13013">
        <w:t>ation</w:t>
      </w:r>
      <w:r>
        <w:t xml:space="preserve"> data, which is the </w:t>
      </w:r>
      <w:r w:rsidR="0067108F" w:rsidRPr="002A443E">
        <w:t xml:space="preserve">most recent year of data </w:t>
      </w:r>
      <w:r>
        <w:t>currently used by</w:t>
      </w:r>
      <w:r w:rsidR="0067108F" w:rsidRPr="002A443E">
        <w:t xml:space="preserve"> the</w:t>
      </w:r>
      <w:r w:rsidR="0067108F" w:rsidRPr="007A4112">
        <w:t xml:space="preserve"> PBO</w:t>
      </w:r>
      <w:r w:rsidR="00FE48C3">
        <w:t xml:space="preserve"> in its costing analysis</w:t>
      </w:r>
      <w:r w:rsidR="00095BDF">
        <w:t>.</w:t>
      </w:r>
      <w:r w:rsidR="0067108F" w:rsidRPr="002A443E">
        <w:t xml:space="preserve"> </w:t>
      </w:r>
      <w:r w:rsidR="00095BDF">
        <w:t xml:space="preserve"> </w:t>
      </w:r>
      <w:r w:rsidR="006A2787">
        <w:t>(</w:t>
      </w:r>
      <w:r w:rsidR="00095BDF">
        <w:t>I</w:t>
      </w:r>
      <w:r w:rsidR="00A13013">
        <w:t>n coming months, t</w:t>
      </w:r>
      <w:r w:rsidR="0067108F" w:rsidRPr="002A443E">
        <w:t xml:space="preserve">he </w:t>
      </w:r>
      <w:r w:rsidR="00A13013">
        <w:t xml:space="preserve">PBO expects to update its models to the </w:t>
      </w:r>
      <w:r w:rsidR="0067108F" w:rsidRPr="002A443E">
        <w:t>2015</w:t>
      </w:r>
      <w:r w:rsidR="0067108F" w:rsidRPr="002A443E">
        <w:noBreakHyphen/>
        <w:t>16 administrative tax</w:t>
      </w:r>
      <w:r w:rsidR="00A13013">
        <w:t>ation</w:t>
      </w:r>
      <w:r w:rsidR="0067108F" w:rsidRPr="002A443E">
        <w:t xml:space="preserve"> data</w:t>
      </w:r>
      <w:r w:rsidR="003100C8">
        <w:t>.</w:t>
      </w:r>
      <w:r w:rsidR="00F47B21">
        <w:t>)</w:t>
      </w:r>
      <w:r w:rsidR="0067108F">
        <w:t xml:space="preserve">  </w:t>
      </w:r>
      <w:r>
        <w:t>I</w:t>
      </w:r>
      <w:r w:rsidR="0067108F">
        <w:t xml:space="preserve">t should be noted that </w:t>
      </w:r>
      <w:r w:rsidR="00A13013">
        <w:t xml:space="preserve">a number of </w:t>
      </w:r>
      <w:r w:rsidR="0067108F">
        <w:t>policy changes since 2014</w:t>
      </w:r>
      <w:r w:rsidR="0067108F">
        <w:noBreakHyphen/>
        <w:t xml:space="preserve">15, including </w:t>
      </w:r>
      <w:r w:rsidR="00A13013">
        <w:t xml:space="preserve">changes to </w:t>
      </w:r>
      <w:r w:rsidR="0067108F">
        <w:t xml:space="preserve">superannuation </w:t>
      </w:r>
      <w:r w:rsidR="00A13013">
        <w:t xml:space="preserve">arrangements and </w:t>
      </w:r>
      <w:r w:rsidR="0067108F">
        <w:t>company tax rate</w:t>
      </w:r>
      <w:r w:rsidR="00A13013">
        <w:t>s</w:t>
      </w:r>
      <w:r w:rsidR="0067108F">
        <w:t>, are not reflected in the 2014</w:t>
      </w:r>
      <w:r w:rsidR="0067108F">
        <w:noBreakHyphen/>
        <w:t>15 or 2015-16</w:t>
      </w:r>
      <w:r w:rsidRPr="006B0CE3">
        <w:t xml:space="preserve"> </w:t>
      </w:r>
      <w:r>
        <w:t>data</w:t>
      </w:r>
      <w:r w:rsidR="0067108F">
        <w:t xml:space="preserve">.  These </w:t>
      </w:r>
      <w:r>
        <w:t xml:space="preserve">policy </w:t>
      </w:r>
      <w:r w:rsidR="0067108F">
        <w:t xml:space="preserve">changes would be expected to affect </w:t>
      </w:r>
      <w:r w:rsidR="006A2787">
        <w:t xml:space="preserve">claims of </w:t>
      </w:r>
      <w:r w:rsidR="0067108F">
        <w:t>excess franking credits.  The PBO costing for Senator Leyonhjelm account</w:t>
      </w:r>
      <w:r w:rsidR="00E92FBF">
        <w:t>ed</w:t>
      </w:r>
      <w:r w:rsidR="0067108F">
        <w:t xml:space="preserve"> for </w:t>
      </w:r>
      <w:r>
        <w:t xml:space="preserve">these </w:t>
      </w:r>
      <w:r w:rsidR="002F6903">
        <w:t xml:space="preserve">policy </w:t>
      </w:r>
      <w:r w:rsidR="0067108F">
        <w:t xml:space="preserve">changes </w:t>
      </w:r>
      <w:r w:rsidR="00E92FBF">
        <w:t xml:space="preserve">as well as </w:t>
      </w:r>
      <w:r w:rsidR="002F6903">
        <w:t xml:space="preserve">other changes in </w:t>
      </w:r>
      <w:r w:rsidR="0067108F">
        <w:t>polic</w:t>
      </w:r>
      <w:r w:rsidR="00A13013">
        <w:t>y settings</w:t>
      </w:r>
      <w:r w:rsidR="0067108F">
        <w:t xml:space="preserve"> and economic parameters since 2014</w:t>
      </w:r>
      <w:r w:rsidR="0067108F">
        <w:noBreakHyphen/>
        <w:t xml:space="preserve">15.  </w:t>
      </w:r>
    </w:p>
    <w:p w:rsidR="00E92F7B" w:rsidRDefault="0067108F" w:rsidP="00E92F7B">
      <w:pPr>
        <w:pStyle w:val="BodyText"/>
      </w:pPr>
      <w:r w:rsidRPr="006E2B11">
        <w:t>As noted in the response</w:t>
      </w:r>
      <w:r w:rsidR="00A23537">
        <w:t xml:space="preserve"> to Senator Leyonhjelm</w:t>
      </w:r>
      <w:r w:rsidRPr="006E2B11">
        <w:t xml:space="preserve">, there are significant uncertainties around the </w:t>
      </w:r>
      <w:r w:rsidR="00A13013">
        <w:t xml:space="preserve">baseline data and the </w:t>
      </w:r>
      <w:r w:rsidRPr="006E2B11">
        <w:t>behavioural responses of individuals, superannuation funds and companies to the proposal</w:t>
      </w:r>
      <w:r w:rsidR="006A2787">
        <w:t xml:space="preserve">.  </w:t>
      </w:r>
      <w:r w:rsidRPr="006E2B11">
        <w:t>The PBO notes that all policy costings, no matter who they are prepared by, are subject to uncertainty.</w:t>
      </w:r>
      <w:r w:rsidR="007728B9">
        <w:rPr>
          <w:rStyle w:val="FootnoteReference"/>
        </w:rPr>
        <w:footnoteReference w:id="1"/>
      </w:r>
    </w:p>
    <w:p w:rsidR="00016D53" w:rsidRDefault="002A7DE3" w:rsidP="00E92F7B">
      <w:pPr>
        <w:pStyle w:val="Heading1"/>
      </w:pPr>
      <w:r>
        <w:lastRenderedPageBreak/>
        <w:t>Response</w:t>
      </w:r>
      <w:r w:rsidR="00A13013">
        <w:t>s</w:t>
      </w:r>
      <w:r>
        <w:t xml:space="preserve"> to request</w:t>
      </w:r>
      <w:r w:rsidR="00A13013">
        <w:t>s</w:t>
      </w:r>
      <w:r>
        <w:t xml:space="preserve"> for further information</w:t>
      </w:r>
    </w:p>
    <w:p w:rsidR="002A7DE3" w:rsidRDefault="002A7DE3" w:rsidP="0041497E">
      <w:pPr>
        <w:pStyle w:val="BodyText"/>
        <w:keepNext/>
        <w:rPr>
          <w:b/>
        </w:rPr>
      </w:pPr>
      <w:r>
        <w:rPr>
          <w:b/>
        </w:rPr>
        <w:t xml:space="preserve">1. Based on the most recent data, can you </w:t>
      </w:r>
      <w:r w:rsidR="00F01F0E">
        <w:rPr>
          <w:b/>
        </w:rPr>
        <w:t>provide</w:t>
      </w:r>
      <w:r>
        <w:rPr>
          <w:b/>
        </w:rPr>
        <w:t xml:space="preserve"> the proportion of all excess franking credits claimed by each self-managed superannuation fund balance by SMSF balance decile?</w:t>
      </w:r>
    </w:p>
    <w:p w:rsidR="0067108F" w:rsidRDefault="00A13013" w:rsidP="0067108F">
      <w:pPr>
        <w:pStyle w:val="BodyText"/>
      </w:pPr>
      <w:r>
        <w:t xml:space="preserve">Table </w:t>
      </w:r>
      <w:r w:rsidR="00BE5942">
        <w:t>1 shows the distribution, by fund balance, of excess franking credits claimed by self</w:t>
      </w:r>
      <w:r w:rsidR="00067694">
        <w:noBreakHyphen/>
      </w:r>
      <w:r w:rsidR="00BE5942">
        <w:t xml:space="preserve">managed superannuation funds </w:t>
      </w:r>
      <w:r w:rsidR="00A549F4">
        <w:t xml:space="preserve">(SMSFs) </w:t>
      </w:r>
      <w:r w:rsidR="00BE5942">
        <w:t xml:space="preserve">in 2014-15.  This table is </w:t>
      </w:r>
      <w:r w:rsidR="0067108F">
        <w:t xml:space="preserve">based on </w:t>
      </w:r>
      <w:r w:rsidR="00A549F4">
        <w:t>SMSF</w:t>
      </w:r>
      <w:r w:rsidR="0067108F">
        <w:t xml:space="preserve"> tax returns for the 2014</w:t>
      </w:r>
      <w:r w:rsidR="003100C8">
        <w:noBreakHyphen/>
      </w:r>
      <w:r w:rsidR="0067108F">
        <w:t>15</w:t>
      </w:r>
      <w:r w:rsidR="003100C8">
        <w:t> </w:t>
      </w:r>
      <w:r w:rsidR="0067108F">
        <w:t xml:space="preserve">financial year, and is </w:t>
      </w:r>
      <w:r w:rsidR="00BE5942">
        <w:t>consistent with</w:t>
      </w:r>
      <w:r w:rsidR="0067108F">
        <w:t xml:space="preserve"> Table C6 </w:t>
      </w:r>
      <w:r w:rsidR="003100C8">
        <w:t>on page 11 of</w:t>
      </w:r>
      <w:r w:rsidR="0067108F">
        <w:t xml:space="preserve"> the costing response to Senator</w:t>
      </w:r>
      <w:r w:rsidR="003100C8">
        <w:t> </w:t>
      </w:r>
      <w:r w:rsidR="0067108F">
        <w:t xml:space="preserve">Leyonhjelm, completed 4 May 2018 and published on the PBO website 8 May 2018.  </w:t>
      </w:r>
    </w:p>
    <w:p w:rsidR="0067108F" w:rsidRPr="00426198" w:rsidRDefault="0067108F" w:rsidP="000F1D41">
      <w:pPr>
        <w:pStyle w:val="Caption"/>
        <w:jc w:val="both"/>
      </w:pPr>
      <w:r w:rsidRPr="00426198">
        <w:t xml:space="preserve">Table </w:t>
      </w:r>
      <w:r w:rsidR="000F1D41">
        <w:t>1</w:t>
      </w:r>
      <w:r w:rsidRPr="00426198">
        <w:t xml:space="preserve">: </w:t>
      </w:r>
      <w:r w:rsidR="00741FEE">
        <w:t>Excess franking credits claimed by SMSF</w:t>
      </w:r>
      <w:r w:rsidR="00A549F4">
        <w:t>s</w:t>
      </w:r>
      <w:r w:rsidRPr="00426198">
        <w:t xml:space="preserve"> — Distribution by fund balance </w:t>
      </w:r>
      <w:r w:rsidR="00741FEE" w:rsidRPr="00426198">
        <w:t xml:space="preserve">— </w:t>
      </w:r>
      <w:r w:rsidRPr="00426198">
        <w:t>2014</w:t>
      </w:r>
      <w:r w:rsidRPr="00426198">
        <w:noBreakHyphen/>
      </w:r>
      <w:proofErr w:type="gramStart"/>
      <w:r w:rsidRPr="00426198">
        <w:t>15</w:t>
      </w:r>
      <w:r w:rsidRPr="00426198">
        <w:rPr>
          <w:vertAlign w:val="superscript"/>
        </w:rPr>
        <w:t>(</w:t>
      </w:r>
      <w:proofErr w:type="gramEnd"/>
      <w:r w:rsidRPr="00426198">
        <w:rPr>
          <w:vertAlign w:val="superscript"/>
        </w:rPr>
        <w:t>a)</w:t>
      </w:r>
    </w:p>
    <w:tbl>
      <w:tblPr>
        <w:tblW w:w="3664"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7"/>
        <w:gridCol w:w="2835"/>
        <w:gridCol w:w="1417"/>
        <w:gridCol w:w="1417"/>
      </w:tblGrid>
      <w:tr w:rsidR="003100C8" w:rsidRPr="00426198" w:rsidTr="00420278">
        <w:trPr>
          <w:trHeight w:val="300"/>
        </w:trPr>
        <w:tc>
          <w:tcPr>
            <w:tcW w:w="835" w:type="pct"/>
            <w:shd w:val="clear" w:color="auto" w:fill="D7DDE9"/>
            <w:noWrap/>
          </w:tcPr>
          <w:p w:rsidR="00997D88" w:rsidRPr="00426198" w:rsidRDefault="00997D88" w:rsidP="00A348ED">
            <w:pPr>
              <w:spacing w:before="70" w:after="70" w:line="260" w:lineRule="atLeast"/>
              <w:rPr>
                <w:rFonts w:eastAsia="Times New Roman" w:cs="Thorndale AMT"/>
                <w:b/>
                <w:bCs/>
                <w:color w:val="000000"/>
                <w:sz w:val="20"/>
                <w:szCs w:val="20"/>
                <w:vertAlign w:val="superscript"/>
                <w:lang w:eastAsia="en-AU"/>
              </w:rPr>
            </w:pPr>
            <w:r w:rsidRPr="00426198">
              <w:rPr>
                <w:rFonts w:eastAsia="Times New Roman" w:cs="Thorndale AMT"/>
                <w:b/>
                <w:bCs/>
                <w:color w:val="000000"/>
                <w:sz w:val="20"/>
                <w:szCs w:val="20"/>
                <w:lang w:eastAsia="en-AU"/>
              </w:rPr>
              <w:t>Decile</w:t>
            </w:r>
            <w:r w:rsidRPr="00426198">
              <w:rPr>
                <w:rFonts w:eastAsia="Times New Roman" w:cs="Thorndale AMT"/>
                <w:b/>
                <w:bCs/>
                <w:color w:val="000000"/>
                <w:sz w:val="20"/>
                <w:szCs w:val="20"/>
                <w:vertAlign w:val="superscript"/>
                <w:lang w:eastAsia="en-AU"/>
              </w:rPr>
              <w:t>(b)</w:t>
            </w:r>
          </w:p>
        </w:tc>
        <w:tc>
          <w:tcPr>
            <w:tcW w:w="2083" w:type="pct"/>
            <w:shd w:val="clear" w:color="auto" w:fill="D7DDE9"/>
          </w:tcPr>
          <w:p w:rsidR="00997D88" w:rsidRPr="00426198" w:rsidRDefault="00997D88" w:rsidP="00A348ED">
            <w:pPr>
              <w:spacing w:before="70" w:after="70" w:line="260" w:lineRule="atLeast"/>
              <w:rPr>
                <w:rFonts w:eastAsia="Times New Roman" w:cs="Thorndale AMT"/>
                <w:b/>
                <w:bCs/>
                <w:color w:val="000000"/>
                <w:sz w:val="20"/>
                <w:szCs w:val="20"/>
                <w:lang w:eastAsia="en-AU"/>
              </w:rPr>
            </w:pPr>
            <w:r w:rsidRPr="00426198">
              <w:rPr>
                <w:rFonts w:eastAsia="Times New Roman" w:cs="Thorndale AMT"/>
                <w:b/>
                <w:bCs/>
                <w:color w:val="000000"/>
                <w:sz w:val="20"/>
                <w:szCs w:val="20"/>
                <w:lang w:eastAsia="en-AU"/>
              </w:rPr>
              <w:t>Fund balance range</w:t>
            </w:r>
          </w:p>
        </w:tc>
        <w:tc>
          <w:tcPr>
            <w:tcW w:w="1040" w:type="pct"/>
            <w:shd w:val="clear" w:color="auto" w:fill="D7DDE9"/>
          </w:tcPr>
          <w:p w:rsidR="00997D88" w:rsidRPr="00426198" w:rsidRDefault="00997D88" w:rsidP="00A348ED">
            <w:pPr>
              <w:spacing w:before="70" w:after="70" w:line="260" w:lineRule="atLeast"/>
              <w:jc w:val="right"/>
              <w:rPr>
                <w:rFonts w:eastAsia="Times New Roman" w:cs="Thorndale AMT"/>
                <w:b/>
                <w:bCs/>
                <w:color w:val="000000"/>
                <w:sz w:val="20"/>
                <w:szCs w:val="20"/>
                <w:vertAlign w:val="superscript"/>
                <w:lang w:eastAsia="en-AU"/>
              </w:rPr>
            </w:pPr>
            <w:r w:rsidRPr="00426198">
              <w:rPr>
                <w:rFonts w:eastAsia="Times New Roman" w:cs="Thorndale AMT"/>
                <w:b/>
                <w:bCs/>
                <w:color w:val="000000"/>
                <w:sz w:val="20"/>
                <w:szCs w:val="20"/>
                <w:lang w:eastAsia="en-AU"/>
              </w:rPr>
              <w:t>Total excess franking credits claimed ($m)</w:t>
            </w:r>
            <w:r w:rsidRPr="00426198">
              <w:rPr>
                <w:rFonts w:eastAsia="Times New Roman" w:cs="Thorndale AMT"/>
                <w:b/>
                <w:bCs/>
                <w:color w:val="000000"/>
                <w:sz w:val="20"/>
                <w:szCs w:val="20"/>
                <w:vertAlign w:val="superscript"/>
                <w:lang w:eastAsia="en-AU"/>
              </w:rPr>
              <w:t>(</w:t>
            </w:r>
            <w:r w:rsidR="00F825CC">
              <w:rPr>
                <w:rFonts w:eastAsia="Times New Roman" w:cs="Thorndale AMT"/>
                <w:b/>
                <w:bCs/>
                <w:color w:val="000000"/>
                <w:sz w:val="20"/>
                <w:szCs w:val="20"/>
                <w:vertAlign w:val="superscript"/>
                <w:lang w:eastAsia="en-AU"/>
              </w:rPr>
              <w:t>c</w:t>
            </w:r>
            <w:r w:rsidRPr="00426198">
              <w:rPr>
                <w:rFonts w:eastAsia="Times New Roman" w:cs="Thorndale AMT"/>
                <w:b/>
                <w:bCs/>
                <w:color w:val="000000"/>
                <w:sz w:val="20"/>
                <w:szCs w:val="20"/>
                <w:vertAlign w:val="superscript"/>
                <w:lang w:eastAsia="en-AU"/>
              </w:rPr>
              <w:t>)</w:t>
            </w:r>
          </w:p>
        </w:tc>
        <w:tc>
          <w:tcPr>
            <w:tcW w:w="1040" w:type="pct"/>
            <w:shd w:val="clear" w:color="auto" w:fill="D7DDE9"/>
          </w:tcPr>
          <w:p w:rsidR="00997D88" w:rsidRDefault="00997D88" w:rsidP="00A348ED">
            <w:pPr>
              <w:spacing w:before="70" w:after="70" w:line="260" w:lineRule="atLeast"/>
              <w:jc w:val="right"/>
              <w:rPr>
                <w:rFonts w:eastAsia="Times New Roman" w:cs="Thorndale AMT"/>
                <w:b/>
                <w:bCs/>
                <w:color w:val="000000"/>
                <w:sz w:val="20"/>
                <w:szCs w:val="20"/>
                <w:lang w:eastAsia="en-AU"/>
              </w:rPr>
            </w:pPr>
            <w:r>
              <w:rPr>
                <w:rFonts w:eastAsia="Times New Roman" w:cs="Thorndale AMT"/>
                <w:b/>
                <w:bCs/>
                <w:color w:val="000000"/>
                <w:sz w:val="20"/>
                <w:szCs w:val="20"/>
                <w:lang w:eastAsia="en-AU"/>
              </w:rPr>
              <w:t>Percentage of all excess franking credits</w:t>
            </w:r>
          </w:p>
          <w:p w:rsidR="00AA0148" w:rsidRPr="00426198" w:rsidRDefault="00AA0148" w:rsidP="00A348ED">
            <w:pPr>
              <w:spacing w:before="70" w:after="70" w:line="260" w:lineRule="atLeast"/>
              <w:jc w:val="right"/>
              <w:rPr>
                <w:rFonts w:eastAsia="Times New Roman" w:cs="Thorndale AMT"/>
                <w:b/>
                <w:bCs/>
                <w:color w:val="000000"/>
                <w:sz w:val="20"/>
                <w:szCs w:val="20"/>
                <w:lang w:eastAsia="en-AU"/>
              </w:rPr>
            </w:pPr>
            <w:r>
              <w:rPr>
                <w:rFonts w:eastAsia="Times New Roman" w:cs="Thorndale AMT"/>
                <w:b/>
                <w:bCs/>
                <w:color w:val="000000"/>
                <w:sz w:val="20"/>
                <w:szCs w:val="20"/>
                <w:lang w:eastAsia="en-AU"/>
              </w:rPr>
              <w:t>(%)</w:t>
            </w:r>
          </w:p>
        </w:tc>
      </w:tr>
      <w:tr w:rsidR="003100C8" w:rsidRPr="00426198" w:rsidTr="00420278">
        <w:trPr>
          <w:trHeight w:val="300"/>
        </w:trPr>
        <w:tc>
          <w:tcPr>
            <w:tcW w:w="835" w:type="pct"/>
            <w:shd w:val="clear" w:color="auto" w:fill="auto"/>
            <w:noWrap/>
            <w:vAlign w:val="center"/>
            <w:hideMark/>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1</w:t>
            </w:r>
          </w:p>
        </w:tc>
        <w:tc>
          <w:tcPr>
            <w:tcW w:w="2083" w:type="pct"/>
            <w:vAlign w:val="center"/>
          </w:tcPr>
          <w:p w:rsidR="00997D88" w:rsidRPr="00426198" w:rsidRDefault="00997D88" w:rsidP="00A348ED">
            <w:pPr>
              <w:rPr>
                <w:sz w:val="20"/>
                <w:szCs w:val="20"/>
              </w:rPr>
            </w:pPr>
            <w:r w:rsidRPr="00426198">
              <w:rPr>
                <w:sz w:val="20"/>
                <w:szCs w:val="20"/>
              </w:rPr>
              <w:t>$0 to $90,276</w:t>
            </w:r>
          </w:p>
        </w:tc>
        <w:tc>
          <w:tcPr>
            <w:tcW w:w="1040" w:type="pct"/>
            <w:vAlign w:val="center"/>
          </w:tcPr>
          <w:p w:rsidR="00997D88" w:rsidRPr="00426198" w:rsidRDefault="00997D88" w:rsidP="00A348ED">
            <w:pPr>
              <w:jc w:val="right"/>
              <w:rPr>
                <w:sz w:val="20"/>
                <w:szCs w:val="20"/>
              </w:rPr>
            </w:pPr>
            <w:r w:rsidRPr="00426198">
              <w:rPr>
                <w:sz w:val="20"/>
                <w:szCs w:val="20"/>
              </w:rPr>
              <w:t xml:space="preserve"> 12.0 </w:t>
            </w:r>
          </w:p>
        </w:tc>
        <w:tc>
          <w:tcPr>
            <w:tcW w:w="1040" w:type="pct"/>
            <w:vAlign w:val="center"/>
          </w:tcPr>
          <w:p w:rsidR="00997D88" w:rsidRPr="00426198" w:rsidRDefault="00997D88" w:rsidP="000F1D41">
            <w:pPr>
              <w:jc w:val="right"/>
              <w:rPr>
                <w:sz w:val="20"/>
                <w:szCs w:val="20"/>
              </w:rPr>
            </w:pPr>
            <w:r w:rsidRPr="000F1D41">
              <w:rPr>
                <w:sz w:val="20"/>
                <w:szCs w:val="20"/>
              </w:rPr>
              <w:t>0.5</w:t>
            </w:r>
          </w:p>
        </w:tc>
      </w:tr>
      <w:tr w:rsidR="003100C8" w:rsidRPr="00426198" w:rsidTr="00420278">
        <w:trPr>
          <w:trHeight w:val="300"/>
        </w:trPr>
        <w:tc>
          <w:tcPr>
            <w:tcW w:w="835" w:type="pct"/>
            <w:shd w:val="clear" w:color="auto" w:fill="auto"/>
            <w:noWrap/>
            <w:vAlign w:val="center"/>
            <w:hideMark/>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2</w:t>
            </w:r>
          </w:p>
        </w:tc>
        <w:tc>
          <w:tcPr>
            <w:tcW w:w="2083" w:type="pct"/>
            <w:vAlign w:val="center"/>
          </w:tcPr>
          <w:p w:rsidR="00997D88" w:rsidRPr="00426198" w:rsidRDefault="00997D88" w:rsidP="00A348ED">
            <w:pPr>
              <w:rPr>
                <w:sz w:val="20"/>
                <w:szCs w:val="20"/>
              </w:rPr>
            </w:pPr>
            <w:r w:rsidRPr="00426198">
              <w:rPr>
                <w:sz w:val="20"/>
                <w:szCs w:val="20"/>
              </w:rPr>
              <w:t>$90,277 to $181,089</w:t>
            </w:r>
          </w:p>
        </w:tc>
        <w:tc>
          <w:tcPr>
            <w:tcW w:w="1040" w:type="pct"/>
            <w:vAlign w:val="center"/>
          </w:tcPr>
          <w:p w:rsidR="00997D88" w:rsidRPr="00426198" w:rsidRDefault="00997D88" w:rsidP="00A348ED">
            <w:pPr>
              <w:jc w:val="right"/>
              <w:rPr>
                <w:sz w:val="20"/>
                <w:szCs w:val="20"/>
              </w:rPr>
            </w:pPr>
            <w:r w:rsidRPr="00426198">
              <w:rPr>
                <w:sz w:val="20"/>
                <w:szCs w:val="20"/>
              </w:rPr>
              <w:t xml:space="preserve"> 10.8 </w:t>
            </w:r>
          </w:p>
        </w:tc>
        <w:tc>
          <w:tcPr>
            <w:tcW w:w="1040" w:type="pct"/>
            <w:vAlign w:val="center"/>
          </w:tcPr>
          <w:p w:rsidR="00997D88" w:rsidRPr="00426198" w:rsidRDefault="00997D88" w:rsidP="000F1D41">
            <w:pPr>
              <w:jc w:val="right"/>
              <w:rPr>
                <w:sz w:val="20"/>
                <w:szCs w:val="20"/>
              </w:rPr>
            </w:pPr>
            <w:r w:rsidRPr="000F1D41">
              <w:rPr>
                <w:sz w:val="20"/>
                <w:szCs w:val="20"/>
              </w:rPr>
              <w:t>0.4</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3</w:t>
            </w:r>
          </w:p>
        </w:tc>
        <w:tc>
          <w:tcPr>
            <w:tcW w:w="2083" w:type="pct"/>
            <w:vAlign w:val="center"/>
          </w:tcPr>
          <w:p w:rsidR="00997D88" w:rsidRPr="00426198" w:rsidRDefault="00997D88" w:rsidP="00A348ED">
            <w:pPr>
              <w:rPr>
                <w:sz w:val="20"/>
                <w:szCs w:val="20"/>
              </w:rPr>
            </w:pPr>
            <w:r w:rsidRPr="00426198">
              <w:rPr>
                <w:sz w:val="20"/>
                <w:szCs w:val="20"/>
              </w:rPr>
              <w:t>$181,090 to $279,252</w:t>
            </w:r>
          </w:p>
        </w:tc>
        <w:tc>
          <w:tcPr>
            <w:tcW w:w="1040" w:type="pct"/>
            <w:vAlign w:val="center"/>
          </w:tcPr>
          <w:p w:rsidR="00997D88" w:rsidRPr="00426198" w:rsidRDefault="00997D88" w:rsidP="00A348ED">
            <w:pPr>
              <w:jc w:val="right"/>
              <w:rPr>
                <w:sz w:val="20"/>
                <w:szCs w:val="20"/>
              </w:rPr>
            </w:pPr>
            <w:r w:rsidRPr="00426198">
              <w:rPr>
                <w:sz w:val="20"/>
                <w:szCs w:val="20"/>
              </w:rPr>
              <w:t xml:space="preserve"> 22.5 </w:t>
            </w:r>
          </w:p>
        </w:tc>
        <w:tc>
          <w:tcPr>
            <w:tcW w:w="1040" w:type="pct"/>
            <w:vAlign w:val="center"/>
          </w:tcPr>
          <w:p w:rsidR="00997D88" w:rsidRPr="00426198" w:rsidRDefault="00997D88" w:rsidP="000F1D41">
            <w:pPr>
              <w:jc w:val="right"/>
              <w:rPr>
                <w:sz w:val="20"/>
                <w:szCs w:val="20"/>
              </w:rPr>
            </w:pPr>
            <w:r w:rsidRPr="000F1D41">
              <w:rPr>
                <w:sz w:val="20"/>
                <w:szCs w:val="20"/>
              </w:rPr>
              <w:t>0.9</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4</w:t>
            </w:r>
          </w:p>
        </w:tc>
        <w:tc>
          <w:tcPr>
            <w:tcW w:w="2083" w:type="pct"/>
            <w:vAlign w:val="center"/>
          </w:tcPr>
          <w:p w:rsidR="00997D88" w:rsidRPr="00426198" w:rsidRDefault="00997D88" w:rsidP="00A348ED">
            <w:pPr>
              <w:rPr>
                <w:sz w:val="20"/>
                <w:szCs w:val="20"/>
              </w:rPr>
            </w:pPr>
            <w:r w:rsidRPr="00426198">
              <w:rPr>
                <w:sz w:val="20"/>
                <w:szCs w:val="20"/>
              </w:rPr>
              <w:t>$279,253 to $402,090</w:t>
            </w:r>
          </w:p>
        </w:tc>
        <w:tc>
          <w:tcPr>
            <w:tcW w:w="1040" w:type="pct"/>
            <w:vAlign w:val="center"/>
          </w:tcPr>
          <w:p w:rsidR="00997D88" w:rsidRPr="00426198" w:rsidRDefault="00997D88" w:rsidP="00A348ED">
            <w:pPr>
              <w:jc w:val="right"/>
              <w:rPr>
                <w:sz w:val="20"/>
                <w:szCs w:val="20"/>
              </w:rPr>
            </w:pPr>
            <w:r w:rsidRPr="00426198">
              <w:rPr>
                <w:sz w:val="20"/>
                <w:szCs w:val="20"/>
              </w:rPr>
              <w:t xml:space="preserve"> 44.4 </w:t>
            </w:r>
          </w:p>
        </w:tc>
        <w:tc>
          <w:tcPr>
            <w:tcW w:w="1040" w:type="pct"/>
            <w:vAlign w:val="center"/>
          </w:tcPr>
          <w:p w:rsidR="00997D88" w:rsidRPr="00426198" w:rsidRDefault="00997D88" w:rsidP="000F1D41">
            <w:pPr>
              <w:jc w:val="right"/>
              <w:rPr>
                <w:sz w:val="20"/>
                <w:szCs w:val="20"/>
              </w:rPr>
            </w:pPr>
            <w:r w:rsidRPr="000F1D41">
              <w:rPr>
                <w:sz w:val="20"/>
                <w:szCs w:val="20"/>
              </w:rPr>
              <w:t>1.7</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5</w:t>
            </w:r>
          </w:p>
        </w:tc>
        <w:tc>
          <w:tcPr>
            <w:tcW w:w="2083" w:type="pct"/>
            <w:vAlign w:val="center"/>
          </w:tcPr>
          <w:p w:rsidR="00997D88" w:rsidRPr="00426198" w:rsidRDefault="00997D88" w:rsidP="00A348ED">
            <w:pPr>
              <w:rPr>
                <w:sz w:val="20"/>
                <w:szCs w:val="20"/>
              </w:rPr>
            </w:pPr>
            <w:r w:rsidRPr="00426198">
              <w:rPr>
                <w:sz w:val="20"/>
                <w:szCs w:val="20"/>
              </w:rPr>
              <w:t>$402,091 to $558,140</w:t>
            </w:r>
          </w:p>
        </w:tc>
        <w:tc>
          <w:tcPr>
            <w:tcW w:w="1040" w:type="pct"/>
            <w:vAlign w:val="center"/>
          </w:tcPr>
          <w:p w:rsidR="00997D88" w:rsidRPr="00426198" w:rsidRDefault="00997D88" w:rsidP="00A348ED">
            <w:pPr>
              <w:jc w:val="right"/>
              <w:rPr>
                <w:sz w:val="20"/>
                <w:szCs w:val="20"/>
              </w:rPr>
            </w:pPr>
            <w:r w:rsidRPr="00426198">
              <w:rPr>
                <w:sz w:val="20"/>
                <w:szCs w:val="20"/>
              </w:rPr>
              <w:t xml:space="preserve"> 75.8 </w:t>
            </w:r>
          </w:p>
        </w:tc>
        <w:tc>
          <w:tcPr>
            <w:tcW w:w="1040" w:type="pct"/>
            <w:vAlign w:val="center"/>
          </w:tcPr>
          <w:p w:rsidR="00997D88" w:rsidRPr="00426198" w:rsidRDefault="00997D88" w:rsidP="000F1D41">
            <w:pPr>
              <w:jc w:val="right"/>
              <w:rPr>
                <w:sz w:val="20"/>
                <w:szCs w:val="20"/>
              </w:rPr>
            </w:pPr>
            <w:r w:rsidRPr="000F1D41">
              <w:rPr>
                <w:sz w:val="20"/>
                <w:szCs w:val="20"/>
              </w:rPr>
              <w:t>2.9</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6</w:t>
            </w:r>
          </w:p>
        </w:tc>
        <w:tc>
          <w:tcPr>
            <w:tcW w:w="2083" w:type="pct"/>
            <w:vAlign w:val="center"/>
          </w:tcPr>
          <w:p w:rsidR="00997D88" w:rsidRPr="00426198" w:rsidRDefault="00997D88" w:rsidP="00A348ED">
            <w:pPr>
              <w:rPr>
                <w:sz w:val="20"/>
                <w:szCs w:val="20"/>
              </w:rPr>
            </w:pPr>
            <w:r w:rsidRPr="00426198">
              <w:rPr>
                <w:sz w:val="20"/>
                <w:szCs w:val="20"/>
              </w:rPr>
              <w:t>$558,141 to $762,242</w:t>
            </w:r>
          </w:p>
        </w:tc>
        <w:tc>
          <w:tcPr>
            <w:tcW w:w="1040" w:type="pct"/>
            <w:vAlign w:val="center"/>
          </w:tcPr>
          <w:p w:rsidR="00997D88" w:rsidRPr="00426198" w:rsidRDefault="00997D88" w:rsidP="00A348ED">
            <w:pPr>
              <w:jc w:val="right"/>
              <w:rPr>
                <w:sz w:val="20"/>
                <w:szCs w:val="20"/>
              </w:rPr>
            </w:pPr>
            <w:r w:rsidRPr="00426198">
              <w:rPr>
                <w:sz w:val="20"/>
                <w:szCs w:val="20"/>
              </w:rPr>
              <w:t xml:space="preserve"> 122.9 </w:t>
            </w:r>
          </w:p>
        </w:tc>
        <w:tc>
          <w:tcPr>
            <w:tcW w:w="1040" w:type="pct"/>
            <w:vAlign w:val="center"/>
          </w:tcPr>
          <w:p w:rsidR="00997D88" w:rsidRPr="00426198" w:rsidRDefault="00997D88" w:rsidP="000F1D41">
            <w:pPr>
              <w:jc w:val="right"/>
              <w:rPr>
                <w:sz w:val="20"/>
                <w:szCs w:val="20"/>
              </w:rPr>
            </w:pPr>
            <w:r w:rsidRPr="000F1D41">
              <w:rPr>
                <w:sz w:val="20"/>
                <w:szCs w:val="20"/>
              </w:rPr>
              <w:t>4.7</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7</w:t>
            </w:r>
          </w:p>
        </w:tc>
        <w:tc>
          <w:tcPr>
            <w:tcW w:w="2083" w:type="pct"/>
            <w:vAlign w:val="center"/>
          </w:tcPr>
          <w:p w:rsidR="00997D88" w:rsidRPr="00426198" w:rsidRDefault="00997D88" w:rsidP="00A348ED">
            <w:pPr>
              <w:rPr>
                <w:sz w:val="20"/>
                <w:szCs w:val="20"/>
              </w:rPr>
            </w:pPr>
            <w:r w:rsidRPr="00426198">
              <w:rPr>
                <w:sz w:val="20"/>
                <w:szCs w:val="20"/>
              </w:rPr>
              <w:t>$762,243 to $1,044,621</w:t>
            </w:r>
          </w:p>
        </w:tc>
        <w:tc>
          <w:tcPr>
            <w:tcW w:w="1040" w:type="pct"/>
            <w:vAlign w:val="center"/>
          </w:tcPr>
          <w:p w:rsidR="00997D88" w:rsidRPr="00426198" w:rsidRDefault="00997D88" w:rsidP="00A348ED">
            <w:pPr>
              <w:jc w:val="right"/>
              <w:rPr>
                <w:sz w:val="20"/>
                <w:szCs w:val="20"/>
              </w:rPr>
            </w:pPr>
            <w:r w:rsidRPr="00426198">
              <w:rPr>
                <w:sz w:val="20"/>
                <w:szCs w:val="20"/>
              </w:rPr>
              <w:t xml:space="preserve"> 186.3 </w:t>
            </w:r>
          </w:p>
        </w:tc>
        <w:tc>
          <w:tcPr>
            <w:tcW w:w="1040" w:type="pct"/>
            <w:vAlign w:val="center"/>
          </w:tcPr>
          <w:p w:rsidR="00997D88" w:rsidRPr="00426198" w:rsidRDefault="00997D88" w:rsidP="000F1D41">
            <w:pPr>
              <w:jc w:val="right"/>
              <w:rPr>
                <w:sz w:val="20"/>
                <w:szCs w:val="20"/>
              </w:rPr>
            </w:pPr>
            <w:r w:rsidRPr="000F1D41">
              <w:rPr>
                <w:sz w:val="20"/>
                <w:szCs w:val="20"/>
              </w:rPr>
              <w:t>7.2</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8</w:t>
            </w:r>
          </w:p>
        </w:tc>
        <w:tc>
          <w:tcPr>
            <w:tcW w:w="2083" w:type="pct"/>
            <w:vAlign w:val="center"/>
          </w:tcPr>
          <w:p w:rsidR="00997D88" w:rsidRPr="00426198" w:rsidRDefault="00997D88" w:rsidP="00A348ED">
            <w:pPr>
              <w:rPr>
                <w:sz w:val="20"/>
                <w:szCs w:val="20"/>
              </w:rPr>
            </w:pPr>
            <w:r w:rsidRPr="00426198">
              <w:rPr>
                <w:sz w:val="20"/>
                <w:szCs w:val="20"/>
              </w:rPr>
              <w:t>$1,044,622 to $1,497,218</w:t>
            </w:r>
          </w:p>
        </w:tc>
        <w:tc>
          <w:tcPr>
            <w:tcW w:w="1040" w:type="pct"/>
            <w:vAlign w:val="center"/>
          </w:tcPr>
          <w:p w:rsidR="00997D88" w:rsidRPr="00426198" w:rsidRDefault="00997D88" w:rsidP="00A348ED">
            <w:pPr>
              <w:jc w:val="right"/>
              <w:rPr>
                <w:sz w:val="20"/>
                <w:szCs w:val="20"/>
              </w:rPr>
            </w:pPr>
            <w:r w:rsidRPr="00426198">
              <w:rPr>
                <w:sz w:val="20"/>
                <w:szCs w:val="20"/>
              </w:rPr>
              <w:t xml:space="preserve"> 284.8 </w:t>
            </w:r>
          </w:p>
        </w:tc>
        <w:tc>
          <w:tcPr>
            <w:tcW w:w="1040" w:type="pct"/>
            <w:vAlign w:val="center"/>
          </w:tcPr>
          <w:p w:rsidR="00997D88" w:rsidRPr="00426198" w:rsidRDefault="00997D88" w:rsidP="000F1D41">
            <w:pPr>
              <w:jc w:val="right"/>
              <w:rPr>
                <w:sz w:val="20"/>
                <w:szCs w:val="20"/>
              </w:rPr>
            </w:pPr>
            <w:r w:rsidRPr="000F1D41">
              <w:rPr>
                <w:sz w:val="20"/>
                <w:szCs w:val="20"/>
              </w:rPr>
              <w:t>11.0</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9</w:t>
            </w:r>
          </w:p>
        </w:tc>
        <w:tc>
          <w:tcPr>
            <w:tcW w:w="2083" w:type="pct"/>
            <w:vAlign w:val="center"/>
          </w:tcPr>
          <w:p w:rsidR="00997D88" w:rsidRPr="00426198" w:rsidRDefault="00997D88" w:rsidP="00A348ED">
            <w:pPr>
              <w:rPr>
                <w:sz w:val="20"/>
                <w:szCs w:val="20"/>
              </w:rPr>
            </w:pPr>
            <w:r w:rsidRPr="00426198">
              <w:rPr>
                <w:sz w:val="20"/>
                <w:szCs w:val="20"/>
              </w:rPr>
              <w:t>$1,497,219 to $2,443,843</w:t>
            </w:r>
          </w:p>
        </w:tc>
        <w:tc>
          <w:tcPr>
            <w:tcW w:w="1040" w:type="pct"/>
            <w:vAlign w:val="center"/>
          </w:tcPr>
          <w:p w:rsidR="00997D88" w:rsidRPr="00426198" w:rsidRDefault="00997D88" w:rsidP="00A348ED">
            <w:pPr>
              <w:jc w:val="right"/>
              <w:rPr>
                <w:sz w:val="20"/>
                <w:szCs w:val="20"/>
              </w:rPr>
            </w:pPr>
            <w:r w:rsidRPr="00426198">
              <w:rPr>
                <w:sz w:val="20"/>
                <w:szCs w:val="20"/>
              </w:rPr>
              <w:t xml:space="preserve"> 468.7 </w:t>
            </w:r>
          </w:p>
        </w:tc>
        <w:tc>
          <w:tcPr>
            <w:tcW w:w="1040" w:type="pct"/>
            <w:vAlign w:val="center"/>
          </w:tcPr>
          <w:p w:rsidR="00997D88" w:rsidRPr="00426198" w:rsidRDefault="00997D88" w:rsidP="000F1D41">
            <w:pPr>
              <w:jc w:val="right"/>
              <w:rPr>
                <w:sz w:val="20"/>
                <w:szCs w:val="20"/>
              </w:rPr>
            </w:pPr>
            <w:r w:rsidRPr="000F1D41">
              <w:rPr>
                <w:sz w:val="20"/>
                <w:szCs w:val="20"/>
              </w:rPr>
              <w:t>18.1</w:t>
            </w:r>
          </w:p>
        </w:tc>
      </w:tr>
      <w:tr w:rsidR="003100C8" w:rsidRPr="00426198" w:rsidTr="00420278">
        <w:trPr>
          <w:trHeight w:val="300"/>
        </w:trPr>
        <w:tc>
          <w:tcPr>
            <w:tcW w:w="835" w:type="pct"/>
            <w:shd w:val="clear" w:color="auto" w:fill="auto"/>
            <w:noWrap/>
            <w:vAlign w:val="center"/>
          </w:tcPr>
          <w:p w:rsidR="00997D88" w:rsidRPr="00426198" w:rsidRDefault="00997D88" w:rsidP="00A348ED">
            <w:pPr>
              <w:spacing w:before="70" w:after="70" w:line="260" w:lineRule="atLeast"/>
              <w:rPr>
                <w:rFonts w:eastAsia="Times New Roman" w:cs="Thorndale AMT"/>
                <w:bCs/>
                <w:color w:val="000000"/>
                <w:sz w:val="20"/>
                <w:szCs w:val="20"/>
                <w:lang w:eastAsia="en-AU"/>
              </w:rPr>
            </w:pPr>
            <w:r w:rsidRPr="00426198">
              <w:rPr>
                <w:color w:val="000000"/>
                <w:sz w:val="20"/>
                <w:szCs w:val="20"/>
              </w:rPr>
              <w:t>10</w:t>
            </w:r>
          </w:p>
        </w:tc>
        <w:tc>
          <w:tcPr>
            <w:tcW w:w="2083" w:type="pct"/>
            <w:shd w:val="clear" w:color="auto" w:fill="auto"/>
            <w:vAlign w:val="center"/>
          </w:tcPr>
          <w:p w:rsidR="00997D88" w:rsidRPr="00426198" w:rsidRDefault="00997D88" w:rsidP="00A348ED">
            <w:pPr>
              <w:rPr>
                <w:sz w:val="20"/>
                <w:szCs w:val="20"/>
              </w:rPr>
            </w:pPr>
            <w:r w:rsidRPr="00426198">
              <w:rPr>
                <w:sz w:val="20"/>
                <w:szCs w:val="20"/>
              </w:rPr>
              <w:t>$2,443,843 and over</w:t>
            </w:r>
          </w:p>
        </w:tc>
        <w:tc>
          <w:tcPr>
            <w:tcW w:w="1040" w:type="pct"/>
            <w:shd w:val="clear" w:color="auto" w:fill="auto"/>
            <w:vAlign w:val="center"/>
          </w:tcPr>
          <w:p w:rsidR="00997D88" w:rsidRPr="00426198" w:rsidRDefault="00997D88" w:rsidP="00A348ED">
            <w:pPr>
              <w:jc w:val="right"/>
              <w:rPr>
                <w:sz w:val="20"/>
                <w:szCs w:val="20"/>
              </w:rPr>
            </w:pPr>
            <w:r w:rsidRPr="00426198">
              <w:rPr>
                <w:sz w:val="20"/>
                <w:szCs w:val="20"/>
              </w:rPr>
              <w:t xml:space="preserve"> 1,366.2 </w:t>
            </w:r>
          </w:p>
        </w:tc>
        <w:tc>
          <w:tcPr>
            <w:tcW w:w="1040" w:type="pct"/>
            <w:vAlign w:val="center"/>
          </w:tcPr>
          <w:p w:rsidR="00997D88" w:rsidRPr="00426198" w:rsidRDefault="00997D88" w:rsidP="000F1D41">
            <w:pPr>
              <w:jc w:val="right"/>
              <w:rPr>
                <w:sz w:val="20"/>
                <w:szCs w:val="20"/>
              </w:rPr>
            </w:pPr>
            <w:r w:rsidRPr="000F1D41">
              <w:rPr>
                <w:sz w:val="20"/>
                <w:szCs w:val="20"/>
              </w:rPr>
              <w:t>52.7</w:t>
            </w:r>
          </w:p>
        </w:tc>
      </w:tr>
      <w:tr w:rsidR="00997D88" w:rsidRPr="00426198" w:rsidTr="00420278">
        <w:trPr>
          <w:trHeight w:val="391"/>
        </w:trPr>
        <w:tc>
          <w:tcPr>
            <w:tcW w:w="2918" w:type="pct"/>
            <w:gridSpan w:val="2"/>
            <w:shd w:val="clear" w:color="auto" w:fill="D7DDE9"/>
            <w:noWrap/>
            <w:vAlign w:val="center"/>
          </w:tcPr>
          <w:p w:rsidR="00997D88" w:rsidRPr="00426198" w:rsidRDefault="00997D88" w:rsidP="00A348ED">
            <w:pPr>
              <w:tabs>
                <w:tab w:val="decimal" w:pos="954"/>
              </w:tabs>
              <w:rPr>
                <w:b/>
                <w:bCs/>
                <w:color w:val="000000"/>
                <w:sz w:val="20"/>
                <w:szCs w:val="20"/>
              </w:rPr>
            </w:pPr>
            <w:r w:rsidRPr="00426198">
              <w:rPr>
                <w:rFonts w:eastAsia="Times New Roman" w:cs="Thorndale AMT"/>
                <w:b/>
                <w:bCs/>
                <w:color w:val="000000"/>
                <w:sz w:val="20"/>
                <w:szCs w:val="20"/>
                <w:lang w:eastAsia="en-AU"/>
              </w:rPr>
              <w:t>Total SMSFs</w:t>
            </w:r>
          </w:p>
        </w:tc>
        <w:tc>
          <w:tcPr>
            <w:tcW w:w="1041" w:type="pct"/>
            <w:shd w:val="clear" w:color="auto" w:fill="D7DDE9"/>
            <w:vAlign w:val="center"/>
          </w:tcPr>
          <w:p w:rsidR="00997D88" w:rsidRPr="00426198" w:rsidRDefault="00997D88" w:rsidP="00A348ED">
            <w:pPr>
              <w:jc w:val="right"/>
              <w:rPr>
                <w:b/>
                <w:sz w:val="20"/>
                <w:szCs w:val="20"/>
              </w:rPr>
            </w:pPr>
            <w:r w:rsidRPr="00426198">
              <w:rPr>
                <w:b/>
                <w:sz w:val="20"/>
                <w:szCs w:val="20"/>
              </w:rPr>
              <w:t xml:space="preserve"> 2,594.5 </w:t>
            </w:r>
          </w:p>
        </w:tc>
        <w:tc>
          <w:tcPr>
            <w:tcW w:w="1041" w:type="pct"/>
            <w:shd w:val="clear" w:color="auto" w:fill="D7DDE9"/>
            <w:vAlign w:val="center"/>
          </w:tcPr>
          <w:p w:rsidR="00997D88" w:rsidRPr="00426198" w:rsidRDefault="00997D88" w:rsidP="000F1D41">
            <w:pPr>
              <w:jc w:val="right"/>
              <w:rPr>
                <w:b/>
                <w:sz w:val="20"/>
                <w:szCs w:val="20"/>
              </w:rPr>
            </w:pPr>
            <w:r>
              <w:rPr>
                <w:b/>
                <w:sz w:val="20"/>
                <w:szCs w:val="20"/>
              </w:rPr>
              <w:t>100</w:t>
            </w:r>
          </w:p>
        </w:tc>
      </w:tr>
    </w:tbl>
    <w:p w:rsidR="0067108F" w:rsidRPr="00426198" w:rsidRDefault="0067108F" w:rsidP="0067108F">
      <w:pPr>
        <w:keepNext/>
        <w:keepLines/>
        <w:spacing w:line="260" w:lineRule="atLeast"/>
        <w:ind w:left="284" w:hanging="284"/>
        <w:rPr>
          <w:sz w:val="20"/>
          <w:szCs w:val="20"/>
        </w:rPr>
      </w:pPr>
      <w:r w:rsidRPr="00426198">
        <w:rPr>
          <w:sz w:val="20"/>
          <w:szCs w:val="20"/>
        </w:rPr>
        <w:t>(a)</w:t>
      </w:r>
      <w:r w:rsidRPr="00426198">
        <w:rPr>
          <w:sz w:val="20"/>
          <w:szCs w:val="20"/>
        </w:rPr>
        <w:tab/>
        <w:t>Figures may not sum to totals due to rounding.</w:t>
      </w:r>
    </w:p>
    <w:p w:rsidR="0067108F" w:rsidRPr="00426198" w:rsidRDefault="0067108F" w:rsidP="0067108F">
      <w:pPr>
        <w:keepNext/>
        <w:keepLines/>
        <w:spacing w:line="260" w:lineRule="atLeast"/>
        <w:ind w:left="284" w:hanging="284"/>
        <w:rPr>
          <w:sz w:val="20"/>
          <w:szCs w:val="20"/>
        </w:rPr>
      </w:pPr>
      <w:r w:rsidRPr="00426198">
        <w:rPr>
          <w:sz w:val="20"/>
          <w:szCs w:val="20"/>
        </w:rPr>
        <w:t>(b)</w:t>
      </w:r>
      <w:r w:rsidRPr="00426198">
        <w:rPr>
          <w:sz w:val="20"/>
          <w:szCs w:val="20"/>
        </w:rPr>
        <w:tab/>
        <w:t xml:space="preserve">Based on the fund balance of all </w:t>
      </w:r>
      <w:r w:rsidR="00741FEE">
        <w:rPr>
          <w:sz w:val="20"/>
          <w:szCs w:val="20"/>
        </w:rPr>
        <w:t>SMSFs</w:t>
      </w:r>
      <w:r w:rsidRPr="00426198">
        <w:rPr>
          <w:sz w:val="20"/>
          <w:szCs w:val="20"/>
        </w:rPr>
        <w:t xml:space="preserve"> in 2014-15. </w:t>
      </w:r>
    </w:p>
    <w:p w:rsidR="002A7DE3" w:rsidRPr="00305885" w:rsidRDefault="0067108F" w:rsidP="00305885">
      <w:pPr>
        <w:keepNext/>
        <w:keepLines/>
        <w:spacing w:line="260" w:lineRule="atLeast"/>
        <w:ind w:left="284" w:hanging="284"/>
        <w:rPr>
          <w:sz w:val="20"/>
          <w:szCs w:val="20"/>
        </w:rPr>
      </w:pPr>
      <w:r w:rsidRPr="00426198">
        <w:rPr>
          <w:sz w:val="20"/>
          <w:szCs w:val="20"/>
        </w:rPr>
        <w:t>(</w:t>
      </w:r>
      <w:r w:rsidR="00F825CC">
        <w:rPr>
          <w:sz w:val="20"/>
          <w:szCs w:val="20"/>
        </w:rPr>
        <w:t>c</w:t>
      </w:r>
      <w:r w:rsidRPr="00426198">
        <w:rPr>
          <w:sz w:val="20"/>
          <w:szCs w:val="20"/>
        </w:rPr>
        <w:t>)</w:t>
      </w:r>
      <w:r w:rsidRPr="00426198">
        <w:rPr>
          <w:sz w:val="20"/>
          <w:szCs w:val="20"/>
        </w:rPr>
        <w:tab/>
        <w:t xml:space="preserve">Calculated as </w:t>
      </w:r>
      <w:r w:rsidRPr="00426198">
        <w:rPr>
          <w:i/>
          <w:sz w:val="20"/>
          <w:szCs w:val="20"/>
        </w:rPr>
        <w:t>the number claiming excess franking credits</w:t>
      </w:r>
      <w:r w:rsidRPr="00426198">
        <w:rPr>
          <w:sz w:val="20"/>
          <w:szCs w:val="20"/>
        </w:rPr>
        <w:t xml:space="preserve"> multiplied by the </w:t>
      </w:r>
      <w:r w:rsidRPr="00426198">
        <w:rPr>
          <w:i/>
          <w:sz w:val="20"/>
          <w:szCs w:val="20"/>
        </w:rPr>
        <w:t>average excess franking credits claimed</w:t>
      </w:r>
      <w:r w:rsidR="00F825CC">
        <w:rPr>
          <w:i/>
          <w:sz w:val="20"/>
          <w:szCs w:val="20"/>
        </w:rPr>
        <w:t xml:space="preserve"> in </w:t>
      </w:r>
      <w:r w:rsidR="00F825CC" w:rsidRPr="001532D9">
        <w:rPr>
          <w:sz w:val="20"/>
          <w:szCs w:val="20"/>
        </w:rPr>
        <w:t>Table C6</w:t>
      </w:r>
      <w:r w:rsidR="00F825CC">
        <w:rPr>
          <w:sz w:val="20"/>
          <w:szCs w:val="20"/>
        </w:rPr>
        <w:t xml:space="preserve"> in </w:t>
      </w:r>
      <w:r w:rsidR="00F01F0E">
        <w:rPr>
          <w:sz w:val="20"/>
          <w:szCs w:val="20"/>
        </w:rPr>
        <w:t>the response to Senator Leyonhjelm</w:t>
      </w:r>
      <w:r w:rsidRPr="00426198">
        <w:rPr>
          <w:sz w:val="20"/>
          <w:szCs w:val="20"/>
        </w:rPr>
        <w:t>.</w:t>
      </w:r>
    </w:p>
    <w:p w:rsidR="002A7DE3" w:rsidRDefault="002A7DE3" w:rsidP="00420278">
      <w:pPr>
        <w:pStyle w:val="BodyText"/>
        <w:spacing w:before="340"/>
        <w:rPr>
          <w:b/>
        </w:rPr>
      </w:pPr>
      <w:r>
        <w:rPr>
          <w:b/>
        </w:rPr>
        <w:t xml:space="preserve">2. Based on the most recent data, can you </w:t>
      </w:r>
      <w:r w:rsidR="00F01F0E">
        <w:rPr>
          <w:b/>
        </w:rPr>
        <w:t>provide</w:t>
      </w:r>
      <w:r>
        <w:rPr>
          <w:b/>
        </w:rPr>
        <w:t xml:space="preserve"> the percentage of individual taxpayers that do not claim excess franking credits?</w:t>
      </w:r>
    </w:p>
    <w:p w:rsidR="006973D7" w:rsidRDefault="004C6F96" w:rsidP="00305885">
      <w:pPr>
        <w:pStyle w:val="BodyText"/>
      </w:pPr>
      <w:r>
        <w:t>P</w:t>
      </w:r>
      <w:r w:rsidR="00305885">
        <w:t>ersonal income tax return data for 2014-15</w:t>
      </w:r>
      <w:r>
        <w:t xml:space="preserve"> show that</w:t>
      </w:r>
      <w:r w:rsidR="00305885">
        <w:t xml:space="preserve"> 1.13 million individual </w:t>
      </w:r>
      <w:r w:rsidR="00C86B09">
        <w:t xml:space="preserve">taxpayers </w:t>
      </w:r>
      <w:r w:rsidR="00305885">
        <w:t>claimed excess franking credits</w:t>
      </w:r>
      <w:r w:rsidR="00725847">
        <w:t xml:space="preserve"> (refer to Table C5 in </w:t>
      </w:r>
      <w:r w:rsidR="00F01F0E">
        <w:t>the response to Senator Leyonhjelm</w:t>
      </w:r>
      <w:r w:rsidR="00725847">
        <w:t>)</w:t>
      </w:r>
      <w:r w:rsidR="00305885">
        <w:t xml:space="preserve">.  </w:t>
      </w:r>
      <w:r>
        <w:t xml:space="preserve">Given that there were </w:t>
      </w:r>
      <w:r w:rsidR="00470281">
        <w:t>1</w:t>
      </w:r>
      <w:r w:rsidR="00D833F6">
        <w:t>3.94</w:t>
      </w:r>
      <w:r w:rsidR="00470281">
        <w:t xml:space="preserve"> million </w:t>
      </w:r>
      <w:r>
        <w:t>individual taxpayers in 2014-15, t</w:t>
      </w:r>
      <w:r w:rsidR="00305885">
        <w:t>his means that 92 per cent of taxpayers did not claim excess franking credits through their personal income tax return.</w:t>
      </w:r>
    </w:p>
    <w:p w:rsidR="006973D7" w:rsidRDefault="006973D7">
      <w:pPr>
        <w:rPr>
          <w:rFonts w:cs="Times New Roman"/>
          <w:spacing w:val="-1"/>
        </w:rPr>
      </w:pPr>
      <w:r>
        <w:br w:type="page"/>
      </w:r>
    </w:p>
    <w:p w:rsidR="002A7DE3" w:rsidRDefault="002A7DE3" w:rsidP="002A7DE3">
      <w:pPr>
        <w:pStyle w:val="BodyText"/>
        <w:rPr>
          <w:b/>
        </w:rPr>
      </w:pPr>
      <w:r>
        <w:rPr>
          <w:b/>
        </w:rPr>
        <w:lastRenderedPageBreak/>
        <w:t xml:space="preserve">3. Based on the most recent data, can you </w:t>
      </w:r>
      <w:r w:rsidR="00F01F0E">
        <w:rPr>
          <w:b/>
        </w:rPr>
        <w:t>provide</w:t>
      </w:r>
      <w:r>
        <w:rPr>
          <w:b/>
        </w:rPr>
        <w:t xml:space="preserve"> the proportion of shares held by each wealth decile in Australia?</w:t>
      </w:r>
    </w:p>
    <w:p w:rsidR="00305885" w:rsidRDefault="00305885" w:rsidP="002A7DE3">
      <w:pPr>
        <w:pStyle w:val="BodyText"/>
      </w:pPr>
      <w:r>
        <w:t>T</w:t>
      </w:r>
      <w:r w:rsidR="00B47176">
        <w:t xml:space="preserve">able </w:t>
      </w:r>
      <w:r w:rsidR="00BE5942">
        <w:t xml:space="preserve">2 shows the distribution, by wealth decile, of </w:t>
      </w:r>
      <w:r w:rsidR="00B47176">
        <w:t xml:space="preserve">the value of </w:t>
      </w:r>
      <w:r w:rsidR="00BE5942">
        <w:t xml:space="preserve">shares held by households in 2015-16.  </w:t>
      </w:r>
      <w:r w:rsidRPr="002F3B4D">
        <w:t xml:space="preserve"> </w:t>
      </w:r>
      <w:r w:rsidR="00C603E4">
        <w:t xml:space="preserve">The data in this table are taken from the </w:t>
      </w:r>
      <w:r w:rsidRPr="002F3B4D">
        <w:t>2015-16 Household Expenditure Survey and Survey of</w:t>
      </w:r>
      <w:r>
        <w:t xml:space="preserve"> </w:t>
      </w:r>
      <w:r w:rsidRPr="002F3B4D">
        <w:t>Income and Housing</w:t>
      </w:r>
      <w:r w:rsidR="003B61EB">
        <w:t xml:space="preserve"> </w:t>
      </w:r>
      <w:r w:rsidR="001135DA">
        <w:t>collected</w:t>
      </w:r>
      <w:r w:rsidR="003B61EB">
        <w:t xml:space="preserve"> by the Australian Bureau of Statistics</w:t>
      </w:r>
      <w:r w:rsidRPr="002F3B4D">
        <w:t xml:space="preserve">. </w:t>
      </w:r>
      <w:r>
        <w:t xml:space="preserve"> </w:t>
      </w:r>
      <w:r w:rsidR="00C603E4">
        <w:t>These surveys are based on a sample of households and involve respondents self-reporting the value of their shareholdings</w:t>
      </w:r>
      <w:r w:rsidRPr="002F3B4D">
        <w:t>.</w:t>
      </w:r>
    </w:p>
    <w:p w:rsidR="00305885" w:rsidRDefault="00305885" w:rsidP="00305885">
      <w:pPr>
        <w:pStyle w:val="Caption"/>
        <w:rPr>
          <w:vertAlign w:val="superscript"/>
        </w:rPr>
      </w:pPr>
      <w:r>
        <w:t xml:space="preserve">Table 2: </w:t>
      </w:r>
      <w:r w:rsidR="00BE5942">
        <w:t xml:space="preserve">Distribution of </w:t>
      </w:r>
      <w:r>
        <w:t xml:space="preserve">the value of shares held by households </w:t>
      </w:r>
      <w:r w:rsidR="00C603E4">
        <w:t>by net wealth</w:t>
      </w:r>
      <w:r>
        <w:t xml:space="preserve"> decile – </w:t>
      </w:r>
      <w:r w:rsidR="00C603E4">
        <w:t>2015-16</w:t>
      </w:r>
      <w:r w:rsidRPr="00AB1068">
        <w:rPr>
          <w:vertAlign w:val="superscript"/>
        </w:rPr>
        <w:t>(a</w:t>
      </w:r>
      <w:proofErr w:type="gramStart"/>
      <w:r w:rsidRPr="00AB1068">
        <w:rPr>
          <w:vertAlign w:val="superscript"/>
        </w:rPr>
        <w:t>)</w:t>
      </w:r>
      <w:r>
        <w:rPr>
          <w:vertAlign w:val="superscript"/>
        </w:rPr>
        <w:t>(</w:t>
      </w:r>
      <w:proofErr w:type="gramEnd"/>
      <w:r>
        <w:rPr>
          <w:vertAlign w:val="superscript"/>
        </w:rPr>
        <w:t>b)</w:t>
      </w:r>
    </w:p>
    <w:tbl>
      <w:tblPr>
        <w:tblW w:w="29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32"/>
        <w:gridCol w:w="2837"/>
        <w:gridCol w:w="1417"/>
      </w:tblGrid>
      <w:tr w:rsidR="00305885" w:rsidRPr="00B46C31" w:rsidTr="00420278">
        <w:trPr>
          <w:trHeight w:val="300"/>
        </w:trPr>
        <w:tc>
          <w:tcPr>
            <w:tcW w:w="1051" w:type="pct"/>
            <w:shd w:val="clear" w:color="auto" w:fill="D7DDE9"/>
            <w:noWrap/>
          </w:tcPr>
          <w:p w:rsidR="00305885" w:rsidRPr="000F1D41" w:rsidRDefault="00305885" w:rsidP="00C6276A">
            <w:pPr>
              <w:keepNext/>
              <w:spacing w:before="70" w:after="70" w:line="260" w:lineRule="atLeast"/>
              <w:ind w:right="32"/>
              <w:rPr>
                <w:rFonts w:eastAsia="Times New Roman" w:cs="Thorndale AMT"/>
                <w:b/>
                <w:bCs/>
                <w:color w:val="000000"/>
                <w:sz w:val="20"/>
                <w:vertAlign w:val="superscript"/>
                <w:lang w:eastAsia="en-AU"/>
              </w:rPr>
            </w:pPr>
            <w:r w:rsidRPr="000F1D41">
              <w:rPr>
                <w:rFonts w:eastAsia="Times New Roman" w:cs="Thorndale AMT"/>
                <w:b/>
                <w:bCs/>
                <w:color w:val="000000"/>
                <w:sz w:val="20"/>
                <w:lang w:eastAsia="en-AU"/>
              </w:rPr>
              <w:t>Decile</w:t>
            </w:r>
            <w:r w:rsidRPr="000F1D41">
              <w:rPr>
                <w:rFonts w:eastAsia="Times New Roman" w:cs="Thorndale AMT"/>
                <w:b/>
                <w:bCs/>
                <w:color w:val="000000"/>
                <w:sz w:val="20"/>
                <w:vertAlign w:val="superscript"/>
                <w:lang w:eastAsia="en-AU"/>
              </w:rPr>
              <w:t>(</w:t>
            </w:r>
            <w:r w:rsidR="00067694">
              <w:rPr>
                <w:rFonts w:eastAsia="Times New Roman" w:cs="Thorndale AMT"/>
                <w:b/>
                <w:bCs/>
                <w:color w:val="000000"/>
                <w:sz w:val="20"/>
                <w:vertAlign w:val="superscript"/>
                <w:lang w:eastAsia="en-AU"/>
              </w:rPr>
              <w:t>c</w:t>
            </w:r>
            <w:r w:rsidRPr="000F1D41">
              <w:rPr>
                <w:rFonts w:eastAsia="Times New Roman" w:cs="Thorndale AMT"/>
                <w:b/>
                <w:bCs/>
                <w:color w:val="000000"/>
                <w:sz w:val="20"/>
                <w:vertAlign w:val="superscript"/>
                <w:lang w:eastAsia="en-AU"/>
              </w:rPr>
              <w:t>)</w:t>
            </w:r>
          </w:p>
        </w:tc>
        <w:tc>
          <w:tcPr>
            <w:tcW w:w="2634" w:type="pct"/>
            <w:shd w:val="clear" w:color="auto" w:fill="D7DDE9"/>
          </w:tcPr>
          <w:p w:rsidR="00305885" w:rsidRPr="000F1D41" w:rsidRDefault="00305885" w:rsidP="00A348ED">
            <w:pPr>
              <w:keepNext/>
              <w:spacing w:before="70" w:after="70" w:line="260" w:lineRule="atLeast"/>
              <w:rPr>
                <w:rFonts w:eastAsia="Times New Roman" w:cs="Thorndale AMT"/>
                <w:b/>
                <w:bCs/>
                <w:color w:val="000000"/>
                <w:sz w:val="20"/>
                <w:lang w:eastAsia="en-AU"/>
              </w:rPr>
            </w:pPr>
            <w:r w:rsidRPr="000F1D41">
              <w:rPr>
                <w:rFonts w:eastAsia="Times New Roman" w:cs="Thorndale AMT"/>
                <w:b/>
                <w:bCs/>
                <w:color w:val="000000"/>
                <w:sz w:val="20"/>
                <w:lang w:eastAsia="en-AU"/>
              </w:rPr>
              <w:t>Net wealth range</w:t>
            </w:r>
          </w:p>
        </w:tc>
        <w:tc>
          <w:tcPr>
            <w:tcW w:w="1315" w:type="pct"/>
            <w:shd w:val="clear" w:color="auto" w:fill="D7DDE9"/>
          </w:tcPr>
          <w:p w:rsidR="00305885" w:rsidRPr="000F1D41" w:rsidRDefault="00305885" w:rsidP="00A348ED">
            <w:pPr>
              <w:keepNext/>
              <w:spacing w:before="70" w:after="70" w:line="260" w:lineRule="atLeast"/>
              <w:jc w:val="right"/>
              <w:rPr>
                <w:rFonts w:eastAsia="Times New Roman" w:cs="Thorndale AMT"/>
                <w:b/>
                <w:bCs/>
                <w:color w:val="000000"/>
                <w:sz w:val="20"/>
                <w:lang w:eastAsia="en-AU"/>
              </w:rPr>
            </w:pPr>
            <w:r w:rsidRPr="000F1D41">
              <w:rPr>
                <w:rFonts w:eastAsia="Times New Roman" w:cs="Thorndale AMT"/>
                <w:b/>
                <w:bCs/>
                <w:color w:val="000000"/>
                <w:sz w:val="20"/>
                <w:lang w:eastAsia="en-AU"/>
              </w:rPr>
              <w:t>Proportion of the value of all shares held</w:t>
            </w:r>
            <w:r w:rsidR="00A073B6">
              <w:rPr>
                <w:rFonts w:eastAsia="Times New Roman" w:cs="Thorndale AMT"/>
                <w:b/>
                <w:bCs/>
                <w:color w:val="000000"/>
                <w:sz w:val="20"/>
                <w:lang w:eastAsia="en-AU"/>
              </w:rPr>
              <w:t xml:space="preserve"> (%)</w:t>
            </w:r>
          </w:p>
        </w:tc>
      </w:tr>
      <w:tr w:rsidR="00305885" w:rsidRPr="002D7640" w:rsidTr="00420278">
        <w:trPr>
          <w:trHeight w:val="300"/>
        </w:trPr>
        <w:tc>
          <w:tcPr>
            <w:tcW w:w="1051" w:type="pct"/>
            <w:shd w:val="clear" w:color="auto" w:fill="auto"/>
            <w:noWrap/>
            <w:vAlign w:val="center"/>
            <w:hideMark/>
          </w:tcPr>
          <w:p w:rsidR="00305885" w:rsidRPr="002D7640" w:rsidRDefault="00305885" w:rsidP="00A348ED">
            <w:pPr>
              <w:pStyle w:val="TableText"/>
              <w:keepNext/>
              <w:rPr>
                <w:rFonts w:eastAsia="Times New Roman" w:cs="Thorndale AMT"/>
                <w:lang w:eastAsia="en-AU"/>
              </w:rPr>
            </w:pPr>
            <w:r w:rsidRPr="002D7640">
              <w:t>1</w:t>
            </w:r>
          </w:p>
        </w:tc>
        <w:tc>
          <w:tcPr>
            <w:tcW w:w="2634" w:type="pct"/>
            <w:vAlign w:val="center"/>
          </w:tcPr>
          <w:p w:rsidR="00305885" w:rsidRPr="002D7640" w:rsidRDefault="00305885" w:rsidP="00A348ED">
            <w:pPr>
              <w:pStyle w:val="TableText"/>
              <w:keepNext/>
            </w:pPr>
            <w:r>
              <w:t>$36,0</w:t>
            </w:r>
            <w:r w:rsidRPr="002D7640">
              <w:t>00 and under</w:t>
            </w:r>
          </w:p>
        </w:tc>
        <w:tc>
          <w:tcPr>
            <w:tcW w:w="1315" w:type="pct"/>
          </w:tcPr>
          <w:p w:rsidR="00305885" w:rsidRPr="002D7640" w:rsidRDefault="00305885" w:rsidP="00A348ED">
            <w:pPr>
              <w:pStyle w:val="TableText"/>
              <w:keepNext/>
              <w:jc w:val="right"/>
            </w:pPr>
            <w:r>
              <w:t>..</w:t>
            </w:r>
          </w:p>
        </w:tc>
      </w:tr>
      <w:tr w:rsidR="00305885" w:rsidRPr="002D7640" w:rsidTr="00420278">
        <w:trPr>
          <w:trHeight w:val="300"/>
        </w:trPr>
        <w:tc>
          <w:tcPr>
            <w:tcW w:w="1051" w:type="pct"/>
            <w:shd w:val="clear" w:color="auto" w:fill="auto"/>
            <w:noWrap/>
            <w:vAlign w:val="center"/>
            <w:hideMark/>
          </w:tcPr>
          <w:p w:rsidR="00305885" w:rsidRPr="002D7640" w:rsidRDefault="00305885" w:rsidP="00A348ED">
            <w:pPr>
              <w:pStyle w:val="TableText"/>
              <w:keepNext/>
              <w:rPr>
                <w:rFonts w:eastAsia="Times New Roman" w:cs="Thorndale AMT"/>
                <w:lang w:eastAsia="en-AU"/>
              </w:rPr>
            </w:pPr>
            <w:r w:rsidRPr="002D7640">
              <w:t>2</w:t>
            </w:r>
          </w:p>
        </w:tc>
        <w:tc>
          <w:tcPr>
            <w:tcW w:w="2634" w:type="pct"/>
            <w:vAlign w:val="center"/>
          </w:tcPr>
          <w:p w:rsidR="00305885" w:rsidRPr="002D7640" w:rsidRDefault="00305885" w:rsidP="00A348ED">
            <w:pPr>
              <w:pStyle w:val="TableText"/>
              <w:keepNext/>
            </w:pPr>
            <w:r>
              <w:t>$36,000 to $110,000</w:t>
            </w:r>
          </w:p>
        </w:tc>
        <w:tc>
          <w:tcPr>
            <w:tcW w:w="1315" w:type="pct"/>
          </w:tcPr>
          <w:p w:rsidR="00305885" w:rsidRPr="002D7640" w:rsidRDefault="00305885" w:rsidP="00A348ED">
            <w:pPr>
              <w:pStyle w:val="TableText"/>
              <w:keepNext/>
              <w:jc w:val="right"/>
            </w:pPr>
            <w:r>
              <w:t>0.2</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3</w:t>
            </w:r>
          </w:p>
        </w:tc>
        <w:tc>
          <w:tcPr>
            <w:tcW w:w="2634" w:type="pct"/>
            <w:vAlign w:val="center"/>
          </w:tcPr>
          <w:p w:rsidR="00305885" w:rsidRPr="002D7640" w:rsidRDefault="00305885" w:rsidP="00A348ED">
            <w:pPr>
              <w:pStyle w:val="TableText"/>
              <w:keepNext/>
            </w:pPr>
            <w:r>
              <w:t>$110,000 to $235,000</w:t>
            </w:r>
          </w:p>
        </w:tc>
        <w:tc>
          <w:tcPr>
            <w:tcW w:w="1315" w:type="pct"/>
          </w:tcPr>
          <w:p w:rsidR="00305885" w:rsidRPr="002D7640" w:rsidRDefault="00305885" w:rsidP="00A348ED">
            <w:pPr>
              <w:pStyle w:val="TableText"/>
              <w:keepNext/>
              <w:jc w:val="right"/>
            </w:pPr>
            <w:r>
              <w:t>0.7</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4</w:t>
            </w:r>
          </w:p>
        </w:tc>
        <w:tc>
          <w:tcPr>
            <w:tcW w:w="2634" w:type="pct"/>
            <w:vAlign w:val="center"/>
          </w:tcPr>
          <w:p w:rsidR="00305885" w:rsidRPr="002D7640" w:rsidRDefault="00305885" w:rsidP="00A348ED">
            <w:pPr>
              <w:pStyle w:val="TableText"/>
              <w:keepNext/>
            </w:pPr>
            <w:r>
              <w:t>$235</w:t>
            </w:r>
            <w:r w:rsidRPr="002D7640">
              <w:t>,000 to $3</w:t>
            </w:r>
            <w:r>
              <w:t>74,0</w:t>
            </w:r>
            <w:r w:rsidRPr="002D7640">
              <w:t>00</w:t>
            </w:r>
          </w:p>
        </w:tc>
        <w:tc>
          <w:tcPr>
            <w:tcW w:w="1315" w:type="pct"/>
          </w:tcPr>
          <w:p w:rsidR="00305885" w:rsidRPr="002D7640" w:rsidRDefault="00305885" w:rsidP="00A348ED">
            <w:pPr>
              <w:pStyle w:val="TableText"/>
              <w:keepNext/>
              <w:jc w:val="right"/>
            </w:pPr>
            <w:r>
              <w:t>1.5</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5</w:t>
            </w:r>
          </w:p>
        </w:tc>
        <w:tc>
          <w:tcPr>
            <w:tcW w:w="2634" w:type="pct"/>
            <w:vAlign w:val="center"/>
          </w:tcPr>
          <w:p w:rsidR="00305885" w:rsidRPr="002D7640" w:rsidRDefault="00305885" w:rsidP="00A348ED">
            <w:pPr>
              <w:pStyle w:val="TableText"/>
              <w:keepNext/>
            </w:pPr>
            <w:r>
              <w:t>$374,000 to $525,0</w:t>
            </w:r>
            <w:r w:rsidRPr="002D7640">
              <w:t>00</w:t>
            </w:r>
          </w:p>
        </w:tc>
        <w:tc>
          <w:tcPr>
            <w:tcW w:w="1315" w:type="pct"/>
          </w:tcPr>
          <w:p w:rsidR="00305885" w:rsidRPr="002D7640" w:rsidRDefault="00305885" w:rsidP="00A348ED">
            <w:pPr>
              <w:pStyle w:val="TableText"/>
              <w:keepNext/>
              <w:jc w:val="right"/>
            </w:pPr>
            <w:r>
              <w:t>0.8</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6</w:t>
            </w:r>
          </w:p>
        </w:tc>
        <w:tc>
          <w:tcPr>
            <w:tcW w:w="2634" w:type="pct"/>
            <w:vAlign w:val="center"/>
          </w:tcPr>
          <w:p w:rsidR="00305885" w:rsidRPr="002D7640" w:rsidRDefault="00305885" w:rsidP="00A348ED">
            <w:pPr>
              <w:pStyle w:val="TableText"/>
              <w:keepNext/>
            </w:pPr>
            <w:r>
              <w:t>$525,000 to $697,0</w:t>
            </w:r>
            <w:r w:rsidRPr="002D7640">
              <w:t>00</w:t>
            </w:r>
          </w:p>
        </w:tc>
        <w:tc>
          <w:tcPr>
            <w:tcW w:w="1315" w:type="pct"/>
          </w:tcPr>
          <w:p w:rsidR="00305885" w:rsidRPr="002D7640" w:rsidRDefault="00305885" w:rsidP="00A348ED">
            <w:pPr>
              <w:pStyle w:val="TableText"/>
              <w:keepNext/>
              <w:jc w:val="right"/>
            </w:pPr>
            <w:r>
              <w:t>1.4</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7</w:t>
            </w:r>
          </w:p>
        </w:tc>
        <w:tc>
          <w:tcPr>
            <w:tcW w:w="2634" w:type="pct"/>
            <w:vAlign w:val="center"/>
          </w:tcPr>
          <w:p w:rsidR="00305885" w:rsidRPr="002D7640" w:rsidRDefault="00305885" w:rsidP="00A348ED">
            <w:pPr>
              <w:pStyle w:val="TableText"/>
              <w:keepNext/>
            </w:pPr>
            <w:r>
              <w:t>$697,000 to $944</w:t>
            </w:r>
            <w:r w:rsidRPr="002D7640">
              <w:t>,000</w:t>
            </w:r>
          </w:p>
        </w:tc>
        <w:tc>
          <w:tcPr>
            <w:tcW w:w="1315" w:type="pct"/>
          </w:tcPr>
          <w:p w:rsidR="00305885" w:rsidRPr="002D7640" w:rsidRDefault="00305885" w:rsidP="00A348ED">
            <w:pPr>
              <w:pStyle w:val="TableText"/>
              <w:keepNext/>
              <w:jc w:val="right"/>
            </w:pPr>
            <w:r>
              <w:t>3.1</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8</w:t>
            </w:r>
          </w:p>
        </w:tc>
        <w:tc>
          <w:tcPr>
            <w:tcW w:w="2634" w:type="pct"/>
            <w:vAlign w:val="center"/>
          </w:tcPr>
          <w:p w:rsidR="00305885" w:rsidRPr="002D7640" w:rsidRDefault="00305885" w:rsidP="00A348ED">
            <w:pPr>
              <w:pStyle w:val="TableText"/>
              <w:keepNext/>
            </w:pPr>
            <w:r>
              <w:t>$944,000 to $1,291,0</w:t>
            </w:r>
            <w:r w:rsidRPr="002D7640">
              <w:t>00</w:t>
            </w:r>
          </w:p>
        </w:tc>
        <w:tc>
          <w:tcPr>
            <w:tcW w:w="1315" w:type="pct"/>
          </w:tcPr>
          <w:p w:rsidR="00305885" w:rsidRPr="002D7640" w:rsidRDefault="00305885" w:rsidP="00A348ED">
            <w:pPr>
              <w:pStyle w:val="TableText"/>
              <w:keepNext/>
              <w:jc w:val="right"/>
            </w:pPr>
            <w:r>
              <w:t>6.3</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9</w:t>
            </w:r>
          </w:p>
        </w:tc>
        <w:tc>
          <w:tcPr>
            <w:tcW w:w="2634" w:type="pct"/>
            <w:vAlign w:val="center"/>
          </w:tcPr>
          <w:p w:rsidR="00305885" w:rsidRPr="002D7640" w:rsidRDefault="00305885" w:rsidP="00A348ED">
            <w:pPr>
              <w:pStyle w:val="TableText"/>
              <w:keepNext/>
            </w:pPr>
            <w:r>
              <w:t>$1,291,000 to $1,974,0</w:t>
            </w:r>
            <w:r w:rsidRPr="002D7640">
              <w:t>00</w:t>
            </w:r>
          </w:p>
        </w:tc>
        <w:tc>
          <w:tcPr>
            <w:tcW w:w="1315" w:type="pct"/>
          </w:tcPr>
          <w:p w:rsidR="00305885" w:rsidRPr="002D7640" w:rsidRDefault="00305885" w:rsidP="00A348ED">
            <w:pPr>
              <w:pStyle w:val="TableText"/>
              <w:keepNext/>
              <w:jc w:val="right"/>
            </w:pPr>
            <w:r>
              <w:t>14.3</w:t>
            </w:r>
          </w:p>
        </w:tc>
      </w:tr>
      <w:tr w:rsidR="00305885" w:rsidRPr="002D7640" w:rsidTr="00420278">
        <w:trPr>
          <w:trHeight w:val="300"/>
        </w:trPr>
        <w:tc>
          <w:tcPr>
            <w:tcW w:w="1051" w:type="pct"/>
            <w:shd w:val="clear" w:color="auto" w:fill="auto"/>
            <w:noWrap/>
            <w:vAlign w:val="center"/>
          </w:tcPr>
          <w:p w:rsidR="00305885" w:rsidRPr="002D7640" w:rsidRDefault="00305885" w:rsidP="00A348ED">
            <w:pPr>
              <w:pStyle w:val="TableText"/>
              <w:keepNext/>
              <w:rPr>
                <w:rFonts w:eastAsia="Times New Roman" w:cs="Thorndale AMT"/>
                <w:lang w:eastAsia="en-AU"/>
              </w:rPr>
            </w:pPr>
            <w:r w:rsidRPr="002D7640">
              <w:t>10</w:t>
            </w:r>
          </w:p>
        </w:tc>
        <w:tc>
          <w:tcPr>
            <w:tcW w:w="2634" w:type="pct"/>
            <w:vAlign w:val="center"/>
          </w:tcPr>
          <w:p w:rsidR="00305885" w:rsidRPr="002D7640" w:rsidRDefault="00305885" w:rsidP="00A348ED">
            <w:pPr>
              <w:pStyle w:val="TableText"/>
              <w:keepNext/>
            </w:pPr>
            <w:r>
              <w:t>$1,974,000</w:t>
            </w:r>
            <w:r w:rsidRPr="002D7640">
              <w:t xml:space="preserve"> and over</w:t>
            </w:r>
          </w:p>
        </w:tc>
        <w:tc>
          <w:tcPr>
            <w:tcW w:w="1315" w:type="pct"/>
          </w:tcPr>
          <w:p w:rsidR="00305885" w:rsidRPr="002D7640" w:rsidRDefault="00305885" w:rsidP="00A348ED">
            <w:pPr>
              <w:pStyle w:val="TableText"/>
              <w:keepNext/>
              <w:jc w:val="right"/>
            </w:pPr>
            <w:r>
              <w:t>71.8</w:t>
            </w:r>
          </w:p>
        </w:tc>
      </w:tr>
      <w:tr w:rsidR="00305885" w:rsidRPr="002D7640" w:rsidTr="00420278">
        <w:trPr>
          <w:trHeight w:val="300"/>
        </w:trPr>
        <w:tc>
          <w:tcPr>
            <w:tcW w:w="3685" w:type="pct"/>
            <w:gridSpan w:val="2"/>
            <w:shd w:val="clear" w:color="auto" w:fill="D3D8E9" w:themeFill="background2" w:themeFillTint="33"/>
            <w:noWrap/>
            <w:vAlign w:val="center"/>
          </w:tcPr>
          <w:p w:rsidR="00305885" w:rsidRPr="00BD441F" w:rsidRDefault="00305885" w:rsidP="00A348ED">
            <w:pPr>
              <w:pStyle w:val="TableText"/>
              <w:keepNext/>
              <w:rPr>
                <w:b/>
                <w:sz w:val="22"/>
              </w:rPr>
            </w:pPr>
            <w:r w:rsidRPr="00BD441F">
              <w:rPr>
                <w:b/>
                <w:sz w:val="22"/>
              </w:rPr>
              <w:t>Total</w:t>
            </w:r>
          </w:p>
        </w:tc>
        <w:tc>
          <w:tcPr>
            <w:tcW w:w="1315" w:type="pct"/>
            <w:shd w:val="clear" w:color="auto" w:fill="D3D8E9" w:themeFill="background2" w:themeFillTint="33"/>
          </w:tcPr>
          <w:p w:rsidR="00305885" w:rsidRPr="00BD441F" w:rsidRDefault="00305885" w:rsidP="00A348ED">
            <w:pPr>
              <w:pStyle w:val="TableText"/>
              <w:keepNext/>
              <w:jc w:val="right"/>
              <w:rPr>
                <w:b/>
              </w:rPr>
            </w:pPr>
            <w:r>
              <w:rPr>
                <w:b/>
              </w:rPr>
              <w:t>100.0</w:t>
            </w:r>
          </w:p>
        </w:tc>
      </w:tr>
    </w:tbl>
    <w:p w:rsidR="00067694" w:rsidRPr="00F94612" w:rsidRDefault="00067694" w:rsidP="00420278">
      <w:pPr>
        <w:keepNext/>
        <w:widowControl w:val="0"/>
        <w:tabs>
          <w:tab w:val="left" w:pos="9356"/>
        </w:tabs>
        <w:spacing w:line="260" w:lineRule="atLeast"/>
        <w:rPr>
          <w:i/>
          <w:sz w:val="20"/>
          <w:szCs w:val="20"/>
        </w:rPr>
      </w:pPr>
      <w:r w:rsidRPr="00F94612">
        <w:rPr>
          <w:i/>
          <w:sz w:val="20"/>
          <w:szCs w:val="20"/>
        </w:rPr>
        <w:t xml:space="preserve">Source: Household Expenditure Survey and Survey of Income and Housing 2015-16.  </w:t>
      </w:r>
      <w:proofErr w:type="gramStart"/>
      <w:r w:rsidRPr="00F94612">
        <w:rPr>
          <w:i/>
          <w:sz w:val="20"/>
          <w:szCs w:val="20"/>
        </w:rPr>
        <w:t>Australian Bureau of Statistics.</w:t>
      </w:r>
      <w:proofErr w:type="gramEnd"/>
    </w:p>
    <w:p w:rsidR="00305885" w:rsidRDefault="00305885" w:rsidP="00305885">
      <w:pPr>
        <w:keepNext/>
        <w:widowControl w:val="0"/>
        <w:tabs>
          <w:tab w:val="left" w:pos="9356"/>
        </w:tabs>
        <w:spacing w:line="260" w:lineRule="atLeast"/>
        <w:ind w:left="284" w:hanging="284"/>
        <w:rPr>
          <w:sz w:val="20"/>
          <w:szCs w:val="20"/>
        </w:rPr>
      </w:pPr>
      <w:r w:rsidRPr="00F60105">
        <w:rPr>
          <w:sz w:val="20"/>
          <w:szCs w:val="20"/>
        </w:rPr>
        <w:t>(a)</w:t>
      </w:r>
      <w:r w:rsidRPr="00F60105">
        <w:rPr>
          <w:sz w:val="20"/>
          <w:szCs w:val="20"/>
        </w:rPr>
        <w:tab/>
      </w:r>
      <w:r w:rsidRPr="003130AF">
        <w:rPr>
          <w:sz w:val="20"/>
          <w:szCs w:val="20"/>
        </w:rPr>
        <w:t>Figures may not sum to totals due to rounding.</w:t>
      </w:r>
    </w:p>
    <w:p w:rsidR="00470281" w:rsidRDefault="00305885" w:rsidP="00C6276A">
      <w:pPr>
        <w:keepNext/>
        <w:widowControl w:val="0"/>
        <w:tabs>
          <w:tab w:val="left" w:pos="9356"/>
        </w:tabs>
        <w:spacing w:line="260" w:lineRule="atLeast"/>
        <w:ind w:left="284" w:hanging="284"/>
        <w:rPr>
          <w:sz w:val="20"/>
          <w:szCs w:val="20"/>
        </w:rPr>
      </w:pPr>
      <w:r>
        <w:rPr>
          <w:sz w:val="20"/>
          <w:szCs w:val="20"/>
        </w:rPr>
        <w:t>(b) Net wealth is defined as the value of total household assets less total household liabilities.</w:t>
      </w:r>
      <w:r w:rsidR="00F11CDE">
        <w:rPr>
          <w:sz w:val="20"/>
          <w:szCs w:val="20"/>
        </w:rPr>
        <w:t xml:space="preserve">  </w:t>
      </w:r>
      <w:r w:rsidR="00F11CDE" w:rsidRPr="00F11CDE">
        <w:rPr>
          <w:sz w:val="20"/>
          <w:szCs w:val="20"/>
        </w:rPr>
        <w:t>Net wealth decile ranges have been rounded to the nearest $1,000.</w:t>
      </w:r>
    </w:p>
    <w:p w:rsidR="00305885" w:rsidRDefault="00305885" w:rsidP="00305885">
      <w:pPr>
        <w:keepNext/>
        <w:widowControl w:val="0"/>
        <w:tabs>
          <w:tab w:val="left" w:pos="9356"/>
        </w:tabs>
        <w:spacing w:line="260" w:lineRule="atLeast"/>
        <w:ind w:left="284" w:hanging="284"/>
        <w:rPr>
          <w:sz w:val="20"/>
          <w:szCs w:val="20"/>
        </w:rPr>
      </w:pPr>
      <w:r w:rsidRPr="00E80225">
        <w:rPr>
          <w:sz w:val="20"/>
          <w:szCs w:val="20"/>
        </w:rPr>
        <w:t>(</w:t>
      </w:r>
      <w:r w:rsidR="00067694">
        <w:rPr>
          <w:sz w:val="20"/>
          <w:szCs w:val="20"/>
        </w:rPr>
        <w:t>c</w:t>
      </w:r>
      <w:r w:rsidRPr="00E80225">
        <w:rPr>
          <w:sz w:val="20"/>
          <w:szCs w:val="20"/>
        </w:rPr>
        <w:t xml:space="preserve">) </w:t>
      </w:r>
      <w:r>
        <w:rPr>
          <w:sz w:val="20"/>
          <w:szCs w:val="20"/>
        </w:rPr>
        <w:t>Deciles are allocated based on total households</w:t>
      </w:r>
      <w:r w:rsidRPr="00E80225">
        <w:rPr>
          <w:sz w:val="20"/>
          <w:szCs w:val="20"/>
        </w:rPr>
        <w:t>.</w:t>
      </w:r>
      <w:r>
        <w:rPr>
          <w:sz w:val="20"/>
          <w:szCs w:val="20"/>
        </w:rPr>
        <w:t xml:space="preserve">  </w:t>
      </w:r>
    </w:p>
    <w:p w:rsidR="002A7DE3" w:rsidRPr="00305885" w:rsidRDefault="00305885" w:rsidP="00305885">
      <w:pPr>
        <w:widowControl w:val="0"/>
        <w:tabs>
          <w:tab w:val="left" w:pos="9356"/>
        </w:tabs>
        <w:spacing w:line="260" w:lineRule="atLeast"/>
        <w:ind w:left="284" w:hanging="284"/>
        <w:rPr>
          <w:sz w:val="20"/>
          <w:szCs w:val="20"/>
        </w:rPr>
      </w:pPr>
      <w:r w:rsidRPr="006262CF">
        <w:rPr>
          <w:sz w:val="20"/>
          <w:szCs w:val="20"/>
        </w:rPr>
        <w:t>..</w:t>
      </w:r>
      <w:r w:rsidRPr="006262CF">
        <w:rPr>
          <w:sz w:val="20"/>
          <w:szCs w:val="20"/>
        </w:rPr>
        <w:tab/>
        <w:t>Not zero but rounded to zero.</w:t>
      </w:r>
      <w:r w:rsidRPr="006262CF" w:rsidDel="00BD441F">
        <w:rPr>
          <w:sz w:val="20"/>
          <w:szCs w:val="20"/>
        </w:rPr>
        <w:t xml:space="preserve"> </w:t>
      </w:r>
      <w:r>
        <w:t xml:space="preserve"> </w:t>
      </w:r>
    </w:p>
    <w:p w:rsidR="002A7DE3" w:rsidRDefault="002A7DE3" w:rsidP="00420278">
      <w:pPr>
        <w:pStyle w:val="BodyText"/>
        <w:spacing w:before="340"/>
        <w:rPr>
          <w:b/>
        </w:rPr>
      </w:pPr>
      <w:r>
        <w:rPr>
          <w:b/>
        </w:rPr>
        <w:t>4. Can you confirm that</w:t>
      </w:r>
      <w:r w:rsidR="006A77C3">
        <w:rPr>
          <w:b/>
        </w:rPr>
        <w:t>,</w:t>
      </w:r>
      <w:r>
        <w:rPr>
          <w:b/>
        </w:rPr>
        <w:t xml:space="preserve"> despite the Government’s transfer balance cap</w:t>
      </w:r>
      <w:r w:rsidR="006A77C3">
        <w:rPr>
          <w:b/>
        </w:rPr>
        <w:t>,</w:t>
      </w:r>
      <w:r>
        <w:rPr>
          <w:b/>
        </w:rPr>
        <w:t xml:space="preserve"> people will still be affected by the proposal?</w:t>
      </w:r>
    </w:p>
    <w:p w:rsidR="00305885" w:rsidRDefault="00305885" w:rsidP="00305885">
      <w:pPr>
        <w:pStyle w:val="BodyText"/>
      </w:pPr>
      <w:r>
        <w:t xml:space="preserve">Yes.  </w:t>
      </w:r>
      <w:r w:rsidR="00B47176">
        <w:t xml:space="preserve">This </w:t>
      </w:r>
      <w:r w:rsidR="004C6F96">
        <w:t xml:space="preserve">policy </w:t>
      </w:r>
      <w:r w:rsidR="00B47176">
        <w:t>proposal will affect individuals and superannuation funds who</w:t>
      </w:r>
      <w:r w:rsidR="00D833F6">
        <w:t xml:space="preserve"> </w:t>
      </w:r>
      <w:r w:rsidR="004F0F82">
        <w:t xml:space="preserve">would be expected to </w:t>
      </w:r>
      <w:r w:rsidR="00B47176">
        <w:t xml:space="preserve">receive refunds from the Government because the </w:t>
      </w:r>
      <w:r w:rsidR="00AE5A6C">
        <w:t>value</w:t>
      </w:r>
      <w:r w:rsidR="00B47176">
        <w:t xml:space="preserve"> of franking credits they receive is in excess of the</w:t>
      </w:r>
      <w:r w:rsidR="00AE5A6C">
        <w:t>ir</w:t>
      </w:r>
      <w:r w:rsidR="00B47176">
        <w:t xml:space="preserve"> tax </w:t>
      </w:r>
      <w:r w:rsidR="00AE5A6C">
        <w:t>liability</w:t>
      </w:r>
      <w:r w:rsidR="004F0F82">
        <w:t xml:space="preserve"> after 1 July 2019</w:t>
      </w:r>
      <w:r w:rsidR="00B47176">
        <w:t xml:space="preserve">.  </w:t>
      </w:r>
      <w:r>
        <w:t xml:space="preserve">The transfer balance cap </w:t>
      </w:r>
      <w:r w:rsidR="00C603E4">
        <w:t xml:space="preserve">will have </w:t>
      </w:r>
      <w:r>
        <w:t>reduce</w:t>
      </w:r>
      <w:r w:rsidR="00C603E4">
        <w:t>d</w:t>
      </w:r>
      <w:r>
        <w:t xml:space="preserve"> the impact of the proposal on some superannuation funds</w:t>
      </w:r>
      <w:r w:rsidR="00B47176">
        <w:t xml:space="preserve"> as it has increased the tax that is owed on the earnings of these funds.  Even after the introduction of the transfer balance cap, however, </w:t>
      </w:r>
      <w:r w:rsidR="00AE5A6C">
        <w:t xml:space="preserve">many of these funds are still expected to be in a </w:t>
      </w:r>
      <w:r w:rsidR="00470281">
        <w:t>net-</w:t>
      </w:r>
      <w:r w:rsidR="00AE5A6C">
        <w:t xml:space="preserve">refund position and hence would be affected by this </w:t>
      </w:r>
      <w:r w:rsidR="004C6F96">
        <w:t xml:space="preserve">policy </w:t>
      </w:r>
      <w:r w:rsidR="00AE5A6C">
        <w:t>proposal.</w:t>
      </w:r>
    </w:p>
    <w:p w:rsidR="002A7DE3" w:rsidRDefault="002A7DE3" w:rsidP="00BB457C">
      <w:pPr>
        <w:pStyle w:val="BodyText"/>
        <w:keepNext/>
        <w:rPr>
          <w:b/>
        </w:rPr>
      </w:pPr>
      <w:r>
        <w:rPr>
          <w:b/>
        </w:rPr>
        <w:lastRenderedPageBreak/>
        <w:t xml:space="preserve">5. Can you </w:t>
      </w:r>
      <w:r w:rsidR="00F01F0E">
        <w:rPr>
          <w:b/>
        </w:rPr>
        <w:t>provide</w:t>
      </w:r>
      <w:r>
        <w:rPr>
          <w:b/>
        </w:rPr>
        <w:t xml:space="preserve"> the extent to which the transfer balance cap will affect the revenue raised in the costing?</w:t>
      </w:r>
    </w:p>
    <w:p w:rsidR="00B55411" w:rsidRDefault="00AE5A6C" w:rsidP="00BB457C">
      <w:pPr>
        <w:pStyle w:val="BodyText"/>
        <w:keepLines/>
      </w:pPr>
      <w:r>
        <w:t xml:space="preserve">In the absence of the transfer balance cap, the estimated revenue raised from superannuation funds under this proposal would </w:t>
      </w:r>
      <w:r w:rsidR="00B55411">
        <w:t xml:space="preserve">be expected to </w:t>
      </w:r>
      <w:r w:rsidR="00B55411" w:rsidRPr="009C29A0">
        <w:t xml:space="preserve">be </w:t>
      </w:r>
      <w:r w:rsidR="00D833F6">
        <w:t xml:space="preserve">up to </w:t>
      </w:r>
      <w:r w:rsidR="00B55411" w:rsidRPr="009C29A0">
        <w:t>around</w:t>
      </w:r>
      <w:r w:rsidRPr="00BB457C">
        <w:t xml:space="preserve"> 10 per</w:t>
      </w:r>
      <w:r>
        <w:t xml:space="preserve"> cent </w:t>
      </w:r>
      <w:r w:rsidR="00B55411">
        <w:t xml:space="preserve">higher </w:t>
      </w:r>
      <w:r>
        <w:t>over the period to 2027</w:t>
      </w:r>
      <w:r w:rsidR="000A2B7A">
        <w:noBreakHyphen/>
      </w:r>
      <w:r>
        <w:t xml:space="preserve">28. </w:t>
      </w:r>
      <w:r w:rsidR="00B55411">
        <w:t xml:space="preserve"> </w:t>
      </w:r>
      <w:r>
        <w:t>This impact is relatively low</w:t>
      </w:r>
      <w:r w:rsidR="00B55411">
        <w:t xml:space="preserve"> </w:t>
      </w:r>
      <w:r w:rsidR="00305885">
        <w:t xml:space="preserve">because the </w:t>
      </w:r>
      <w:r>
        <w:t xml:space="preserve">transfer balance </w:t>
      </w:r>
      <w:r w:rsidR="00305885">
        <w:t>cap only affect</w:t>
      </w:r>
      <w:r w:rsidR="00D833F6">
        <w:t>s</w:t>
      </w:r>
      <w:r w:rsidR="00305885">
        <w:t xml:space="preserve"> a relatively small proportion of pension-phase superannuation assets.  </w:t>
      </w:r>
    </w:p>
    <w:p w:rsidR="002A7DE3" w:rsidRDefault="002A7DE3" w:rsidP="002A7DE3">
      <w:pPr>
        <w:pStyle w:val="BodyText"/>
        <w:rPr>
          <w:b/>
        </w:rPr>
      </w:pPr>
      <w:r>
        <w:rPr>
          <w:b/>
        </w:rPr>
        <w:t xml:space="preserve">6. Did the PBO provide the costing based on the most recent </w:t>
      </w:r>
      <w:r w:rsidR="00DE6698">
        <w:rPr>
          <w:b/>
        </w:rPr>
        <w:t>b</w:t>
      </w:r>
      <w:r>
        <w:rPr>
          <w:b/>
        </w:rPr>
        <w:t>udget policy baseline?  For example, did the costing account for the Government’s transfer balance cap policy?</w:t>
      </w:r>
    </w:p>
    <w:p w:rsidR="00305885" w:rsidRDefault="00305885" w:rsidP="00305885">
      <w:pPr>
        <w:pStyle w:val="BodyText"/>
      </w:pPr>
      <w:r>
        <w:t xml:space="preserve">The PBO always takes current government policy </w:t>
      </w:r>
      <w:r w:rsidR="00AA1F4F">
        <w:t xml:space="preserve">settings </w:t>
      </w:r>
      <w:r>
        <w:t xml:space="preserve">into account </w:t>
      </w:r>
      <w:r w:rsidR="00B55411">
        <w:t xml:space="preserve">when preparing </w:t>
      </w:r>
      <w:r>
        <w:t xml:space="preserve">its policy costings.  </w:t>
      </w:r>
      <w:r w:rsidR="00B55411">
        <w:t xml:space="preserve">The response to Senator Leyonhjelm was provided on 4 May 2018, so the baseline set of policies and economic parameters used in this costing were those </w:t>
      </w:r>
      <w:r w:rsidR="00B80E4C">
        <w:t xml:space="preserve">that had been legislated or committed </w:t>
      </w:r>
      <w:r w:rsidR="00AF2C5A">
        <w:t xml:space="preserve">to </w:t>
      </w:r>
      <w:r w:rsidR="00B55411">
        <w:t>as at the 2017-18 Mid</w:t>
      </w:r>
      <w:r w:rsidR="00B55411">
        <w:noBreakHyphen/>
        <w:t>Year Economic and Fiscal Outlook.  T</w:t>
      </w:r>
      <w:r>
        <w:t xml:space="preserve">he </w:t>
      </w:r>
      <w:r w:rsidR="00B55411">
        <w:t xml:space="preserve">policies that formed the baseline from which this policy proposal was costed </w:t>
      </w:r>
      <w:r>
        <w:t>include</w:t>
      </w:r>
      <w:r w:rsidR="00B55411">
        <w:t>d</w:t>
      </w:r>
      <w:r>
        <w:t xml:space="preserve"> the superannuation changes announced in the 2016-17 Budget and the scheduled company tax cuts (</w:t>
      </w:r>
      <w:r w:rsidR="00B55411">
        <w:t xml:space="preserve">some of which are </w:t>
      </w:r>
      <w:r>
        <w:t>now not proceeding)</w:t>
      </w:r>
      <w:r w:rsidR="00B55411">
        <w:t>.  The superannuation changes announced in the 2016-17 Budget included the introduction of the transfer balance cap along with a number of other changes</w:t>
      </w:r>
      <w:r>
        <w:t>.</w:t>
      </w:r>
    </w:p>
    <w:p w:rsidR="002A7DE3" w:rsidRPr="00142540" w:rsidRDefault="002A7DE3" w:rsidP="002A7DE3">
      <w:pPr>
        <w:pStyle w:val="BodyText"/>
        <w:rPr>
          <w:b/>
        </w:rPr>
      </w:pPr>
      <w:r>
        <w:rPr>
          <w:b/>
        </w:rPr>
        <w:t>7. In relation to Option 2 of the costing (released on 8 May 2018 by Senator Leyonhjelm) which excludes Australian Government pensioner and allowance recipients, how many Government pensioners and allowance recipients will not be affected due to this aspect of the proposal?</w:t>
      </w:r>
    </w:p>
    <w:p w:rsidR="00305885" w:rsidRDefault="00217471" w:rsidP="00305885">
      <w:pPr>
        <w:pStyle w:val="BodyText"/>
      </w:pPr>
      <w:r>
        <w:t>The number of pensioners and allowance rec</w:t>
      </w:r>
      <w:r w:rsidR="000A2B7A">
        <w:t>ipients</w:t>
      </w:r>
      <w:r>
        <w:t xml:space="preserve"> </w:t>
      </w:r>
      <w:r w:rsidR="00B80E4C">
        <w:t xml:space="preserve">who would have been affected by this policy </w:t>
      </w:r>
      <w:r w:rsidR="00A348ED">
        <w:t xml:space="preserve">proposal </w:t>
      </w:r>
      <w:r w:rsidR="00B80E4C">
        <w:t xml:space="preserve">had they not been provided an </w:t>
      </w:r>
      <w:r>
        <w:t>exempt</w:t>
      </w:r>
      <w:r w:rsidR="00B80E4C">
        <w:t xml:space="preserve">ion </w:t>
      </w:r>
      <w:r>
        <w:t xml:space="preserve">is shown in </w:t>
      </w:r>
      <w:r w:rsidR="002748A7">
        <w:t>T</w:t>
      </w:r>
      <w:r>
        <w:t xml:space="preserve">ables C1 and C2 of </w:t>
      </w:r>
      <w:r w:rsidR="00305885">
        <w:t>the response provided to Senator Leyonhjelm</w:t>
      </w:r>
      <w:r>
        <w:t>.</w:t>
      </w:r>
      <w:r w:rsidR="00305885">
        <w:t xml:space="preserve"> </w:t>
      </w:r>
      <w:r>
        <w:t xml:space="preserve"> These tables show </w:t>
      </w:r>
      <w:r w:rsidR="00305885">
        <w:t xml:space="preserve">320,000 Australian Government pension and allowance recipients would </w:t>
      </w:r>
      <w:r w:rsidR="00B80E4C">
        <w:t xml:space="preserve">have </w:t>
      </w:r>
      <w:r w:rsidR="00305885">
        <w:t>be</w:t>
      </w:r>
      <w:r w:rsidR="00B80E4C">
        <w:t>en</w:t>
      </w:r>
      <w:r w:rsidR="00305885">
        <w:t xml:space="preserve"> </w:t>
      </w:r>
      <w:r w:rsidR="00305885" w:rsidRPr="00D108CE">
        <w:t>directly a</w:t>
      </w:r>
      <w:r w:rsidR="00305885">
        <w:t xml:space="preserve">ffected by Option 1 of the proposal (which does not apply an exemption) in 2019-20.  In addition, 20,000 </w:t>
      </w:r>
      <w:r w:rsidR="00741FEE">
        <w:t>SMSFs</w:t>
      </w:r>
      <w:r w:rsidR="00305885">
        <w:t xml:space="preserve"> with a member receiving an Australian</w:t>
      </w:r>
      <w:r w:rsidR="000A2B7A">
        <w:t> </w:t>
      </w:r>
      <w:r w:rsidR="00305885">
        <w:t xml:space="preserve">Government pension or allowance as at 28 March 2018 would </w:t>
      </w:r>
      <w:r w:rsidR="00B80E4C">
        <w:t xml:space="preserve">have </w:t>
      </w:r>
      <w:r w:rsidR="00305885">
        <w:t>be</w:t>
      </w:r>
      <w:r w:rsidR="00B80E4C">
        <w:t>en</w:t>
      </w:r>
      <w:r w:rsidR="00305885">
        <w:t xml:space="preserve"> </w:t>
      </w:r>
      <w:r w:rsidR="00305885" w:rsidRPr="00D108CE">
        <w:t>directly a</w:t>
      </w:r>
      <w:r w:rsidR="00305885">
        <w:t xml:space="preserve">ffected by Option 1 of the proposal in 2019-20.  These individuals and funds </w:t>
      </w:r>
      <w:r w:rsidR="00AA1F4F">
        <w:t xml:space="preserve">would be </w:t>
      </w:r>
      <w:r w:rsidR="00A348ED">
        <w:t>provided an</w:t>
      </w:r>
      <w:r w:rsidR="00305885">
        <w:t xml:space="preserve"> exempt</w:t>
      </w:r>
      <w:r w:rsidR="00A348ED">
        <w:t>ion</w:t>
      </w:r>
      <w:r w:rsidR="00305885">
        <w:t xml:space="preserve"> from the </w:t>
      </w:r>
      <w:r w:rsidR="00A348ED">
        <w:t xml:space="preserve">policy </w:t>
      </w:r>
      <w:r w:rsidR="00305885">
        <w:t>under Option 2</w:t>
      </w:r>
      <w:r w:rsidR="00A348ED">
        <w:t xml:space="preserve"> of the policy proposal</w:t>
      </w:r>
      <w:r w:rsidR="00305885">
        <w:t xml:space="preserve">.  </w:t>
      </w:r>
    </w:p>
    <w:p w:rsidR="002A7DE3" w:rsidRDefault="002A7DE3" w:rsidP="002A7DE3">
      <w:pPr>
        <w:pStyle w:val="BodyText"/>
        <w:rPr>
          <w:b/>
        </w:rPr>
      </w:pPr>
      <w:r>
        <w:rPr>
          <w:b/>
        </w:rPr>
        <w:t xml:space="preserve">8. Some have criticised the PBO for its use of the 2014-15 </w:t>
      </w:r>
      <w:r w:rsidR="000A2B7A">
        <w:rPr>
          <w:b/>
        </w:rPr>
        <w:t>Australian Taxation Office (</w:t>
      </w:r>
      <w:r>
        <w:rPr>
          <w:b/>
        </w:rPr>
        <w:t>ATO</w:t>
      </w:r>
      <w:r w:rsidR="000A2B7A">
        <w:rPr>
          <w:b/>
        </w:rPr>
        <w:t>)</w:t>
      </w:r>
      <w:r>
        <w:rPr>
          <w:b/>
        </w:rPr>
        <w:t xml:space="preserve"> dataset because it implies the PBO did not account for the Government’s more recent (2016-17 Budget measure) transfer balance cap.  Can you please respond to that criticism?</w:t>
      </w:r>
    </w:p>
    <w:p w:rsidR="007242FE" w:rsidRDefault="00305885" w:rsidP="00305885">
      <w:pPr>
        <w:pStyle w:val="BodyText"/>
      </w:pPr>
      <w:r>
        <w:t xml:space="preserve">As noted in our response to Question 6, the PBO </w:t>
      </w:r>
      <w:r w:rsidR="00B80E4C">
        <w:t xml:space="preserve">always </w:t>
      </w:r>
      <w:r>
        <w:t>take</w:t>
      </w:r>
      <w:r w:rsidR="00B80E4C">
        <w:t>s</w:t>
      </w:r>
      <w:r>
        <w:t xml:space="preserve"> current and future government policy commitments into account </w:t>
      </w:r>
      <w:r w:rsidR="00B80E4C">
        <w:t xml:space="preserve">when preparing </w:t>
      </w:r>
      <w:r>
        <w:t xml:space="preserve">its policy costings.  </w:t>
      </w:r>
      <w:r w:rsidR="007242FE">
        <w:t xml:space="preserve">A key input used in preparing </w:t>
      </w:r>
      <w:r w:rsidR="00B80E4C">
        <w:t>costing</w:t>
      </w:r>
      <w:r w:rsidR="007242FE">
        <w:t>s</w:t>
      </w:r>
      <w:r w:rsidR="00B80E4C">
        <w:t xml:space="preserve"> is the </w:t>
      </w:r>
      <w:r>
        <w:t xml:space="preserve">most recent available data, which in this case </w:t>
      </w:r>
      <w:r w:rsidR="00AF2C5A">
        <w:t>w</w:t>
      </w:r>
      <w:r w:rsidR="004F0F82">
        <w:t>as</w:t>
      </w:r>
      <w:r w:rsidR="00AF2C5A">
        <w:t xml:space="preserve"> </w:t>
      </w:r>
      <w:r w:rsidR="007242FE">
        <w:t xml:space="preserve">the </w:t>
      </w:r>
      <w:r>
        <w:t xml:space="preserve">2014-15 </w:t>
      </w:r>
      <w:r w:rsidR="007242FE">
        <w:t xml:space="preserve">administrative taxation data </w:t>
      </w:r>
      <w:r>
        <w:t xml:space="preserve">for superannuation funds and individuals.  </w:t>
      </w:r>
      <w:r w:rsidR="007242FE">
        <w:t xml:space="preserve">These data </w:t>
      </w:r>
      <w:r>
        <w:t xml:space="preserve">included detailed member account level data for </w:t>
      </w:r>
      <w:r w:rsidR="00741FEE">
        <w:t>SMSFs</w:t>
      </w:r>
      <w:r>
        <w:t xml:space="preserve">.  </w:t>
      </w:r>
      <w:r w:rsidR="00F01F0E">
        <w:t>T</w:t>
      </w:r>
      <w:r>
        <w:t xml:space="preserve">he transfer balance cap was not in place in 2014-15, </w:t>
      </w:r>
      <w:r w:rsidR="00F01F0E">
        <w:t xml:space="preserve">so </w:t>
      </w:r>
      <w:r>
        <w:t xml:space="preserve">these baseline data </w:t>
      </w:r>
      <w:r w:rsidR="007242FE">
        <w:t xml:space="preserve">had to be </w:t>
      </w:r>
      <w:r>
        <w:t xml:space="preserve">adjusted to account for the </w:t>
      </w:r>
      <w:r w:rsidR="007242FE">
        <w:t xml:space="preserve">impact of the </w:t>
      </w:r>
      <w:r>
        <w:t>change</w:t>
      </w:r>
      <w:r w:rsidR="007242FE">
        <w:t>s</w:t>
      </w:r>
      <w:r>
        <w:t xml:space="preserve"> in policy </w:t>
      </w:r>
      <w:r w:rsidR="007242FE">
        <w:t xml:space="preserve">announced </w:t>
      </w:r>
      <w:r>
        <w:t>in the 2016-17 Budget</w:t>
      </w:r>
      <w:r w:rsidR="007242FE">
        <w:t xml:space="preserve"> before they could be used to cost the new policy proposal</w:t>
      </w:r>
      <w:r>
        <w:t xml:space="preserve">.  </w:t>
      </w:r>
    </w:p>
    <w:p w:rsidR="00305885" w:rsidRDefault="007242FE" w:rsidP="00305885">
      <w:pPr>
        <w:pStyle w:val="BodyText"/>
      </w:pPr>
      <w:r>
        <w:t>It is a common costing practice for all agencies preparing costings</w:t>
      </w:r>
      <w:r w:rsidDel="007242FE">
        <w:t xml:space="preserve"> </w:t>
      </w:r>
      <w:r>
        <w:t xml:space="preserve">to </w:t>
      </w:r>
      <w:r w:rsidR="00A348ED">
        <w:t>use</w:t>
      </w:r>
      <w:r w:rsidR="000A2B7A">
        <w:t>,</w:t>
      </w:r>
      <w:r>
        <w:t xml:space="preserve"> as their</w:t>
      </w:r>
      <w:r w:rsidR="00741FEE">
        <w:t xml:space="preserve"> baseline data</w:t>
      </w:r>
      <w:r w:rsidR="000A2B7A">
        <w:t>,</w:t>
      </w:r>
      <w:r>
        <w:t xml:space="preserve"> the most recent year of available data adjusted </w:t>
      </w:r>
      <w:r w:rsidR="00305885">
        <w:t xml:space="preserve">for policy changes and changes in economic parameters </w:t>
      </w:r>
      <w:r>
        <w:t xml:space="preserve">that have occurred since </w:t>
      </w:r>
      <w:r w:rsidR="00F01F0E">
        <w:t>the year of the data</w:t>
      </w:r>
      <w:r w:rsidR="00305885">
        <w:t>.</w:t>
      </w:r>
    </w:p>
    <w:p w:rsidR="002A7DE3" w:rsidRDefault="002A7DE3" w:rsidP="00BB457C">
      <w:pPr>
        <w:pStyle w:val="BodyText"/>
        <w:keepNext/>
        <w:rPr>
          <w:b/>
        </w:rPr>
      </w:pPr>
      <w:r>
        <w:rPr>
          <w:b/>
        </w:rPr>
        <w:lastRenderedPageBreak/>
        <w:t xml:space="preserve">9. Can you </w:t>
      </w:r>
      <w:r w:rsidR="00F01F0E">
        <w:rPr>
          <w:b/>
        </w:rPr>
        <w:t>provide,</w:t>
      </w:r>
      <w:r>
        <w:rPr>
          <w:b/>
        </w:rPr>
        <w:t xml:space="preserve"> based on the most recent data</w:t>
      </w:r>
      <w:r w:rsidR="00F01F0E">
        <w:rPr>
          <w:b/>
        </w:rPr>
        <w:t>,</w:t>
      </w:r>
      <w:r>
        <w:rPr>
          <w:b/>
        </w:rPr>
        <w:t xml:space="preserve"> the cost to the budget of allowing franking credits to be refunded where people have not paid any income tax?  How does this compare with the cost to the budget of when excess franking credit refunds were introduced back in 2000?</w:t>
      </w:r>
    </w:p>
    <w:p w:rsidR="00305885" w:rsidRDefault="00E73E27" w:rsidP="00BB457C">
      <w:pPr>
        <w:pStyle w:val="BodyText"/>
        <w:keepLines/>
      </w:pPr>
      <w:r>
        <w:t>T</w:t>
      </w:r>
      <w:r w:rsidR="00305885">
        <w:t xml:space="preserve">he PBO </w:t>
      </w:r>
      <w:r w:rsidR="00A348ED">
        <w:t xml:space="preserve">estimates </w:t>
      </w:r>
      <w:r w:rsidR="00305885">
        <w:t xml:space="preserve">that </w:t>
      </w:r>
      <w:r>
        <w:t xml:space="preserve">in 2014-15, </w:t>
      </w:r>
      <w:r w:rsidR="00305885">
        <w:t xml:space="preserve">$4.9 billion franking credits were </w:t>
      </w:r>
      <w:r w:rsidR="00A348ED">
        <w:t>refunded to</w:t>
      </w:r>
      <w:r w:rsidR="00305885">
        <w:t xml:space="preserve"> individuals and superannuation funds.  However, the budget </w:t>
      </w:r>
      <w:r w:rsidR="00AA1F4F">
        <w:t xml:space="preserve">impact </w:t>
      </w:r>
      <w:r w:rsidR="00A348ED">
        <w:t xml:space="preserve">of </w:t>
      </w:r>
      <w:r w:rsidR="00AA1F4F">
        <w:t xml:space="preserve">making franking credits non-refundable </w:t>
      </w:r>
      <w:r w:rsidR="00A348ED">
        <w:t>would be</w:t>
      </w:r>
      <w:r w:rsidR="00305885">
        <w:t xml:space="preserve"> smaller than this, as </w:t>
      </w:r>
      <w:r w:rsidR="00A348ED">
        <w:t xml:space="preserve">it would need to take into account the adjustments that </w:t>
      </w:r>
      <w:r w:rsidR="00305885">
        <w:t xml:space="preserve">individuals and superannuation funds </w:t>
      </w:r>
      <w:r w:rsidR="00A348ED">
        <w:t xml:space="preserve">would make to </w:t>
      </w:r>
      <w:r w:rsidR="00305885">
        <w:t>their investment strategies if franking credits were made non-refundable.</w:t>
      </w:r>
    </w:p>
    <w:p w:rsidR="00305885" w:rsidRDefault="00305885" w:rsidP="00305885">
      <w:pPr>
        <w:pStyle w:val="BodyText"/>
      </w:pPr>
      <w:r>
        <w:t xml:space="preserve">In the publication </w:t>
      </w:r>
      <w:r>
        <w:rPr>
          <w:i/>
        </w:rPr>
        <w:t>Tax Reform: not a new tax, a new tax system</w:t>
      </w:r>
      <w:r>
        <w:t>, published in August 1998 (p</w:t>
      </w:r>
      <w:r w:rsidR="009A6242">
        <w:t>age </w:t>
      </w:r>
      <w:r w:rsidR="0079759F" w:rsidRPr="0079759F">
        <w:t>3</w:t>
      </w:r>
      <w:r w:rsidR="00D833F6">
        <w:t>4</w:t>
      </w:r>
      <w:r w:rsidRPr="0079759F">
        <w:t>),</w:t>
      </w:r>
      <w:r>
        <w:t xml:space="preserve"> making </w:t>
      </w:r>
      <w:r w:rsidRPr="00953F66">
        <w:t xml:space="preserve">franking credits refundable was estimated to </w:t>
      </w:r>
      <w:r w:rsidR="00AA1F4F">
        <w:t>decrease the budget balance by</w:t>
      </w:r>
      <w:r w:rsidRPr="00953F66">
        <w:t xml:space="preserve"> $550 million in 200</w:t>
      </w:r>
      <w:r w:rsidR="00343C65" w:rsidRPr="00953F66">
        <w:t>1</w:t>
      </w:r>
      <w:r w:rsidRPr="00953F66">
        <w:t>-0</w:t>
      </w:r>
      <w:r w:rsidR="00343C65" w:rsidRPr="00953F66">
        <w:t>2</w:t>
      </w:r>
      <w:r w:rsidRPr="00953F66">
        <w:t>.</w:t>
      </w:r>
      <w:r w:rsidR="0079759F" w:rsidRPr="00953F66">
        <w:t xml:space="preserve">  </w:t>
      </w:r>
      <w:r w:rsidR="00F22BD3">
        <w:t>P</w:t>
      </w:r>
      <w:r w:rsidR="00CB0CAB" w:rsidRPr="00953F66">
        <w:t>olicy changes to individual tax rates and thresholds, changes to</w:t>
      </w:r>
      <w:r w:rsidR="00813B9A" w:rsidRPr="001532D9">
        <w:t xml:space="preserve"> the taxation of</w:t>
      </w:r>
      <w:r w:rsidR="00CB0CAB" w:rsidRPr="00953F66">
        <w:t xml:space="preserve"> superannuation earnings </w:t>
      </w:r>
      <w:r w:rsidR="00EF5D3B" w:rsidRPr="001532D9">
        <w:t>and contribution limits</w:t>
      </w:r>
      <w:r w:rsidR="00AA1F4F">
        <w:t>, and changes to coverage of the superannuation system</w:t>
      </w:r>
      <w:r w:rsidR="00813B9A" w:rsidRPr="001532D9">
        <w:t xml:space="preserve"> have been material since 2001</w:t>
      </w:r>
      <w:r w:rsidR="00F01F0E">
        <w:noBreakHyphen/>
      </w:r>
      <w:r w:rsidR="00813B9A" w:rsidRPr="001532D9">
        <w:t>02</w:t>
      </w:r>
      <w:r w:rsidR="007A71EA">
        <w:t xml:space="preserve"> and will have affected the </w:t>
      </w:r>
      <w:r w:rsidR="00AA1F4F">
        <w:t>budget impact of allowing refunds of franking credits</w:t>
      </w:r>
      <w:r w:rsidR="00CB0CAB" w:rsidRPr="00953F66">
        <w:t xml:space="preserve">. </w:t>
      </w:r>
      <w:r w:rsidR="00813B9A" w:rsidRPr="00953F66">
        <w:t xml:space="preserve"> </w:t>
      </w:r>
      <w:r w:rsidR="00F22BD3">
        <w:t>Note that</w:t>
      </w:r>
      <w:r w:rsidR="00813B9A">
        <w:t xml:space="preserve"> the figures for 2001</w:t>
      </w:r>
      <w:r w:rsidR="00F01F0E">
        <w:noBreakHyphen/>
      </w:r>
      <w:r w:rsidR="00813B9A">
        <w:t>02 and 2014</w:t>
      </w:r>
      <w:r w:rsidR="00F01F0E">
        <w:noBreakHyphen/>
      </w:r>
      <w:r w:rsidR="00813B9A">
        <w:t xml:space="preserve">15 are nominal figures and </w:t>
      </w:r>
      <w:r w:rsidR="00AA1F4F">
        <w:t xml:space="preserve">do not take into account </w:t>
      </w:r>
      <w:r w:rsidR="00813B9A">
        <w:t>inflation.</w:t>
      </w:r>
    </w:p>
    <w:p w:rsidR="002A7DE3" w:rsidRDefault="002A7DE3" w:rsidP="002A7DE3">
      <w:pPr>
        <w:pStyle w:val="BodyText"/>
        <w:rPr>
          <w:b/>
        </w:rPr>
      </w:pPr>
      <w:r>
        <w:rPr>
          <w:b/>
        </w:rPr>
        <w:t>10. Can you outline the extent of the behavioural response you have factored into the costing?  To what extent would the costing have generated more revenue if these behavioural changes had not been assumed?</w:t>
      </w:r>
    </w:p>
    <w:p w:rsidR="00932B17" w:rsidRDefault="00305885" w:rsidP="00331365">
      <w:pPr>
        <w:pStyle w:val="BodyText"/>
      </w:pPr>
      <w:r>
        <w:t>The PBO considered a range of likely behavioural responses</w:t>
      </w:r>
      <w:r w:rsidR="00E73E27">
        <w:t xml:space="preserve"> to the policy proposal</w:t>
      </w:r>
      <w:r>
        <w:t xml:space="preserve"> </w:t>
      </w:r>
      <w:r w:rsidR="00F76D3D">
        <w:t>by</w:t>
      </w:r>
      <w:r>
        <w:t xml:space="preserve"> individuals, </w:t>
      </w:r>
      <w:proofErr w:type="gramStart"/>
      <w:r w:rsidR="00932B17">
        <w:t>companies,</w:t>
      </w:r>
      <w:proofErr w:type="gramEnd"/>
      <w:r w:rsidR="00932B17">
        <w:t xml:space="preserve"> </w:t>
      </w:r>
      <w:r>
        <w:t xml:space="preserve">Australian Prudential Regulation Authority (APRA) </w:t>
      </w:r>
      <w:r w:rsidR="00741FEE">
        <w:t xml:space="preserve">regulated </w:t>
      </w:r>
      <w:r>
        <w:t xml:space="preserve">superannuation funds, and </w:t>
      </w:r>
      <w:r w:rsidR="00741FEE">
        <w:t>SMSF</w:t>
      </w:r>
      <w:r>
        <w:t xml:space="preserve">s.  </w:t>
      </w:r>
    </w:p>
    <w:p w:rsidR="00932B17" w:rsidRPr="00523F03" w:rsidRDefault="00932B17" w:rsidP="002D0237">
      <w:pPr>
        <w:pStyle w:val="ListBullet"/>
      </w:pPr>
      <w:r w:rsidRPr="00523F03">
        <w:t>For individuals, potential behavioural responses could include shifting from shares to alternative investment arrangements (including to investments within superannuation), and couples shifting the ownership of shares from the lower income earner to the higher income earner such that the higher income earner can utilise the franking credits as a non-refundable tax offset.</w:t>
      </w:r>
    </w:p>
    <w:p w:rsidR="00932B17" w:rsidRDefault="00932B17" w:rsidP="002D0237">
      <w:pPr>
        <w:pStyle w:val="ListBullet"/>
      </w:pPr>
      <w:r>
        <w:t>For superannuation funds, potential behavioural responses could include rolling assets from a fund with negative net tax to a fund with positive net tax, changing funds’ asset portfolio allocations, or changing the membership structure of the fund, in order to maximise the utilisation of franking credits.</w:t>
      </w:r>
    </w:p>
    <w:p w:rsidR="00932B17" w:rsidRDefault="00932B17" w:rsidP="002D0237">
      <w:pPr>
        <w:pStyle w:val="ListBullet"/>
      </w:pPr>
      <w:r>
        <w:t>For companies, a potential behavioural response could include changing the amount of dividends distributed (and profits withheld) or the level of dividend franking due to the decrease in the value of franking credits for some shareholders.</w:t>
      </w:r>
    </w:p>
    <w:p w:rsidR="00305885" w:rsidRDefault="00305885" w:rsidP="00331365">
      <w:pPr>
        <w:pStyle w:val="BodyText"/>
      </w:pPr>
      <w:r>
        <w:t xml:space="preserve">In the absence of </w:t>
      </w:r>
      <w:r w:rsidR="002D0237">
        <w:t xml:space="preserve">the assumed </w:t>
      </w:r>
      <w:r>
        <w:t xml:space="preserve">behavioural </w:t>
      </w:r>
      <w:r w:rsidR="00F76D3D">
        <w:t>responses</w:t>
      </w:r>
      <w:r>
        <w:t>, the PBO estimates that the financial implications of the proposal would be about 15 per cent higher over the period to 2027-28.</w:t>
      </w:r>
      <w:r w:rsidR="00153B95" w:rsidDel="00153B95">
        <w:t xml:space="preserve"> </w:t>
      </w:r>
    </w:p>
    <w:p w:rsidR="002A7DE3" w:rsidRDefault="00305885" w:rsidP="002A7DE3">
      <w:pPr>
        <w:pStyle w:val="BodyText"/>
      </w:pPr>
      <w:r w:rsidRPr="00EF4035">
        <w:t xml:space="preserve">The PBO considers that this incorporates a significant behavioural response </w:t>
      </w:r>
      <w:r w:rsidR="00F76D3D">
        <w:t>to</w:t>
      </w:r>
      <w:r w:rsidRPr="00EF4035">
        <w:t xml:space="preserve"> the proposal, particularly for trustees of </w:t>
      </w:r>
      <w:r w:rsidR="00741FEE">
        <w:t>SMSF</w:t>
      </w:r>
      <w:r w:rsidRPr="00EF4035">
        <w:t xml:space="preserve">s. </w:t>
      </w:r>
      <w:r w:rsidR="00153B95">
        <w:t xml:space="preserve"> </w:t>
      </w:r>
      <w:r w:rsidR="00F76D3D">
        <w:t>T</w:t>
      </w:r>
      <w:r w:rsidRPr="00EF4035">
        <w:t xml:space="preserve">he assumed behavioural response for </w:t>
      </w:r>
      <w:r w:rsidR="00741FEE">
        <w:t>SMSFs</w:t>
      </w:r>
      <w:r w:rsidRPr="00EF4035">
        <w:t xml:space="preserve"> </w:t>
      </w:r>
      <w:r w:rsidR="00153B95">
        <w:t xml:space="preserve">in 2019-20 </w:t>
      </w:r>
      <w:r w:rsidRPr="00EF4035">
        <w:t xml:space="preserve">is equivalent to these funds, in aggregate, moving around a quarter of </w:t>
      </w:r>
      <w:r w:rsidR="00AA1F4F">
        <w:t xml:space="preserve">the value of </w:t>
      </w:r>
      <w:r w:rsidRPr="00EF4035">
        <w:t>their listed Australian</w:t>
      </w:r>
      <w:r w:rsidR="009A6242">
        <w:t> </w:t>
      </w:r>
      <w:r w:rsidRPr="00EF4035">
        <w:t xml:space="preserve">shares into </w:t>
      </w:r>
      <w:r w:rsidR="00741FEE">
        <w:t>APRA-regulated</w:t>
      </w:r>
      <w:r w:rsidRPr="00EF4035">
        <w:t xml:space="preserve"> funds that are in a net tax</w:t>
      </w:r>
      <w:r w:rsidR="00F01F0E">
        <w:noBreakHyphen/>
      </w:r>
      <w:r w:rsidRPr="00EF4035">
        <w:t>paying position.</w:t>
      </w:r>
    </w:p>
    <w:p w:rsidR="002A7DE3" w:rsidRDefault="002A7DE3" w:rsidP="00420278">
      <w:pPr>
        <w:pStyle w:val="BodyText"/>
        <w:keepNext/>
        <w:rPr>
          <w:b/>
        </w:rPr>
      </w:pPr>
      <w:r>
        <w:rPr>
          <w:b/>
        </w:rPr>
        <w:lastRenderedPageBreak/>
        <w:t>11. Did the PBO consider the possibility that SMSFs might seek to increase the number of members within the</w:t>
      </w:r>
      <w:bookmarkStart w:id="0" w:name="_GoBack"/>
      <w:bookmarkEnd w:id="0"/>
      <w:r>
        <w:rPr>
          <w:b/>
        </w:rPr>
        <w:t xml:space="preserve"> fund to defray the costs associated with the costed measure?  What factors might restrain this occurring?</w:t>
      </w:r>
    </w:p>
    <w:p w:rsidR="00305885" w:rsidRDefault="00305885" w:rsidP="00305885">
      <w:pPr>
        <w:pStyle w:val="BodyText"/>
      </w:pPr>
      <w:r>
        <w:t>Yes</w:t>
      </w:r>
      <w:r w:rsidR="00F76D3D">
        <w:t>.  A</w:t>
      </w:r>
      <w:r>
        <w:t xml:space="preserve">t the time the costing was prepared the maximum number of fund members </w:t>
      </w:r>
      <w:r w:rsidR="00F76D3D">
        <w:t xml:space="preserve">in an SMSF </w:t>
      </w:r>
      <w:r>
        <w:t>was four</w:t>
      </w:r>
      <w:r>
        <w:rPr>
          <w:rStyle w:val="FootnoteReference"/>
        </w:rPr>
        <w:footnoteReference w:id="2"/>
      </w:r>
      <w:r>
        <w:t xml:space="preserve"> and the PBO considered that a potential behavioural response to the proposal would be </w:t>
      </w:r>
      <w:r w:rsidR="00F76D3D">
        <w:t xml:space="preserve">for additional </w:t>
      </w:r>
      <w:r w:rsidR="00FC4621">
        <w:t>tax</w:t>
      </w:r>
      <w:r w:rsidR="009A6242">
        <w:t>-</w:t>
      </w:r>
      <w:r w:rsidR="00FC4621">
        <w:t xml:space="preserve">paying </w:t>
      </w:r>
      <w:r w:rsidR="00F76D3D">
        <w:t>members to be added to SMSFs.</w:t>
      </w:r>
      <w:r>
        <w:t xml:space="preserve">  For instance, a couple with a</w:t>
      </w:r>
      <w:r w:rsidR="00741FEE">
        <w:t>n</w:t>
      </w:r>
      <w:r>
        <w:t xml:space="preserve"> </w:t>
      </w:r>
      <w:r w:rsidR="00741FEE">
        <w:t>SMSF</w:t>
      </w:r>
      <w:r w:rsidR="00153B95">
        <w:t xml:space="preserve"> </w:t>
      </w:r>
      <w:r>
        <w:t>in the pension phase could invite two</w:t>
      </w:r>
      <w:r w:rsidR="00F01F0E">
        <w:t> </w:t>
      </w:r>
      <w:r>
        <w:t xml:space="preserve">additional working-aged children into their fund, allowing them to </w:t>
      </w:r>
      <w:r w:rsidR="00AE27B8">
        <w:t xml:space="preserve">use </w:t>
      </w:r>
      <w:r w:rsidR="00F76D3D">
        <w:t xml:space="preserve">their excess franking credits </w:t>
      </w:r>
      <w:r w:rsidR="00AE27B8">
        <w:t xml:space="preserve">to offset </w:t>
      </w:r>
      <w:r>
        <w:t xml:space="preserve">the contributions and earnings tax payable </w:t>
      </w:r>
      <w:r w:rsidR="00F76D3D">
        <w:t>on the assets owned by their children</w:t>
      </w:r>
      <w:r>
        <w:t>.</w:t>
      </w:r>
    </w:p>
    <w:p w:rsidR="002A7DE3" w:rsidRDefault="00305885" w:rsidP="002A7DE3">
      <w:pPr>
        <w:pStyle w:val="BodyText"/>
      </w:pPr>
      <w:r>
        <w:t xml:space="preserve">In 2015-16, more than 90 per cent of </w:t>
      </w:r>
      <w:r w:rsidR="00741FEE">
        <w:t xml:space="preserve">SMSFs </w:t>
      </w:r>
      <w:r>
        <w:t>contained only one or two members, suggest</w:t>
      </w:r>
      <w:r w:rsidR="00F76D3D">
        <w:t>ing</w:t>
      </w:r>
      <w:r>
        <w:t xml:space="preserve"> that </w:t>
      </w:r>
      <w:r w:rsidR="00FC4621">
        <w:t xml:space="preserve">individuals with SMSFs </w:t>
      </w:r>
      <w:r>
        <w:t xml:space="preserve">have a </w:t>
      </w:r>
      <w:r w:rsidR="00FC4621">
        <w:t xml:space="preserve">strong </w:t>
      </w:r>
      <w:r>
        <w:t xml:space="preserve">preference to manage their superannuation between </w:t>
      </w:r>
      <w:r w:rsidR="00FC4621">
        <w:t xml:space="preserve">just </w:t>
      </w:r>
      <w:r>
        <w:t xml:space="preserve">themselves and their partner.  </w:t>
      </w:r>
      <w:r w:rsidR="00FC4621">
        <w:t xml:space="preserve">This strong preference is likely to reflect a number of factors to do with privacy and complexity.  </w:t>
      </w:r>
      <w:r>
        <w:t xml:space="preserve">While the proposal may lead </w:t>
      </w:r>
      <w:r w:rsidR="00FC4621">
        <w:t xml:space="preserve">to an increase in the number of </w:t>
      </w:r>
      <w:r w:rsidR="00741FEE">
        <w:t>SMSFs</w:t>
      </w:r>
      <w:r>
        <w:t xml:space="preserve"> </w:t>
      </w:r>
      <w:r w:rsidR="00FC4621">
        <w:t xml:space="preserve">with more than two members, </w:t>
      </w:r>
      <w:r>
        <w:t>the PBO’s judgement is that this is likely to have a reasonably small impact on the costing.</w:t>
      </w:r>
    </w:p>
    <w:p w:rsidR="002A7DE3" w:rsidRDefault="002A7DE3" w:rsidP="00BB457C">
      <w:pPr>
        <w:pStyle w:val="BodyText"/>
        <w:keepNext/>
        <w:rPr>
          <w:b/>
        </w:rPr>
      </w:pPr>
      <w:r>
        <w:rPr>
          <w:b/>
        </w:rPr>
        <w:t xml:space="preserve">12. Can you </w:t>
      </w:r>
      <w:r w:rsidR="00F01F0E">
        <w:rPr>
          <w:b/>
        </w:rPr>
        <w:t>provide</w:t>
      </w:r>
      <w:r>
        <w:rPr>
          <w:b/>
        </w:rPr>
        <w:t xml:space="preserve"> the extent to which you have factored in that some SMSFs might transfer their balances to APRA funds?</w:t>
      </w:r>
    </w:p>
    <w:p w:rsidR="0021527B" w:rsidRDefault="00305885" w:rsidP="00BB457C">
      <w:pPr>
        <w:pStyle w:val="BodyText"/>
        <w:keepLines/>
      </w:pPr>
      <w:r>
        <w:t>One of the</w:t>
      </w:r>
      <w:r w:rsidR="000E50B5">
        <w:t xml:space="preserve"> </w:t>
      </w:r>
      <w:r w:rsidR="000B4321">
        <w:t xml:space="preserve">most </w:t>
      </w:r>
      <w:r w:rsidR="000E50B5">
        <w:t xml:space="preserve">likely responses that the PBO considered </w:t>
      </w:r>
      <w:r>
        <w:t xml:space="preserve">is that individuals with </w:t>
      </w:r>
      <w:r w:rsidR="0021527B">
        <w:t>SMSF</w:t>
      </w:r>
      <w:r>
        <w:t xml:space="preserve">s may choose to transfer their balances – either entirely, or just the proportion invested in Australian </w:t>
      </w:r>
      <w:r w:rsidR="00847AF4">
        <w:t xml:space="preserve">shares </w:t>
      </w:r>
      <w:r>
        <w:t>– to an APRA-regulated fund in a net tax</w:t>
      </w:r>
      <w:r w:rsidR="009A6242">
        <w:t>-</w:t>
      </w:r>
      <w:r>
        <w:t>paying position</w:t>
      </w:r>
      <w:r w:rsidR="00153B95">
        <w:t>.</w:t>
      </w:r>
      <w:r w:rsidR="00153B95" w:rsidRPr="00B22861">
        <w:t xml:space="preserve"> </w:t>
      </w:r>
      <w:r w:rsidR="00153B95">
        <w:t xml:space="preserve"> T</w:t>
      </w:r>
      <w:r w:rsidR="00153B95" w:rsidRPr="00B22861">
        <w:t xml:space="preserve">his </w:t>
      </w:r>
      <w:r w:rsidRPr="00B22861">
        <w:t xml:space="preserve">response </w:t>
      </w:r>
      <w:r w:rsidR="00153B95">
        <w:t xml:space="preserve">would </w:t>
      </w:r>
      <w:r w:rsidRPr="00B22861">
        <w:t>offset the revenue gain</w:t>
      </w:r>
      <w:r w:rsidR="00153B95">
        <w:t xml:space="preserve"> from these individuals</w:t>
      </w:r>
      <w:r w:rsidR="006473CB">
        <w:t xml:space="preserve">.  An alternative response </w:t>
      </w:r>
      <w:r w:rsidR="00847AF4">
        <w:t xml:space="preserve">for these </w:t>
      </w:r>
      <w:r w:rsidR="0021527B">
        <w:t>SMSFs</w:t>
      </w:r>
      <w:r w:rsidR="00847AF4">
        <w:t xml:space="preserve"> </w:t>
      </w:r>
      <w:r w:rsidR="006473CB">
        <w:t xml:space="preserve">would be to </w:t>
      </w:r>
      <w:r w:rsidR="00847AF4">
        <w:t>change the composition of their portfolio to reduce their holdings of Australian</w:t>
      </w:r>
      <w:r w:rsidRPr="00B22861">
        <w:t xml:space="preserve"> </w:t>
      </w:r>
      <w:r w:rsidR="00847AF4">
        <w:t xml:space="preserve">shares. </w:t>
      </w:r>
      <w:r w:rsidR="00AE27B8">
        <w:t xml:space="preserve"> </w:t>
      </w:r>
      <w:r w:rsidR="00847AF4">
        <w:t xml:space="preserve">The impact on the budget of this </w:t>
      </w:r>
      <w:r w:rsidR="00741FEE">
        <w:t xml:space="preserve">latter </w:t>
      </w:r>
      <w:r w:rsidR="00847AF4">
        <w:t>response would depend on the tax position of the purchaser of these shares – if they were entirely purchased by</w:t>
      </w:r>
      <w:r w:rsidRPr="00B22861">
        <w:t xml:space="preserve"> foreign investor</w:t>
      </w:r>
      <w:r w:rsidR="00847AF4">
        <w:t>s</w:t>
      </w:r>
      <w:r w:rsidRPr="00B22861">
        <w:t>,</w:t>
      </w:r>
      <w:r w:rsidR="006473CB">
        <w:t xml:space="preserve"> </w:t>
      </w:r>
      <w:r w:rsidR="00847AF4">
        <w:t>for example,</w:t>
      </w:r>
      <w:r w:rsidRPr="00B22861">
        <w:t xml:space="preserve"> there </w:t>
      </w:r>
      <w:r w:rsidR="00847AF4">
        <w:t>would be</w:t>
      </w:r>
      <w:r w:rsidR="00847AF4" w:rsidRPr="00B22861">
        <w:t xml:space="preserve"> </w:t>
      </w:r>
      <w:r w:rsidRPr="00B22861">
        <w:t xml:space="preserve">no offset to revenue. </w:t>
      </w:r>
      <w:r>
        <w:t xml:space="preserve"> </w:t>
      </w:r>
    </w:p>
    <w:p w:rsidR="00847AF4" w:rsidRDefault="0021527B" w:rsidP="00305885">
      <w:pPr>
        <w:pStyle w:val="BodyText"/>
      </w:pPr>
      <w:r>
        <w:t xml:space="preserve">The PBO notes </w:t>
      </w:r>
      <w:r w:rsidRPr="00A275BE">
        <w:t xml:space="preserve">that around 20 per cent of Australian equities held by </w:t>
      </w:r>
      <w:r w:rsidR="00741FEE">
        <w:t>SMSFs</w:t>
      </w:r>
      <w:r w:rsidRPr="00A275BE">
        <w:t xml:space="preserve"> are unlisted. </w:t>
      </w:r>
      <w:r>
        <w:t xml:space="preserve"> We have assumed that this </w:t>
      </w:r>
      <w:r w:rsidR="00741FEE">
        <w:t xml:space="preserve">policy </w:t>
      </w:r>
      <w:r>
        <w:t xml:space="preserve">proposal would have relatively little impact on SMSF holdings of unlisted shares as these are </w:t>
      </w:r>
      <w:r w:rsidR="002D0237">
        <w:t xml:space="preserve">relatively illiquid and are </w:t>
      </w:r>
      <w:r>
        <w:t xml:space="preserve">assumed to be held by SMSFs for a number of different reasons. </w:t>
      </w:r>
    </w:p>
    <w:p w:rsidR="00305885" w:rsidRDefault="00847AF4" w:rsidP="00305885">
      <w:pPr>
        <w:pStyle w:val="BodyText"/>
      </w:pPr>
      <w:r>
        <w:t xml:space="preserve">Overall, </w:t>
      </w:r>
      <w:r w:rsidR="00AE27B8">
        <w:t xml:space="preserve">in the absence of </w:t>
      </w:r>
      <w:r w:rsidR="00F47B21">
        <w:t xml:space="preserve">the </w:t>
      </w:r>
      <w:r>
        <w:t xml:space="preserve">assumed </w:t>
      </w:r>
      <w:r w:rsidR="00305885" w:rsidRPr="00B22861">
        <w:t xml:space="preserve">behavioural </w:t>
      </w:r>
      <w:r>
        <w:t>responses</w:t>
      </w:r>
      <w:r w:rsidR="00AE27B8">
        <w:t xml:space="preserve">, </w:t>
      </w:r>
      <w:r>
        <w:t>the revenue gain</w:t>
      </w:r>
      <w:r w:rsidR="007C1288">
        <w:t xml:space="preserve"> from SMSFs</w:t>
      </w:r>
      <w:r>
        <w:t xml:space="preserve"> </w:t>
      </w:r>
      <w:r w:rsidR="00AE27B8">
        <w:t>would be</w:t>
      </w:r>
      <w:r w:rsidR="00AE27B8" w:rsidRPr="00B22861">
        <w:t xml:space="preserve"> </w:t>
      </w:r>
      <w:r w:rsidR="00305885" w:rsidRPr="00B22861">
        <w:t xml:space="preserve">around 20 per cent </w:t>
      </w:r>
      <w:r w:rsidR="00AE27B8">
        <w:t xml:space="preserve">higher </w:t>
      </w:r>
      <w:r w:rsidR="00305885" w:rsidRPr="00B22861">
        <w:t xml:space="preserve">in the first year of the policy. </w:t>
      </w:r>
      <w:r w:rsidR="00305885">
        <w:t xml:space="preserve"> </w:t>
      </w:r>
      <w:r w:rsidR="001F2DCD">
        <w:t xml:space="preserve">The </w:t>
      </w:r>
      <w:r w:rsidR="00305885" w:rsidRPr="00B22861">
        <w:t xml:space="preserve">magnitude of the behavioural response </w:t>
      </w:r>
      <w:r>
        <w:t xml:space="preserve">is assumed to </w:t>
      </w:r>
      <w:r w:rsidR="00305885" w:rsidRPr="00B22861">
        <w:t>decline</w:t>
      </w:r>
      <w:r>
        <w:t xml:space="preserve"> over time</w:t>
      </w:r>
      <w:r w:rsidR="00305885" w:rsidRPr="00B22861">
        <w:t xml:space="preserve"> </w:t>
      </w:r>
      <w:r w:rsidR="00741FEE">
        <w:t>when</w:t>
      </w:r>
      <w:r w:rsidR="00741FEE" w:rsidRPr="00B22861">
        <w:t xml:space="preserve"> </w:t>
      </w:r>
      <w:r w:rsidR="00305885" w:rsidRPr="00B22861">
        <w:t xml:space="preserve">the company tax rate declines, </w:t>
      </w:r>
      <w:r>
        <w:t>as</w:t>
      </w:r>
      <w:r w:rsidR="00305885" w:rsidRPr="00B22861">
        <w:t xml:space="preserve"> the incentive for </w:t>
      </w:r>
      <w:r>
        <w:t>SMSFs</w:t>
      </w:r>
      <w:r w:rsidRPr="00B22861">
        <w:t xml:space="preserve"> </w:t>
      </w:r>
      <w:r w:rsidR="00305885" w:rsidRPr="00B22861">
        <w:t xml:space="preserve">to </w:t>
      </w:r>
      <w:r w:rsidR="004F0F82">
        <w:t xml:space="preserve">adjust their arrangements </w:t>
      </w:r>
      <w:r>
        <w:t>would be</w:t>
      </w:r>
      <w:r w:rsidRPr="00B22861">
        <w:t xml:space="preserve"> </w:t>
      </w:r>
      <w:r w:rsidR="00305885" w:rsidRPr="00B22861">
        <w:t>lower when the company tax rate</w:t>
      </w:r>
      <w:r w:rsidR="004F0F82">
        <w:t xml:space="preserve">, and hence the value of </w:t>
      </w:r>
      <w:r w:rsidR="00976740">
        <w:t>franking credits</w:t>
      </w:r>
      <w:r w:rsidR="004F0F82">
        <w:t>,</w:t>
      </w:r>
      <w:r w:rsidR="00305885" w:rsidRPr="00B22861">
        <w:t xml:space="preserve"> is lower.</w:t>
      </w:r>
      <w:r w:rsidR="0021527B">
        <w:t xml:space="preserve"> </w:t>
      </w:r>
    </w:p>
    <w:p w:rsidR="00305885" w:rsidRDefault="00305885" w:rsidP="00305885">
      <w:pPr>
        <w:pStyle w:val="BodyText"/>
      </w:pPr>
      <w:r>
        <w:t xml:space="preserve">While the PBO did not separately quantify </w:t>
      </w:r>
      <w:r w:rsidR="0021527B">
        <w:t xml:space="preserve">the impacts of </w:t>
      </w:r>
      <w:r>
        <w:t xml:space="preserve">different behavioural responses for </w:t>
      </w:r>
      <w:r w:rsidR="00741FEE">
        <w:t>SMSF</w:t>
      </w:r>
      <w:r>
        <w:t xml:space="preserve">s, the PBO’s judgement is that this particular behavioural response </w:t>
      </w:r>
      <w:r w:rsidR="00F207D9">
        <w:t>– SMSFs transferring Australian</w:t>
      </w:r>
      <w:r w:rsidR="00DE6698">
        <w:t>-</w:t>
      </w:r>
      <w:r w:rsidR="0021527B">
        <w:t>listed shareholdings</w:t>
      </w:r>
      <w:r w:rsidR="00F207D9">
        <w:t xml:space="preserve"> to APRA-regulated funds – </w:t>
      </w:r>
      <w:r>
        <w:t xml:space="preserve">would </w:t>
      </w:r>
      <w:r w:rsidR="0021527B">
        <w:t xml:space="preserve">have </w:t>
      </w:r>
      <w:r>
        <w:t xml:space="preserve">the most significant impact on the costing. </w:t>
      </w:r>
    </w:p>
    <w:p w:rsidR="002A7DE3" w:rsidRDefault="002A7DE3" w:rsidP="00420278">
      <w:pPr>
        <w:pStyle w:val="BodyText"/>
        <w:keepNext/>
        <w:rPr>
          <w:b/>
        </w:rPr>
      </w:pPr>
      <w:r>
        <w:rPr>
          <w:b/>
        </w:rPr>
        <w:lastRenderedPageBreak/>
        <w:t>13. Did you factor in a behavioural assumption that people might reduce their assets so that they’re eligible for the age pension and therefore no longer subject to the policy?</w:t>
      </w:r>
    </w:p>
    <w:p w:rsidR="002A7DE3" w:rsidRPr="0016465B" w:rsidRDefault="00305885" w:rsidP="00420278">
      <w:pPr>
        <w:pStyle w:val="BodyText"/>
        <w:keepLines/>
      </w:pPr>
      <w:r>
        <w:t xml:space="preserve">The PBO’s </w:t>
      </w:r>
      <w:r w:rsidR="00D167AE">
        <w:t xml:space="preserve">assessment </w:t>
      </w:r>
      <w:r>
        <w:t>is that</w:t>
      </w:r>
      <w:r w:rsidR="009A6242">
        <w:t>,</w:t>
      </w:r>
      <w:r>
        <w:t xml:space="preserve"> </w:t>
      </w:r>
      <w:r w:rsidR="00D167AE">
        <w:t>under current policy settings</w:t>
      </w:r>
      <w:r w:rsidR="009A6242">
        <w:t>,</w:t>
      </w:r>
      <w:r w:rsidR="00D167AE">
        <w:t xml:space="preserve"> </w:t>
      </w:r>
      <w:r>
        <w:t>there are already strong incentives for individuals to reduce their assets in order to qualify for the Age</w:t>
      </w:r>
      <w:r w:rsidR="006C09F9">
        <w:t> </w:t>
      </w:r>
      <w:r>
        <w:t>Pension, particularly for those with assets just above the threshold for the Age</w:t>
      </w:r>
      <w:r w:rsidR="006C09F9">
        <w:t> </w:t>
      </w:r>
      <w:r>
        <w:t xml:space="preserve">Pension asset test.  </w:t>
      </w:r>
      <w:r w:rsidR="00AE27B8">
        <w:t xml:space="preserve">For most individuals, </w:t>
      </w:r>
      <w:r>
        <w:t xml:space="preserve">the proposal would </w:t>
      </w:r>
      <w:r w:rsidR="00AE27B8">
        <w:t xml:space="preserve">have little impact on </w:t>
      </w:r>
      <w:r>
        <w:t>these incentives</w:t>
      </w:r>
      <w:r w:rsidR="00AE27B8">
        <w:t>.</w:t>
      </w:r>
      <w:r>
        <w:t xml:space="preserve"> </w:t>
      </w:r>
      <w:r w:rsidR="00AE27B8">
        <w:t xml:space="preserve"> While a small number of individuals may choose to reduce their assets and qualify for the Age</w:t>
      </w:r>
      <w:r w:rsidR="006C09F9">
        <w:t> </w:t>
      </w:r>
      <w:r w:rsidR="00AE27B8">
        <w:t xml:space="preserve">Pension as a result of the proposal, this would be unlikely to materially </w:t>
      </w:r>
      <w:r w:rsidR="00F47B21">
        <w:t xml:space="preserve">affect </w:t>
      </w:r>
      <w:r w:rsidR="00AE27B8">
        <w:t xml:space="preserve">the costing. </w:t>
      </w:r>
    </w:p>
    <w:p w:rsidR="002A7DE3" w:rsidRDefault="002A7DE3" w:rsidP="002A7DE3">
      <w:pPr>
        <w:pStyle w:val="BodyText"/>
        <w:rPr>
          <w:b/>
        </w:rPr>
      </w:pPr>
      <w:r>
        <w:rPr>
          <w:b/>
        </w:rPr>
        <w:t xml:space="preserve">14. The current </w:t>
      </w:r>
      <w:r w:rsidR="00DE6698">
        <w:rPr>
          <w:b/>
        </w:rPr>
        <w:t>b</w:t>
      </w:r>
      <w:r>
        <w:rPr>
          <w:b/>
        </w:rPr>
        <w:t xml:space="preserve">udget baseline includes the 25 per cent company tax rate for all businesses.  Ceteris paribus, what would the likely direction (+/-) of the </w:t>
      </w:r>
      <w:r w:rsidR="00DE6698">
        <w:rPr>
          <w:b/>
        </w:rPr>
        <w:t>b</w:t>
      </w:r>
      <w:r>
        <w:rPr>
          <w:b/>
        </w:rPr>
        <w:t xml:space="preserve">udget impact be of the balance of the Enterprise Tax Plan being backed out of the </w:t>
      </w:r>
      <w:r w:rsidR="00DE6698">
        <w:rPr>
          <w:b/>
        </w:rPr>
        <w:t>b</w:t>
      </w:r>
      <w:r>
        <w:rPr>
          <w:b/>
        </w:rPr>
        <w:t>udget bottom line?</w:t>
      </w:r>
    </w:p>
    <w:p w:rsidR="00305885" w:rsidRPr="00F61E5E" w:rsidRDefault="00DB2A82" w:rsidP="00305885">
      <w:pPr>
        <w:pStyle w:val="BodyText"/>
      </w:pPr>
      <w:r>
        <w:t>The propos</w:t>
      </w:r>
      <w:r w:rsidR="009C7423">
        <w:t>ed policy</w:t>
      </w:r>
      <w:r>
        <w:t xml:space="preserve"> </w:t>
      </w:r>
      <w:r w:rsidR="00305885">
        <w:t xml:space="preserve">would be expected to </w:t>
      </w:r>
      <w:r>
        <w:t xml:space="preserve">raise </w:t>
      </w:r>
      <w:r w:rsidR="009C7423">
        <w:t xml:space="preserve">additional </w:t>
      </w:r>
      <w:r>
        <w:t xml:space="preserve">revenue </w:t>
      </w:r>
      <w:r w:rsidR="00305885">
        <w:t xml:space="preserve">if the </w:t>
      </w:r>
      <w:r>
        <w:t>previously</w:t>
      </w:r>
      <w:r w:rsidR="00C37139">
        <w:t xml:space="preserve"> </w:t>
      </w:r>
      <w:r w:rsidR="00305885">
        <w:t>scheduled company tax cuts did not proceed</w:t>
      </w:r>
      <w:r>
        <w:t>.  This is because</w:t>
      </w:r>
      <w:r w:rsidR="00305885">
        <w:t xml:space="preserve"> franking credits are linked to the company tax rate.  The Government’s decision not to proceed with a lowering of the company tax rate for larger firms would increase the expected revenue impact of the proposal by </w:t>
      </w:r>
      <w:r w:rsidR="009C7423">
        <w:t xml:space="preserve">around </w:t>
      </w:r>
      <w:r w:rsidR="00305885">
        <w:t xml:space="preserve">10 per cent over the period to 2027-28.  </w:t>
      </w:r>
      <w:r w:rsidR="00331365">
        <w:t xml:space="preserve">This </w:t>
      </w:r>
      <w:r w:rsidR="009C7423">
        <w:t xml:space="preserve">estimate includes an adjustment to the assumed behavioural response to the proposal, which would be expected to be </w:t>
      </w:r>
      <w:r w:rsidR="00331365">
        <w:t xml:space="preserve">larger </w:t>
      </w:r>
      <w:r w:rsidR="009C7423">
        <w:t>if</w:t>
      </w:r>
      <w:r w:rsidR="00331365">
        <w:t xml:space="preserve"> the company tax rate </w:t>
      </w:r>
      <w:r w:rsidR="009C7423">
        <w:t xml:space="preserve">was </w:t>
      </w:r>
      <w:r w:rsidR="00331365">
        <w:t>higher.</w:t>
      </w:r>
    </w:p>
    <w:p w:rsidR="002A7DE3" w:rsidRDefault="002A7DE3" w:rsidP="00BB457C">
      <w:pPr>
        <w:pStyle w:val="BodyText"/>
        <w:keepNext/>
        <w:rPr>
          <w:b/>
        </w:rPr>
      </w:pPr>
      <w:r>
        <w:rPr>
          <w:b/>
        </w:rPr>
        <w:t xml:space="preserve">15. The Parliamentary Budget Officer, Ms Jenny Wilkinson, in evidence to the Senate Finance and Public Administration Estimates Committee (21 May 2018) agreed that the approach the PBO took with this costing was </w:t>
      </w:r>
      <w:r w:rsidR="00F47B21">
        <w:rPr>
          <w:b/>
        </w:rPr>
        <w:t>‘</w:t>
      </w:r>
      <w:r>
        <w:rPr>
          <w:b/>
        </w:rPr>
        <w:t>conservative</w:t>
      </w:r>
      <w:r w:rsidR="00F47B21">
        <w:rPr>
          <w:b/>
        </w:rPr>
        <w:t>’</w:t>
      </w:r>
      <w:r>
        <w:rPr>
          <w:b/>
        </w:rPr>
        <w:t xml:space="preserve"> and has included a substantial impact in terms of the behavioural assumptions used.  Can the PBO please elaborate on this in terms of the net impact of the behavioural assumptions that were factored in?</w:t>
      </w:r>
    </w:p>
    <w:p w:rsidR="00305885" w:rsidRDefault="00305885" w:rsidP="00BB457C">
      <w:pPr>
        <w:pStyle w:val="BodyText"/>
        <w:keepLines/>
      </w:pPr>
      <w:r>
        <w:t xml:space="preserve">The PBO considers that the assumed behavioural responses </w:t>
      </w:r>
      <w:r w:rsidR="009C7423">
        <w:t>to</w:t>
      </w:r>
      <w:r>
        <w:t xml:space="preserve"> the </w:t>
      </w:r>
      <w:r w:rsidR="009C7423">
        <w:t xml:space="preserve">policy </w:t>
      </w:r>
      <w:r>
        <w:t xml:space="preserve">proposal are significant, particularly for trustees of </w:t>
      </w:r>
      <w:r w:rsidR="009C7423">
        <w:t>SMSFs</w:t>
      </w:r>
      <w:r>
        <w:t xml:space="preserve">. </w:t>
      </w:r>
      <w:r w:rsidR="009C7423">
        <w:t xml:space="preserve"> T</w:t>
      </w:r>
      <w:r w:rsidR="009C7423" w:rsidRPr="00EF4035">
        <w:t>he assumed behavioural response</w:t>
      </w:r>
      <w:r w:rsidR="00741FEE">
        <w:t>s</w:t>
      </w:r>
      <w:r w:rsidR="009C7423" w:rsidRPr="00EF4035">
        <w:t xml:space="preserve"> </w:t>
      </w:r>
      <w:r w:rsidR="00741FEE">
        <w:t>by</w:t>
      </w:r>
      <w:r w:rsidR="009C7423" w:rsidRPr="00EF4035">
        <w:t xml:space="preserve"> </w:t>
      </w:r>
      <w:r w:rsidR="009C7423">
        <w:t>SMSF</w:t>
      </w:r>
      <w:r w:rsidR="009C7423" w:rsidRPr="00EF4035">
        <w:t xml:space="preserve">s </w:t>
      </w:r>
      <w:r w:rsidR="009C7423">
        <w:t xml:space="preserve">in 2019-20 </w:t>
      </w:r>
      <w:r w:rsidR="00C37139">
        <w:t>are</w:t>
      </w:r>
      <w:r w:rsidR="00C37139" w:rsidRPr="00EF4035">
        <w:t xml:space="preserve"> </w:t>
      </w:r>
      <w:r w:rsidR="009C7423" w:rsidRPr="00EF4035">
        <w:t xml:space="preserve">equivalent to these funds, in aggregate, moving around a quarter of </w:t>
      </w:r>
      <w:r w:rsidR="007E45DB">
        <w:t xml:space="preserve">the value of </w:t>
      </w:r>
      <w:r w:rsidR="009C7423" w:rsidRPr="00EF4035">
        <w:t>their listed Australian</w:t>
      </w:r>
      <w:r w:rsidR="00C37139">
        <w:t> </w:t>
      </w:r>
      <w:r w:rsidR="009C7423" w:rsidRPr="00EF4035">
        <w:t xml:space="preserve">shares into </w:t>
      </w:r>
      <w:r w:rsidR="00A549F4">
        <w:t>APRA-regulated superannuation</w:t>
      </w:r>
      <w:r w:rsidR="009C7423" w:rsidRPr="00EF4035">
        <w:t xml:space="preserve"> funds that are in a net tax</w:t>
      </w:r>
      <w:r w:rsidR="00C37139">
        <w:t>-</w:t>
      </w:r>
      <w:r w:rsidR="009C7423" w:rsidRPr="00EF4035">
        <w:t>paying position.</w:t>
      </w:r>
      <w:r w:rsidR="009C7423">
        <w:t xml:space="preserve">  To </w:t>
      </w:r>
      <w:proofErr w:type="gramStart"/>
      <w:r w:rsidR="009C7423">
        <w:t>effect</w:t>
      </w:r>
      <w:proofErr w:type="gramEnd"/>
      <w:r w:rsidR="009C7423">
        <w:t xml:space="preserve"> this outcome, a significant number of SMSF trustees will need to substantially adjust their investment strategy.  Given that there is evidence that there are a number of </w:t>
      </w:r>
      <w:r w:rsidR="00AC4D5E">
        <w:t xml:space="preserve">different reasons why individuals choose to manage their superannuation through an SMSF, </w:t>
      </w:r>
      <w:r w:rsidR="00A549F4">
        <w:t xml:space="preserve">and </w:t>
      </w:r>
      <w:r w:rsidR="00AC4D5E">
        <w:t xml:space="preserve">not all of </w:t>
      </w:r>
      <w:r w:rsidR="00A549F4">
        <w:t>these</w:t>
      </w:r>
      <w:r w:rsidR="00AC4D5E">
        <w:t xml:space="preserve"> relate to maximising returns, </w:t>
      </w:r>
      <w:r w:rsidR="00A549F4">
        <w:t>it is difficult to determine how open SMSF trustees will be to transferring a proportion of their assets to an APRA</w:t>
      </w:r>
      <w:r w:rsidR="00741FEE">
        <w:t>-regulated superannuation</w:t>
      </w:r>
      <w:r w:rsidR="00A549F4">
        <w:t xml:space="preserve"> fund.</w:t>
      </w:r>
      <w:r w:rsidR="009C7423">
        <w:t xml:space="preserve"> </w:t>
      </w:r>
      <w:r w:rsidR="00C37139">
        <w:t xml:space="preserve"> </w:t>
      </w:r>
      <w:r w:rsidR="00420278">
        <w:t>T</w:t>
      </w:r>
      <w:r w:rsidR="006C09F9">
        <w:t>he PBO’s assumptions are</w:t>
      </w:r>
      <w:r w:rsidR="00AC4D5E">
        <w:t xml:space="preserve"> ‘conservative’ in the sense that </w:t>
      </w:r>
      <w:r w:rsidR="006C09F9">
        <w:t xml:space="preserve">they </w:t>
      </w:r>
      <w:r w:rsidR="00AC4D5E">
        <w:t xml:space="preserve">lead to estimates of revenue gain that are lower than would </w:t>
      </w:r>
      <w:r w:rsidR="00A549F4">
        <w:t>be generated if smaller behavioural response</w:t>
      </w:r>
      <w:r w:rsidR="006C09F9">
        <w:t>s</w:t>
      </w:r>
      <w:r w:rsidR="00A549F4">
        <w:t xml:space="preserve"> w</w:t>
      </w:r>
      <w:r w:rsidR="006C09F9">
        <w:t>ere</w:t>
      </w:r>
      <w:r w:rsidR="00A549F4">
        <w:t xml:space="preserve"> assumed. </w:t>
      </w:r>
      <w:r w:rsidR="00AC4D5E">
        <w:t xml:space="preserve"> </w:t>
      </w:r>
    </w:p>
    <w:p w:rsidR="00305885" w:rsidRDefault="00305885" w:rsidP="00305885">
      <w:pPr>
        <w:pStyle w:val="BodyText"/>
      </w:pPr>
      <w:r w:rsidRPr="008E788B">
        <w:t>The</w:t>
      </w:r>
      <w:r w:rsidR="00A549F4">
        <w:t xml:space="preserve"> behaviour</w:t>
      </w:r>
      <w:r w:rsidR="00C37139">
        <w:t>al</w:t>
      </w:r>
      <w:r w:rsidR="00A549F4">
        <w:t xml:space="preserve"> </w:t>
      </w:r>
      <w:r w:rsidR="009C7423">
        <w:t xml:space="preserve">responses </w:t>
      </w:r>
      <w:r w:rsidR="00A549F4">
        <w:t xml:space="preserve">assumed in this costing </w:t>
      </w:r>
      <w:r w:rsidR="009C7423">
        <w:t xml:space="preserve">are </w:t>
      </w:r>
      <w:r w:rsidRPr="008E788B">
        <w:t xml:space="preserve">similar to the illustrative behavioural responses discussed by Rice Warner in regards to </w:t>
      </w:r>
      <w:r w:rsidR="009C7423">
        <w:t>SMSFs</w:t>
      </w:r>
      <w:r w:rsidRPr="008E788B">
        <w:t>.</w:t>
      </w:r>
      <w:r w:rsidR="009C29A0">
        <w:rPr>
          <w:rStyle w:val="FootnoteReference"/>
        </w:rPr>
        <w:footnoteReference w:id="3"/>
      </w:r>
      <w:r w:rsidRPr="008E788B">
        <w:t xml:space="preserve"> </w:t>
      </w:r>
      <w:r w:rsidR="009C29A0">
        <w:t xml:space="preserve"> </w:t>
      </w:r>
      <w:r w:rsidRPr="008E788B">
        <w:t xml:space="preserve">Rice Warner’s </w:t>
      </w:r>
      <w:r w:rsidR="00A549F4">
        <w:t xml:space="preserve">illustrative </w:t>
      </w:r>
      <w:r w:rsidRPr="008E788B">
        <w:t>analysis implied a similar impact on revenue as the PBO’s behavioural assumptions.</w:t>
      </w:r>
    </w:p>
    <w:p w:rsidR="00054F9F" w:rsidRPr="00054F9F" w:rsidRDefault="00054F9F" w:rsidP="00305885">
      <w:pPr>
        <w:pStyle w:val="BodyText"/>
      </w:pPr>
    </w:p>
    <w:sectPr w:rsidR="00054F9F" w:rsidRPr="00054F9F" w:rsidSect="00420278">
      <w:footerReference w:type="default" r:id="rId9"/>
      <w:headerReference w:type="first" r:id="rId10"/>
      <w:footerReference w:type="first" r:id="rId11"/>
      <w:pgSz w:w="11907" w:h="16839" w:code="9"/>
      <w:pgMar w:top="1134" w:right="1418" w:bottom="1134" w:left="1418" w:header="284" w:footer="454"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F7" w:rsidRDefault="007513F7" w:rsidP="00A20802">
      <w:pPr>
        <w:spacing w:line="240" w:lineRule="auto"/>
      </w:pPr>
      <w:r>
        <w:separator/>
      </w:r>
    </w:p>
    <w:p w:rsidR="007513F7" w:rsidRDefault="007513F7"/>
    <w:p w:rsidR="007513F7" w:rsidRDefault="007513F7"/>
  </w:endnote>
  <w:endnote w:type="continuationSeparator" w:id="0">
    <w:p w:rsidR="007513F7" w:rsidRDefault="007513F7" w:rsidP="00A20802">
      <w:pPr>
        <w:spacing w:line="240" w:lineRule="auto"/>
      </w:pPr>
      <w:r>
        <w:continuationSeparator/>
      </w:r>
    </w:p>
    <w:p w:rsidR="007513F7" w:rsidRDefault="007513F7"/>
    <w:p w:rsidR="007513F7" w:rsidRDefault="00751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horndale AMT">
    <w:charset w:val="00"/>
    <w:family w:val="roman"/>
    <w:pitch w:val="variable"/>
    <w:sig w:usb0="00002A87" w:usb1="C0000000" w:usb2="00000008"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F7" w:rsidRPr="00015E04" w:rsidRDefault="007513F7" w:rsidP="00420278">
    <w:pPr>
      <w:pStyle w:val="Footer"/>
      <w:tabs>
        <w:tab w:val="center" w:pos="4962"/>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4F4761">
      <w:rPr>
        <w:rStyle w:val="FooterChar"/>
        <w:b/>
        <w:noProof/>
      </w:rPr>
      <w:t>2</w:t>
    </w:r>
    <w:r w:rsidRPr="002C4DA6">
      <w:rPr>
        <w:rStyle w:val="FooterChar"/>
        <w:b/>
      </w:rPr>
      <w:fldChar w:fldCharType="end"/>
    </w:r>
    <w:r w:rsidRPr="002C4DA6">
      <w:rPr>
        <w:rStyle w:val="FooterChar"/>
        <w:b/>
      </w:rPr>
      <w:t xml:space="preserve"> of </w:t>
    </w:r>
    <w:r w:rsidR="004F4761">
      <w:rPr>
        <w:rStyle w:val="FooterChar"/>
        <w:b/>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7C" w:rsidRPr="007A47D0" w:rsidRDefault="00BB457C" w:rsidP="00BB457C">
    <w:pPr>
      <w:pStyle w:val="Footer"/>
      <w:tabs>
        <w:tab w:val="center" w:pos="4536"/>
        <w:tab w:val="right" w:pos="9072"/>
      </w:tabs>
      <w:spacing w:before="120"/>
      <w:rPr>
        <w:rFonts w:ascii="Calibri" w:hAnsi="Calibri" w:cs="Arial"/>
        <w:color w:val="FF0000"/>
        <w:sz w:val="40"/>
        <w:szCs w:val="40"/>
      </w:rPr>
    </w:pPr>
    <w:r w:rsidRPr="00DD281D">
      <w:rPr>
        <w:rStyle w:val="FooterChar"/>
        <w:rFonts w:ascii="Calibri" w:hAnsi="Calibri" w:cs="Arial"/>
        <w:b/>
      </w:rPr>
      <w:t>PBO</w:t>
    </w:r>
    <w:r>
      <w:rPr>
        <w:rStyle w:val="FooterChar"/>
        <w:rFonts w:ascii="Calibri" w:hAnsi="Calibri" w:cs="Arial"/>
        <w:b/>
      </w:rPr>
      <w:t xml:space="preserve"> reference </w:t>
    </w:r>
    <w:r w:rsidRPr="003E41B2">
      <w:rPr>
        <w:rStyle w:val="FooterChar"/>
        <w:rFonts w:ascii="Calibri" w:hAnsi="Calibri" w:cs="Arial"/>
        <w:b/>
      </w:rPr>
      <w:t>PR1</w:t>
    </w:r>
    <w:r>
      <w:rPr>
        <w:rStyle w:val="FooterChar"/>
        <w:rFonts w:ascii="Calibri" w:hAnsi="Calibri" w:cs="Arial"/>
        <w:b/>
      </w:rPr>
      <w:t>8</w:t>
    </w:r>
    <w:r w:rsidRPr="003E41B2">
      <w:rPr>
        <w:rStyle w:val="FooterChar"/>
        <w:rFonts w:ascii="Calibri" w:hAnsi="Calibri" w:cs="Arial"/>
        <w:b/>
      </w:rPr>
      <w:t>/00</w:t>
    </w:r>
    <w:r>
      <w:rPr>
        <w:rStyle w:val="FooterChar"/>
        <w:rFonts w:ascii="Calibri" w:hAnsi="Calibri" w:cs="Arial"/>
        <w:b/>
      </w:rPr>
      <w:t>581</w:t>
    </w:r>
    <w:r>
      <w:rPr>
        <w:rStyle w:val="FooterChar"/>
        <w:rFonts w:ascii="Calibri" w:hAnsi="Calibri" w:cs="Arial"/>
        <w:b/>
      </w:rPr>
      <w:tab/>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4F4761">
      <w:rPr>
        <w:rStyle w:val="FooterChar"/>
        <w:b/>
        <w:noProof/>
      </w:rPr>
      <w:t>1</w:t>
    </w:r>
    <w:r w:rsidRPr="002C4DA6">
      <w:rPr>
        <w:rStyle w:val="FooterChar"/>
        <w:b/>
      </w:rPr>
      <w:fldChar w:fldCharType="end"/>
    </w:r>
    <w:r w:rsidRPr="002C4DA6">
      <w:rPr>
        <w:rStyle w:val="FooterChar"/>
        <w:b/>
      </w:rPr>
      <w:t xml:space="preserve"> of </w:t>
    </w:r>
    <w:r w:rsidR="004F4761">
      <w:rPr>
        <w:rStyle w:val="FooterChar"/>
        <w:b/>
      </w:rPr>
      <w:t>7</w:t>
    </w:r>
  </w:p>
  <w:p w:rsidR="00BB457C" w:rsidRPr="00BB457C" w:rsidRDefault="00BB457C" w:rsidP="00BB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F7" w:rsidRPr="000557A7" w:rsidRDefault="007513F7" w:rsidP="008D5A11">
      <w:pPr>
        <w:pBdr>
          <w:top w:val="single" w:sz="4" w:space="1" w:color="auto"/>
        </w:pBdr>
        <w:spacing w:before="240" w:line="60" w:lineRule="exact"/>
        <w:rPr>
          <w:sz w:val="16"/>
          <w:szCs w:val="16"/>
        </w:rPr>
      </w:pPr>
    </w:p>
  </w:footnote>
  <w:footnote w:type="continuationSeparator" w:id="0">
    <w:p w:rsidR="007513F7" w:rsidRDefault="007513F7" w:rsidP="00A20802">
      <w:pPr>
        <w:spacing w:line="240" w:lineRule="auto"/>
      </w:pPr>
      <w:r>
        <w:continuationSeparator/>
      </w:r>
    </w:p>
    <w:p w:rsidR="007513F7" w:rsidRDefault="007513F7"/>
    <w:p w:rsidR="007513F7" w:rsidRDefault="007513F7"/>
  </w:footnote>
  <w:footnote w:id="1">
    <w:p w:rsidR="007513F7" w:rsidRDefault="007513F7" w:rsidP="001532D9">
      <w:pPr>
        <w:pStyle w:val="FootnoteText"/>
        <w:ind w:left="0" w:firstLine="0"/>
      </w:pPr>
      <w:r>
        <w:rPr>
          <w:rStyle w:val="FootnoteReference"/>
        </w:rPr>
        <w:footnoteRef/>
      </w:r>
      <w:r w:rsidRPr="007728B9">
        <w:t xml:space="preserve">  For a more detailed discussion of the nature and sources of these uncertainties</w:t>
      </w:r>
      <w:r w:rsidR="00503C23">
        <w:t>,</w:t>
      </w:r>
      <w:r w:rsidRPr="007728B9">
        <w:t xml:space="preserve"> see PBO information paper no. 01/2017, </w:t>
      </w:r>
      <w:r w:rsidRPr="002D0237">
        <w:rPr>
          <w:i/>
        </w:rPr>
        <w:t>Factors influencing the reliability of policy proposal costings.</w:t>
      </w:r>
    </w:p>
  </w:footnote>
  <w:footnote w:id="2">
    <w:p w:rsidR="007513F7" w:rsidRDefault="007513F7" w:rsidP="00305885">
      <w:pPr>
        <w:pStyle w:val="FootnoteText"/>
        <w:ind w:left="0" w:firstLine="0"/>
      </w:pPr>
      <w:r>
        <w:rPr>
          <w:rStyle w:val="FootnoteReference"/>
        </w:rPr>
        <w:footnoteRef/>
      </w:r>
      <w:r>
        <w:t xml:space="preserve"> </w:t>
      </w:r>
      <w:r w:rsidRPr="00A76B94">
        <w:t>The Government subsequently announced its intention to increase the maximum numbe</w:t>
      </w:r>
      <w:r>
        <w:t>r of members to six in the 2018</w:t>
      </w:r>
      <w:r>
        <w:noBreakHyphen/>
      </w:r>
      <w:r w:rsidRPr="00A76B94">
        <w:t>19</w:t>
      </w:r>
      <w:r>
        <w:t> </w:t>
      </w:r>
      <w:r w:rsidRPr="00A76B94">
        <w:t xml:space="preserve">Budget.  </w:t>
      </w:r>
    </w:p>
  </w:footnote>
  <w:footnote w:id="3">
    <w:p w:rsidR="009C29A0" w:rsidRDefault="009C29A0">
      <w:pPr>
        <w:pStyle w:val="FootnoteText"/>
      </w:pPr>
      <w:r>
        <w:rPr>
          <w:rStyle w:val="FootnoteReference"/>
        </w:rPr>
        <w:footnoteRef/>
      </w:r>
      <w:r>
        <w:t xml:space="preserve"> See </w:t>
      </w:r>
      <w:hyperlink r:id="rId1" w:history="1">
        <w:r w:rsidRPr="009C29A0">
          <w:rPr>
            <w:rStyle w:val="Hyperlink"/>
          </w:rPr>
          <w:t>Rice Warner letter to Andrew Green and John Maroney, Coalition for Self-Funded Retirees, 2 May 2018</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7C" w:rsidRPr="00DD64DC" w:rsidRDefault="00BB457C" w:rsidP="00BB457C">
    <w:pPr>
      <w:pStyle w:val="PBOheader"/>
      <w:spacing w:before="360"/>
      <w:ind w:left="0"/>
      <w:jc w:val="both"/>
      <w:rPr>
        <w:rFonts w:asciiTheme="minorHAnsi" w:hAnsiTheme="minorHAnsi"/>
        <w:sz w:val="19"/>
        <w:szCs w:val="19"/>
      </w:rPr>
    </w:pPr>
    <w:r>
      <w:rPr>
        <w:noProof/>
        <w:lang w:eastAsia="en-AU"/>
      </w:rPr>
      <w:drawing>
        <wp:inline distT="0" distB="0" distL="0" distR="0" wp14:anchorId="72A709E1" wp14:editId="0D32EC4F">
          <wp:extent cx="1880382" cy="576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BO Logo In Line_Black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382"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8B37FE"/>
    <w:multiLevelType w:val="multilevel"/>
    <w:tmpl w:val="B9B6093C"/>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745448"/>
    <w:multiLevelType w:val="multilevel"/>
    <w:tmpl w:val="34483270"/>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4">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0540A9"/>
    <w:multiLevelType w:val="multilevel"/>
    <w:tmpl w:val="E4D434E6"/>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3">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
  </w:num>
  <w:num w:numId="3">
    <w:abstractNumId w:val="30"/>
  </w:num>
  <w:num w:numId="4">
    <w:abstractNumId w:val="12"/>
  </w:num>
  <w:num w:numId="5">
    <w:abstractNumId w:val="10"/>
  </w:num>
  <w:num w:numId="6">
    <w:abstractNumId w:val="28"/>
  </w:num>
  <w:num w:numId="7">
    <w:abstractNumId w:val="4"/>
  </w:num>
  <w:num w:numId="8">
    <w:abstractNumId w:val="6"/>
  </w:num>
  <w:num w:numId="9">
    <w:abstractNumId w:val="27"/>
  </w:num>
  <w:num w:numId="10">
    <w:abstractNumId w:val="3"/>
  </w:num>
  <w:num w:numId="11">
    <w:abstractNumId w:val="8"/>
  </w:num>
  <w:num w:numId="12">
    <w:abstractNumId w:val="2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9"/>
  </w:num>
  <w:num w:numId="18">
    <w:abstractNumId w:val="32"/>
  </w:num>
  <w:num w:numId="19">
    <w:abstractNumId w:val="0"/>
  </w:num>
  <w:num w:numId="20">
    <w:abstractNumId w:val="18"/>
  </w:num>
  <w:num w:numId="21">
    <w:abstractNumId w:val="20"/>
  </w:num>
  <w:num w:numId="22">
    <w:abstractNumId w:val="14"/>
  </w:num>
  <w:num w:numId="23">
    <w:abstractNumId w:val="15"/>
  </w:num>
  <w:num w:numId="24">
    <w:abstractNumId w:val="24"/>
  </w:num>
  <w:num w:numId="25">
    <w:abstractNumId w:val="13"/>
  </w:num>
  <w:num w:numId="26">
    <w:abstractNumId w:val="5"/>
  </w:num>
  <w:num w:numId="27">
    <w:abstractNumId w:val="23"/>
  </w:num>
  <w:num w:numId="28">
    <w:abstractNumId w:val="21"/>
  </w:num>
  <w:num w:numId="29">
    <w:abstractNumId w:val="25"/>
  </w:num>
  <w:num w:numId="30">
    <w:abstractNumId w:val="31"/>
  </w:num>
  <w:num w:numId="31">
    <w:abstractNumId w:val="19"/>
  </w:num>
  <w:num w:numId="32">
    <w:abstractNumId w:val="11"/>
  </w:num>
  <w:num w:numId="33">
    <w:abstractNumId w:val="16"/>
  </w:num>
  <w:num w:numId="34">
    <w:abstractNumId w:val="9"/>
  </w:num>
  <w:num w:numId="35">
    <w:abstractNumId w:val="3"/>
  </w:num>
  <w:num w:numId="36">
    <w:abstractNumId w:val="1"/>
  </w:num>
  <w:num w:numId="37">
    <w:abstractNumId w:val="7"/>
  </w:num>
  <w:num w:numId="38">
    <w:abstractNumId w:val="4"/>
  </w:num>
  <w:num w:numId="39">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ocumentProtection w:edit="trackedChange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0000DA"/>
    <w:rsid w:val="000000DA"/>
    <w:rsid w:val="0000071C"/>
    <w:rsid w:val="0000322C"/>
    <w:rsid w:val="00003CDD"/>
    <w:rsid w:val="00003EC2"/>
    <w:rsid w:val="00013620"/>
    <w:rsid w:val="0001406F"/>
    <w:rsid w:val="00015E04"/>
    <w:rsid w:val="000168A7"/>
    <w:rsid w:val="00016D53"/>
    <w:rsid w:val="000174EA"/>
    <w:rsid w:val="000278D0"/>
    <w:rsid w:val="00027E62"/>
    <w:rsid w:val="000307C8"/>
    <w:rsid w:val="00030F73"/>
    <w:rsid w:val="00033326"/>
    <w:rsid w:val="00035ADE"/>
    <w:rsid w:val="0004224B"/>
    <w:rsid w:val="00046226"/>
    <w:rsid w:val="000505FB"/>
    <w:rsid w:val="0005330D"/>
    <w:rsid w:val="00054F9F"/>
    <w:rsid w:val="000557A7"/>
    <w:rsid w:val="00055805"/>
    <w:rsid w:val="00056CB3"/>
    <w:rsid w:val="0005793B"/>
    <w:rsid w:val="00061758"/>
    <w:rsid w:val="00065125"/>
    <w:rsid w:val="00066D54"/>
    <w:rsid w:val="00067694"/>
    <w:rsid w:val="00067A28"/>
    <w:rsid w:val="0007260F"/>
    <w:rsid w:val="000739CB"/>
    <w:rsid w:val="00073C89"/>
    <w:rsid w:val="0007488E"/>
    <w:rsid w:val="000805D5"/>
    <w:rsid w:val="0008103B"/>
    <w:rsid w:val="00085F97"/>
    <w:rsid w:val="000879B1"/>
    <w:rsid w:val="00092345"/>
    <w:rsid w:val="00092A33"/>
    <w:rsid w:val="00095BDF"/>
    <w:rsid w:val="000973F9"/>
    <w:rsid w:val="00097A23"/>
    <w:rsid w:val="000A0848"/>
    <w:rsid w:val="000A0D8E"/>
    <w:rsid w:val="000A2932"/>
    <w:rsid w:val="000A2B7A"/>
    <w:rsid w:val="000A2FEC"/>
    <w:rsid w:val="000A348F"/>
    <w:rsid w:val="000B1B0C"/>
    <w:rsid w:val="000B4321"/>
    <w:rsid w:val="000B4345"/>
    <w:rsid w:val="000B5900"/>
    <w:rsid w:val="000B60AE"/>
    <w:rsid w:val="000B6942"/>
    <w:rsid w:val="000B6D00"/>
    <w:rsid w:val="000C09FA"/>
    <w:rsid w:val="000C1AB0"/>
    <w:rsid w:val="000C37A9"/>
    <w:rsid w:val="000C3850"/>
    <w:rsid w:val="000C6728"/>
    <w:rsid w:val="000C702E"/>
    <w:rsid w:val="000D15E9"/>
    <w:rsid w:val="000D3182"/>
    <w:rsid w:val="000D45C4"/>
    <w:rsid w:val="000D46B3"/>
    <w:rsid w:val="000E18F3"/>
    <w:rsid w:val="000E19AC"/>
    <w:rsid w:val="000E266E"/>
    <w:rsid w:val="000E4C7B"/>
    <w:rsid w:val="000E50B5"/>
    <w:rsid w:val="000F0A45"/>
    <w:rsid w:val="000F1515"/>
    <w:rsid w:val="000F16B5"/>
    <w:rsid w:val="000F1D41"/>
    <w:rsid w:val="000F616E"/>
    <w:rsid w:val="000F7D50"/>
    <w:rsid w:val="00110D43"/>
    <w:rsid w:val="001135DA"/>
    <w:rsid w:val="001159EA"/>
    <w:rsid w:val="00120A75"/>
    <w:rsid w:val="00125410"/>
    <w:rsid w:val="0012788D"/>
    <w:rsid w:val="00130858"/>
    <w:rsid w:val="00136C26"/>
    <w:rsid w:val="0014059F"/>
    <w:rsid w:val="00141551"/>
    <w:rsid w:val="001417CE"/>
    <w:rsid w:val="0014479F"/>
    <w:rsid w:val="001460EA"/>
    <w:rsid w:val="00146B30"/>
    <w:rsid w:val="00146EAD"/>
    <w:rsid w:val="001532D9"/>
    <w:rsid w:val="00153B95"/>
    <w:rsid w:val="001541BF"/>
    <w:rsid w:val="00154DC5"/>
    <w:rsid w:val="00160C8D"/>
    <w:rsid w:val="001629C0"/>
    <w:rsid w:val="00165122"/>
    <w:rsid w:val="00165854"/>
    <w:rsid w:val="00166078"/>
    <w:rsid w:val="00166A15"/>
    <w:rsid w:val="001711BC"/>
    <w:rsid w:val="001738DB"/>
    <w:rsid w:val="001738F5"/>
    <w:rsid w:val="00173DFD"/>
    <w:rsid w:val="001772BA"/>
    <w:rsid w:val="001775EA"/>
    <w:rsid w:val="00180FF9"/>
    <w:rsid w:val="0019204F"/>
    <w:rsid w:val="00195228"/>
    <w:rsid w:val="00195696"/>
    <w:rsid w:val="00196532"/>
    <w:rsid w:val="001A1EFC"/>
    <w:rsid w:val="001A48EF"/>
    <w:rsid w:val="001A49CC"/>
    <w:rsid w:val="001A5553"/>
    <w:rsid w:val="001A716E"/>
    <w:rsid w:val="001A7A7D"/>
    <w:rsid w:val="001B18C6"/>
    <w:rsid w:val="001B2C65"/>
    <w:rsid w:val="001B4255"/>
    <w:rsid w:val="001B7058"/>
    <w:rsid w:val="001C3A4F"/>
    <w:rsid w:val="001C4121"/>
    <w:rsid w:val="001C48DE"/>
    <w:rsid w:val="001C7F8D"/>
    <w:rsid w:val="001D30C1"/>
    <w:rsid w:val="001D52E3"/>
    <w:rsid w:val="001D576F"/>
    <w:rsid w:val="001D7C29"/>
    <w:rsid w:val="001E0475"/>
    <w:rsid w:val="001E33C2"/>
    <w:rsid w:val="001E4BED"/>
    <w:rsid w:val="001E708A"/>
    <w:rsid w:val="001F2AAD"/>
    <w:rsid w:val="001F2DCD"/>
    <w:rsid w:val="001F5C90"/>
    <w:rsid w:val="001F6552"/>
    <w:rsid w:val="001F767C"/>
    <w:rsid w:val="001F7B10"/>
    <w:rsid w:val="00203A7B"/>
    <w:rsid w:val="002057EF"/>
    <w:rsid w:val="00205C6E"/>
    <w:rsid w:val="00206ED9"/>
    <w:rsid w:val="00210074"/>
    <w:rsid w:val="00210FCF"/>
    <w:rsid w:val="00214AA2"/>
    <w:rsid w:val="0021527B"/>
    <w:rsid w:val="00217471"/>
    <w:rsid w:val="002179B6"/>
    <w:rsid w:val="00222EFF"/>
    <w:rsid w:val="002240D5"/>
    <w:rsid w:val="002261A7"/>
    <w:rsid w:val="00226AEC"/>
    <w:rsid w:val="00235C95"/>
    <w:rsid w:val="00241774"/>
    <w:rsid w:val="00245A74"/>
    <w:rsid w:val="002545F3"/>
    <w:rsid w:val="002549A5"/>
    <w:rsid w:val="0026344F"/>
    <w:rsid w:val="00266A17"/>
    <w:rsid w:val="00270372"/>
    <w:rsid w:val="002748A7"/>
    <w:rsid w:val="00275534"/>
    <w:rsid w:val="00277075"/>
    <w:rsid w:val="002775D2"/>
    <w:rsid w:val="00281ADD"/>
    <w:rsid w:val="0028563E"/>
    <w:rsid w:val="00287823"/>
    <w:rsid w:val="0028792D"/>
    <w:rsid w:val="00293E0D"/>
    <w:rsid w:val="00293E80"/>
    <w:rsid w:val="002973B0"/>
    <w:rsid w:val="00297C14"/>
    <w:rsid w:val="002A220F"/>
    <w:rsid w:val="002A24F1"/>
    <w:rsid w:val="002A43A0"/>
    <w:rsid w:val="002A5778"/>
    <w:rsid w:val="002A6525"/>
    <w:rsid w:val="002A6E3B"/>
    <w:rsid w:val="002A7DE3"/>
    <w:rsid w:val="002B1C24"/>
    <w:rsid w:val="002B1E84"/>
    <w:rsid w:val="002B2085"/>
    <w:rsid w:val="002B3EC4"/>
    <w:rsid w:val="002C37D5"/>
    <w:rsid w:val="002C45D1"/>
    <w:rsid w:val="002C4DA6"/>
    <w:rsid w:val="002C60A0"/>
    <w:rsid w:val="002D0237"/>
    <w:rsid w:val="002D0BAB"/>
    <w:rsid w:val="002D18E1"/>
    <w:rsid w:val="002D239A"/>
    <w:rsid w:val="002D34DB"/>
    <w:rsid w:val="002D48BE"/>
    <w:rsid w:val="002D4B11"/>
    <w:rsid w:val="002E0468"/>
    <w:rsid w:val="002E5633"/>
    <w:rsid w:val="002E5FC5"/>
    <w:rsid w:val="002F1963"/>
    <w:rsid w:val="002F5B6E"/>
    <w:rsid w:val="002F61B5"/>
    <w:rsid w:val="002F6903"/>
    <w:rsid w:val="00300066"/>
    <w:rsid w:val="0030209B"/>
    <w:rsid w:val="00305885"/>
    <w:rsid w:val="003100C8"/>
    <w:rsid w:val="003116DE"/>
    <w:rsid w:val="00312494"/>
    <w:rsid w:val="003127E4"/>
    <w:rsid w:val="00312C42"/>
    <w:rsid w:val="00312F5B"/>
    <w:rsid w:val="00313215"/>
    <w:rsid w:val="00313DA1"/>
    <w:rsid w:val="003174C3"/>
    <w:rsid w:val="003230D5"/>
    <w:rsid w:val="0032557A"/>
    <w:rsid w:val="00326E3E"/>
    <w:rsid w:val="00327DE1"/>
    <w:rsid w:val="00331365"/>
    <w:rsid w:val="003318BA"/>
    <w:rsid w:val="003326F7"/>
    <w:rsid w:val="00340778"/>
    <w:rsid w:val="00343205"/>
    <w:rsid w:val="00343C65"/>
    <w:rsid w:val="00344D2C"/>
    <w:rsid w:val="003458CE"/>
    <w:rsid w:val="00345A57"/>
    <w:rsid w:val="00346D90"/>
    <w:rsid w:val="00351DB1"/>
    <w:rsid w:val="00351F62"/>
    <w:rsid w:val="0035792C"/>
    <w:rsid w:val="003601F4"/>
    <w:rsid w:val="003602F8"/>
    <w:rsid w:val="00361150"/>
    <w:rsid w:val="00363F26"/>
    <w:rsid w:val="003671E2"/>
    <w:rsid w:val="00370320"/>
    <w:rsid w:val="00372AE6"/>
    <w:rsid w:val="00376747"/>
    <w:rsid w:val="00376C3A"/>
    <w:rsid w:val="0038082C"/>
    <w:rsid w:val="003837E1"/>
    <w:rsid w:val="0038584D"/>
    <w:rsid w:val="0039257F"/>
    <w:rsid w:val="003931DE"/>
    <w:rsid w:val="00397D1A"/>
    <w:rsid w:val="003A163C"/>
    <w:rsid w:val="003A217C"/>
    <w:rsid w:val="003A2B4E"/>
    <w:rsid w:val="003A2FBB"/>
    <w:rsid w:val="003A3799"/>
    <w:rsid w:val="003A44FE"/>
    <w:rsid w:val="003A4913"/>
    <w:rsid w:val="003A54A9"/>
    <w:rsid w:val="003A62A5"/>
    <w:rsid w:val="003A7083"/>
    <w:rsid w:val="003B1C79"/>
    <w:rsid w:val="003B2CF2"/>
    <w:rsid w:val="003B3103"/>
    <w:rsid w:val="003B38B3"/>
    <w:rsid w:val="003B3A97"/>
    <w:rsid w:val="003B3D44"/>
    <w:rsid w:val="003B47BC"/>
    <w:rsid w:val="003B61EB"/>
    <w:rsid w:val="003C2540"/>
    <w:rsid w:val="003C6BB5"/>
    <w:rsid w:val="003C795D"/>
    <w:rsid w:val="003C7CC2"/>
    <w:rsid w:val="003D15A2"/>
    <w:rsid w:val="003D3379"/>
    <w:rsid w:val="003D50B6"/>
    <w:rsid w:val="003E05DF"/>
    <w:rsid w:val="003E1562"/>
    <w:rsid w:val="003E6085"/>
    <w:rsid w:val="003E6CA3"/>
    <w:rsid w:val="003F4C96"/>
    <w:rsid w:val="00401C49"/>
    <w:rsid w:val="00404CFE"/>
    <w:rsid w:val="00406002"/>
    <w:rsid w:val="00406AD3"/>
    <w:rsid w:val="00410731"/>
    <w:rsid w:val="00412E42"/>
    <w:rsid w:val="00413EC1"/>
    <w:rsid w:val="0041497E"/>
    <w:rsid w:val="00415776"/>
    <w:rsid w:val="00420278"/>
    <w:rsid w:val="0042112A"/>
    <w:rsid w:val="00425534"/>
    <w:rsid w:val="00425C05"/>
    <w:rsid w:val="00426356"/>
    <w:rsid w:val="00426929"/>
    <w:rsid w:val="00433D11"/>
    <w:rsid w:val="00440108"/>
    <w:rsid w:val="00441A6D"/>
    <w:rsid w:val="00442C16"/>
    <w:rsid w:val="00445410"/>
    <w:rsid w:val="00446439"/>
    <w:rsid w:val="00450BDA"/>
    <w:rsid w:val="00453A3E"/>
    <w:rsid w:val="0045452F"/>
    <w:rsid w:val="0045766B"/>
    <w:rsid w:val="00457EA9"/>
    <w:rsid w:val="00461662"/>
    <w:rsid w:val="004618A2"/>
    <w:rsid w:val="0046444F"/>
    <w:rsid w:val="00470281"/>
    <w:rsid w:val="004716E3"/>
    <w:rsid w:val="00474BB7"/>
    <w:rsid w:val="00476133"/>
    <w:rsid w:val="0047649C"/>
    <w:rsid w:val="00476800"/>
    <w:rsid w:val="004816D7"/>
    <w:rsid w:val="00482F63"/>
    <w:rsid w:val="0048342E"/>
    <w:rsid w:val="00487478"/>
    <w:rsid w:val="0048782D"/>
    <w:rsid w:val="00490873"/>
    <w:rsid w:val="00494DC1"/>
    <w:rsid w:val="004A3F56"/>
    <w:rsid w:val="004A4F1C"/>
    <w:rsid w:val="004A5E21"/>
    <w:rsid w:val="004A666A"/>
    <w:rsid w:val="004B143F"/>
    <w:rsid w:val="004B3022"/>
    <w:rsid w:val="004B49A0"/>
    <w:rsid w:val="004B6304"/>
    <w:rsid w:val="004C2B36"/>
    <w:rsid w:val="004C6306"/>
    <w:rsid w:val="004C6F5E"/>
    <w:rsid w:val="004C6F96"/>
    <w:rsid w:val="004C7E94"/>
    <w:rsid w:val="004D4551"/>
    <w:rsid w:val="004D7CF8"/>
    <w:rsid w:val="004D7EDA"/>
    <w:rsid w:val="004E0E49"/>
    <w:rsid w:val="004E197A"/>
    <w:rsid w:val="004E5D52"/>
    <w:rsid w:val="004F07D7"/>
    <w:rsid w:val="004F0F82"/>
    <w:rsid w:val="004F1297"/>
    <w:rsid w:val="004F1362"/>
    <w:rsid w:val="004F16DB"/>
    <w:rsid w:val="004F4761"/>
    <w:rsid w:val="004F4D7E"/>
    <w:rsid w:val="004F5B16"/>
    <w:rsid w:val="004F5D9D"/>
    <w:rsid w:val="004F68E5"/>
    <w:rsid w:val="004F7037"/>
    <w:rsid w:val="004F741B"/>
    <w:rsid w:val="00500F08"/>
    <w:rsid w:val="00503253"/>
    <w:rsid w:val="00503BB0"/>
    <w:rsid w:val="00503C23"/>
    <w:rsid w:val="00503E03"/>
    <w:rsid w:val="00511F0B"/>
    <w:rsid w:val="00512226"/>
    <w:rsid w:val="00512B31"/>
    <w:rsid w:val="0051351B"/>
    <w:rsid w:val="005147C6"/>
    <w:rsid w:val="005159B1"/>
    <w:rsid w:val="00522502"/>
    <w:rsid w:val="00522530"/>
    <w:rsid w:val="005255A1"/>
    <w:rsid w:val="00525825"/>
    <w:rsid w:val="0052641C"/>
    <w:rsid w:val="005311C2"/>
    <w:rsid w:val="0053795D"/>
    <w:rsid w:val="00544522"/>
    <w:rsid w:val="00545D37"/>
    <w:rsid w:val="005467E2"/>
    <w:rsid w:val="005468AB"/>
    <w:rsid w:val="005501A0"/>
    <w:rsid w:val="00550831"/>
    <w:rsid w:val="005525B0"/>
    <w:rsid w:val="00554273"/>
    <w:rsid w:val="0056001A"/>
    <w:rsid w:val="005642B6"/>
    <w:rsid w:val="00566A97"/>
    <w:rsid w:val="00571D5E"/>
    <w:rsid w:val="005814CA"/>
    <w:rsid w:val="005823D0"/>
    <w:rsid w:val="00582D54"/>
    <w:rsid w:val="00583AAF"/>
    <w:rsid w:val="00587AF9"/>
    <w:rsid w:val="005961A3"/>
    <w:rsid w:val="005962D5"/>
    <w:rsid w:val="005979D8"/>
    <w:rsid w:val="005A17A9"/>
    <w:rsid w:val="005A2748"/>
    <w:rsid w:val="005A443F"/>
    <w:rsid w:val="005A5215"/>
    <w:rsid w:val="005A594A"/>
    <w:rsid w:val="005A7C26"/>
    <w:rsid w:val="005B0970"/>
    <w:rsid w:val="005B0E43"/>
    <w:rsid w:val="005B54F9"/>
    <w:rsid w:val="005B58D4"/>
    <w:rsid w:val="005B5B58"/>
    <w:rsid w:val="005B7DC9"/>
    <w:rsid w:val="005C07B3"/>
    <w:rsid w:val="005C284E"/>
    <w:rsid w:val="005C47D4"/>
    <w:rsid w:val="005D51D0"/>
    <w:rsid w:val="005D5EE0"/>
    <w:rsid w:val="005D6F83"/>
    <w:rsid w:val="005D7877"/>
    <w:rsid w:val="005D7CCF"/>
    <w:rsid w:val="005E04CF"/>
    <w:rsid w:val="005E58C4"/>
    <w:rsid w:val="005E5D8F"/>
    <w:rsid w:val="005F0AA6"/>
    <w:rsid w:val="005F5A5C"/>
    <w:rsid w:val="005F5CD9"/>
    <w:rsid w:val="00602664"/>
    <w:rsid w:val="00602D66"/>
    <w:rsid w:val="0061135C"/>
    <w:rsid w:val="006136DD"/>
    <w:rsid w:val="006149F0"/>
    <w:rsid w:val="006220A5"/>
    <w:rsid w:val="00622D86"/>
    <w:rsid w:val="00624AC8"/>
    <w:rsid w:val="00633812"/>
    <w:rsid w:val="00633C60"/>
    <w:rsid w:val="0064126D"/>
    <w:rsid w:val="006451B8"/>
    <w:rsid w:val="00645722"/>
    <w:rsid w:val="0064661E"/>
    <w:rsid w:val="006473CB"/>
    <w:rsid w:val="006509C3"/>
    <w:rsid w:val="00652432"/>
    <w:rsid w:val="00657840"/>
    <w:rsid w:val="0066003C"/>
    <w:rsid w:val="0066041E"/>
    <w:rsid w:val="006619BB"/>
    <w:rsid w:val="0067108F"/>
    <w:rsid w:val="00673CCC"/>
    <w:rsid w:val="00675C98"/>
    <w:rsid w:val="0069026B"/>
    <w:rsid w:val="006956EA"/>
    <w:rsid w:val="006973D7"/>
    <w:rsid w:val="006A0D82"/>
    <w:rsid w:val="006A2787"/>
    <w:rsid w:val="006A490C"/>
    <w:rsid w:val="006A5881"/>
    <w:rsid w:val="006A766E"/>
    <w:rsid w:val="006A77C3"/>
    <w:rsid w:val="006B0CE3"/>
    <w:rsid w:val="006B4F7D"/>
    <w:rsid w:val="006B63B1"/>
    <w:rsid w:val="006C09F9"/>
    <w:rsid w:val="006C114C"/>
    <w:rsid w:val="006C1240"/>
    <w:rsid w:val="006C2E60"/>
    <w:rsid w:val="006C3668"/>
    <w:rsid w:val="006C3864"/>
    <w:rsid w:val="006C5383"/>
    <w:rsid w:val="006C5E72"/>
    <w:rsid w:val="006D2AEC"/>
    <w:rsid w:val="006D438F"/>
    <w:rsid w:val="006D4B1C"/>
    <w:rsid w:val="006D4C8E"/>
    <w:rsid w:val="006E19D1"/>
    <w:rsid w:val="006E1CBB"/>
    <w:rsid w:val="006E2DD8"/>
    <w:rsid w:val="006E4B27"/>
    <w:rsid w:val="006E5E7E"/>
    <w:rsid w:val="006F0017"/>
    <w:rsid w:val="006F100B"/>
    <w:rsid w:val="006F239A"/>
    <w:rsid w:val="006F2C9D"/>
    <w:rsid w:val="006F4201"/>
    <w:rsid w:val="006F4DB8"/>
    <w:rsid w:val="006F65CD"/>
    <w:rsid w:val="006F6B51"/>
    <w:rsid w:val="007048DB"/>
    <w:rsid w:val="0070637D"/>
    <w:rsid w:val="007071DD"/>
    <w:rsid w:val="0070771F"/>
    <w:rsid w:val="00712A14"/>
    <w:rsid w:val="00713208"/>
    <w:rsid w:val="00716C04"/>
    <w:rsid w:val="00717085"/>
    <w:rsid w:val="00717180"/>
    <w:rsid w:val="007179D2"/>
    <w:rsid w:val="00720750"/>
    <w:rsid w:val="007242FE"/>
    <w:rsid w:val="0072549C"/>
    <w:rsid w:val="00725847"/>
    <w:rsid w:val="00725A80"/>
    <w:rsid w:val="00726E61"/>
    <w:rsid w:val="0073102A"/>
    <w:rsid w:val="00732BE9"/>
    <w:rsid w:val="00733970"/>
    <w:rsid w:val="007375FE"/>
    <w:rsid w:val="00741D0B"/>
    <w:rsid w:val="00741FEE"/>
    <w:rsid w:val="00750BA7"/>
    <w:rsid w:val="007513F7"/>
    <w:rsid w:val="00754C58"/>
    <w:rsid w:val="007728B9"/>
    <w:rsid w:val="0077436E"/>
    <w:rsid w:val="00776E78"/>
    <w:rsid w:val="0078138A"/>
    <w:rsid w:val="00783014"/>
    <w:rsid w:val="007834DC"/>
    <w:rsid w:val="00790768"/>
    <w:rsid w:val="007959D8"/>
    <w:rsid w:val="0079630F"/>
    <w:rsid w:val="0079759F"/>
    <w:rsid w:val="007A04C2"/>
    <w:rsid w:val="007A4238"/>
    <w:rsid w:val="007A47D0"/>
    <w:rsid w:val="007A71EA"/>
    <w:rsid w:val="007B146A"/>
    <w:rsid w:val="007B34A1"/>
    <w:rsid w:val="007B57C9"/>
    <w:rsid w:val="007C0E7C"/>
    <w:rsid w:val="007C0EAA"/>
    <w:rsid w:val="007C1288"/>
    <w:rsid w:val="007C19C3"/>
    <w:rsid w:val="007C44B2"/>
    <w:rsid w:val="007C54EE"/>
    <w:rsid w:val="007C6496"/>
    <w:rsid w:val="007C745E"/>
    <w:rsid w:val="007D0ABE"/>
    <w:rsid w:val="007E0E53"/>
    <w:rsid w:val="007E2476"/>
    <w:rsid w:val="007E356F"/>
    <w:rsid w:val="007E3F8C"/>
    <w:rsid w:val="007E45DB"/>
    <w:rsid w:val="007E4689"/>
    <w:rsid w:val="007F2058"/>
    <w:rsid w:val="007F41A3"/>
    <w:rsid w:val="007F7685"/>
    <w:rsid w:val="0080011D"/>
    <w:rsid w:val="00800EA5"/>
    <w:rsid w:val="00801C01"/>
    <w:rsid w:val="00803860"/>
    <w:rsid w:val="008112CC"/>
    <w:rsid w:val="008130BB"/>
    <w:rsid w:val="00813B9A"/>
    <w:rsid w:val="00813D7D"/>
    <w:rsid w:val="008147C6"/>
    <w:rsid w:val="00817406"/>
    <w:rsid w:val="00820073"/>
    <w:rsid w:val="008208A7"/>
    <w:rsid w:val="008237FA"/>
    <w:rsid w:val="00825D37"/>
    <w:rsid w:val="008369B0"/>
    <w:rsid w:val="008372D1"/>
    <w:rsid w:val="00837540"/>
    <w:rsid w:val="00845C1E"/>
    <w:rsid w:val="00847AF4"/>
    <w:rsid w:val="0085732C"/>
    <w:rsid w:val="00860B45"/>
    <w:rsid w:val="00861F68"/>
    <w:rsid w:val="00863860"/>
    <w:rsid w:val="008638B5"/>
    <w:rsid w:val="00866B47"/>
    <w:rsid w:val="008734DB"/>
    <w:rsid w:val="0087390B"/>
    <w:rsid w:val="008745A1"/>
    <w:rsid w:val="008768E9"/>
    <w:rsid w:val="0087751B"/>
    <w:rsid w:val="00890995"/>
    <w:rsid w:val="008914FB"/>
    <w:rsid w:val="00892516"/>
    <w:rsid w:val="0089737A"/>
    <w:rsid w:val="00897E99"/>
    <w:rsid w:val="00897F60"/>
    <w:rsid w:val="008A4829"/>
    <w:rsid w:val="008B2384"/>
    <w:rsid w:val="008B38D6"/>
    <w:rsid w:val="008B4802"/>
    <w:rsid w:val="008B69E3"/>
    <w:rsid w:val="008C1FD1"/>
    <w:rsid w:val="008C24A8"/>
    <w:rsid w:val="008C35EF"/>
    <w:rsid w:val="008C3867"/>
    <w:rsid w:val="008C5996"/>
    <w:rsid w:val="008D4FA9"/>
    <w:rsid w:val="008D5A11"/>
    <w:rsid w:val="008D5E23"/>
    <w:rsid w:val="008D77AF"/>
    <w:rsid w:val="008E6D59"/>
    <w:rsid w:val="008F30C7"/>
    <w:rsid w:val="008F4527"/>
    <w:rsid w:val="008F4B1F"/>
    <w:rsid w:val="008F5D66"/>
    <w:rsid w:val="00901E94"/>
    <w:rsid w:val="009028AA"/>
    <w:rsid w:val="00903E3F"/>
    <w:rsid w:val="009049C3"/>
    <w:rsid w:val="00904AB8"/>
    <w:rsid w:val="009057D9"/>
    <w:rsid w:val="0090774A"/>
    <w:rsid w:val="00910D07"/>
    <w:rsid w:val="00914B2F"/>
    <w:rsid w:val="009150E6"/>
    <w:rsid w:val="00916290"/>
    <w:rsid w:val="00917F89"/>
    <w:rsid w:val="009223BE"/>
    <w:rsid w:val="0092499B"/>
    <w:rsid w:val="009255EE"/>
    <w:rsid w:val="00925603"/>
    <w:rsid w:val="00925F76"/>
    <w:rsid w:val="00925FCE"/>
    <w:rsid w:val="00932B17"/>
    <w:rsid w:val="00932E89"/>
    <w:rsid w:val="0093359D"/>
    <w:rsid w:val="00933F2B"/>
    <w:rsid w:val="00942EEB"/>
    <w:rsid w:val="0094468E"/>
    <w:rsid w:val="00944B6E"/>
    <w:rsid w:val="00945261"/>
    <w:rsid w:val="00947377"/>
    <w:rsid w:val="009506A5"/>
    <w:rsid w:val="00951452"/>
    <w:rsid w:val="00953F66"/>
    <w:rsid w:val="009541CC"/>
    <w:rsid w:val="00956564"/>
    <w:rsid w:val="009567A6"/>
    <w:rsid w:val="00956D5A"/>
    <w:rsid w:val="00961B2C"/>
    <w:rsid w:val="00961DBB"/>
    <w:rsid w:val="00963D2B"/>
    <w:rsid w:val="0096618E"/>
    <w:rsid w:val="009758AE"/>
    <w:rsid w:val="00975E08"/>
    <w:rsid w:val="00976740"/>
    <w:rsid w:val="00981433"/>
    <w:rsid w:val="0098222F"/>
    <w:rsid w:val="0098244F"/>
    <w:rsid w:val="00983122"/>
    <w:rsid w:val="00985C07"/>
    <w:rsid w:val="00993822"/>
    <w:rsid w:val="00993C0D"/>
    <w:rsid w:val="00995B4F"/>
    <w:rsid w:val="00995FA3"/>
    <w:rsid w:val="00997582"/>
    <w:rsid w:val="00997D88"/>
    <w:rsid w:val="009A2C21"/>
    <w:rsid w:val="009A3E58"/>
    <w:rsid w:val="009A4F88"/>
    <w:rsid w:val="009A5F02"/>
    <w:rsid w:val="009A6242"/>
    <w:rsid w:val="009A7AB1"/>
    <w:rsid w:val="009A7B9C"/>
    <w:rsid w:val="009B70E6"/>
    <w:rsid w:val="009C21DD"/>
    <w:rsid w:val="009C29A0"/>
    <w:rsid w:val="009C6DAA"/>
    <w:rsid w:val="009C7423"/>
    <w:rsid w:val="009D0E74"/>
    <w:rsid w:val="009D1A96"/>
    <w:rsid w:val="009D370B"/>
    <w:rsid w:val="009D7EE0"/>
    <w:rsid w:val="009E2087"/>
    <w:rsid w:val="009E252B"/>
    <w:rsid w:val="009E3265"/>
    <w:rsid w:val="009E3353"/>
    <w:rsid w:val="009E446D"/>
    <w:rsid w:val="009E7C09"/>
    <w:rsid w:val="009F146D"/>
    <w:rsid w:val="009F4F1E"/>
    <w:rsid w:val="009F5D6A"/>
    <w:rsid w:val="00A015E4"/>
    <w:rsid w:val="00A073B6"/>
    <w:rsid w:val="00A075BC"/>
    <w:rsid w:val="00A11222"/>
    <w:rsid w:val="00A12C39"/>
    <w:rsid w:val="00A13013"/>
    <w:rsid w:val="00A134FB"/>
    <w:rsid w:val="00A162FE"/>
    <w:rsid w:val="00A20802"/>
    <w:rsid w:val="00A22FCB"/>
    <w:rsid w:val="00A23537"/>
    <w:rsid w:val="00A25B4F"/>
    <w:rsid w:val="00A261B3"/>
    <w:rsid w:val="00A27E8B"/>
    <w:rsid w:val="00A311CF"/>
    <w:rsid w:val="00A348ED"/>
    <w:rsid w:val="00A442BF"/>
    <w:rsid w:val="00A517D0"/>
    <w:rsid w:val="00A51B96"/>
    <w:rsid w:val="00A5259E"/>
    <w:rsid w:val="00A53716"/>
    <w:rsid w:val="00A549F4"/>
    <w:rsid w:val="00A5629E"/>
    <w:rsid w:val="00A577A2"/>
    <w:rsid w:val="00A6471A"/>
    <w:rsid w:val="00A64832"/>
    <w:rsid w:val="00A708DE"/>
    <w:rsid w:val="00A72F5D"/>
    <w:rsid w:val="00A732DB"/>
    <w:rsid w:val="00A75338"/>
    <w:rsid w:val="00A838D2"/>
    <w:rsid w:val="00A86F04"/>
    <w:rsid w:val="00A946C4"/>
    <w:rsid w:val="00A96E98"/>
    <w:rsid w:val="00AA0148"/>
    <w:rsid w:val="00AA1F4F"/>
    <w:rsid w:val="00AA478E"/>
    <w:rsid w:val="00AB137D"/>
    <w:rsid w:val="00AC01F8"/>
    <w:rsid w:val="00AC059A"/>
    <w:rsid w:val="00AC3BE3"/>
    <w:rsid w:val="00AC41CF"/>
    <w:rsid w:val="00AC4D5E"/>
    <w:rsid w:val="00AD0308"/>
    <w:rsid w:val="00AD377A"/>
    <w:rsid w:val="00AD67BB"/>
    <w:rsid w:val="00AE1CC1"/>
    <w:rsid w:val="00AE27B8"/>
    <w:rsid w:val="00AE3EA4"/>
    <w:rsid w:val="00AE51FE"/>
    <w:rsid w:val="00AE5A6C"/>
    <w:rsid w:val="00AF1B02"/>
    <w:rsid w:val="00AF2C5A"/>
    <w:rsid w:val="00AF41E4"/>
    <w:rsid w:val="00AF568A"/>
    <w:rsid w:val="00B05262"/>
    <w:rsid w:val="00B06A75"/>
    <w:rsid w:val="00B06BC3"/>
    <w:rsid w:val="00B157EC"/>
    <w:rsid w:val="00B15A0F"/>
    <w:rsid w:val="00B17FB2"/>
    <w:rsid w:val="00B20236"/>
    <w:rsid w:val="00B20937"/>
    <w:rsid w:val="00B220A0"/>
    <w:rsid w:val="00B22B64"/>
    <w:rsid w:val="00B22D72"/>
    <w:rsid w:val="00B22FEA"/>
    <w:rsid w:val="00B24321"/>
    <w:rsid w:val="00B30FEB"/>
    <w:rsid w:val="00B311BA"/>
    <w:rsid w:val="00B35B47"/>
    <w:rsid w:val="00B40AA3"/>
    <w:rsid w:val="00B43AF9"/>
    <w:rsid w:val="00B44478"/>
    <w:rsid w:val="00B4532C"/>
    <w:rsid w:val="00B4609C"/>
    <w:rsid w:val="00B460F6"/>
    <w:rsid w:val="00B47176"/>
    <w:rsid w:val="00B508DA"/>
    <w:rsid w:val="00B538BA"/>
    <w:rsid w:val="00B55411"/>
    <w:rsid w:val="00B6002C"/>
    <w:rsid w:val="00B60433"/>
    <w:rsid w:val="00B620EE"/>
    <w:rsid w:val="00B80E4C"/>
    <w:rsid w:val="00B80FB4"/>
    <w:rsid w:val="00B85366"/>
    <w:rsid w:val="00B87F60"/>
    <w:rsid w:val="00B9079B"/>
    <w:rsid w:val="00B93B5E"/>
    <w:rsid w:val="00B93D3D"/>
    <w:rsid w:val="00B96341"/>
    <w:rsid w:val="00BA2FA7"/>
    <w:rsid w:val="00BA471F"/>
    <w:rsid w:val="00BB457C"/>
    <w:rsid w:val="00BB5013"/>
    <w:rsid w:val="00BB528E"/>
    <w:rsid w:val="00BB532D"/>
    <w:rsid w:val="00BB615A"/>
    <w:rsid w:val="00BB78CD"/>
    <w:rsid w:val="00BC11EC"/>
    <w:rsid w:val="00BC2600"/>
    <w:rsid w:val="00BC36F0"/>
    <w:rsid w:val="00BC3E99"/>
    <w:rsid w:val="00BC4FA7"/>
    <w:rsid w:val="00BC5E30"/>
    <w:rsid w:val="00BD00ED"/>
    <w:rsid w:val="00BD02C5"/>
    <w:rsid w:val="00BD068D"/>
    <w:rsid w:val="00BD3757"/>
    <w:rsid w:val="00BE0D9A"/>
    <w:rsid w:val="00BE1A50"/>
    <w:rsid w:val="00BE2F0D"/>
    <w:rsid w:val="00BE5942"/>
    <w:rsid w:val="00BE5E2E"/>
    <w:rsid w:val="00BF0BD5"/>
    <w:rsid w:val="00BF0D35"/>
    <w:rsid w:val="00BF55F8"/>
    <w:rsid w:val="00C051FD"/>
    <w:rsid w:val="00C1744F"/>
    <w:rsid w:val="00C20C7D"/>
    <w:rsid w:val="00C20DEF"/>
    <w:rsid w:val="00C21A9B"/>
    <w:rsid w:val="00C24B25"/>
    <w:rsid w:val="00C24E89"/>
    <w:rsid w:val="00C32C2F"/>
    <w:rsid w:val="00C37139"/>
    <w:rsid w:val="00C3738A"/>
    <w:rsid w:val="00C40859"/>
    <w:rsid w:val="00C4315A"/>
    <w:rsid w:val="00C43F5E"/>
    <w:rsid w:val="00C44074"/>
    <w:rsid w:val="00C4651F"/>
    <w:rsid w:val="00C51D0B"/>
    <w:rsid w:val="00C52207"/>
    <w:rsid w:val="00C52A50"/>
    <w:rsid w:val="00C603E4"/>
    <w:rsid w:val="00C6276A"/>
    <w:rsid w:val="00C642D4"/>
    <w:rsid w:val="00C66AF6"/>
    <w:rsid w:val="00C730F4"/>
    <w:rsid w:val="00C74311"/>
    <w:rsid w:val="00C80200"/>
    <w:rsid w:val="00C80E0A"/>
    <w:rsid w:val="00C8270B"/>
    <w:rsid w:val="00C841A9"/>
    <w:rsid w:val="00C851B4"/>
    <w:rsid w:val="00C86B09"/>
    <w:rsid w:val="00C8728F"/>
    <w:rsid w:val="00C91D48"/>
    <w:rsid w:val="00C97FBC"/>
    <w:rsid w:val="00CA06C8"/>
    <w:rsid w:val="00CA0B7E"/>
    <w:rsid w:val="00CA37B6"/>
    <w:rsid w:val="00CA4C28"/>
    <w:rsid w:val="00CA4E33"/>
    <w:rsid w:val="00CA5598"/>
    <w:rsid w:val="00CA5EF8"/>
    <w:rsid w:val="00CA6292"/>
    <w:rsid w:val="00CB0CAB"/>
    <w:rsid w:val="00CB28A3"/>
    <w:rsid w:val="00CB739B"/>
    <w:rsid w:val="00CB73EC"/>
    <w:rsid w:val="00CC00A0"/>
    <w:rsid w:val="00CC0FED"/>
    <w:rsid w:val="00CC3C34"/>
    <w:rsid w:val="00CC5455"/>
    <w:rsid w:val="00CC6C06"/>
    <w:rsid w:val="00CD1526"/>
    <w:rsid w:val="00CD1546"/>
    <w:rsid w:val="00CD2807"/>
    <w:rsid w:val="00CD5509"/>
    <w:rsid w:val="00CE0215"/>
    <w:rsid w:val="00CE1EB0"/>
    <w:rsid w:val="00CE3DF2"/>
    <w:rsid w:val="00CE4838"/>
    <w:rsid w:val="00CF04D5"/>
    <w:rsid w:val="00CF0C0F"/>
    <w:rsid w:val="00CF1690"/>
    <w:rsid w:val="00CF1F2A"/>
    <w:rsid w:val="00CF3A6B"/>
    <w:rsid w:val="00CF5CE3"/>
    <w:rsid w:val="00CF7412"/>
    <w:rsid w:val="00D030F8"/>
    <w:rsid w:val="00D077B7"/>
    <w:rsid w:val="00D167AE"/>
    <w:rsid w:val="00D20297"/>
    <w:rsid w:val="00D21E6B"/>
    <w:rsid w:val="00D2336A"/>
    <w:rsid w:val="00D23634"/>
    <w:rsid w:val="00D34551"/>
    <w:rsid w:val="00D36D27"/>
    <w:rsid w:val="00D41664"/>
    <w:rsid w:val="00D4569D"/>
    <w:rsid w:val="00D457D6"/>
    <w:rsid w:val="00D57E5C"/>
    <w:rsid w:val="00D64CE2"/>
    <w:rsid w:val="00D661D4"/>
    <w:rsid w:val="00D702E1"/>
    <w:rsid w:val="00D70704"/>
    <w:rsid w:val="00D7174A"/>
    <w:rsid w:val="00D719B9"/>
    <w:rsid w:val="00D7270F"/>
    <w:rsid w:val="00D7596A"/>
    <w:rsid w:val="00D7751B"/>
    <w:rsid w:val="00D815DC"/>
    <w:rsid w:val="00D822B5"/>
    <w:rsid w:val="00D833F6"/>
    <w:rsid w:val="00D83D3C"/>
    <w:rsid w:val="00D867AE"/>
    <w:rsid w:val="00D87BBB"/>
    <w:rsid w:val="00D87C87"/>
    <w:rsid w:val="00D921C4"/>
    <w:rsid w:val="00D9296A"/>
    <w:rsid w:val="00D93C23"/>
    <w:rsid w:val="00D948C3"/>
    <w:rsid w:val="00D95638"/>
    <w:rsid w:val="00D9584C"/>
    <w:rsid w:val="00D97180"/>
    <w:rsid w:val="00D97C79"/>
    <w:rsid w:val="00DA14D9"/>
    <w:rsid w:val="00DA212D"/>
    <w:rsid w:val="00DB13AD"/>
    <w:rsid w:val="00DB23F9"/>
    <w:rsid w:val="00DB2A82"/>
    <w:rsid w:val="00DB58BE"/>
    <w:rsid w:val="00DB602E"/>
    <w:rsid w:val="00DB6176"/>
    <w:rsid w:val="00DB6AA0"/>
    <w:rsid w:val="00DB7C3A"/>
    <w:rsid w:val="00DD14EE"/>
    <w:rsid w:val="00DD281D"/>
    <w:rsid w:val="00DD32AB"/>
    <w:rsid w:val="00DD5BF6"/>
    <w:rsid w:val="00DD64DC"/>
    <w:rsid w:val="00DE1865"/>
    <w:rsid w:val="00DE6698"/>
    <w:rsid w:val="00DE6CEF"/>
    <w:rsid w:val="00DF11C2"/>
    <w:rsid w:val="00DF2134"/>
    <w:rsid w:val="00DF4593"/>
    <w:rsid w:val="00DF64E0"/>
    <w:rsid w:val="00E10D05"/>
    <w:rsid w:val="00E2223E"/>
    <w:rsid w:val="00E22D98"/>
    <w:rsid w:val="00E23FA4"/>
    <w:rsid w:val="00E24623"/>
    <w:rsid w:val="00E2524D"/>
    <w:rsid w:val="00E252E3"/>
    <w:rsid w:val="00E25B1B"/>
    <w:rsid w:val="00E37EC9"/>
    <w:rsid w:val="00E40505"/>
    <w:rsid w:val="00E42A41"/>
    <w:rsid w:val="00E450BB"/>
    <w:rsid w:val="00E45766"/>
    <w:rsid w:val="00E45AC5"/>
    <w:rsid w:val="00E524EA"/>
    <w:rsid w:val="00E532A4"/>
    <w:rsid w:val="00E563C5"/>
    <w:rsid w:val="00E567E5"/>
    <w:rsid w:val="00E64480"/>
    <w:rsid w:val="00E65807"/>
    <w:rsid w:val="00E66103"/>
    <w:rsid w:val="00E6708B"/>
    <w:rsid w:val="00E73A8C"/>
    <w:rsid w:val="00E73E27"/>
    <w:rsid w:val="00E75050"/>
    <w:rsid w:val="00E75D5E"/>
    <w:rsid w:val="00E76F42"/>
    <w:rsid w:val="00E77D6D"/>
    <w:rsid w:val="00E915E6"/>
    <w:rsid w:val="00E92F7B"/>
    <w:rsid w:val="00E92FBF"/>
    <w:rsid w:val="00E95AC9"/>
    <w:rsid w:val="00E96798"/>
    <w:rsid w:val="00EA3E11"/>
    <w:rsid w:val="00EA6EB3"/>
    <w:rsid w:val="00EB3FCF"/>
    <w:rsid w:val="00EB4A8E"/>
    <w:rsid w:val="00EB5EF3"/>
    <w:rsid w:val="00EB62F7"/>
    <w:rsid w:val="00EB664D"/>
    <w:rsid w:val="00EB695D"/>
    <w:rsid w:val="00EB7C6D"/>
    <w:rsid w:val="00EC38F3"/>
    <w:rsid w:val="00EC4241"/>
    <w:rsid w:val="00ED0404"/>
    <w:rsid w:val="00ED1407"/>
    <w:rsid w:val="00ED39CE"/>
    <w:rsid w:val="00ED4134"/>
    <w:rsid w:val="00ED7A9F"/>
    <w:rsid w:val="00EE05F1"/>
    <w:rsid w:val="00EE10CA"/>
    <w:rsid w:val="00EE3226"/>
    <w:rsid w:val="00EE471A"/>
    <w:rsid w:val="00EE5492"/>
    <w:rsid w:val="00EE583A"/>
    <w:rsid w:val="00EF0A00"/>
    <w:rsid w:val="00EF5916"/>
    <w:rsid w:val="00EF5D3B"/>
    <w:rsid w:val="00EF7395"/>
    <w:rsid w:val="00F0183C"/>
    <w:rsid w:val="00F01F0E"/>
    <w:rsid w:val="00F0379D"/>
    <w:rsid w:val="00F03C79"/>
    <w:rsid w:val="00F07BD5"/>
    <w:rsid w:val="00F11CDE"/>
    <w:rsid w:val="00F122D6"/>
    <w:rsid w:val="00F15BF4"/>
    <w:rsid w:val="00F171E0"/>
    <w:rsid w:val="00F17940"/>
    <w:rsid w:val="00F17DC0"/>
    <w:rsid w:val="00F2046C"/>
    <w:rsid w:val="00F20647"/>
    <w:rsid w:val="00F207D9"/>
    <w:rsid w:val="00F207FC"/>
    <w:rsid w:val="00F22BD3"/>
    <w:rsid w:val="00F274DB"/>
    <w:rsid w:val="00F31392"/>
    <w:rsid w:val="00F3441F"/>
    <w:rsid w:val="00F348B5"/>
    <w:rsid w:val="00F3652B"/>
    <w:rsid w:val="00F36D95"/>
    <w:rsid w:val="00F377B9"/>
    <w:rsid w:val="00F45442"/>
    <w:rsid w:val="00F47B21"/>
    <w:rsid w:val="00F5145E"/>
    <w:rsid w:val="00F558EA"/>
    <w:rsid w:val="00F5681C"/>
    <w:rsid w:val="00F6045D"/>
    <w:rsid w:val="00F613CB"/>
    <w:rsid w:val="00F61F79"/>
    <w:rsid w:val="00F6302A"/>
    <w:rsid w:val="00F651DD"/>
    <w:rsid w:val="00F656A4"/>
    <w:rsid w:val="00F6665E"/>
    <w:rsid w:val="00F7075F"/>
    <w:rsid w:val="00F71D76"/>
    <w:rsid w:val="00F721D3"/>
    <w:rsid w:val="00F76D3D"/>
    <w:rsid w:val="00F81E1D"/>
    <w:rsid w:val="00F825CC"/>
    <w:rsid w:val="00F8349F"/>
    <w:rsid w:val="00F83FB7"/>
    <w:rsid w:val="00F85935"/>
    <w:rsid w:val="00F85D29"/>
    <w:rsid w:val="00F94612"/>
    <w:rsid w:val="00F969D3"/>
    <w:rsid w:val="00F9789E"/>
    <w:rsid w:val="00FA190E"/>
    <w:rsid w:val="00FA54D8"/>
    <w:rsid w:val="00FB460E"/>
    <w:rsid w:val="00FC4621"/>
    <w:rsid w:val="00FC4C02"/>
    <w:rsid w:val="00FC4FB7"/>
    <w:rsid w:val="00FC6998"/>
    <w:rsid w:val="00FD1EE0"/>
    <w:rsid w:val="00FD357B"/>
    <w:rsid w:val="00FD38FC"/>
    <w:rsid w:val="00FD6119"/>
    <w:rsid w:val="00FD688E"/>
    <w:rsid w:val="00FD7C0C"/>
    <w:rsid w:val="00FE045C"/>
    <w:rsid w:val="00FE0C52"/>
    <w:rsid w:val="00FE1692"/>
    <w:rsid w:val="00FE3069"/>
    <w:rsid w:val="00FE3B13"/>
    <w:rsid w:val="00FE48C3"/>
    <w:rsid w:val="00FF0566"/>
    <w:rsid w:val="00FF15F5"/>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A96E98"/>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A96E98"/>
    <w:pPr>
      <w:keepNext/>
      <w:keepLines/>
      <w:numPr>
        <w:ilvl w:val="1"/>
        <w:numId w:val="10"/>
      </w:numPr>
      <w:tabs>
        <w:tab w:val="left" w:pos="1418"/>
        <w:tab w:val="left" w:pos="1701"/>
        <w:tab w:val="left" w:pos="1985"/>
      </w:tabs>
      <w:spacing w:before="36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A96E98"/>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A96E98"/>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A96E98"/>
    <w:pPr>
      <w:keepNext/>
      <w:keepLines/>
      <w:numPr>
        <w:ilvl w:val="1"/>
        <w:numId w:val="1"/>
      </w:numPr>
      <w:tabs>
        <w:tab w:val="left" w:pos="1559"/>
        <w:tab w:val="left" w:pos="1843"/>
        <w:tab w:val="left" w:pos="2126"/>
        <w:tab w:val="left" w:pos="2410"/>
      </w:tabs>
      <w:spacing w:before="470" w:after="227"/>
      <w:outlineLvl w:val="8"/>
    </w:pPr>
    <w:rPr>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96E98"/>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A96E98"/>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A96E98"/>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A96E98"/>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A96E98"/>
    <w:rPr>
      <w:color w:val="3D4D7D" w:themeColor="background2"/>
      <w:sz w:val="28"/>
    </w:rPr>
  </w:style>
  <w:style w:type="paragraph" w:customStyle="1" w:styleId="AttachmentHeading2">
    <w:name w:val="Attachment Heading 2"/>
    <w:basedOn w:val="Normal"/>
    <w:next w:val="BodyText"/>
    <w:uiPriority w:val="33"/>
    <w:qFormat/>
    <w:rsid w:val="00A96E98"/>
    <w:pPr>
      <w:keepNext/>
      <w:keepLines/>
      <w:numPr>
        <w:ilvl w:val="2"/>
        <w:numId w:val="1"/>
      </w:numPr>
      <w:tabs>
        <w:tab w:val="left" w:pos="1559"/>
        <w:tab w:val="left" w:pos="1843"/>
        <w:tab w:val="left" w:pos="2126"/>
        <w:tab w:val="left" w:pos="2410"/>
      </w:tabs>
      <w:spacing w:before="470" w:after="227"/>
    </w:pPr>
    <w:rPr>
      <w:color w:val="3D4D7D" w:themeColor="background2"/>
      <w:sz w:val="28"/>
    </w:rPr>
  </w:style>
  <w:style w:type="paragraph" w:customStyle="1" w:styleId="AttachmentHeading3">
    <w:name w:val="Attachment Heading 3"/>
    <w:basedOn w:val="Normal"/>
    <w:next w:val="BodyText"/>
    <w:uiPriority w:val="34"/>
    <w:qFormat/>
    <w:rsid w:val="00A96E98"/>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A96E98"/>
    <w:pPr>
      <w:keepNext/>
      <w:spacing w:before="24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lsdException w:name="heading 1" w:semiHidden="0" w:uiPriority="1" w:unhideWhenUsed="0" w:qFormat="1"/>
    <w:lsdException w:name="heading 2" w:uiPriority="2" w:qFormat="1"/>
    <w:lsdException w:name="heading 3" w:uiPriority="3" w:qFormat="1"/>
    <w:lsdException w:name="heading 4"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header" w:uiPriority="99"/>
    <w:lsdException w:name="caption" w:uiPriority="13" w:qFormat="1"/>
    <w:lsdException w:name="table of figures" w:semiHidden="0" w:uiPriority="99" w:unhideWhenUsed="0"/>
    <w:lsdException w:name="List Bullet" w:uiPriority="7" w:qFormat="1"/>
    <w:lsdException w:name="List Number" w:qFormat="1"/>
    <w:lsdException w:name="List Bullet 2" w:uiPriority="8" w:qFormat="1"/>
    <w:lsdException w:name="List Bullet 3" w:uiPriority="9" w:qFormat="1"/>
    <w:lsdException w:name="List Number 2" w:qFormat="1"/>
    <w:lsdException w:name="List Number 3" w:qFormat="1"/>
    <w:lsdException w:name="Title" w:semiHidden="0" w:unhideWhenUsed="0" w:qFormat="1"/>
    <w:lsdException w:name="Default Paragraph Font" w:uiPriority="1"/>
    <w:lsdException w:name="Body Text" w:uiPriority="5"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9" w:unhideWhenUsed="0"/>
    <w:lsdException w:name="Quote" w:semiHidden="0"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A96E98"/>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A96E98"/>
    <w:pPr>
      <w:keepNext/>
      <w:keepLines/>
      <w:numPr>
        <w:ilvl w:val="1"/>
        <w:numId w:val="10"/>
      </w:numPr>
      <w:tabs>
        <w:tab w:val="left" w:pos="1418"/>
        <w:tab w:val="left" w:pos="1701"/>
        <w:tab w:val="left" w:pos="1985"/>
      </w:tabs>
      <w:spacing w:before="36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A96E98"/>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A96E98"/>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A96E98"/>
    <w:pPr>
      <w:keepNext/>
      <w:keepLines/>
      <w:numPr>
        <w:ilvl w:val="1"/>
        <w:numId w:val="1"/>
      </w:numPr>
      <w:tabs>
        <w:tab w:val="left" w:pos="1559"/>
        <w:tab w:val="left" w:pos="1843"/>
        <w:tab w:val="left" w:pos="2126"/>
        <w:tab w:val="left" w:pos="2410"/>
      </w:tabs>
      <w:spacing w:before="470" w:after="227"/>
      <w:outlineLvl w:val="8"/>
    </w:pPr>
    <w:rPr>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A96E98"/>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A96E98"/>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A96E98"/>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A96E98"/>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A96E98"/>
    <w:rPr>
      <w:color w:val="3D4D7D" w:themeColor="background2"/>
      <w:sz w:val="28"/>
    </w:rPr>
  </w:style>
  <w:style w:type="paragraph" w:customStyle="1" w:styleId="AttachmentHeading2">
    <w:name w:val="Attachment Heading 2"/>
    <w:basedOn w:val="Normal"/>
    <w:next w:val="BodyText"/>
    <w:uiPriority w:val="33"/>
    <w:qFormat/>
    <w:rsid w:val="00A96E98"/>
    <w:pPr>
      <w:keepNext/>
      <w:keepLines/>
      <w:numPr>
        <w:ilvl w:val="2"/>
        <w:numId w:val="1"/>
      </w:numPr>
      <w:tabs>
        <w:tab w:val="left" w:pos="1559"/>
        <w:tab w:val="left" w:pos="1843"/>
        <w:tab w:val="left" w:pos="2126"/>
        <w:tab w:val="left" w:pos="2410"/>
      </w:tabs>
      <w:spacing w:before="470" w:after="227"/>
    </w:pPr>
    <w:rPr>
      <w:color w:val="3D4D7D" w:themeColor="background2"/>
      <w:sz w:val="28"/>
    </w:rPr>
  </w:style>
  <w:style w:type="paragraph" w:customStyle="1" w:styleId="AttachmentHeading3">
    <w:name w:val="Attachment Heading 3"/>
    <w:basedOn w:val="Normal"/>
    <w:next w:val="BodyText"/>
    <w:uiPriority w:val="34"/>
    <w:qFormat/>
    <w:rsid w:val="00A96E98"/>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A96E98"/>
    <w:pPr>
      <w:keepNext/>
      <w:spacing w:before="24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ind w:left="284" w:hanging="284"/>
    </w:pPr>
    <w:rPr>
      <w:spacing w:val="-1"/>
    </w:rPr>
  </w:style>
  <w:style w:type="paragraph" w:styleId="ListBullet2">
    <w:name w:val="List Bullet 2"/>
    <w:basedOn w:val="ListBullet"/>
    <w:uiPriority w:val="8"/>
    <w:qFormat/>
    <w:rsid w:val="006F4DB8"/>
    <w:pPr>
      <w:numPr>
        <w:ilvl w:val="1"/>
      </w:numPr>
      <w:tabs>
        <w:tab w:val="clear" w:pos="907"/>
        <w:tab w:val="num" w:pos="567"/>
      </w:tabs>
      <w:ind w:left="567" w:hanging="283"/>
    </w:pPr>
  </w:style>
  <w:style w:type="paragraph" w:styleId="ListBullet3">
    <w:name w:val="List Bullet 3"/>
    <w:basedOn w:val="ListBullet2"/>
    <w:uiPriority w:val="9"/>
    <w:qFormat/>
    <w:rsid w:val="006F4DB8"/>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qFormat/>
    <w:rsid w:val="00476133"/>
    <w:pPr>
      <w:spacing w:before="120" w:after="120"/>
      <w:ind w:left="57" w:right="57"/>
    </w:pPr>
    <w:rPr>
      <w:spacing w:val="-1"/>
    </w:rPr>
  </w:style>
  <w:style w:type="paragraph" w:customStyle="1" w:styleId="PullOutBoxBullet">
    <w:name w:val="Pull Out Box Bullet"/>
    <w:basedOn w:val="PullOutBoxBodyText"/>
    <w:uiPriority w:val="25"/>
    <w:qFormat/>
    <w:rsid w:val="00476133"/>
    <w:pPr>
      <w:numPr>
        <w:numId w:val="4"/>
      </w:numPr>
      <w:ind w:left="397"/>
    </w:pPr>
  </w:style>
  <w:style w:type="paragraph" w:customStyle="1" w:styleId="PullOutBoxBullet2">
    <w:name w:val="Pull Out Box Bullet 2"/>
    <w:basedOn w:val="PullOutBoxBodyText"/>
    <w:uiPriority w:val="26"/>
    <w:qFormat/>
    <w:rsid w:val="008112CC"/>
    <w:pPr>
      <w:numPr>
        <w:ilvl w:val="1"/>
        <w:numId w:val="4"/>
      </w:numPr>
      <w:ind w:left="737"/>
    </w:pPr>
  </w:style>
  <w:style w:type="paragraph" w:customStyle="1" w:styleId="PullOutBoxBullet3">
    <w:name w:val="Pull Out Box Bullet 3"/>
    <w:basedOn w:val="PullOutBoxBodyText"/>
    <w:uiPriority w:val="27"/>
    <w:qFormat/>
    <w:rsid w:val="00476133"/>
    <w:pPr>
      <w:numPr>
        <w:ilvl w:val="2"/>
        <w:numId w:val="4"/>
      </w:numPr>
      <w:ind w:left="1077"/>
    </w:pPr>
  </w:style>
  <w:style w:type="paragraph" w:customStyle="1" w:styleId="PullOutBoxHeading">
    <w:name w:val="Pull Out Box Heading"/>
    <w:basedOn w:val="PullOutBoxBodyText"/>
    <w:link w:val="PullOutBoxHeadingChar"/>
    <w:uiPriority w:val="23"/>
    <w:qFormat/>
    <w:rsid w:val="00476133"/>
    <w:pPr>
      <w:keepNext/>
      <w:keepLines/>
    </w:pPr>
    <w:rPr>
      <w:b/>
    </w:rPr>
  </w:style>
  <w:style w:type="paragraph" w:customStyle="1" w:styleId="PullOutBoxNumber">
    <w:name w:val="Pull Out Box Number"/>
    <w:basedOn w:val="PullOutBoxBodyText"/>
    <w:uiPriority w:val="28"/>
    <w:qFormat/>
    <w:rsid w:val="00476133"/>
    <w:pPr>
      <w:numPr>
        <w:numId w:val="5"/>
      </w:numPr>
      <w:ind w:left="397"/>
    </w:pPr>
  </w:style>
  <w:style w:type="paragraph" w:customStyle="1" w:styleId="PullOutBoxNumber2">
    <w:name w:val="Pull Out Box Number 2"/>
    <w:basedOn w:val="PullOutBoxBodyText"/>
    <w:uiPriority w:val="29"/>
    <w:qFormat/>
    <w:rsid w:val="008112CC"/>
    <w:pPr>
      <w:numPr>
        <w:ilvl w:val="1"/>
        <w:numId w:val="5"/>
      </w:numPr>
      <w:ind w:left="737"/>
    </w:pPr>
  </w:style>
  <w:style w:type="paragraph" w:customStyle="1" w:styleId="PullOutBoxNumber3">
    <w:name w:val="Pull Out Box Number 3"/>
    <w:basedOn w:val="PullOutBoxBodyText"/>
    <w:uiPriority w:val="30"/>
    <w:qFormat/>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
    <w:name w:val="Footnote"/>
    <w:basedOn w:val="FootnoteText"/>
    <w:link w:val="FootnoteChar"/>
    <w:uiPriority w:val="39"/>
    <w:qFormat/>
    <w:rsid w:val="007E2476"/>
    <w:pPr>
      <w:ind w:left="11" w:hanging="11"/>
    </w:pPr>
  </w:style>
  <w:style w:type="character" w:customStyle="1" w:styleId="FootnoteChar">
    <w:name w:val="Footnote Char"/>
    <w:basedOn w:val="FootnoteTextChar"/>
    <w:link w:val="Footnote"/>
    <w:uiPriority w:val="39"/>
    <w:rsid w:val="007E2476"/>
    <w:rPr>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ockbrokers.org.au/wp-content/uploads/2018/05/Removing-the-refundability-of-franking-credits-Rice-Warner-2-May-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1.%20PR,%20IR\PRR%20-%20RB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horndale AMT">
    <w:charset w:val="00"/>
    <w:family w:val="roman"/>
    <w:pitch w:val="variable"/>
    <w:sig w:usb0="00002A87" w:usb1="C0000000" w:usb2="00000008"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63"/>
    <w:rsid w:val="001D5D4C"/>
    <w:rsid w:val="00724B63"/>
    <w:rsid w:val="008D0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0284AA3FA8164A62AC6A1D4C373B5E39">
    <w:name w:val="0284AA3FA8164A62AC6A1D4C373B5E39"/>
  </w:style>
  <w:style w:type="paragraph" w:customStyle="1" w:styleId="B6C47C7988D64CCBB83497E9FE72C4D7">
    <w:name w:val="B6C47C7988D64CCBB83497E9FE72C4D7"/>
  </w:style>
  <w:style w:type="paragraph" w:customStyle="1" w:styleId="6B0CD5B4ADAC41C1BE4E80FA9B38A4A4">
    <w:name w:val="6B0CD5B4ADAC41C1BE4E80FA9B38A4A4"/>
  </w:style>
  <w:style w:type="paragraph" w:customStyle="1" w:styleId="7A2A2A5F3F8F499EA43D679CBFC7C94C">
    <w:name w:val="7A2A2A5F3F8F499EA43D679CBFC7C94C"/>
  </w:style>
  <w:style w:type="paragraph" w:customStyle="1" w:styleId="3D8EF499102C4663B097B59D6CCA341D">
    <w:name w:val="3D8EF499102C4663B097B59D6CCA341D"/>
  </w:style>
  <w:style w:type="paragraph" w:customStyle="1" w:styleId="083529901B23459C9AA1084E52FCF7C2">
    <w:name w:val="083529901B23459C9AA1084E52FCF7C2"/>
  </w:style>
  <w:style w:type="paragraph" w:customStyle="1" w:styleId="87732E739D9A40D697E51072D025D30C">
    <w:name w:val="87732E739D9A40D697E51072D025D30C"/>
  </w:style>
  <w:style w:type="paragraph" w:customStyle="1" w:styleId="F0D6E0692E8B4C2CAB2A772ECF23B876">
    <w:name w:val="F0D6E0692E8B4C2CAB2A772ECF23B8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0284AA3FA8164A62AC6A1D4C373B5E39">
    <w:name w:val="0284AA3FA8164A62AC6A1D4C373B5E39"/>
  </w:style>
  <w:style w:type="paragraph" w:customStyle="1" w:styleId="B6C47C7988D64CCBB83497E9FE72C4D7">
    <w:name w:val="B6C47C7988D64CCBB83497E9FE72C4D7"/>
  </w:style>
  <w:style w:type="paragraph" w:customStyle="1" w:styleId="6B0CD5B4ADAC41C1BE4E80FA9B38A4A4">
    <w:name w:val="6B0CD5B4ADAC41C1BE4E80FA9B38A4A4"/>
  </w:style>
  <w:style w:type="paragraph" w:customStyle="1" w:styleId="7A2A2A5F3F8F499EA43D679CBFC7C94C">
    <w:name w:val="7A2A2A5F3F8F499EA43D679CBFC7C94C"/>
  </w:style>
  <w:style w:type="paragraph" w:customStyle="1" w:styleId="3D8EF499102C4663B097B59D6CCA341D">
    <w:name w:val="3D8EF499102C4663B097B59D6CCA341D"/>
  </w:style>
  <w:style w:type="paragraph" w:customStyle="1" w:styleId="083529901B23459C9AA1084E52FCF7C2">
    <w:name w:val="083529901B23459C9AA1084E52FCF7C2"/>
  </w:style>
  <w:style w:type="paragraph" w:customStyle="1" w:styleId="87732E739D9A40D697E51072D025D30C">
    <w:name w:val="87732E739D9A40D697E51072D025D30C"/>
  </w:style>
  <w:style w:type="paragraph" w:customStyle="1" w:styleId="F0D6E0692E8B4C2CAB2A772ECF23B876">
    <w:name w:val="F0D6E0692E8B4C2CAB2A772ECF23B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3FD43C46-0AC9-4B48-B55C-1E3E72AE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 - RBA.dotm</Template>
  <TotalTime>0</TotalTime>
  <Pages>7</Pages>
  <Words>2939</Words>
  <Characters>16755</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Dividend imputation credit refunds – further information</dc:title>
  <dc:creator>PBO@pbo.gov.au</dc:creator>
  <cp:lastModifiedBy>Pratley, Lauren (PBO)</cp:lastModifiedBy>
  <cp:revision>2</cp:revision>
  <cp:lastPrinted>2018-11-19T06:30:00Z</cp:lastPrinted>
  <dcterms:created xsi:type="dcterms:W3CDTF">2018-11-19T23:42:00Z</dcterms:created>
  <dcterms:modified xsi:type="dcterms:W3CDTF">2018-11-19T23:42:00Z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y fmtid="{D5CDD505-2E9C-101B-9397-08002B2CF9AE}" pid="12" name="_MarkAsFinal">
    <vt:bool>true</vt:bool>
  </property>
</Properties>
</file>