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013620">
        <w:tc>
          <w:tcPr>
            <w:tcW w:w="5000" w:type="pct"/>
            <w:gridSpan w:val="3"/>
            <w:shd w:val="clear" w:color="auto" w:fill="D7DDE9" w:themeFill="accent3"/>
          </w:tcPr>
          <w:p w:rsidR="00AA478E" w:rsidRPr="008D77AF" w:rsidRDefault="00FF5BE7" w:rsidP="00013620">
            <w:pPr>
              <w:pStyle w:val="Nameofproposal"/>
            </w:pPr>
            <w:r>
              <w:t>Dividend imputation credit refunds</w:t>
            </w:r>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4" w:themeColor="accent6"/>
            </w:tcBorders>
          </w:tcPr>
          <w:p w:rsidR="00AA478E" w:rsidRPr="008D77AF" w:rsidRDefault="00EC6B7D" w:rsidP="00696DCC">
            <w:pPr>
              <w:pStyle w:val="BodyText"/>
            </w:pPr>
            <w:sdt>
              <w:sdtPr>
                <w:alias w:val="Requestor"/>
                <w:tag w:val="Requestor"/>
                <w:id w:val="39022088"/>
                <w:placeholder>
                  <w:docPart w:val="F97AB05740364C818B8E5C1F27A48789"/>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dropDownList>
              </w:sdtPr>
              <w:sdtEndPr/>
              <w:sdtContent>
                <w:r w:rsidR="00FF5BE7">
                  <w:t>Senator David Leyonhjelm, Liberal Democratic Party</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C94F94" w:rsidP="00696DCC">
            <w:pPr>
              <w:pStyle w:val="BodyText"/>
            </w:pPr>
            <w:r>
              <w:t>4 May 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4A1612" w:rsidP="004A1612">
            <w:pPr>
              <w:pStyle w:val="BodyText"/>
            </w:pPr>
            <w:r>
              <w:t>The r</w:t>
            </w:r>
            <w:r w:rsidR="00AA478E" w:rsidRPr="008D77AF">
              <w:t xml:space="preserve">elease of the </w:t>
            </w:r>
            <w:r>
              <w:t>2018-19 Budget</w:t>
            </w:r>
            <w:r w:rsidR="00AA478E" w:rsidRPr="008D77AF">
              <w: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4"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EC6B7D" w:rsidP="00696DCC">
            <w:pPr>
              <w:pStyle w:val="BodyText"/>
            </w:pPr>
            <w:sdt>
              <w:sdtPr>
                <w:id w:val="-901915855"/>
                <w14:checkbox>
                  <w14:checked w14:val="1"/>
                  <w14:checkedState w14:val="2612" w14:font="MS Gothic"/>
                  <w14:uncheckedState w14:val="2610" w14:font="MS Gothic"/>
                </w14:checkbox>
              </w:sdtPr>
              <w:sdtEndPr/>
              <w:sdtContent>
                <w:r w:rsidR="00FF5BE7">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4" w:themeColor="accent6"/>
            </w:tcBorders>
          </w:tcPr>
          <w:p w:rsidR="00AA478E" w:rsidRPr="008D77AF" w:rsidRDefault="00EC6B7D"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AA478E" w:rsidRDefault="00FF5BE7" w:rsidP="00FF5BE7">
            <w:pPr>
              <w:pStyle w:val="BodyText"/>
            </w:pPr>
            <w:r>
              <w:t>The proposal involves two options to change the tax treatment of franking credits attached to distributions (otherwise known as imputation credits) from a refundable tax offset to a non</w:t>
            </w:r>
            <w:r>
              <w:noBreakHyphen/>
              <w:t>refundable tax offset:</w:t>
            </w:r>
          </w:p>
          <w:p w:rsidR="00FF5BE7" w:rsidRDefault="00FF5BE7" w:rsidP="000C6034">
            <w:pPr>
              <w:pStyle w:val="BodyText"/>
            </w:pPr>
            <w:r>
              <w:t>Option 1: Make franking credits</w:t>
            </w:r>
            <w:r w:rsidR="000C6034">
              <w:t xml:space="preserve"> non-refundable for all individuals and superannuation funds.</w:t>
            </w:r>
          </w:p>
          <w:p w:rsidR="00B02D0B" w:rsidRDefault="000C6034" w:rsidP="00B02D0B">
            <w:pPr>
              <w:pStyle w:val="BodyText"/>
            </w:pPr>
            <w:r>
              <w:t>Option 2: Make franking credits non-refundable for individuals and superannuation funds</w:t>
            </w:r>
            <w:r w:rsidR="00B02D0B">
              <w:t>, except for recipients of Australian Government pensions and allowances with individual shareholdings, and self</w:t>
            </w:r>
            <w:r w:rsidR="003F6B55">
              <w:noBreakHyphen/>
            </w:r>
            <w:r w:rsidR="00B02D0B">
              <w:t>managed superannuation fund</w:t>
            </w:r>
            <w:r w:rsidR="003F6B55">
              <w:t>s</w:t>
            </w:r>
            <w:r w:rsidR="00B02D0B">
              <w:t xml:space="preserve"> with at least one </w:t>
            </w:r>
            <w:r w:rsidR="00C760B7">
              <w:t xml:space="preserve">member who is an </w:t>
            </w:r>
            <w:r w:rsidR="00B02D0B">
              <w:t>Australian Government pension or allowance recipient before 28 March 2018.</w:t>
            </w:r>
          </w:p>
          <w:p w:rsidR="00486868" w:rsidRDefault="00B02D0B" w:rsidP="00FE18B0">
            <w:pPr>
              <w:pStyle w:val="BodyText"/>
            </w:pPr>
            <w:r>
              <w:t>The proposal would have effect from 1 July 2019.</w:t>
            </w:r>
          </w:p>
          <w:p w:rsidR="00B02D0B" w:rsidRDefault="00B02D0B" w:rsidP="00B02D0B">
            <w:pPr>
              <w:pStyle w:val="BodyText"/>
            </w:pPr>
            <w:r>
              <w:t xml:space="preserve">The request sought details on the following as a proportion of </w:t>
            </w:r>
            <w:r w:rsidR="00755F80">
              <w:t>gross domestic product (</w:t>
            </w:r>
            <w:r>
              <w:t>GDP</w:t>
            </w:r>
            <w:r w:rsidR="00755F80">
              <w:t>)</w:t>
            </w:r>
            <w:r>
              <w:t xml:space="preserve"> from 2004-05 to 2014-15:</w:t>
            </w:r>
          </w:p>
          <w:p w:rsidR="00B02D0B" w:rsidRDefault="000845A5" w:rsidP="00B02D0B">
            <w:pPr>
              <w:pStyle w:val="ListBullet"/>
            </w:pPr>
            <w:r>
              <w:t>s</w:t>
            </w:r>
            <w:r w:rsidR="00C350AE">
              <w:t>uperannuation e</w:t>
            </w:r>
            <w:r w:rsidR="00B02D0B">
              <w:t>arnings tax before franking credits</w:t>
            </w:r>
          </w:p>
          <w:p w:rsidR="00B02D0B" w:rsidRDefault="000845A5" w:rsidP="00B02D0B">
            <w:pPr>
              <w:pStyle w:val="ListBullet"/>
            </w:pPr>
            <w:r>
              <w:t>f</w:t>
            </w:r>
            <w:r w:rsidR="00B02D0B">
              <w:t>ranking credits associated with this earnings tax</w:t>
            </w:r>
          </w:p>
          <w:p w:rsidR="00B02D0B" w:rsidRDefault="000845A5" w:rsidP="00B02D0B">
            <w:pPr>
              <w:pStyle w:val="ListBullet"/>
            </w:pPr>
            <w:r>
              <w:t>e</w:t>
            </w:r>
            <w:r w:rsidR="00B02D0B">
              <w:t>arnings tax after franking credits</w:t>
            </w:r>
          </w:p>
          <w:p w:rsidR="00FE18B0" w:rsidRDefault="000845A5" w:rsidP="00A81E86">
            <w:pPr>
              <w:pStyle w:val="ListBullet"/>
            </w:pPr>
            <w:proofErr w:type="gramStart"/>
            <w:r>
              <w:t>c</w:t>
            </w:r>
            <w:r w:rsidR="00B02D0B">
              <w:t>ompany</w:t>
            </w:r>
            <w:proofErr w:type="gramEnd"/>
            <w:r w:rsidR="00B02D0B">
              <w:t xml:space="preserve"> tax paid giving rise to those franking credits.</w:t>
            </w:r>
            <w:r w:rsidR="00FE18B0">
              <w:t xml:space="preserve"> </w:t>
            </w:r>
          </w:p>
          <w:p w:rsidR="00B02D0B" w:rsidRPr="008D77AF" w:rsidRDefault="00FE18B0" w:rsidP="00A81E86">
            <w:pPr>
              <w:pStyle w:val="BodyText"/>
            </w:pPr>
            <w:r>
              <w:t xml:space="preserve">The request also </w:t>
            </w:r>
            <w:r w:rsidR="00AE43FF">
              <w:t xml:space="preserve">specified tables for the </w:t>
            </w:r>
            <w:r w:rsidRPr="00486868">
              <w:t>number of individuals and superannuation funds directly affected in 2019</w:t>
            </w:r>
            <w:r w:rsidR="00C94F94">
              <w:noBreakHyphen/>
            </w:r>
            <w:r w:rsidRPr="00486868">
              <w:t>20</w:t>
            </w:r>
            <w:r w:rsidR="00C94F94">
              <w:t xml:space="preserve"> </w:t>
            </w:r>
            <w:r w:rsidRPr="00486868">
              <w:t xml:space="preserve">and </w:t>
            </w:r>
            <w:r w:rsidR="00AE43FF">
              <w:t xml:space="preserve">specified tables for the </w:t>
            </w:r>
            <w:r w:rsidRPr="00486868">
              <w:t>analysis of individuals and superannuation funds in 2014-15</w:t>
            </w:r>
            <w:r>
              <w:t>.</w:t>
            </w:r>
          </w:p>
        </w:tc>
      </w:tr>
    </w:tbl>
    <w:p w:rsidR="00AA478E" w:rsidRDefault="00AA478E" w:rsidP="00AA478E">
      <w:pPr>
        <w:pStyle w:val="Heading1"/>
      </w:pPr>
      <w:r w:rsidRPr="008D77AF">
        <w:t>Costing overview</w:t>
      </w:r>
    </w:p>
    <w:p w:rsidR="006262CF" w:rsidRDefault="00C760B7" w:rsidP="00C760B7">
      <w:pPr>
        <w:pStyle w:val="Heading2"/>
      </w:pPr>
      <w:r>
        <w:t>Background</w:t>
      </w:r>
    </w:p>
    <w:p w:rsidR="00C760B7" w:rsidRDefault="00C760B7" w:rsidP="00C760B7">
      <w:pPr>
        <w:pStyle w:val="BodyText"/>
      </w:pPr>
      <w:r>
        <w:t>Dividend imputation applies to some Australian-source dividend income, reducing the amount of income tax paid by Australian resident shareholders.</w:t>
      </w:r>
    </w:p>
    <w:p w:rsidR="00C760B7" w:rsidRDefault="00C760B7" w:rsidP="00C760B7">
      <w:pPr>
        <w:pStyle w:val="BodyText"/>
      </w:pPr>
      <w:r>
        <w:lastRenderedPageBreak/>
        <w:t>Under the dividend imputation system, Australian resident companies that distribute dividends from after-tax profits have the option of passing on franking credits (also known as imputation credits) to their shareholders, attached to the dividends they receive.  This provides shareholders with a credit for the tax that a company has paid on its profits.</w:t>
      </w:r>
    </w:p>
    <w:p w:rsidR="00C760B7" w:rsidRDefault="00C760B7" w:rsidP="00C760B7">
      <w:pPr>
        <w:pStyle w:val="BodyText"/>
      </w:pPr>
      <w:r>
        <w:t>Shareholders include an amount equal to the franking credit attached to their dividend in their assessable income for tax purposes.  Australian residents and complying superannuation funds are entitled to claim a tax offset equal to the amount of franking credits included in their income.</w:t>
      </w:r>
    </w:p>
    <w:p w:rsidR="00C760B7" w:rsidRDefault="00C760B7" w:rsidP="00C760B7">
      <w:pPr>
        <w:pStyle w:val="BodyText"/>
      </w:pPr>
      <w:r>
        <w:t>This franking credit tax offset can be used to reduce a taxpayer’s tax liability from all forms of income.  Currently, any excess franking credits are refunded to the taxpayer by the Australian Taxation Office (ATO).</w:t>
      </w:r>
    </w:p>
    <w:p w:rsidR="00C760B7" w:rsidRDefault="00C760B7" w:rsidP="00C760B7">
      <w:pPr>
        <w:pStyle w:val="BodyText"/>
      </w:pPr>
      <w:r>
        <w:t>Under Option 1, franking credits would become non-refundable for all individuals and superannuation funds.  Under Option 2, franking credits would become non-refundable for individuals who do not receive an Australian Government pension or allowance and for superannuation funds</w:t>
      </w:r>
      <w:r w:rsidR="000845A5">
        <w:t>,</w:t>
      </w:r>
      <w:r>
        <w:t xml:space="preserve"> except for </w:t>
      </w:r>
      <w:r w:rsidR="00963A5C">
        <w:t>self</w:t>
      </w:r>
      <w:r w:rsidR="00963A5C">
        <w:noBreakHyphen/>
        <w:t xml:space="preserve">managed superannuation funds </w:t>
      </w:r>
      <w:r>
        <w:t>with at least one member who is an Australian Government pension or allowance recipient before 28 March 2018.</w:t>
      </w:r>
    </w:p>
    <w:p w:rsidR="0030723B" w:rsidRDefault="0030723B" w:rsidP="0030723B">
      <w:pPr>
        <w:pStyle w:val="Heading2"/>
      </w:pPr>
      <w:r>
        <w:t>Financial impact</w:t>
      </w:r>
    </w:p>
    <w:p w:rsidR="0030723B" w:rsidRPr="0030723B" w:rsidRDefault="0030723B" w:rsidP="0030723B">
      <w:pPr>
        <w:pStyle w:val="BodyText"/>
      </w:pPr>
      <w:r>
        <w:t>Option 1 would be expected to increase the fiscal and underlying cash balances by $</w:t>
      </w:r>
      <w:r w:rsidR="00C47478">
        <w:t>5,597</w:t>
      </w:r>
      <w:r>
        <w:t xml:space="preserve"> million over the 2017</w:t>
      </w:r>
      <w:r>
        <w:noBreakHyphen/>
        <w:t>18 Budget forward estimates period.  This impact primarily reflects increases in revenue, but also includes a non-ongoing increase in departmental expenses for the ATO.</w:t>
      </w:r>
    </w:p>
    <w:p w:rsidR="0050132A" w:rsidRPr="00F274DB" w:rsidRDefault="0050132A" w:rsidP="00916F37">
      <w:pPr>
        <w:pStyle w:val="Caption"/>
      </w:pPr>
      <w:r w:rsidRPr="00916F37">
        <w:t xml:space="preserve">Table </w:t>
      </w:r>
      <w:r w:rsidR="00C47478">
        <w:t>1</w:t>
      </w:r>
      <w:r w:rsidRPr="00916F37">
        <w:t>: Financial implications ($m</w:t>
      </w:r>
      <w:r>
        <w:t>)</w:t>
      </w:r>
      <w:r w:rsidR="00DD3762">
        <w:t xml:space="preserve"> </w:t>
      </w:r>
      <w:r w:rsidR="00DD3762" w:rsidRPr="00DD3762">
        <w:t xml:space="preserve">– </w:t>
      </w:r>
      <w:r w:rsidR="00DD3762">
        <w:t>Option 1 (no exclusions</w:t>
      </w:r>
      <w:proofErr w:type="gramStart"/>
      <w:r w:rsidR="00DD3762">
        <w:t>)</w:t>
      </w:r>
      <w:r w:rsidRPr="008112CC">
        <w:rPr>
          <w:vertAlign w:val="superscript"/>
        </w:rPr>
        <w:t>(</w:t>
      </w:r>
      <w:proofErr w:type="gramEnd"/>
      <w:r w:rsidRPr="008112CC">
        <w:rPr>
          <w:vertAlign w:val="superscript"/>
        </w:rPr>
        <w:t>a)(b)</w:t>
      </w:r>
    </w:p>
    <w:tbl>
      <w:tblPr>
        <w:tblStyle w:val="LightGrid-Accent6"/>
        <w:tblW w:w="5000"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ook w:val="0680" w:firstRow="0" w:lastRow="0" w:firstColumn="1" w:lastColumn="0" w:noHBand="1" w:noVBand="1"/>
      </w:tblPr>
      <w:tblGrid>
        <w:gridCol w:w="2742"/>
        <w:gridCol w:w="1310"/>
        <w:gridCol w:w="1309"/>
        <w:gridCol w:w="1309"/>
        <w:gridCol w:w="1309"/>
        <w:gridCol w:w="1307"/>
      </w:tblGrid>
      <w:tr w:rsidR="0050132A" w:rsidRPr="009B70E6" w:rsidTr="00874E7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50132A" w:rsidRPr="009B70E6" w:rsidRDefault="0050132A" w:rsidP="006262CF">
            <w:pPr>
              <w:pStyle w:val="TableHeading"/>
              <w:rPr>
                <w:b w:val="0"/>
                <w:sz w:val="22"/>
              </w:rPr>
            </w:pPr>
          </w:p>
        </w:tc>
        <w:tc>
          <w:tcPr>
            <w:tcW w:w="705" w:type="pct"/>
            <w:shd w:val="clear" w:color="auto" w:fill="D7DDE9" w:themeFill="accent3"/>
            <w:vAlign w:val="center"/>
          </w:tcPr>
          <w:p w:rsidR="0050132A" w:rsidRPr="009B70E6" w:rsidRDefault="0050132A"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2017–18</w:t>
            </w:r>
          </w:p>
        </w:tc>
        <w:tc>
          <w:tcPr>
            <w:tcW w:w="705" w:type="pct"/>
            <w:shd w:val="clear" w:color="auto" w:fill="D7DDE9" w:themeFill="accent3"/>
            <w:vAlign w:val="center"/>
          </w:tcPr>
          <w:p w:rsidR="0050132A" w:rsidRPr="009B70E6" w:rsidRDefault="0050132A"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shd w:val="clear" w:color="auto" w:fill="D7DDE9" w:themeFill="accent3"/>
            <w:vAlign w:val="center"/>
          </w:tcPr>
          <w:p w:rsidR="0050132A" w:rsidRPr="009B70E6" w:rsidRDefault="0050132A"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shd w:val="clear" w:color="auto" w:fill="D7DDE9" w:themeFill="accent3"/>
            <w:vAlign w:val="center"/>
          </w:tcPr>
          <w:p w:rsidR="0050132A" w:rsidRPr="009B70E6" w:rsidRDefault="0050132A"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4" w:type="pct"/>
            <w:shd w:val="clear" w:color="auto" w:fill="D7DDE9" w:themeFill="accent3"/>
            <w:vAlign w:val="center"/>
          </w:tcPr>
          <w:p w:rsidR="0050132A" w:rsidRPr="009B70E6" w:rsidRDefault="0050132A" w:rsidP="006262CF">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2020–21</w:t>
            </w:r>
          </w:p>
        </w:tc>
      </w:tr>
      <w:tr w:rsidR="0050132A" w:rsidRPr="009B70E6" w:rsidTr="00874E70">
        <w:tc>
          <w:tcPr>
            <w:cnfStyle w:val="001000000000" w:firstRow="0" w:lastRow="0" w:firstColumn="1" w:lastColumn="0" w:oddVBand="0" w:evenVBand="0" w:oddHBand="0" w:evenHBand="0" w:firstRowFirstColumn="0" w:firstRowLastColumn="0" w:lastRowFirstColumn="0" w:lastRowLastColumn="0"/>
            <w:tcW w:w="1476" w:type="pct"/>
            <w:vAlign w:val="center"/>
          </w:tcPr>
          <w:p w:rsidR="0050132A" w:rsidRPr="009B70E6" w:rsidRDefault="0050132A" w:rsidP="006262CF">
            <w:pPr>
              <w:pStyle w:val="TableHeading"/>
              <w:rPr>
                <w:rFonts w:asciiTheme="majorHAnsi" w:hAnsiTheme="majorHAnsi"/>
                <w:b w:val="0"/>
                <w:sz w:val="22"/>
              </w:rPr>
            </w:pPr>
            <w:r w:rsidRPr="009B70E6">
              <w:rPr>
                <w:b w:val="0"/>
                <w:sz w:val="22"/>
              </w:rPr>
              <w:t>Fiscal balance</w:t>
            </w:r>
          </w:p>
        </w:tc>
        <w:tc>
          <w:tcPr>
            <w:tcW w:w="705" w:type="pct"/>
            <w:vAlign w:val="center"/>
          </w:tcPr>
          <w:p w:rsidR="0050132A" w:rsidRPr="009B70E6" w:rsidRDefault="00C47478" w:rsidP="006262C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50132A" w:rsidRPr="009B70E6" w:rsidRDefault="00C47478" w:rsidP="006262C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05" w:type="pct"/>
            <w:vAlign w:val="center"/>
          </w:tcPr>
          <w:p w:rsidR="0050132A" w:rsidRPr="009B70E6" w:rsidRDefault="00C47478" w:rsidP="006262C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05" w:type="pct"/>
            <w:vAlign w:val="center"/>
          </w:tcPr>
          <w:p w:rsidR="0050132A" w:rsidRPr="009B70E6" w:rsidRDefault="00C47478" w:rsidP="00C47478">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5,600</w:t>
            </w:r>
          </w:p>
        </w:tc>
        <w:tc>
          <w:tcPr>
            <w:tcW w:w="704" w:type="pct"/>
            <w:vAlign w:val="center"/>
          </w:tcPr>
          <w:p w:rsidR="0050132A" w:rsidRPr="009B70E6" w:rsidRDefault="00C47478" w:rsidP="006262CF">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5,597</w:t>
            </w:r>
          </w:p>
        </w:tc>
      </w:tr>
      <w:tr w:rsidR="00C47478" w:rsidRPr="009B70E6" w:rsidTr="00874E70">
        <w:tc>
          <w:tcPr>
            <w:cnfStyle w:val="001000000000" w:firstRow="0" w:lastRow="0" w:firstColumn="1" w:lastColumn="0" w:oddVBand="0" w:evenVBand="0" w:oddHBand="0" w:evenHBand="0" w:firstRowFirstColumn="0" w:firstRowLastColumn="0" w:lastRowFirstColumn="0" w:lastRowLastColumn="0"/>
            <w:tcW w:w="1476" w:type="pct"/>
            <w:vAlign w:val="center"/>
          </w:tcPr>
          <w:p w:rsidR="00C47478" w:rsidRPr="009B70E6" w:rsidRDefault="00C47478" w:rsidP="006262CF">
            <w:pPr>
              <w:pStyle w:val="TableHeading"/>
              <w:rPr>
                <w:b w:val="0"/>
                <w:sz w:val="22"/>
              </w:rPr>
            </w:pPr>
            <w:r w:rsidRPr="009B70E6">
              <w:rPr>
                <w:b w:val="0"/>
                <w:sz w:val="22"/>
              </w:rPr>
              <w:t>Underlying cash balance</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5,600</w:t>
            </w:r>
          </w:p>
        </w:tc>
        <w:tc>
          <w:tcPr>
            <w:tcW w:w="704" w:type="pct"/>
            <w:vAlign w:val="center"/>
          </w:tcPr>
          <w:p w:rsidR="00C47478" w:rsidRPr="009B70E6" w:rsidRDefault="00C47478" w:rsidP="00F072B1">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5,597</w:t>
            </w:r>
          </w:p>
        </w:tc>
      </w:tr>
    </w:tbl>
    <w:p w:rsidR="0050132A" w:rsidRPr="00A162FE" w:rsidRDefault="0050132A" w:rsidP="006262CF">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Pr="00A162FE" w:rsidRDefault="0050132A" w:rsidP="006262CF">
      <w:pPr>
        <w:keepNext/>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30723B" w:rsidRPr="0030723B" w:rsidRDefault="0050132A" w:rsidP="0030723B">
      <w:pPr>
        <w:pStyle w:val="ListParagraph"/>
        <w:keepLines/>
        <w:numPr>
          <w:ilvl w:val="0"/>
          <w:numId w:val="40"/>
        </w:numPr>
        <w:spacing w:line="260" w:lineRule="atLeast"/>
        <w:ind w:left="284" w:hanging="284"/>
        <w:contextualSpacing w:val="0"/>
        <w:rPr>
          <w:sz w:val="20"/>
          <w:szCs w:val="20"/>
        </w:rPr>
      </w:pPr>
      <w:r w:rsidRPr="006262CF">
        <w:rPr>
          <w:sz w:val="20"/>
          <w:szCs w:val="20"/>
        </w:rPr>
        <w:t>Indicates nil.</w:t>
      </w:r>
    </w:p>
    <w:p w:rsidR="0030723B" w:rsidRPr="0030723B" w:rsidRDefault="0030723B" w:rsidP="0030723B">
      <w:pPr>
        <w:pStyle w:val="Lettertext"/>
      </w:pPr>
      <w:r>
        <w:t>Option 2 would be expected to increase the fiscal an</w:t>
      </w:r>
      <w:r w:rsidR="00CE5914">
        <w:t>d underlying cash balances by $5,197</w:t>
      </w:r>
      <w:r>
        <w:t xml:space="preserve"> million over the 2017</w:t>
      </w:r>
      <w:r>
        <w:noBreakHyphen/>
        <w:t>18 Budget forward estimates period.  This impact primarily reflects increases in revenue, but also includes a non-ongoing increase in departmental expenses for the ATO.</w:t>
      </w:r>
    </w:p>
    <w:p w:rsidR="0030723B" w:rsidRPr="00F274DB" w:rsidRDefault="0030723B" w:rsidP="0030723B">
      <w:pPr>
        <w:pStyle w:val="Caption"/>
      </w:pPr>
      <w:r w:rsidRPr="00916F37">
        <w:lastRenderedPageBreak/>
        <w:t xml:space="preserve">Table </w:t>
      </w:r>
      <w:r w:rsidR="008B500D">
        <w:t>2</w:t>
      </w:r>
      <w:r w:rsidRPr="00916F37">
        <w:t>: Financial implications ($m</w:t>
      </w:r>
      <w:r>
        <w:t>)</w:t>
      </w:r>
      <w:r w:rsidR="00DD3762" w:rsidRPr="00DD3762">
        <w:t xml:space="preserve"> – Option </w:t>
      </w:r>
      <w:r w:rsidR="00DD3762">
        <w:t>2 (excluding Australian Government pension and allowance recipients</w:t>
      </w:r>
      <w:proofErr w:type="gramStart"/>
      <w:r w:rsidR="00DD3762">
        <w:t>)</w:t>
      </w:r>
      <w:r w:rsidRPr="008112CC">
        <w:rPr>
          <w:vertAlign w:val="superscript"/>
        </w:rPr>
        <w:t>(</w:t>
      </w:r>
      <w:proofErr w:type="gramEnd"/>
      <w:r w:rsidRPr="008112CC">
        <w:rPr>
          <w:vertAlign w:val="superscript"/>
        </w:rPr>
        <w:t>a)(b)</w:t>
      </w:r>
      <w:r w:rsidR="00DD3762">
        <w:rPr>
          <w:vertAlign w:val="superscript"/>
        </w:rPr>
        <w:t>(c)</w:t>
      </w:r>
    </w:p>
    <w:tbl>
      <w:tblPr>
        <w:tblStyle w:val="LightGrid-Accent6"/>
        <w:tblW w:w="5000"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ook w:val="0680" w:firstRow="0" w:lastRow="0" w:firstColumn="1" w:lastColumn="0" w:noHBand="1" w:noVBand="1"/>
      </w:tblPr>
      <w:tblGrid>
        <w:gridCol w:w="2742"/>
        <w:gridCol w:w="1310"/>
        <w:gridCol w:w="1309"/>
        <w:gridCol w:w="1309"/>
        <w:gridCol w:w="1309"/>
        <w:gridCol w:w="1307"/>
      </w:tblGrid>
      <w:tr w:rsidR="0030723B" w:rsidRPr="009B70E6" w:rsidTr="00874E7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30723B" w:rsidRPr="009B70E6" w:rsidRDefault="0030723B" w:rsidP="00F072B1">
            <w:pPr>
              <w:pStyle w:val="TableHeading"/>
              <w:rPr>
                <w:b w:val="0"/>
                <w:sz w:val="22"/>
              </w:rPr>
            </w:pPr>
          </w:p>
        </w:tc>
        <w:tc>
          <w:tcPr>
            <w:tcW w:w="705" w:type="pct"/>
            <w:shd w:val="clear" w:color="auto" w:fill="D7DDE9" w:themeFill="accent3"/>
            <w:vAlign w:val="center"/>
          </w:tcPr>
          <w:p w:rsidR="0030723B" w:rsidRPr="009B70E6" w:rsidRDefault="0030723B" w:rsidP="00F072B1">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2017–18</w:t>
            </w:r>
          </w:p>
        </w:tc>
        <w:tc>
          <w:tcPr>
            <w:tcW w:w="705" w:type="pct"/>
            <w:shd w:val="clear" w:color="auto" w:fill="D7DDE9" w:themeFill="accent3"/>
            <w:vAlign w:val="center"/>
          </w:tcPr>
          <w:p w:rsidR="0030723B" w:rsidRPr="009B70E6" w:rsidRDefault="0030723B" w:rsidP="00F072B1">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shd w:val="clear" w:color="auto" w:fill="D7DDE9" w:themeFill="accent3"/>
            <w:vAlign w:val="center"/>
          </w:tcPr>
          <w:p w:rsidR="0030723B" w:rsidRPr="009B70E6" w:rsidRDefault="0030723B" w:rsidP="00F072B1">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shd w:val="clear" w:color="auto" w:fill="D7DDE9" w:themeFill="accent3"/>
            <w:vAlign w:val="center"/>
          </w:tcPr>
          <w:p w:rsidR="0030723B" w:rsidRPr="009B70E6" w:rsidRDefault="0030723B" w:rsidP="00F072B1">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4" w:type="pct"/>
            <w:shd w:val="clear" w:color="auto" w:fill="D7DDE9" w:themeFill="accent3"/>
            <w:vAlign w:val="center"/>
          </w:tcPr>
          <w:p w:rsidR="0030723B" w:rsidRPr="009B70E6" w:rsidRDefault="0030723B" w:rsidP="00F072B1">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2020–21</w:t>
            </w:r>
          </w:p>
        </w:tc>
      </w:tr>
      <w:tr w:rsidR="0030723B" w:rsidRPr="009B70E6" w:rsidTr="00874E70">
        <w:tc>
          <w:tcPr>
            <w:cnfStyle w:val="001000000000" w:firstRow="0" w:lastRow="0" w:firstColumn="1" w:lastColumn="0" w:oddVBand="0" w:evenVBand="0" w:oddHBand="0" w:evenHBand="0" w:firstRowFirstColumn="0" w:firstRowLastColumn="0" w:lastRowFirstColumn="0" w:lastRowLastColumn="0"/>
            <w:tcW w:w="1476" w:type="pct"/>
            <w:vAlign w:val="center"/>
          </w:tcPr>
          <w:p w:rsidR="0030723B" w:rsidRPr="009B70E6" w:rsidRDefault="0030723B" w:rsidP="00F072B1">
            <w:pPr>
              <w:pStyle w:val="TableHeading"/>
              <w:rPr>
                <w:rFonts w:asciiTheme="majorHAnsi" w:hAnsiTheme="majorHAnsi"/>
                <w:b w:val="0"/>
                <w:sz w:val="22"/>
              </w:rPr>
            </w:pPr>
            <w:r w:rsidRPr="009B70E6">
              <w:rPr>
                <w:b w:val="0"/>
                <w:sz w:val="22"/>
              </w:rPr>
              <w:t>Fiscal balance</w:t>
            </w:r>
          </w:p>
        </w:tc>
        <w:tc>
          <w:tcPr>
            <w:tcW w:w="705" w:type="pct"/>
            <w:vAlign w:val="center"/>
          </w:tcPr>
          <w:p w:rsidR="0030723B"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30723B"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05" w:type="pct"/>
            <w:vAlign w:val="center"/>
          </w:tcPr>
          <w:p w:rsidR="0030723B"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05" w:type="pct"/>
            <w:vAlign w:val="center"/>
          </w:tcPr>
          <w:p w:rsidR="0030723B"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5,200</w:t>
            </w:r>
          </w:p>
        </w:tc>
        <w:tc>
          <w:tcPr>
            <w:tcW w:w="704" w:type="pct"/>
            <w:vAlign w:val="center"/>
          </w:tcPr>
          <w:p w:rsidR="0030723B" w:rsidRPr="009B70E6" w:rsidRDefault="00C47478" w:rsidP="00F072B1">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5,197</w:t>
            </w:r>
          </w:p>
        </w:tc>
      </w:tr>
      <w:tr w:rsidR="00C47478" w:rsidRPr="009B70E6" w:rsidTr="00874E70">
        <w:tc>
          <w:tcPr>
            <w:cnfStyle w:val="001000000000" w:firstRow="0" w:lastRow="0" w:firstColumn="1" w:lastColumn="0" w:oddVBand="0" w:evenVBand="0" w:oddHBand="0" w:evenHBand="0" w:firstRowFirstColumn="0" w:firstRowLastColumn="0" w:lastRowFirstColumn="0" w:lastRowLastColumn="0"/>
            <w:tcW w:w="1476" w:type="pct"/>
            <w:vAlign w:val="center"/>
          </w:tcPr>
          <w:p w:rsidR="00C47478" w:rsidRPr="009B70E6" w:rsidRDefault="00C47478" w:rsidP="00F072B1">
            <w:pPr>
              <w:pStyle w:val="TableHeading"/>
              <w:rPr>
                <w:b w:val="0"/>
                <w:sz w:val="22"/>
              </w:rPr>
            </w:pPr>
            <w:r w:rsidRPr="009B70E6">
              <w:rPr>
                <w:b w:val="0"/>
                <w:sz w:val="22"/>
              </w:rPr>
              <w:t>Underlying cash balance</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05" w:type="pct"/>
            <w:vAlign w:val="center"/>
          </w:tcPr>
          <w:p w:rsidR="00C47478" w:rsidRPr="009B70E6" w:rsidRDefault="00C47478" w:rsidP="00F072B1">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5,200</w:t>
            </w:r>
          </w:p>
        </w:tc>
        <w:tc>
          <w:tcPr>
            <w:tcW w:w="704" w:type="pct"/>
            <w:vAlign w:val="center"/>
          </w:tcPr>
          <w:p w:rsidR="00C47478" w:rsidRPr="009B70E6" w:rsidRDefault="00C47478" w:rsidP="00F072B1">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5,197</w:t>
            </w:r>
          </w:p>
        </w:tc>
      </w:tr>
    </w:tbl>
    <w:p w:rsidR="0030723B" w:rsidRPr="00A162FE" w:rsidRDefault="0030723B" w:rsidP="0030723B">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30723B" w:rsidRDefault="0030723B" w:rsidP="0030723B">
      <w:pPr>
        <w:keepNext/>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DD3762" w:rsidRPr="00131B89" w:rsidRDefault="00DD3762" w:rsidP="00DD3762">
      <w:pPr>
        <w:keepNext/>
        <w:widowControl w:val="0"/>
        <w:tabs>
          <w:tab w:val="left" w:pos="9356"/>
        </w:tabs>
        <w:spacing w:line="260" w:lineRule="atLeast"/>
        <w:ind w:left="284" w:hanging="284"/>
        <w:rPr>
          <w:sz w:val="16"/>
          <w:szCs w:val="16"/>
        </w:rPr>
      </w:pPr>
      <w:r>
        <w:rPr>
          <w:sz w:val="20"/>
          <w:szCs w:val="20"/>
        </w:rPr>
        <w:t>(c</w:t>
      </w:r>
      <w:r w:rsidRPr="00523F03">
        <w:rPr>
          <w:sz w:val="20"/>
          <w:szCs w:val="20"/>
        </w:rPr>
        <w:t>)</w:t>
      </w:r>
      <w:r w:rsidRPr="00523F03">
        <w:rPr>
          <w:sz w:val="20"/>
          <w:szCs w:val="20"/>
        </w:rPr>
        <w:tab/>
      </w:r>
      <w:r w:rsidRPr="00131B89">
        <w:rPr>
          <w:sz w:val="20"/>
          <w:szCs w:val="20"/>
        </w:rPr>
        <w:t xml:space="preserve">The proposal would not apply to individuals who receive Australian Government pension and allowance payments in the year of assessment.  The proposal would also not apply to self-managed superannuation funds with at least one member who is a recipient of an Australian Government pension or allowance payment </w:t>
      </w:r>
      <w:r w:rsidR="00740FC3">
        <w:rPr>
          <w:sz w:val="20"/>
          <w:szCs w:val="20"/>
        </w:rPr>
        <w:t>before</w:t>
      </w:r>
      <w:r w:rsidRPr="00131B89">
        <w:rPr>
          <w:sz w:val="20"/>
          <w:szCs w:val="20"/>
        </w:rPr>
        <w:t xml:space="preserve"> 28 March 2018.</w:t>
      </w:r>
    </w:p>
    <w:p w:rsidR="0030723B" w:rsidRPr="0030723B" w:rsidRDefault="0030723B" w:rsidP="0030723B">
      <w:pPr>
        <w:pStyle w:val="ListParagraph"/>
        <w:keepLines/>
        <w:numPr>
          <w:ilvl w:val="0"/>
          <w:numId w:val="40"/>
        </w:numPr>
        <w:spacing w:line="260" w:lineRule="atLeast"/>
        <w:ind w:left="284" w:hanging="284"/>
        <w:contextualSpacing w:val="0"/>
        <w:rPr>
          <w:sz w:val="20"/>
          <w:szCs w:val="20"/>
        </w:rPr>
      </w:pPr>
      <w:r w:rsidRPr="006262CF">
        <w:rPr>
          <w:sz w:val="20"/>
          <w:szCs w:val="20"/>
        </w:rPr>
        <w:t>Indicates nil.</w:t>
      </w:r>
    </w:p>
    <w:p w:rsidR="0030723B" w:rsidRDefault="0030723B" w:rsidP="0030723B">
      <w:pPr>
        <w:pStyle w:val="Lettertext"/>
      </w:pPr>
      <w:r>
        <w:t>Both options would be expected to have an ongoing financial impact beyond the 2017</w:t>
      </w:r>
      <w:r>
        <w:noBreakHyphen/>
        <w:t>18 Budget forward estimates period.  The detailed financial implications of both options over the period to 2027</w:t>
      </w:r>
      <w:r>
        <w:noBreakHyphen/>
        <w:t xml:space="preserve">28 are included at </w:t>
      </w:r>
      <w:r>
        <w:rPr>
          <w:u w:val="single"/>
        </w:rPr>
        <w:t>Attachment A</w:t>
      </w:r>
      <w:r>
        <w:t xml:space="preserve">. </w:t>
      </w:r>
    </w:p>
    <w:p w:rsidR="0030723B" w:rsidRPr="00BA52C3" w:rsidRDefault="00F072B1" w:rsidP="0030723B">
      <w:pPr>
        <w:pStyle w:val="Lettertext"/>
      </w:pPr>
      <w:r>
        <w:t>Both</w:t>
      </w:r>
      <w:r w:rsidR="0030723B">
        <w:t xml:space="preserve"> options of the proposal would be expected to result in an increase in departmental expenses of $2 million in 2018-19 and $1 million in 2019-20.  These expenses reflect the cost to the ATO of implementing the </w:t>
      </w:r>
      <w:r w:rsidR="0030723B" w:rsidRPr="00BA52C3">
        <w:t xml:space="preserve">proposal, including </w:t>
      </w:r>
      <w:r w:rsidR="00B85123" w:rsidRPr="00BA52C3">
        <w:t xml:space="preserve">compliance, </w:t>
      </w:r>
      <w:r w:rsidR="0030723B" w:rsidRPr="00BA52C3">
        <w:t>system changes and information campaigns.</w:t>
      </w:r>
    </w:p>
    <w:p w:rsidR="009742CC" w:rsidRDefault="00C47478" w:rsidP="0030723B">
      <w:pPr>
        <w:pStyle w:val="Lettertext"/>
      </w:pPr>
      <w:r>
        <w:t xml:space="preserve">This costing is subject to uncertainties surrounding income and population growth rates, changes in the number of individuals and superannuation funds with excess franking credits, changes to dividend payout ratios, </w:t>
      </w:r>
      <w:r w:rsidR="0055452E">
        <w:t xml:space="preserve">relative returns between asset classes, preferences of self-managed superannuation fund account holders, </w:t>
      </w:r>
      <w:r>
        <w:t>volatility in the earnings of companies that pay franked distributions, and behavioural responses to recent superannuation measures.</w:t>
      </w:r>
      <w:r w:rsidR="00B80A95">
        <w:t xml:space="preserve">  There are also significant uncertainties around the behavioural responses of affected individuals, superannuation funds and companies to the proposal.</w:t>
      </w:r>
      <w:r w:rsidR="00B80A95">
        <w:rPr>
          <w:rStyle w:val="FootnoteReference"/>
        </w:rPr>
        <w:footnoteReference w:id="1"/>
      </w:r>
      <w:r w:rsidR="00B80A95">
        <w:t xml:space="preserve">  </w:t>
      </w:r>
    </w:p>
    <w:p w:rsidR="00F8235B" w:rsidRDefault="00F8235B" w:rsidP="0030723B">
      <w:pPr>
        <w:pStyle w:val="Lettertext"/>
      </w:pPr>
      <w:r>
        <w:t xml:space="preserve">The requested details on </w:t>
      </w:r>
      <w:r w:rsidR="00A31D30">
        <w:t xml:space="preserve">superannuation </w:t>
      </w:r>
      <w:r>
        <w:t xml:space="preserve">earnings tax, </w:t>
      </w:r>
      <w:r w:rsidR="00A31D30">
        <w:t xml:space="preserve">superannuation </w:t>
      </w:r>
      <w:r>
        <w:t>franking credits</w:t>
      </w:r>
      <w:r w:rsidR="00A31D30">
        <w:t>,</w:t>
      </w:r>
      <w:r>
        <w:t xml:space="preserve"> </w:t>
      </w:r>
      <w:r w:rsidR="00A31D30">
        <w:t xml:space="preserve">superannuation </w:t>
      </w:r>
      <w:r>
        <w:t xml:space="preserve">earnings tax after franking credits </w:t>
      </w:r>
      <w:r w:rsidR="00A31D30">
        <w:t>and c</w:t>
      </w:r>
      <w:r w:rsidR="00A31D30" w:rsidRPr="00A31D30">
        <w:t xml:space="preserve">ompany tax paid giving rise to those franking credits </w:t>
      </w:r>
      <w:r>
        <w:t xml:space="preserve">is provided at </w:t>
      </w:r>
      <w:r>
        <w:rPr>
          <w:u w:val="single"/>
        </w:rPr>
        <w:t>Attachment B</w:t>
      </w:r>
      <w:r>
        <w:t xml:space="preserve">.  </w:t>
      </w:r>
      <w:r w:rsidRPr="00A31D30">
        <w:t xml:space="preserve">The value of franking credits is equal to the company tax paid giving rise to those franking credits, as a franking credit </w:t>
      </w:r>
      <w:r w:rsidR="00E56230" w:rsidRPr="00A31D30">
        <w:t xml:space="preserve">balance </w:t>
      </w:r>
      <w:r w:rsidRPr="00A31D30">
        <w:t>only arises where company tax is paid.  The timing of the payment of company tax associated with the claimed franking credits is not separately identifiable.</w:t>
      </w:r>
    </w:p>
    <w:p w:rsidR="00485343" w:rsidRDefault="00351617" w:rsidP="0030723B">
      <w:pPr>
        <w:pStyle w:val="Lettertext"/>
      </w:pPr>
      <w:r>
        <w:t xml:space="preserve">The </w:t>
      </w:r>
      <w:r w:rsidR="004A118B">
        <w:t xml:space="preserve">specified distributional analysis of the </w:t>
      </w:r>
      <w:r w:rsidR="00485343" w:rsidRPr="00486868">
        <w:t>number of individuals and superannuation funds directly affected in 2019</w:t>
      </w:r>
      <w:r w:rsidR="004014CB">
        <w:noBreakHyphen/>
      </w:r>
      <w:r w:rsidR="00485343" w:rsidRPr="00486868">
        <w:t>20 and analysis of individuals and superannuation funds in 2014-15</w:t>
      </w:r>
      <w:r>
        <w:t xml:space="preserve"> </w:t>
      </w:r>
      <w:r w:rsidR="00485343">
        <w:t xml:space="preserve">are included at </w:t>
      </w:r>
      <w:r w:rsidR="00485343" w:rsidRPr="00D229D7">
        <w:rPr>
          <w:u w:val="single"/>
        </w:rPr>
        <w:t xml:space="preserve">Attachment </w:t>
      </w:r>
      <w:r w:rsidRPr="00D06DC4">
        <w:rPr>
          <w:u w:val="single"/>
        </w:rPr>
        <w:t>C</w:t>
      </w:r>
      <w:r w:rsidR="00485343">
        <w:t>.</w:t>
      </w:r>
    </w:p>
    <w:p w:rsidR="00FE3B13" w:rsidRPr="00CA06C8" w:rsidRDefault="00FE3B13" w:rsidP="00CA06C8">
      <w:pPr>
        <w:pStyle w:val="Heading1"/>
      </w:pPr>
      <w:r w:rsidRPr="00CA06C8">
        <w:lastRenderedPageBreak/>
        <w:t>Key assumptions</w:t>
      </w:r>
    </w:p>
    <w:p w:rsidR="006C3668" w:rsidRDefault="006275C3" w:rsidP="006275C3">
      <w:pPr>
        <w:pStyle w:val="ListBullet"/>
      </w:pPr>
      <w:r>
        <w:t>There are a number of potential behavioural responses to the proposal from individuals and superannuation funds, as well as from companies that distribute franked dividends.</w:t>
      </w:r>
    </w:p>
    <w:p w:rsidR="003A0586" w:rsidRPr="00523F03" w:rsidRDefault="003A0586" w:rsidP="003A0586">
      <w:pPr>
        <w:pStyle w:val="ListBullet2"/>
      </w:pPr>
      <w:r w:rsidRPr="00523F03">
        <w:t>For individuals, potential behavioural responses could include shifting from shares to alternative investment arrangements (including to investments within superannuation), and couples shifting the ownership of shares from the lower income earner to the higher income earner such that the higher income earner can utilise the franking credits as a non-refundable tax offset.</w:t>
      </w:r>
    </w:p>
    <w:p w:rsidR="006275C3" w:rsidRDefault="006275C3" w:rsidP="006275C3">
      <w:pPr>
        <w:pStyle w:val="ListBullet2"/>
      </w:pPr>
      <w:r>
        <w:t xml:space="preserve">For superannuation funds, potential behavioural responses could include rolling assets from a fund with negative net tax to a fund with positive net tax, </w:t>
      </w:r>
      <w:r w:rsidR="00C53AD9">
        <w:t xml:space="preserve">changing </w:t>
      </w:r>
      <w:r>
        <w:t>funds’ asset portfolio allocations</w:t>
      </w:r>
      <w:r w:rsidR="00C53AD9">
        <w:t>, or changing the membership structure of the fund,</w:t>
      </w:r>
      <w:r>
        <w:t xml:space="preserve"> in order to maximise the utilisation of franking credits.</w:t>
      </w:r>
    </w:p>
    <w:p w:rsidR="006275C3" w:rsidRDefault="006275C3" w:rsidP="006275C3">
      <w:pPr>
        <w:pStyle w:val="ListBullet2"/>
      </w:pPr>
      <w:r>
        <w:t>For companies, a potential behavioural response could include changing the amount of dividends distributed (and profits withheld) or the level of dividend franking due to the decrease in the value of franking credits for some shareholders.</w:t>
      </w:r>
    </w:p>
    <w:p w:rsidR="003A0586" w:rsidRPr="00523F03" w:rsidRDefault="003A0586" w:rsidP="003A0586">
      <w:pPr>
        <w:pStyle w:val="ListBullet"/>
      </w:pPr>
      <w:r w:rsidRPr="00523F03">
        <w:t xml:space="preserve">Behavioural responses to the changes to the treatment of </w:t>
      </w:r>
      <w:r>
        <w:t>franking credits have</w:t>
      </w:r>
      <w:r w:rsidRPr="00523F03">
        <w:t xml:space="preserve"> been incorporated into this costing for individuals and superannuation funds with excess franking credits.  This has led to a reduction in the revenue gain arising from the proposal. </w:t>
      </w:r>
    </w:p>
    <w:p w:rsidR="006275C3" w:rsidRPr="008C7FEC" w:rsidRDefault="003A0586" w:rsidP="0020781D">
      <w:pPr>
        <w:pStyle w:val="ListBullet"/>
      </w:pPr>
      <w:r>
        <w:t>Under Option 2, t</w:t>
      </w:r>
      <w:r w:rsidR="006275C3">
        <w:t xml:space="preserve">he </w:t>
      </w:r>
      <w:r w:rsidR="00755F80">
        <w:t>Parliamentary Budget Office (</w:t>
      </w:r>
      <w:r w:rsidR="006275C3">
        <w:t>PBO</w:t>
      </w:r>
      <w:r w:rsidR="00755F80">
        <w:t>)</w:t>
      </w:r>
      <w:r w:rsidR="006275C3">
        <w:t xml:space="preserve"> has assumed that the number of superannuation funds with a member who was a recipient of an Australian Government pension or allowance </w:t>
      </w:r>
      <w:r w:rsidR="00740FC3">
        <w:t>before</w:t>
      </w:r>
      <w:r w:rsidR="006275C3">
        <w:t xml:space="preserve"> 28 March 2018 </w:t>
      </w:r>
      <w:r w:rsidR="006275C3" w:rsidRPr="001A13CD">
        <w:t>would decline over time.</w:t>
      </w:r>
    </w:p>
    <w:p w:rsidR="003A0586" w:rsidRPr="00523F03" w:rsidRDefault="003A0586" w:rsidP="003A0586">
      <w:pPr>
        <w:pStyle w:val="ListBullet"/>
      </w:pPr>
      <w:r w:rsidRPr="00523F03">
        <w:t xml:space="preserve">The impact on payments to Australian Government pension and other income support recipients due to changing the tax treatment of franking credits would not be expected to be significant over the time period examined and has not been included in this costing.  </w:t>
      </w:r>
    </w:p>
    <w:p w:rsidR="003A0586" w:rsidRPr="00523F03" w:rsidRDefault="003A0586" w:rsidP="003A0586">
      <w:pPr>
        <w:pStyle w:val="ListBullet2"/>
      </w:pPr>
      <w:r w:rsidRPr="00523F03">
        <w:t>Over the longer term, the proposal may lead to changes in assets held directly by, or through the superannuation accounts of individuals which may subsequently result in a change in means</w:t>
      </w:r>
      <w:r w:rsidRPr="00523F03">
        <w:noBreakHyphen/>
        <w:t>tested payments.  The PBO does not expect this impact to be significant over the time period examined.</w:t>
      </w:r>
    </w:p>
    <w:p w:rsidR="005467E2" w:rsidRDefault="00FE3B13" w:rsidP="0082042D">
      <w:pPr>
        <w:pStyle w:val="Heading1"/>
      </w:pPr>
      <w:r>
        <w:t>Methodology</w:t>
      </w:r>
    </w:p>
    <w:p w:rsidR="00555DAD" w:rsidRPr="00555DAD" w:rsidRDefault="00555DAD" w:rsidP="00555DAD">
      <w:pPr>
        <w:pStyle w:val="Heading2"/>
      </w:pPr>
      <w:r>
        <w:t>Costing</w:t>
      </w:r>
    </w:p>
    <w:p w:rsidR="00992686" w:rsidRDefault="00992686" w:rsidP="00992686">
      <w:pPr>
        <w:pStyle w:val="ListBullet"/>
      </w:pPr>
      <w:r>
        <w:t>The costing was based on a 16 per cent sample of de-identified personal income tax returns for the 2014</w:t>
      </w:r>
      <w:r>
        <w:noBreakHyphen/>
        <w:t>15 financial year, tax schedules for superannuation funds (including self-managed superannuation funds) for the 2013-14 and 2014-15 financial years, and the full dataset of de</w:t>
      </w:r>
      <w:r>
        <w:noBreakHyphen/>
        <w:t>identified personal income tax returns for the 2013-14 financial year.</w:t>
      </w:r>
    </w:p>
    <w:p w:rsidR="003A0586" w:rsidRPr="00523F03" w:rsidRDefault="003A0586" w:rsidP="003A0586">
      <w:pPr>
        <w:pStyle w:val="ListBullet"/>
        <w:rPr>
          <w:lang w:eastAsia="en-AU"/>
        </w:rPr>
      </w:pPr>
      <w:r w:rsidRPr="00523F03">
        <w:rPr>
          <w:lang w:eastAsia="en-AU"/>
        </w:rPr>
        <w:t>The data was used to estimate the amount of revenue expected to be collected under current policy settings (including the recent superannuation policy changes and scheduled company and individual tax rate changes), and then again if franking credits were changed from a refundable tax offset to a non</w:t>
      </w:r>
      <w:r w:rsidRPr="00523F03">
        <w:rPr>
          <w:lang w:eastAsia="en-AU"/>
        </w:rPr>
        <w:noBreakHyphen/>
        <w:t xml:space="preserve">refundable tax offset for affected individuals and superannuation funds, as outlined in this proposal.  An adjustment was made for individuals and superannuation funds with excess franking credits to account for behavioural responses to the proposal.  </w:t>
      </w:r>
    </w:p>
    <w:p w:rsidR="00992686" w:rsidRDefault="00992686" w:rsidP="00992686">
      <w:pPr>
        <w:pStyle w:val="ListBullet2"/>
      </w:pPr>
      <w:r>
        <w:t>The costing was derived by calculating the difference in revenue under these two scenarios.</w:t>
      </w:r>
    </w:p>
    <w:p w:rsidR="00992686" w:rsidRDefault="00992686" w:rsidP="00992686">
      <w:pPr>
        <w:pStyle w:val="ListBullet"/>
      </w:pPr>
      <w:r>
        <w:lastRenderedPageBreak/>
        <w:t>The modelling has taken into account the timing of tax collections.</w:t>
      </w:r>
    </w:p>
    <w:p w:rsidR="00992686" w:rsidRDefault="00992686" w:rsidP="00992686">
      <w:pPr>
        <w:pStyle w:val="ListBullet"/>
      </w:pPr>
      <w:r>
        <w:t>Departmental expenses were estimated based on amounts allocated to the ATO for measures with similar administrative complexity.</w:t>
      </w:r>
    </w:p>
    <w:p w:rsidR="00992686" w:rsidRDefault="00992686" w:rsidP="00992686">
      <w:pPr>
        <w:pStyle w:val="ListBullet"/>
      </w:pPr>
      <w:r>
        <w:t xml:space="preserve">Revenue estimates have been rounded to the nearest $100 million.  Departmental expense estimates have been rounded to the nearest $1 million.  </w:t>
      </w:r>
    </w:p>
    <w:p w:rsidR="00555DAD" w:rsidRDefault="00135BC7" w:rsidP="00555DAD">
      <w:pPr>
        <w:pStyle w:val="Heading2"/>
      </w:pPr>
      <w:r>
        <w:t>Historical b</w:t>
      </w:r>
      <w:r w:rsidR="00555DAD">
        <w:t>udget analysis</w:t>
      </w:r>
      <w:r>
        <w:t xml:space="preserve"> at Attachment B</w:t>
      </w:r>
    </w:p>
    <w:p w:rsidR="0088586F" w:rsidRPr="002035D2" w:rsidRDefault="0088586F" w:rsidP="0088586F">
      <w:pPr>
        <w:pStyle w:val="BodyText"/>
      </w:pPr>
      <w:r>
        <w:t>The PBO has made assumptions relating to the conversion of revenue (an accrual measure) to receipts (a cash measure) for contributions tax, earnings tax and franking credits.</w:t>
      </w:r>
    </w:p>
    <w:p w:rsidR="00555DAD" w:rsidRDefault="00555DAD" w:rsidP="00555DAD">
      <w:pPr>
        <w:pStyle w:val="BodyText"/>
        <w:spacing w:before="100" w:after="100"/>
      </w:pPr>
      <w:r>
        <w:t>The total amount of assessable superannuation contributions was calculated by deducting insurance premiums and superannuation surcharges from total assessable contributions.  The 15 per cent statutory tax rate was applied to this amount to derive total contributions tax.  A timing assumption was applied to convert from accrual to cash estimates.  Earnings tax was then estimated as the residual of total superannuation taxes after excluding contribution tax.</w:t>
      </w:r>
    </w:p>
    <w:p w:rsidR="00555DAD" w:rsidRPr="00555DAD" w:rsidRDefault="00555DAD" w:rsidP="00555DAD">
      <w:pPr>
        <w:pStyle w:val="BodyText"/>
        <w:spacing w:before="100" w:after="100"/>
      </w:pPr>
      <w:r>
        <w:t xml:space="preserve">The accrual measure of franking credits was converted to a cash measure using a timing assumption.  The timing reflects that franking credits are </w:t>
      </w:r>
      <w:r w:rsidRPr="004D0E66">
        <w:t>only claimed on assessment</w:t>
      </w:r>
      <w:r>
        <w:t>, and has the effect of shifting the cash basis of franking credits from one financial year to the next.</w:t>
      </w:r>
    </w:p>
    <w:p w:rsidR="00FE3B13" w:rsidRDefault="00FE3B13" w:rsidP="00FE3B13">
      <w:pPr>
        <w:pStyle w:val="Heading1"/>
      </w:pPr>
      <w:r>
        <w:t>Data sources</w:t>
      </w:r>
    </w:p>
    <w:p w:rsidR="00992686" w:rsidRDefault="00992686" w:rsidP="00992686">
      <w:pPr>
        <w:pStyle w:val="ListBullet"/>
      </w:pPr>
      <w:r>
        <w:t>The ATO provided a 16 per cent sample of de-identified personal income tax returns for the 2014</w:t>
      </w:r>
      <w:r>
        <w:noBreakHyphen/>
        <w:t>15 financial year, tax schedules for superannuation funds (including self-managed superannuation funds) for the 2013-14 and 2014-15 financial years, and the full dataset of de</w:t>
      </w:r>
      <w:r w:rsidR="00964FAD">
        <w:noBreakHyphen/>
      </w:r>
      <w:r>
        <w:t>identified personal income tax returns for the 2013-14 financial year.</w:t>
      </w:r>
    </w:p>
    <w:p w:rsidR="00555DAD" w:rsidRDefault="00555DAD" w:rsidP="00555DAD">
      <w:pPr>
        <w:pStyle w:val="ListBullet"/>
      </w:pPr>
      <w:r>
        <w:t xml:space="preserve">ATO, 2017, </w:t>
      </w:r>
      <w:r w:rsidRPr="00E2017D">
        <w:rPr>
          <w:i/>
        </w:rPr>
        <w:t>Superannuation fund data to 2014-15</w:t>
      </w:r>
      <w:r>
        <w:t>, Canberra: Commonwealth of Australia.</w:t>
      </w:r>
    </w:p>
    <w:p w:rsidR="00555DAD" w:rsidRPr="00E47AF7" w:rsidRDefault="00555DAD" w:rsidP="00555DAD">
      <w:pPr>
        <w:pStyle w:val="ListBullet"/>
      </w:pPr>
      <w:r>
        <w:t xml:space="preserve">ATO, 2017, </w:t>
      </w:r>
      <w:r>
        <w:rPr>
          <w:i/>
        </w:rPr>
        <w:t>Taxation Statistics 2014-15</w:t>
      </w:r>
      <w:r>
        <w:t>, Canberra: Commonwealth of Australia.</w:t>
      </w:r>
    </w:p>
    <w:p w:rsidR="00992686" w:rsidRDefault="00992686" w:rsidP="00992686">
      <w:pPr>
        <w:pStyle w:val="ListBullet"/>
      </w:pPr>
      <w:r>
        <w:t>Treasury provided economic forecasts for personal income and superannuation tax as at the 2017</w:t>
      </w:r>
      <w:r>
        <w:noBreakHyphen/>
        <w:t>18 Mid-year Economic and Fiscal Outlook report.</w:t>
      </w:r>
    </w:p>
    <w:p w:rsidR="00555DAD" w:rsidRPr="00002D5D" w:rsidRDefault="00555DAD" w:rsidP="00555DAD">
      <w:pPr>
        <w:pStyle w:val="ListBullet"/>
      </w:pPr>
      <w:r>
        <w:t xml:space="preserve">PBO, 2014, 01/2014 </w:t>
      </w:r>
      <w:r w:rsidRPr="00255541">
        <w:rPr>
          <w:i/>
        </w:rPr>
        <w:t>Trends in Australian Government Receipts 1982-83 to 2012-13</w:t>
      </w:r>
      <w:r>
        <w:t>, Canberra: Commonwealth of Australia.</w:t>
      </w:r>
    </w:p>
    <w:p w:rsidR="008B0262" w:rsidRDefault="008B0262" w:rsidP="008B0262">
      <w:pPr>
        <w:pStyle w:val="ListBullet"/>
      </w:pPr>
      <w:proofErr w:type="spellStart"/>
      <w:r>
        <w:t>RiceWarner</w:t>
      </w:r>
      <w:proofErr w:type="spellEnd"/>
      <w:r>
        <w:t xml:space="preserve">, 2017, </w:t>
      </w:r>
      <w:r>
        <w:rPr>
          <w:i/>
        </w:rPr>
        <w:t>Superannuation Market Projections</w:t>
      </w:r>
      <w:r>
        <w:t>,</w:t>
      </w:r>
      <w:r>
        <w:rPr>
          <w:i/>
        </w:rPr>
        <w:t xml:space="preserve"> </w:t>
      </w:r>
      <w:r w:rsidRPr="001D51CF">
        <w:t xml:space="preserve">Sydney: </w:t>
      </w:r>
      <w:proofErr w:type="spellStart"/>
      <w:r w:rsidRPr="001D51CF">
        <w:t>Ricewarner</w:t>
      </w:r>
      <w:proofErr w:type="spellEnd"/>
      <w:r>
        <w:t xml:space="preserve">. </w:t>
      </w:r>
    </w:p>
    <w:p w:rsidR="0046444F" w:rsidRDefault="0046444F" w:rsidP="00B311BA">
      <w:pPr>
        <w:pStyle w:val="BodyText"/>
        <w:sectPr w:rsidR="0046444F" w:rsidSect="007A4238">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284" w:footer="454" w:gutter="0"/>
          <w:pgNumType w:start="1"/>
          <w:cols w:space="708"/>
          <w:formProt w:val="0"/>
          <w:titlePg/>
          <w:docGrid w:linePitch="360"/>
        </w:sectPr>
      </w:pPr>
    </w:p>
    <w:p w:rsidR="00016D53" w:rsidRDefault="00016D53" w:rsidP="00B538BA">
      <w:pPr>
        <w:pStyle w:val="Heading8"/>
        <w:spacing w:before="240" w:after="120"/>
      </w:pPr>
      <w:r w:rsidRPr="002D239A">
        <w:lastRenderedPageBreak/>
        <w:t xml:space="preserve">– </w:t>
      </w:r>
      <w:r w:rsidR="00D9279C">
        <w:t>Dividend imputation credit refunds</w:t>
      </w:r>
      <w:r w:rsidR="00326E3E">
        <w:t xml:space="preserve"> – </w:t>
      </w:r>
      <w:r w:rsidRPr="00482F63">
        <w:t>financial</w:t>
      </w:r>
      <w:r w:rsidRPr="002D239A">
        <w:t> implications</w:t>
      </w:r>
    </w:p>
    <w:p w:rsidR="00250FAE" w:rsidRDefault="00250FAE" w:rsidP="00250FAE">
      <w:pPr>
        <w:pStyle w:val="Caption"/>
        <w:widowControl w:val="0"/>
        <w:rPr>
          <w:vertAlign w:val="superscript"/>
        </w:rPr>
      </w:pPr>
      <w:r w:rsidRPr="002D239A">
        <w:t xml:space="preserve">Table </w:t>
      </w:r>
      <w:fldSimple w:instr=" STYLEREF 8 \s ">
        <w:r w:rsidR="00357D45">
          <w:rPr>
            <w:noProof/>
          </w:rPr>
          <w:t>A</w:t>
        </w:r>
      </w:fldSimple>
      <w:r>
        <w:t>1</w:t>
      </w:r>
      <w:r w:rsidRPr="002D239A">
        <w:t xml:space="preserve">: </w:t>
      </w:r>
      <w:r>
        <w:t>Dividend imputation credit refunds – Option 1 (no exclusions)</w:t>
      </w:r>
      <w:r w:rsidRPr="006E6304">
        <w:t xml:space="preserve"> –</w:t>
      </w:r>
      <w:r>
        <w:t xml:space="preserve"> Fiscal and underlying cash balances ($m</w:t>
      </w:r>
      <w:proofErr w:type="gramStart"/>
      <w:r>
        <w:t>)</w:t>
      </w:r>
      <w:r w:rsidRPr="002D239A">
        <w:rPr>
          <w:vertAlign w:val="superscript"/>
        </w:rPr>
        <w:t>(</w:t>
      </w:r>
      <w:proofErr w:type="gramEnd"/>
      <w:r w:rsidRPr="002D239A">
        <w:rPr>
          <w:vertAlign w:val="superscript"/>
        </w:rPr>
        <w:t>a)(b)</w:t>
      </w:r>
    </w:p>
    <w:tbl>
      <w:tblPr>
        <w:tblStyle w:val="LightGrid-Accent6"/>
        <w:tblW w:w="5000"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ook w:val="0680" w:firstRow="0" w:lastRow="0" w:firstColumn="1" w:lastColumn="0" w:noHBand="1" w:noVBand="1"/>
      </w:tblPr>
      <w:tblGrid>
        <w:gridCol w:w="1312"/>
        <w:gridCol w:w="655"/>
        <w:gridCol w:w="655"/>
        <w:gridCol w:w="655"/>
        <w:gridCol w:w="655"/>
        <w:gridCol w:w="655"/>
        <w:gridCol w:w="655"/>
        <w:gridCol w:w="655"/>
        <w:gridCol w:w="655"/>
        <w:gridCol w:w="655"/>
        <w:gridCol w:w="655"/>
        <w:gridCol w:w="655"/>
        <w:gridCol w:w="815"/>
        <w:gridCol w:w="807"/>
      </w:tblGrid>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D7DDE9" w:themeFill="accent3"/>
            <w:vAlign w:val="center"/>
          </w:tcPr>
          <w:p w:rsidR="00F3247A" w:rsidRPr="009F2A5C" w:rsidRDefault="00F3247A" w:rsidP="00F072B1">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2017–</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18</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2018–</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19</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2019–</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2020–</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21</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2021–</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22</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2022–</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23</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2023–</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24</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2024–</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25</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2025–</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26</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2026–</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27</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2027–</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28</w:t>
            </w:r>
          </w:p>
        </w:tc>
        <w:tc>
          <w:tcPr>
            <w:tcW w:w="402"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sz w:val="16"/>
                <w:szCs w:val="16"/>
              </w:rPr>
              <w:t>Total to 2020–21</w:t>
            </w:r>
          </w:p>
        </w:tc>
        <w:tc>
          <w:tcPr>
            <w:tcW w:w="398" w:type="pct"/>
            <w:shd w:val="clear" w:color="auto" w:fill="D7DDE9" w:themeFill="accent3"/>
          </w:tcPr>
          <w:p w:rsidR="00F3247A" w:rsidRDefault="00F3247A" w:rsidP="00F072B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2027</w:t>
            </w:r>
            <w:r w:rsidRPr="009F2A5C">
              <w:rPr>
                <w:rFonts w:asciiTheme="minorHAnsi" w:hAnsiTheme="minorHAnsi"/>
                <w:sz w:val="16"/>
                <w:szCs w:val="16"/>
              </w:rPr>
              <w:t>–</w:t>
            </w:r>
            <w:r>
              <w:rPr>
                <w:rFonts w:asciiTheme="minorHAnsi" w:hAnsiTheme="minorHAnsi"/>
                <w:sz w:val="16"/>
                <w:szCs w:val="16"/>
              </w:rPr>
              <w:t>28</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E9ECF3" w:themeFill="accent2" w:themeFillTint="33"/>
            <w:vAlign w:val="center"/>
          </w:tcPr>
          <w:p w:rsidR="00F3247A" w:rsidRPr="009F2A5C" w:rsidRDefault="00F3247A" w:rsidP="00F072B1">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402"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98" w:type="pct"/>
            <w:shd w:val="clear" w:color="auto" w:fill="E9ECF3" w:themeFill="accent2" w:themeFillTint="33"/>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Default="00050117" w:rsidP="00F072B1">
            <w:pPr>
              <w:pStyle w:val="TableText"/>
              <w:keepNext/>
              <w:widowControl w:val="0"/>
              <w:tabs>
                <w:tab w:val="left" w:pos="9356"/>
              </w:tabs>
              <w:spacing w:line="240" w:lineRule="auto"/>
              <w:ind w:left="-57" w:right="-57"/>
              <w:rPr>
                <w:i/>
                <w:iCs/>
                <w:color w:val="000000"/>
                <w:sz w:val="16"/>
                <w:szCs w:val="16"/>
              </w:rPr>
            </w:pPr>
            <w:r>
              <w:rPr>
                <w:i/>
                <w:iCs/>
                <w:color w:val="000000"/>
                <w:sz w:val="16"/>
                <w:szCs w:val="16"/>
              </w:rPr>
              <w:t>Superannuation funds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3,400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3,600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4,000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4,400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4,500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5,000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5,100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3,400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34,900</w:t>
            </w: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i/>
                <w:noProof/>
                <w:sz w:val="16"/>
                <w:szCs w:val="16"/>
              </w:rPr>
            </w:pPr>
            <w:r>
              <w:rPr>
                <w:i/>
                <w:iCs/>
                <w:color w:val="000000"/>
                <w:sz w:val="16"/>
                <w:szCs w:val="16"/>
              </w:rPr>
              <w:t>Individuals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2,300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2,100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2,000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1,800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2,200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16,700</w:t>
            </w:r>
          </w:p>
        </w:tc>
      </w:tr>
      <w:tr w:rsidR="00050117" w:rsidRPr="009F2A5C"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1A0D85"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sidRPr="00893F82">
              <w:rPr>
                <w:b/>
                <w:bCs w:val="0"/>
                <w:color w:val="000000"/>
                <w:sz w:val="16"/>
                <w:szCs w:val="16"/>
              </w:rPr>
              <w:t>Total - revenue</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5,800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6,700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6,900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5,600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51,600</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E9ECF3" w:themeFill="accent2" w:themeFillTint="33"/>
            <w:vAlign w:val="center"/>
          </w:tcPr>
          <w:p w:rsidR="00050117" w:rsidRPr="009F2A5C"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Pr>
                <w:b/>
                <w:bCs w:val="0"/>
                <w:color w:val="000000"/>
                <w:sz w:val="16"/>
                <w:szCs w:val="16"/>
              </w:rPr>
              <w:t>Expenses</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402"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98"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1261E8" w:rsidRDefault="00050117" w:rsidP="00F072B1">
            <w:pPr>
              <w:pStyle w:val="TableText"/>
              <w:keepNext/>
              <w:widowControl w:val="0"/>
              <w:tabs>
                <w:tab w:val="left" w:pos="9356"/>
              </w:tabs>
              <w:spacing w:line="240" w:lineRule="auto"/>
              <w:ind w:left="-57" w:right="-57"/>
              <w:rPr>
                <w:rFonts w:asciiTheme="minorHAnsi" w:hAnsiTheme="minorHAnsi"/>
                <w:i/>
                <w:sz w:val="16"/>
                <w:szCs w:val="16"/>
              </w:rPr>
            </w:pPr>
            <w:r w:rsidRPr="001261E8">
              <w:rPr>
                <w:i/>
                <w:iCs/>
                <w:color w:val="000000"/>
                <w:sz w:val="16"/>
                <w:szCs w:val="16"/>
              </w:rPr>
              <w:t>Departmental</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 </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i/>
                <w:sz w:val="16"/>
                <w:szCs w:val="16"/>
              </w:rPr>
            </w:pPr>
            <w:r>
              <w:rPr>
                <w:i/>
                <w:iCs/>
                <w:color w:val="000000"/>
                <w:sz w:val="16"/>
                <w:szCs w:val="16"/>
              </w:rPr>
              <w:t xml:space="preserve">Australian Taxation Office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-3</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-3</w:t>
            </w: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sz w:val="16"/>
                <w:szCs w:val="16"/>
              </w:rPr>
            </w:pPr>
            <w:r w:rsidRPr="001261E8">
              <w:rPr>
                <w:b/>
                <w:color w:val="000000"/>
                <w:sz w:val="16"/>
                <w:szCs w:val="16"/>
              </w:rPr>
              <w:t>Total - expense</w:t>
            </w:r>
            <w:r>
              <w:rPr>
                <w:b/>
                <w:color w:val="000000"/>
                <w:sz w:val="16"/>
                <w:szCs w:val="16"/>
              </w:rPr>
              <w:t>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-2</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-1</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-3</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-3</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D7DDE9"/>
            <w:vAlign w:val="center"/>
          </w:tcPr>
          <w:p w:rsidR="00050117" w:rsidRPr="009F2A5C"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Pr>
                <w:b/>
                <w:bCs w:val="0"/>
                <w:color w:val="000000"/>
                <w:sz w:val="16"/>
                <w:szCs w:val="16"/>
              </w:rPr>
              <w:t>Total</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-2</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-1</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5,600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5,800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6,200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6,700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6,600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6,900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6,900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6,900</w:t>
            </w:r>
          </w:p>
        </w:tc>
        <w:tc>
          <w:tcPr>
            <w:tcW w:w="402"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5,597</w:t>
            </w:r>
          </w:p>
        </w:tc>
        <w:tc>
          <w:tcPr>
            <w:tcW w:w="398"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51,597</w:t>
            </w:r>
          </w:p>
        </w:tc>
      </w:tr>
    </w:tbl>
    <w:p w:rsidR="00250FAE" w:rsidRDefault="00250FAE" w:rsidP="00250FAE">
      <w:pPr>
        <w:keepNext/>
        <w:widowControl w:val="0"/>
        <w:tabs>
          <w:tab w:val="left" w:pos="9356"/>
        </w:tabs>
        <w:spacing w:line="260" w:lineRule="atLeast"/>
        <w:ind w:left="284" w:hanging="284"/>
        <w:rPr>
          <w:sz w:val="16"/>
          <w:szCs w:val="16"/>
        </w:rPr>
      </w:pPr>
      <w:r w:rsidRPr="00FF15F5">
        <w:rPr>
          <w:sz w:val="16"/>
          <w:szCs w:val="16"/>
        </w:rPr>
        <w:t xml:space="preserve"> (a)</w:t>
      </w:r>
      <w:r w:rsidRPr="00FF15F5">
        <w:rPr>
          <w:sz w:val="16"/>
          <w:szCs w:val="16"/>
        </w:rPr>
        <w:tab/>
      </w:r>
      <w:r w:rsidRPr="00E25843">
        <w:rPr>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250FAE" w:rsidRDefault="00250FAE" w:rsidP="00250FAE">
      <w:pPr>
        <w:keepNext/>
        <w:widowControl w:val="0"/>
        <w:tabs>
          <w:tab w:val="left" w:pos="9356"/>
        </w:tabs>
        <w:spacing w:line="260" w:lineRule="atLeast"/>
        <w:ind w:left="284" w:hanging="284"/>
        <w:rPr>
          <w:sz w:val="16"/>
          <w:szCs w:val="16"/>
        </w:rPr>
      </w:pPr>
      <w:r w:rsidRPr="00FF15F5">
        <w:rPr>
          <w:sz w:val="16"/>
          <w:szCs w:val="16"/>
        </w:rPr>
        <w:t>(b)</w:t>
      </w:r>
      <w:r w:rsidRPr="00FF15F5">
        <w:rPr>
          <w:sz w:val="16"/>
          <w:szCs w:val="16"/>
        </w:rPr>
        <w:tab/>
        <w:t>Figures may not sum to totals due to rounding.</w:t>
      </w:r>
    </w:p>
    <w:p w:rsidR="00250FAE" w:rsidRPr="00FF15F5" w:rsidRDefault="00250FAE" w:rsidP="00250FAE">
      <w:pPr>
        <w:pStyle w:val="TableFootnotes"/>
        <w:keepNext/>
        <w:keepLines w:val="0"/>
        <w:widowControl w:val="0"/>
        <w:numPr>
          <w:ilvl w:val="0"/>
          <w:numId w:val="0"/>
        </w:numPr>
        <w:tabs>
          <w:tab w:val="left" w:pos="9356"/>
        </w:tabs>
        <w:ind w:left="284" w:hanging="284"/>
        <w:rPr>
          <w:sz w:val="16"/>
          <w:szCs w:val="16"/>
        </w:rPr>
      </w:pPr>
      <w:r w:rsidRPr="00FF15F5">
        <w:rPr>
          <w:sz w:val="16"/>
          <w:szCs w:val="16"/>
        </w:rPr>
        <w:t>..</w:t>
      </w:r>
      <w:r w:rsidRPr="00FF15F5">
        <w:rPr>
          <w:sz w:val="16"/>
          <w:szCs w:val="16"/>
        </w:rPr>
        <w:tab/>
        <w:t>Not zero but rounded to zero.</w:t>
      </w:r>
    </w:p>
    <w:p w:rsidR="00250FAE" w:rsidRDefault="00250FAE" w:rsidP="00250FAE">
      <w:pPr>
        <w:spacing w:line="260" w:lineRule="atLeast"/>
        <w:ind w:left="284" w:hanging="284"/>
        <w:rPr>
          <w:sz w:val="16"/>
          <w:szCs w:val="16"/>
        </w:rPr>
      </w:pPr>
      <w:r>
        <w:rPr>
          <w:sz w:val="16"/>
          <w:szCs w:val="16"/>
        </w:rPr>
        <w:t>-</w:t>
      </w:r>
      <w:r w:rsidRPr="009106B6">
        <w:rPr>
          <w:sz w:val="16"/>
          <w:szCs w:val="16"/>
        </w:rPr>
        <w:tab/>
      </w:r>
      <w:r>
        <w:rPr>
          <w:sz w:val="16"/>
          <w:szCs w:val="16"/>
        </w:rPr>
        <w:t>Indicates nil</w:t>
      </w:r>
      <w:r w:rsidRPr="009106B6">
        <w:rPr>
          <w:sz w:val="16"/>
          <w:szCs w:val="16"/>
        </w:rPr>
        <w:t>.</w:t>
      </w:r>
    </w:p>
    <w:p w:rsidR="008F40B1" w:rsidRDefault="008F40B1">
      <w:pPr>
        <w:rPr>
          <w:b/>
          <w:bCs/>
          <w:color w:val="2B3B5F" w:themeColor="text2"/>
          <w:spacing w:val="-4"/>
        </w:rPr>
      </w:pPr>
      <w:r>
        <w:br w:type="page"/>
      </w:r>
    </w:p>
    <w:p w:rsidR="008F40B1" w:rsidRDefault="008F40B1" w:rsidP="008F40B1">
      <w:pPr>
        <w:pStyle w:val="Caption"/>
        <w:widowControl w:val="0"/>
        <w:rPr>
          <w:vertAlign w:val="superscript"/>
        </w:rPr>
      </w:pPr>
      <w:r w:rsidRPr="002D239A">
        <w:lastRenderedPageBreak/>
        <w:t xml:space="preserve">Table </w:t>
      </w:r>
      <w:fldSimple w:instr=" STYLEREF 8 \s ">
        <w:r w:rsidR="00357D45">
          <w:rPr>
            <w:noProof/>
          </w:rPr>
          <w:t>A</w:t>
        </w:r>
      </w:fldSimple>
      <w:r w:rsidR="00250FAE">
        <w:t>2</w:t>
      </w:r>
      <w:r w:rsidRPr="002D239A">
        <w:t xml:space="preserve">: </w:t>
      </w:r>
      <w:r>
        <w:t>Dividend imputation credit refunds – Option 2 (excluding Australian Government pension and allowance recipients)</w:t>
      </w:r>
      <w:r w:rsidRPr="006E6304">
        <w:t xml:space="preserve"> –</w:t>
      </w:r>
      <w:r>
        <w:t xml:space="preserve"> Fiscal and underlying cash balances ($m</w:t>
      </w:r>
      <w:proofErr w:type="gramStart"/>
      <w:r>
        <w:t>)</w:t>
      </w:r>
      <w:r w:rsidRPr="002D239A">
        <w:rPr>
          <w:vertAlign w:val="superscript"/>
        </w:rPr>
        <w:t>(</w:t>
      </w:r>
      <w:proofErr w:type="gramEnd"/>
      <w:r w:rsidRPr="002D239A">
        <w:rPr>
          <w:vertAlign w:val="superscript"/>
        </w:rPr>
        <w:t>a)(b)</w:t>
      </w:r>
      <w:r>
        <w:rPr>
          <w:vertAlign w:val="superscript"/>
        </w:rPr>
        <w:t>(c)</w:t>
      </w:r>
    </w:p>
    <w:tbl>
      <w:tblPr>
        <w:tblStyle w:val="LightGrid-Accent6"/>
        <w:tblW w:w="5000"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ook w:val="0680" w:firstRow="0" w:lastRow="0" w:firstColumn="1" w:lastColumn="0" w:noHBand="1" w:noVBand="1"/>
      </w:tblPr>
      <w:tblGrid>
        <w:gridCol w:w="1312"/>
        <w:gridCol w:w="655"/>
        <w:gridCol w:w="655"/>
        <w:gridCol w:w="655"/>
        <w:gridCol w:w="655"/>
        <w:gridCol w:w="655"/>
        <w:gridCol w:w="655"/>
        <w:gridCol w:w="655"/>
        <w:gridCol w:w="655"/>
        <w:gridCol w:w="655"/>
        <w:gridCol w:w="655"/>
        <w:gridCol w:w="655"/>
        <w:gridCol w:w="815"/>
        <w:gridCol w:w="807"/>
      </w:tblGrid>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D7DDE9" w:themeFill="accent3"/>
            <w:vAlign w:val="center"/>
          </w:tcPr>
          <w:p w:rsidR="00F3247A" w:rsidRPr="009F2A5C" w:rsidRDefault="00F3247A" w:rsidP="00F072B1">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2017–</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18</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2018–</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19</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2019–</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2020–</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21</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2021–</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22</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2022–</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23</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2023–</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24</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2024–</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25</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2025–</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26</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2026–</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27</w:t>
            </w:r>
          </w:p>
        </w:tc>
        <w:tc>
          <w:tcPr>
            <w:tcW w:w="323"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2027–</w:t>
            </w:r>
          </w:p>
          <w:p w:rsidR="00F3247A" w:rsidRPr="009F2A5C" w:rsidRDefault="00F3247A"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b w:val="0"/>
                <w:sz w:val="16"/>
                <w:szCs w:val="16"/>
              </w:rPr>
              <w:t>28</w:t>
            </w:r>
          </w:p>
        </w:tc>
        <w:tc>
          <w:tcPr>
            <w:tcW w:w="402" w:type="pct"/>
            <w:shd w:val="clear" w:color="auto" w:fill="D7DDE9" w:themeFill="accent3"/>
            <w:vAlign w:val="center"/>
          </w:tcPr>
          <w:p w:rsidR="00F3247A" w:rsidRPr="009F2A5C" w:rsidRDefault="00F3247A" w:rsidP="00F072B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9F2A5C">
              <w:rPr>
                <w:rFonts w:asciiTheme="minorHAnsi" w:hAnsiTheme="minorHAnsi"/>
                <w:sz w:val="16"/>
                <w:szCs w:val="16"/>
              </w:rPr>
              <w:t>Total to 2020–21</w:t>
            </w:r>
          </w:p>
        </w:tc>
        <w:tc>
          <w:tcPr>
            <w:tcW w:w="398" w:type="pct"/>
            <w:shd w:val="clear" w:color="auto" w:fill="D7DDE9" w:themeFill="accent3"/>
          </w:tcPr>
          <w:p w:rsidR="00F3247A" w:rsidRDefault="00F3247A" w:rsidP="00F072B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2027</w:t>
            </w:r>
            <w:r w:rsidRPr="009F2A5C">
              <w:rPr>
                <w:rFonts w:asciiTheme="minorHAnsi" w:hAnsiTheme="minorHAnsi"/>
                <w:sz w:val="16"/>
                <w:szCs w:val="16"/>
              </w:rPr>
              <w:t>–</w:t>
            </w:r>
            <w:r>
              <w:rPr>
                <w:rFonts w:asciiTheme="minorHAnsi" w:hAnsiTheme="minorHAnsi"/>
                <w:sz w:val="16"/>
                <w:szCs w:val="16"/>
              </w:rPr>
              <w:t>28</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E9ECF3" w:themeFill="accent2" w:themeFillTint="33"/>
            <w:vAlign w:val="center"/>
          </w:tcPr>
          <w:p w:rsidR="00F3247A" w:rsidRPr="009F2A5C" w:rsidRDefault="00F3247A" w:rsidP="00F072B1">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23"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402" w:type="pct"/>
            <w:shd w:val="clear" w:color="auto" w:fill="E9ECF3" w:themeFill="accent2" w:themeFillTint="33"/>
            <w:vAlign w:val="center"/>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Pr>
                <w:rFonts w:ascii="Calibri" w:hAnsi="Calibri"/>
                <w:b/>
                <w:bCs/>
                <w:i/>
                <w:iCs/>
                <w:color w:val="000000"/>
                <w:sz w:val="16"/>
                <w:szCs w:val="16"/>
              </w:rPr>
              <w:t> </w:t>
            </w:r>
          </w:p>
        </w:tc>
        <w:tc>
          <w:tcPr>
            <w:tcW w:w="398" w:type="pct"/>
            <w:shd w:val="clear" w:color="auto" w:fill="E9ECF3" w:themeFill="accent2" w:themeFillTint="33"/>
          </w:tcPr>
          <w:p w:rsidR="00F3247A" w:rsidRDefault="00F3247A" w:rsidP="00F072B1">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Default="00050117" w:rsidP="00F072B1">
            <w:pPr>
              <w:pStyle w:val="TableText"/>
              <w:keepNext/>
              <w:widowControl w:val="0"/>
              <w:tabs>
                <w:tab w:val="left" w:pos="9356"/>
              </w:tabs>
              <w:spacing w:line="240" w:lineRule="auto"/>
              <w:ind w:left="-57" w:right="-57"/>
              <w:rPr>
                <w:i/>
                <w:iCs/>
                <w:color w:val="000000"/>
                <w:sz w:val="16"/>
                <w:szCs w:val="16"/>
              </w:rPr>
            </w:pPr>
            <w:r>
              <w:rPr>
                <w:i/>
                <w:iCs/>
                <w:color w:val="000000"/>
                <w:sz w:val="16"/>
                <w:szCs w:val="16"/>
              </w:rPr>
              <w:t>Superannuation funds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3,300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3,600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3,900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4,300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4,400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4,800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5,000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5,100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3,300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34,400</w:t>
            </w: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i/>
                <w:noProof/>
                <w:sz w:val="16"/>
                <w:szCs w:val="16"/>
              </w:rPr>
            </w:pPr>
            <w:r>
              <w:rPr>
                <w:i/>
                <w:iCs/>
                <w:color w:val="000000"/>
                <w:sz w:val="16"/>
                <w:szCs w:val="16"/>
              </w:rPr>
              <w:t>Individuals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1,900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1,800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1,700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1,500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1,900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523F03">
              <w:rPr>
                <w:rFonts w:ascii="Calibri" w:hAnsi="Calibri"/>
                <w:b/>
                <w:i/>
                <w:iCs/>
                <w:color w:val="000000"/>
                <w:sz w:val="16"/>
                <w:szCs w:val="16"/>
              </w:rPr>
              <w:t>14,200</w:t>
            </w:r>
          </w:p>
        </w:tc>
      </w:tr>
      <w:tr w:rsidR="00050117" w:rsidRPr="009F2A5C"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1A0D85"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sidRPr="00893F82">
              <w:rPr>
                <w:b/>
                <w:bCs w:val="0"/>
                <w:color w:val="000000"/>
                <w:sz w:val="16"/>
                <w:szCs w:val="16"/>
              </w:rPr>
              <w:t>Total - revenue</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5,500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5,800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6,200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6,500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6,600</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6,600</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5,200</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523F03">
              <w:rPr>
                <w:rFonts w:ascii="Calibri" w:hAnsi="Calibri"/>
                <w:b/>
                <w:iCs/>
                <w:color w:val="000000"/>
                <w:sz w:val="16"/>
                <w:szCs w:val="16"/>
              </w:rPr>
              <w:t>48,600</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E9ECF3" w:themeFill="accent2" w:themeFillTint="33"/>
            <w:vAlign w:val="center"/>
          </w:tcPr>
          <w:p w:rsidR="00050117" w:rsidRPr="009F2A5C"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Pr>
                <w:b/>
                <w:bCs w:val="0"/>
                <w:color w:val="000000"/>
                <w:sz w:val="16"/>
                <w:szCs w:val="16"/>
              </w:rPr>
              <w:t>Expenses</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23"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402"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 </w:t>
            </w:r>
          </w:p>
        </w:tc>
        <w:tc>
          <w:tcPr>
            <w:tcW w:w="398" w:type="pct"/>
            <w:shd w:val="clear" w:color="auto" w:fill="E9ECF3" w:themeFill="accent2" w:themeFillTint="33"/>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1261E8" w:rsidRDefault="00050117" w:rsidP="00F072B1">
            <w:pPr>
              <w:pStyle w:val="TableText"/>
              <w:keepNext/>
              <w:widowControl w:val="0"/>
              <w:tabs>
                <w:tab w:val="left" w:pos="9356"/>
              </w:tabs>
              <w:spacing w:line="240" w:lineRule="auto"/>
              <w:ind w:left="-57" w:right="-57"/>
              <w:rPr>
                <w:rFonts w:asciiTheme="minorHAnsi" w:hAnsiTheme="minorHAnsi"/>
                <w:i/>
                <w:sz w:val="16"/>
                <w:szCs w:val="16"/>
              </w:rPr>
            </w:pPr>
            <w:r w:rsidRPr="001261E8">
              <w:rPr>
                <w:i/>
                <w:iCs/>
                <w:color w:val="000000"/>
                <w:sz w:val="16"/>
                <w:szCs w:val="16"/>
              </w:rPr>
              <w:t>Departmental</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 </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 </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i/>
                <w:sz w:val="16"/>
                <w:szCs w:val="16"/>
              </w:rPr>
            </w:pPr>
            <w:r>
              <w:rPr>
                <w:i/>
                <w:iCs/>
                <w:color w:val="000000"/>
                <w:sz w:val="16"/>
                <w:szCs w:val="16"/>
              </w:rPr>
              <w:t xml:space="preserve">Australian Taxation Office </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-2</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-1</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23F03">
              <w:rPr>
                <w:rFonts w:ascii="Calibri" w:hAnsi="Calibri"/>
                <w:i/>
                <w:iCs/>
                <w:color w:val="000000"/>
                <w:sz w:val="16"/>
                <w:szCs w:val="16"/>
              </w:rPr>
              <w:t>-</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-3</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23F03">
              <w:rPr>
                <w:rFonts w:ascii="Calibri" w:hAnsi="Calibri"/>
                <w:b/>
                <w:bCs/>
                <w:i/>
                <w:iCs/>
                <w:color w:val="000000"/>
                <w:sz w:val="16"/>
                <w:szCs w:val="16"/>
              </w:rPr>
              <w:t>-3</w:t>
            </w:r>
          </w:p>
        </w:tc>
      </w:tr>
      <w:tr w:rsidR="00050117" w:rsidRPr="00D24CF3" w:rsidTr="00874E70">
        <w:tc>
          <w:tcPr>
            <w:cnfStyle w:val="001000000000" w:firstRow="0" w:lastRow="0" w:firstColumn="1" w:lastColumn="0" w:oddVBand="0" w:evenVBand="0" w:oddHBand="0" w:evenHBand="0" w:firstRowFirstColumn="0" w:firstRowLastColumn="0" w:lastRowFirstColumn="0" w:lastRowLastColumn="0"/>
            <w:tcW w:w="647" w:type="pct"/>
            <w:vAlign w:val="center"/>
          </w:tcPr>
          <w:p w:rsidR="00050117" w:rsidRPr="00734570" w:rsidRDefault="00050117" w:rsidP="00F072B1">
            <w:pPr>
              <w:pStyle w:val="TableText"/>
              <w:keepNext/>
              <w:widowControl w:val="0"/>
              <w:tabs>
                <w:tab w:val="left" w:pos="9356"/>
              </w:tabs>
              <w:spacing w:line="240" w:lineRule="auto"/>
              <w:ind w:left="-57" w:right="-57"/>
              <w:rPr>
                <w:rFonts w:asciiTheme="minorHAnsi" w:hAnsiTheme="minorHAnsi"/>
                <w:sz w:val="16"/>
                <w:szCs w:val="16"/>
              </w:rPr>
            </w:pPr>
            <w:r w:rsidRPr="001261E8">
              <w:rPr>
                <w:b/>
                <w:color w:val="000000"/>
                <w:sz w:val="16"/>
                <w:szCs w:val="16"/>
              </w:rPr>
              <w:t>Total - expense</w:t>
            </w:r>
            <w:r>
              <w:rPr>
                <w:b/>
                <w:color w:val="000000"/>
                <w:sz w:val="16"/>
                <w:szCs w:val="16"/>
              </w:rPr>
              <w:t>s</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-2</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-1</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402"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-3</w:t>
            </w:r>
          </w:p>
        </w:tc>
        <w:tc>
          <w:tcPr>
            <w:tcW w:w="398" w:type="pct"/>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-3</w:t>
            </w:r>
          </w:p>
        </w:tc>
      </w:tr>
      <w:tr w:rsidR="00EE4AE4" w:rsidRPr="009F2A5C" w:rsidTr="00874E70">
        <w:tc>
          <w:tcPr>
            <w:cnfStyle w:val="001000000000" w:firstRow="0" w:lastRow="0" w:firstColumn="1" w:lastColumn="0" w:oddVBand="0" w:evenVBand="0" w:oddHBand="0" w:evenHBand="0" w:firstRowFirstColumn="0" w:firstRowLastColumn="0" w:lastRowFirstColumn="0" w:lastRowLastColumn="0"/>
            <w:tcW w:w="647" w:type="pct"/>
            <w:shd w:val="clear" w:color="auto" w:fill="D7DDE9"/>
            <w:vAlign w:val="center"/>
          </w:tcPr>
          <w:p w:rsidR="00050117" w:rsidRPr="009F2A5C" w:rsidRDefault="00050117" w:rsidP="00F072B1">
            <w:pPr>
              <w:pStyle w:val="TableText"/>
              <w:keepNext/>
              <w:widowControl w:val="0"/>
              <w:tabs>
                <w:tab w:val="left" w:pos="9356"/>
              </w:tabs>
              <w:spacing w:line="240" w:lineRule="auto"/>
              <w:ind w:left="-57" w:right="-57"/>
              <w:rPr>
                <w:rFonts w:asciiTheme="minorHAnsi" w:hAnsiTheme="minorHAnsi"/>
                <w:b/>
                <w:sz w:val="16"/>
                <w:szCs w:val="16"/>
              </w:rPr>
            </w:pPr>
            <w:r>
              <w:rPr>
                <w:b/>
                <w:bCs w:val="0"/>
                <w:color w:val="000000"/>
                <w:sz w:val="16"/>
                <w:szCs w:val="16"/>
              </w:rPr>
              <w:t>Total</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-2</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-1</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5,200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5,500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5,800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6,200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6,200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6,500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6,600</w:t>
            </w:r>
          </w:p>
        </w:tc>
        <w:tc>
          <w:tcPr>
            <w:tcW w:w="323"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6,600</w:t>
            </w:r>
          </w:p>
        </w:tc>
        <w:tc>
          <w:tcPr>
            <w:tcW w:w="402"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5,197</w:t>
            </w:r>
          </w:p>
        </w:tc>
        <w:tc>
          <w:tcPr>
            <w:tcW w:w="398" w:type="pct"/>
            <w:shd w:val="clear" w:color="auto" w:fill="D7DDE9"/>
            <w:vAlign w:val="center"/>
          </w:tcPr>
          <w:p w:rsidR="00050117" w:rsidRPr="00523F03" w:rsidRDefault="00050117" w:rsidP="0020781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523F03">
              <w:rPr>
                <w:rFonts w:ascii="Calibri" w:hAnsi="Calibri"/>
                <w:b/>
                <w:bCs/>
                <w:color w:val="000000"/>
                <w:sz w:val="16"/>
                <w:szCs w:val="16"/>
              </w:rPr>
              <w:t>48,597</w:t>
            </w:r>
          </w:p>
        </w:tc>
      </w:tr>
    </w:tbl>
    <w:p w:rsidR="008F40B1" w:rsidRDefault="008F40B1" w:rsidP="008F40B1">
      <w:pPr>
        <w:keepNext/>
        <w:widowControl w:val="0"/>
        <w:tabs>
          <w:tab w:val="left" w:pos="9356"/>
        </w:tabs>
        <w:spacing w:line="260" w:lineRule="atLeast"/>
        <w:ind w:left="284" w:hanging="284"/>
        <w:rPr>
          <w:sz w:val="16"/>
          <w:szCs w:val="16"/>
        </w:rPr>
      </w:pPr>
      <w:r w:rsidRPr="00FF15F5">
        <w:rPr>
          <w:sz w:val="16"/>
          <w:szCs w:val="16"/>
        </w:rPr>
        <w:t xml:space="preserve"> (a)</w:t>
      </w:r>
      <w:r w:rsidRPr="00FF15F5">
        <w:rPr>
          <w:sz w:val="16"/>
          <w:szCs w:val="16"/>
        </w:rPr>
        <w:tab/>
      </w:r>
      <w:r w:rsidRPr="00E25843">
        <w:rPr>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8F40B1" w:rsidRDefault="008F40B1" w:rsidP="008F40B1">
      <w:pPr>
        <w:keepNext/>
        <w:widowControl w:val="0"/>
        <w:tabs>
          <w:tab w:val="left" w:pos="9356"/>
        </w:tabs>
        <w:spacing w:line="260" w:lineRule="atLeast"/>
        <w:ind w:left="284" w:hanging="284"/>
        <w:rPr>
          <w:sz w:val="16"/>
          <w:szCs w:val="16"/>
        </w:rPr>
      </w:pPr>
      <w:r w:rsidRPr="00FF15F5">
        <w:rPr>
          <w:sz w:val="16"/>
          <w:szCs w:val="16"/>
        </w:rPr>
        <w:t>(b)</w:t>
      </w:r>
      <w:r w:rsidRPr="00FF15F5">
        <w:rPr>
          <w:sz w:val="16"/>
          <w:szCs w:val="16"/>
        </w:rPr>
        <w:tab/>
        <w:t>Figures may not sum to totals due to rounding.</w:t>
      </w:r>
    </w:p>
    <w:p w:rsidR="008F40B1" w:rsidRDefault="008F40B1" w:rsidP="008F40B1">
      <w:pPr>
        <w:keepNext/>
        <w:widowControl w:val="0"/>
        <w:tabs>
          <w:tab w:val="left" w:pos="9356"/>
        </w:tabs>
        <w:spacing w:line="260" w:lineRule="atLeast"/>
        <w:ind w:left="284" w:hanging="284"/>
        <w:rPr>
          <w:sz w:val="16"/>
          <w:szCs w:val="16"/>
        </w:rPr>
      </w:pPr>
      <w:r>
        <w:rPr>
          <w:sz w:val="16"/>
          <w:szCs w:val="16"/>
        </w:rPr>
        <w:t xml:space="preserve">(c)   The proposal would not apply to individuals who receive Australian Government pension and allowance payments in the year of assessment.  The proposal would also not apply to self-managed superannuation funds with at least one member who is a recipient of an Australian Government pension or allowance payment </w:t>
      </w:r>
      <w:r w:rsidR="00740FC3">
        <w:rPr>
          <w:sz w:val="16"/>
          <w:szCs w:val="16"/>
        </w:rPr>
        <w:t>before</w:t>
      </w:r>
      <w:r>
        <w:rPr>
          <w:sz w:val="16"/>
          <w:szCs w:val="16"/>
        </w:rPr>
        <w:t xml:space="preserve"> 28 March 2018.</w:t>
      </w:r>
    </w:p>
    <w:p w:rsidR="008F40B1" w:rsidRPr="00FF15F5" w:rsidRDefault="008F40B1" w:rsidP="008F40B1">
      <w:pPr>
        <w:pStyle w:val="TableFootnotes"/>
        <w:keepNext/>
        <w:keepLines w:val="0"/>
        <w:widowControl w:val="0"/>
        <w:numPr>
          <w:ilvl w:val="0"/>
          <w:numId w:val="0"/>
        </w:numPr>
        <w:tabs>
          <w:tab w:val="left" w:pos="9356"/>
        </w:tabs>
        <w:ind w:left="284" w:hanging="284"/>
        <w:rPr>
          <w:sz w:val="16"/>
          <w:szCs w:val="16"/>
        </w:rPr>
      </w:pPr>
      <w:r w:rsidRPr="00FF15F5">
        <w:rPr>
          <w:sz w:val="16"/>
          <w:szCs w:val="16"/>
        </w:rPr>
        <w:t>..</w:t>
      </w:r>
      <w:r w:rsidRPr="00FF15F5">
        <w:rPr>
          <w:sz w:val="16"/>
          <w:szCs w:val="16"/>
        </w:rPr>
        <w:tab/>
        <w:t>Not zero but rounded to zero.</w:t>
      </w:r>
    </w:p>
    <w:p w:rsidR="008F40B1" w:rsidRDefault="008F40B1" w:rsidP="008F40B1">
      <w:pPr>
        <w:spacing w:line="260" w:lineRule="atLeast"/>
        <w:ind w:left="284" w:hanging="284"/>
        <w:rPr>
          <w:sz w:val="16"/>
          <w:szCs w:val="16"/>
        </w:rPr>
      </w:pPr>
      <w:r>
        <w:rPr>
          <w:sz w:val="16"/>
          <w:szCs w:val="16"/>
        </w:rPr>
        <w:t>-</w:t>
      </w:r>
      <w:r w:rsidRPr="009106B6">
        <w:rPr>
          <w:sz w:val="16"/>
          <w:szCs w:val="16"/>
        </w:rPr>
        <w:tab/>
      </w:r>
      <w:r>
        <w:rPr>
          <w:sz w:val="16"/>
          <w:szCs w:val="16"/>
        </w:rPr>
        <w:t>Indicates nil</w:t>
      </w:r>
      <w:r w:rsidRPr="009106B6">
        <w:rPr>
          <w:sz w:val="16"/>
          <w:szCs w:val="16"/>
        </w:rPr>
        <w:t>.</w:t>
      </w:r>
    </w:p>
    <w:p w:rsidR="00F8235B" w:rsidRDefault="00F8235B">
      <w:pPr>
        <w:rPr>
          <w:rFonts w:cs="Times New Roman"/>
          <w:spacing w:val="-1"/>
        </w:rPr>
      </w:pPr>
      <w:r>
        <w:br w:type="page"/>
      </w:r>
    </w:p>
    <w:p w:rsidR="00F8235B" w:rsidRDefault="00F8235B" w:rsidP="00F8235B">
      <w:pPr>
        <w:pStyle w:val="Heading8"/>
        <w:spacing w:before="240" w:after="120"/>
      </w:pPr>
      <w:r w:rsidRPr="002D239A">
        <w:lastRenderedPageBreak/>
        <w:t xml:space="preserve">– </w:t>
      </w:r>
      <w:r w:rsidR="00135BC7">
        <w:t>Superannuation e</w:t>
      </w:r>
      <w:r>
        <w:t>arnings tax and franking credits as a proportion of GDP</w:t>
      </w:r>
    </w:p>
    <w:p w:rsidR="002035D2" w:rsidRDefault="002035D2" w:rsidP="00BA52C3">
      <w:pPr>
        <w:pStyle w:val="BodyText"/>
      </w:pPr>
      <w:r>
        <w:t>Contributions tax and earnings tax are not separately identifiable in tax collections.  As such, the split between the two was estimated and is subject to uncertainties arising from assumptions required to separately identify earnings tax and contributions tax.</w:t>
      </w:r>
    </w:p>
    <w:p w:rsidR="00F8235B" w:rsidRDefault="00F8235B" w:rsidP="00F8235B">
      <w:pPr>
        <w:pStyle w:val="Caption"/>
        <w:widowControl w:val="0"/>
        <w:tabs>
          <w:tab w:val="left" w:pos="9356"/>
        </w:tabs>
        <w:rPr>
          <w:vertAlign w:val="superscript"/>
        </w:rPr>
      </w:pPr>
      <w:r w:rsidRPr="002D239A">
        <w:t xml:space="preserve">Table </w:t>
      </w:r>
      <w:r>
        <w:t>B1</w:t>
      </w:r>
      <w:r w:rsidRPr="002D239A">
        <w:t>:</w:t>
      </w:r>
      <w:r>
        <w:t xml:space="preserve"> </w:t>
      </w:r>
      <w:r w:rsidR="00135BC7" w:rsidRPr="00135BC7">
        <w:t xml:space="preserve">Superannuation </w:t>
      </w:r>
      <w:r w:rsidR="00135BC7">
        <w:t>e</w:t>
      </w:r>
      <w:r>
        <w:t xml:space="preserve">arnings tax before and after franking credits as a proportion of GDP – 2004-05 to 2014-15 </w:t>
      </w:r>
    </w:p>
    <w:tbl>
      <w:tblPr>
        <w:tblStyle w:val="LightGrid-Accent6"/>
        <w:tblW w:w="4900"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680" w:firstRow="0" w:lastRow="0" w:firstColumn="1" w:lastColumn="0" w:noHBand="1" w:noVBand="1"/>
      </w:tblPr>
      <w:tblGrid>
        <w:gridCol w:w="2718"/>
        <w:gridCol w:w="666"/>
        <w:gridCol w:w="664"/>
        <w:gridCol w:w="666"/>
        <w:gridCol w:w="660"/>
        <w:gridCol w:w="660"/>
        <w:gridCol w:w="654"/>
        <w:gridCol w:w="650"/>
        <w:gridCol w:w="650"/>
        <w:gridCol w:w="650"/>
        <w:gridCol w:w="650"/>
        <w:gridCol w:w="648"/>
      </w:tblGrid>
      <w:tr w:rsidR="00EE4AE4" w:rsidRPr="009F2A5C" w:rsidTr="00874E70">
        <w:tc>
          <w:tcPr>
            <w:cnfStyle w:val="001000000000" w:firstRow="0" w:lastRow="0" w:firstColumn="1" w:lastColumn="0" w:oddVBand="0" w:evenVBand="0" w:oddHBand="0" w:evenHBand="0" w:firstRowFirstColumn="0" w:firstRowLastColumn="0" w:lastRowFirstColumn="0" w:lastRowLastColumn="0"/>
            <w:tcW w:w="1368" w:type="pct"/>
            <w:shd w:val="clear" w:color="auto" w:fill="D7DDE9" w:themeFill="accent3"/>
            <w:vAlign w:val="center"/>
          </w:tcPr>
          <w:p w:rsidR="00F8235B" w:rsidRPr="005D4190" w:rsidRDefault="00F8235B" w:rsidP="00F072B1">
            <w:pPr>
              <w:pStyle w:val="TableHeading"/>
              <w:keepLines w:val="0"/>
              <w:widowControl w:val="0"/>
              <w:tabs>
                <w:tab w:val="left" w:pos="9356"/>
              </w:tabs>
              <w:spacing w:line="240" w:lineRule="auto"/>
              <w:ind w:left="-57" w:right="-57"/>
              <w:rPr>
                <w:rFonts w:asciiTheme="minorHAnsi" w:hAnsiTheme="minorHAnsi"/>
                <w:b w:val="0"/>
                <w:sz w:val="18"/>
                <w:szCs w:val="18"/>
              </w:rPr>
            </w:pPr>
            <w:r w:rsidRPr="005D4190">
              <w:rPr>
                <w:rFonts w:asciiTheme="minorHAnsi" w:hAnsiTheme="minorHAnsi"/>
                <w:b w:val="0"/>
                <w:sz w:val="18"/>
                <w:szCs w:val="18"/>
              </w:rPr>
              <w:t>Per cent of GDP</w:t>
            </w:r>
          </w:p>
        </w:tc>
        <w:tc>
          <w:tcPr>
            <w:tcW w:w="335"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2004–</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05</w:t>
            </w:r>
          </w:p>
        </w:tc>
        <w:tc>
          <w:tcPr>
            <w:tcW w:w="334"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2005–</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06</w:t>
            </w:r>
          </w:p>
        </w:tc>
        <w:tc>
          <w:tcPr>
            <w:tcW w:w="335"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2006–</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07</w:t>
            </w:r>
          </w:p>
        </w:tc>
        <w:tc>
          <w:tcPr>
            <w:tcW w:w="332"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2007–</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08</w:t>
            </w:r>
          </w:p>
        </w:tc>
        <w:tc>
          <w:tcPr>
            <w:tcW w:w="332"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2008–</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09</w:t>
            </w:r>
          </w:p>
        </w:tc>
        <w:tc>
          <w:tcPr>
            <w:tcW w:w="329"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2009–</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10</w:t>
            </w:r>
          </w:p>
        </w:tc>
        <w:tc>
          <w:tcPr>
            <w:tcW w:w="327"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2010–</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11</w:t>
            </w:r>
          </w:p>
        </w:tc>
        <w:tc>
          <w:tcPr>
            <w:tcW w:w="327"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2011–</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12</w:t>
            </w:r>
          </w:p>
        </w:tc>
        <w:tc>
          <w:tcPr>
            <w:tcW w:w="327"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2012–</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13</w:t>
            </w:r>
          </w:p>
        </w:tc>
        <w:tc>
          <w:tcPr>
            <w:tcW w:w="327"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2013–</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14</w:t>
            </w:r>
          </w:p>
        </w:tc>
        <w:tc>
          <w:tcPr>
            <w:tcW w:w="326" w:type="pct"/>
            <w:shd w:val="clear" w:color="auto" w:fill="D7DDE9" w:themeFill="accent3"/>
            <w:vAlign w:val="center"/>
          </w:tcPr>
          <w:p w:rsidR="00F8235B" w:rsidRPr="005D4190" w:rsidRDefault="00F8235B" w:rsidP="00F072B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2014–</w:t>
            </w:r>
          </w:p>
          <w:p w:rsidR="00F8235B" w:rsidRPr="005D4190" w:rsidRDefault="00F8235B" w:rsidP="00F072B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5D4190">
              <w:rPr>
                <w:rFonts w:asciiTheme="minorHAnsi" w:hAnsiTheme="minorHAnsi"/>
                <w:b w:val="0"/>
                <w:sz w:val="18"/>
                <w:szCs w:val="18"/>
              </w:rPr>
              <w:t>15</w:t>
            </w:r>
          </w:p>
        </w:tc>
      </w:tr>
      <w:tr w:rsidR="00F8235B" w:rsidRPr="009F2A5C" w:rsidTr="00874E70">
        <w:tc>
          <w:tcPr>
            <w:cnfStyle w:val="001000000000" w:firstRow="0" w:lastRow="0" w:firstColumn="1" w:lastColumn="0" w:oddVBand="0" w:evenVBand="0" w:oddHBand="0" w:evenHBand="0" w:firstRowFirstColumn="0" w:firstRowLastColumn="0" w:lastRowFirstColumn="0" w:lastRowLastColumn="0"/>
            <w:tcW w:w="1368" w:type="pct"/>
            <w:vAlign w:val="center"/>
          </w:tcPr>
          <w:p w:rsidR="00F8235B" w:rsidRPr="005D4190" w:rsidRDefault="00F8235B" w:rsidP="00F072B1">
            <w:pPr>
              <w:pStyle w:val="TableText"/>
              <w:keepNext/>
              <w:widowControl w:val="0"/>
              <w:tabs>
                <w:tab w:val="left" w:pos="9356"/>
              </w:tabs>
              <w:spacing w:line="240" w:lineRule="auto"/>
              <w:ind w:left="-57" w:right="-57"/>
              <w:rPr>
                <w:rFonts w:asciiTheme="minorHAnsi" w:hAnsiTheme="minorHAnsi"/>
                <w:noProof/>
                <w:sz w:val="18"/>
                <w:szCs w:val="18"/>
              </w:rPr>
            </w:pPr>
            <w:r w:rsidRPr="005D4190">
              <w:rPr>
                <w:rFonts w:asciiTheme="minorHAnsi" w:hAnsiTheme="minorHAnsi"/>
                <w:sz w:val="18"/>
                <w:szCs w:val="18"/>
              </w:rPr>
              <w:t>Earnings tax before franking credits</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0.44 </w:t>
            </w:r>
          </w:p>
        </w:tc>
        <w:tc>
          <w:tcPr>
            <w:tcW w:w="334"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0.46 </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0.49 </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0.77 </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0.42 </w:t>
            </w:r>
          </w:p>
        </w:tc>
        <w:tc>
          <w:tcPr>
            <w:tcW w:w="329"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0.21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0.19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0.37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0.28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0.19 </w:t>
            </w:r>
          </w:p>
        </w:tc>
        <w:tc>
          <w:tcPr>
            <w:tcW w:w="326"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0.20 </w:t>
            </w:r>
          </w:p>
        </w:tc>
      </w:tr>
      <w:tr w:rsidR="00F8235B" w:rsidRPr="00392807" w:rsidTr="00874E70">
        <w:tc>
          <w:tcPr>
            <w:cnfStyle w:val="001000000000" w:firstRow="0" w:lastRow="0" w:firstColumn="1" w:lastColumn="0" w:oddVBand="0" w:evenVBand="0" w:oddHBand="0" w:evenHBand="0" w:firstRowFirstColumn="0" w:firstRowLastColumn="0" w:lastRowFirstColumn="0" w:lastRowLastColumn="0"/>
            <w:tcW w:w="1368" w:type="pct"/>
            <w:vAlign w:val="center"/>
          </w:tcPr>
          <w:p w:rsidR="00F8235B" w:rsidRPr="00F8235B" w:rsidRDefault="00F8235B" w:rsidP="00F072B1">
            <w:pPr>
              <w:pStyle w:val="TableText"/>
              <w:keepNext/>
              <w:widowControl w:val="0"/>
              <w:tabs>
                <w:tab w:val="left" w:pos="9356"/>
              </w:tabs>
              <w:spacing w:line="240" w:lineRule="auto"/>
              <w:ind w:left="-57" w:right="-57"/>
              <w:rPr>
                <w:rFonts w:asciiTheme="minorHAnsi" w:hAnsiTheme="minorHAnsi"/>
                <w:noProof/>
                <w:sz w:val="18"/>
                <w:szCs w:val="18"/>
                <w:vertAlign w:val="superscript"/>
              </w:rPr>
            </w:pPr>
            <w:r w:rsidRPr="005D4190">
              <w:rPr>
                <w:rFonts w:asciiTheme="minorHAnsi" w:hAnsiTheme="minorHAnsi"/>
                <w:sz w:val="18"/>
                <w:szCs w:val="18"/>
              </w:rPr>
              <w:t>Franking credits</w:t>
            </w:r>
            <w:r>
              <w:rPr>
                <w:rFonts w:asciiTheme="minorHAnsi" w:hAnsiTheme="minorHAnsi"/>
                <w:sz w:val="18"/>
                <w:szCs w:val="18"/>
                <w:vertAlign w:val="superscript"/>
              </w:rPr>
              <w:t>(a)</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0.25 </w:t>
            </w:r>
          </w:p>
        </w:tc>
        <w:tc>
          <w:tcPr>
            <w:tcW w:w="334"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0.35 </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0.39 </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0.44 </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0.37 </w:t>
            </w:r>
          </w:p>
        </w:tc>
        <w:tc>
          <w:tcPr>
            <w:tcW w:w="329"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0.36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0.30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0.49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0.38 </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0.38 </w:t>
            </w:r>
          </w:p>
        </w:tc>
        <w:tc>
          <w:tcPr>
            <w:tcW w:w="326"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8"/>
                <w:szCs w:val="18"/>
              </w:rPr>
            </w:pPr>
            <w:r w:rsidRPr="005D4190">
              <w:rPr>
                <w:rFonts w:asciiTheme="minorHAnsi" w:eastAsiaTheme="majorEastAsia" w:hAnsiTheme="minorHAnsi"/>
                <w:bCs/>
                <w:i w:val="0"/>
                <w:noProof/>
                <w:sz w:val="18"/>
                <w:szCs w:val="18"/>
              </w:rPr>
              <w:t xml:space="preserve"> 0.44 </w:t>
            </w:r>
          </w:p>
        </w:tc>
      </w:tr>
      <w:tr w:rsidR="00F8235B" w:rsidRPr="009F2A5C" w:rsidTr="00874E70">
        <w:tc>
          <w:tcPr>
            <w:cnfStyle w:val="001000000000" w:firstRow="0" w:lastRow="0" w:firstColumn="1" w:lastColumn="0" w:oddVBand="0" w:evenVBand="0" w:oddHBand="0" w:evenHBand="0" w:firstRowFirstColumn="0" w:firstRowLastColumn="0" w:lastRowFirstColumn="0" w:lastRowLastColumn="0"/>
            <w:tcW w:w="1368" w:type="pct"/>
            <w:vAlign w:val="center"/>
          </w:tcPr>
          <w:p w:rsidR="00F8235B" w:rsidRPr="005D4190" w:rsidRDefault="00F8235B" w:rsidP="00F072B1">
            <w:pPr>
              <w:pStyle w:val="TableText"/>
              <w:keepNext/>
              <w:widowControl w:val="0"/>
              <w:tabs>
                <w:tab w:val="left" w:pos="9356"/>
              </w:tabs>
              <w:spacing w:line="240" w:lineRule="auto"/>
              <w:ind w:left="-57" w:right="-57"/>
              <w:rPr>
                <w:rFonts w:asciiTheme="minorHAnsi" w:hAnsiTheme="minorHAnsi"/>
                <w:b/>
                <w:sz w:val="18"/>
                <w:szCs w:val="18"/>
              </w:rPr>
            </w:pPr>
            <w:r w:rsidRPr="005D4190">
              <w:rPr>
                <w:rFonts w:asciiTheme="minorHAnsi" w:hAnsiTheme="minorHAnsi"/>
                <w:b/>
                <w:sz w:val="18"/>
                <w:szCs w:val="18"/>
              </w:rPr>
              <w:t>Earnings tax</w:t>
            </w:r>
            <w:r>
              <w:rPr>
                <w:rFonts w:asciiTheme="minorHAnsi" w:hAnsiTheme="minorHAnsi"/>
                <w:b/>
                <w:sz w:val="18"/>
                <w:szCs w:val="18"/>
                <w:vertAlign w:val="superscript"/>
              </w:rPr>
              <w:t>(b</w:t>
            </w:r>
            <w:r w:rsidRPr="005D4190">
              <w:rPr>
                <w:rFonts w:asciiTheme="minorHAnsi" w:hAnsiTheme="minorHAnsi"/>
                <w:b/>
                <w:sz w:val="18"/>
                <w:szCs w:val="18"/>
                <w:vertAlign w:val="superscript"/>
              </w:rPr>
              <w:t>)</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0.19</w:t>
            </w:r>
          </w:p>
        </w:tc>
        <w:tc>
          <w:tcPr>
            <w:tcW w:w="334"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0.11</w:t>
            </w:r>
          </w:p>
        </w:tc>
        <w:tc>
          <w:tcPr>
            <w:tcW w:w="335"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0.11</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0.33</w:t>
            </w:r>
          </w:p>
        </w:tc>
        <w:tc>
          <w:tcPr>
            <w:tcW w:w="332"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0.05</w:t>
            </w:r>
          </w:p>
        </w:tc>
        <w:tc>
          <w:tcPr>
            <w:tcW w:w="329"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-0.15</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-0.11</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-0.12</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-0.10</w:t>
            </w:r>
          </w:p>
        </w:tc>
        <w:tc>
          <w:tcPr>
            <w:tcW w:w="327"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-0.19</w:t>
            </w:r>
          </w:p>
        </w:tc>
        <w:tc>
          <w:tcPr>
            <w:tcW w:w="326" w:type="pct"/>
          </w:tcPr>
          <w:p w:rsidR="00F8235B" w:rsidRPr="005D4190" w:rsidRDefault="00F8235B" w:rsidP="00F072B1">
            <w:pPr>
              <w:pStyle w:val="TableTextRightItalic"/>
              <w:keepNext/>
              <w:widowControl w:val="0"/>
              <w:tabs>
                <w:tab w:val="left" w:pos="9356"/>
              </w:tabs>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8"/>
                <w:szCs w:val="18"/>
              </w:rPr>
            </w:pPr>
            <w:r w:rsidRPr="005D4190">
              <w:rPr>
                <w:rFonts w:asciiTheme="minorHAnsi" w:eastAsiaTheme="majorEastAsia" w:hAnsiTheme="minorHAnsi"/>
                <w:b/>
                <w:bCs/>
                <w:i w:val="0"/>
                <w:noProof/>
                <w:sz w:val="18"/>
                <w:szCs w:val="18"/>
              </w:rPr>
              <w:t>-0.24</w:t>
            </w:r>
          </w:p>
        </w:tc>
      </w:tr>
    </w:tbl>
    <w:p w:rsidR="00F8235B" w:rsidRPr="00D17B0C" w:rsidRDefault="00F8235B" w:rsidP="00F8235B">
      <w:pPr>
        <w:keepNext/>
        <w:keepLines/>
        <w:spacing w:line="260" w:lineRule="atLeast"/>
        <w:ind w:left="284" w:hanging="284"/>
        <w:rPr>
          <w:sz w:val="16"/>
          <w:szCs w:val="16"/>
        </w:rPr>
      </w:pPr>
      <w:r w:rsidRPr="00D17B0C">
        <w:rPr>
          <w:sz w:val="16"/>
          <w:szCs w:val="16"/>
        </w:rPr>
        <w:t xml:space="preserve">(a) </w:t>
      </w:r>
      <w:r w:rsidR="00D17B0C">
        <w:rPr>
          <w:sz w:val="16"/>
          <w:szCs w:val="16"/>
        </w:rPr>
        <w:t xml:space="preserve">  </w:t>
      </w:r>
      <w:r w:rsidRPr="00D17B0C">
        <w:rPr>
          <w:sz w:val="16"/>
          <w:szCs w:val="16"/>
        </w:rPr>
        <w:t xml:space="preserve">The value of franking credits is equal to the company tax paid giving rise to those franking credits, as a franking credit </w:t>
      </w:r>
      <w:r w:rsidR="00E56230" w:rsidRPr="00D17B0C">
        <w:rPr>
          <w:sz w:val="16"/>
          <w:szCs w:val="16"/>
        </w:rPr>
        <w:t xml:space="preserve">balance </w:t>
      </w:r>
      <w:r w:rsidRPr="00D17B0C">
        <w:rPr>
          <w:sz w:val="16"/>
          <w:szCs w:val="16"/>
        </w:rPr>
        <w:t>only arises where company tax is paid.  The timing of the payment of company tax associated with the claimed franking credits is not separately identifiable.</w:t>
      </w:r>
    </w:p>
    <w:p w:rsidR="00F8235B" w:rsidRPr="00D17B0C" w:rsidRDefault="00F8235B" w:rsidP="00F8235B">
      <w:pPr>
        <w:keepNext/>
        <w:keepLines/>
        <w:spacing w:line="260" w:lineRule="atLeast"/>
        <w:ind w:left="284" w:hanging="284"/>
        <w:rPr>
          <w:sz w:val="16"/>
          <w:szCs w:val="16"/>
        </w:rPr>
      </w:pPr>
      <w:r w:rsidRPr="00D17B0C">
        <w:rPr>
          <w:sz w:val="16"/>
          <w:szCs w:val="16"/>
        </w:rPr>
        <w:t xml:space="preserve">(b) </w:t>
      </w:r>
      <w:r w:rsidRPr="00D17B0C">
        <w:rPr>
          <w:sz w:val="16"/>
          <w:szCs w:val="16"/>
        </w:rPr>
        <w:tab/>
        <w:t>Earnings tax before franking credits plus franking credits.</w:t>
      </w:r>
    </w:p>
    <w:p w:rsidR="00F8235B" w:rsidRDefault="00F8235B" w:rsidP="00D17B0C">
      <w:pPr>
        <w:pStyle w:val="Caption"/>
        <w:widowControl w:val="0"/>
        <w:tabs>
          <w:tab w:val="left" w:pos="9356"/>
        </w:tabs>
        <w:spacing w:after="0"/>
      </w:pPr>
      <w:r>
        <w:t>Chart B1</w:t>
      </w:r>
      <w:r w:rsidRPr="005A336D">
        <w:t xml:space="preserve">: </w:t>
      </w:r>
      <w:r w:rsidRPr="00B43ABE">
        <w:t xml:space="preserve">The effect of franking credits on </w:t>
      </w:r>
      <w:r w:rsidR="00135BC7">
        <w:t>s</w:t>
      </w:r>
      <w:r w:rsidR="00135BC7" w:rsidRPr="00135BC7">
        <w:t xml:space="preserve">uperannuation </w:t>
      </w:r>
      <w:r w:rsidRPr="00B43ABE">
        <w:t>earnings tax</w:t>
      </w:r>
    </w:p>
    <w:p w:rsidR="00A401C8" w:rsidRDefault="00A401C8" w:rsidP="00D17B0C">
      <w:pPr>
        <w:pStyle w:val="BodyText"/>
        <w:spacing w:before="0" w:after="0"/>
        <w:sectPr w:rsidR="00A401C8" w:rsidSect="00131861">
          <w:footerReference w:type="default" r:id="rId15"/>
          <w:pgSz w:w="11907" w:h="16839" w:code="9"/>
          <w:pgMar w:top="1134" w:right="992" w:bottom="1134" w:left="992" w:header="284" w:footer="454" w:gutter="0"/>
          <w:cols w:space="708"/>
          <w:formProt w:val="0"/>
          <w:docGrid w:linePitch="360"/>
        </w:sectPr>
      </w:pPr>
    </w:p>
    <w:p w:rsidR="005154A3" w:rsidRDefault="005154A3" w:rsidP="00D17B0C">
      <w:pPr>
        <w:pStyle w:val="BodyText"/>
        <w:spacing w:before="0" w:after="0"/>
      </w:pPr>
      <w:r>
        <w:lastRenderedPageBreak/>
        <w:t>Per cent of GDP</w:t>
      </w:r>
    </w:p>
    <w:p w:rsidR="00A401C8" w:rsidRPr="00D17B0C" w:rsidRDefault="00A401C8" w:rsidP="00A401C8">
      <w:pPr>
        <w:pStyle w:val="BodyText"/>
        <w:spacing w:before="0" w:after="0"/>
        <w:jc w:val="right"/>
      </w:pPr>
      <w:r>
        <w:lastRenderedPageBreak/>
        <w:t>Per cent of GDP</w:t>
      </w:r>
    </w:p>
    <w:p w:rsidR="00A401C8" w:rsidRDefault="00A401C8" w:rsidP="00D17B0C">
      <w:pPr>
        <w:pStyle w:val="BodyText"/>
        <w:spacing w:before="0"/>
        <w:sectPr w:rsidR="00A401C8" w:rsidSect="00A401C8">
          <w:type w:val="continuous"/>
          <w:pgSz w:w="11907" w:h="16839" w:code="9"/>
          <w:pgMar w:top="1134" w:right="992" w:bottom="1134" w:left="992" w:header="284" w:footer="454" w:gutter="0"/>
          <w:cols w:num="2" w:space="708"/>
          <w:formProt w:val="0"/>
          <w:docGrid w:linePitch="360"/>
        </w:sectPr>
      </w:pPr>
    </w:p>
    <w:p w:rsidR="00426198" w:rsidRDefault="005154A3" w:rsidP="00D17B0C">
      <w:pPr>
        <w:pStyle w:val="BodyText"/>
        <w:spacing w:before="0"/>
      </w:pPr>
      <w:r w:rsidRPr="005154A3">
        <w:rPr>
          <w:noProof/>
          <w:lang w:eastAsia="en-AU"/>
        </w:rPr>
        <w:lastRenderedPageBreak/>
        <w:drawing>
          <wp:inline distT="0" distB="0" distL="0" distR="0" wp14:anchorId="0F0D57D5" wp14:editId="0DEF3570">
            <wp:extent cx="6266952" cy="370149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6986" cy="3701512"/>
                    </a:xfrm>
                    <a:prstGeom prst="rect">
                      <a:avLst/>
                    </a:prstGeom>
                    <a:noFill/>
                    <a:ln>
                      <a:noFill/>
                    </a:ln>
                  </pic:spPr>
                </pic:pic>
              </a:graphicData>
            </a:graphic>
          </wp:inline>
        </w:drawing>
      </w:r>
    </w:p>
    <w:p w:rsidR="00426198" w:rsidRDefault="00426198">
      <w:pPr>
        <w:rPr>
          <w:rFonts w:cs="Times New Roman"/>
          <w:spacing w:val="-1"/>
        </w:rPr>
      </w:pPr>
      <w:r>
        <w:br w:type="page"/>
      </w:r>
    </w:p>
    <w:p w:rsidR="00426198" w:rsidRPr="00426198" w:rsidRDefault="00426198" w:rsidP="00426198">
      <w:pPr>
        <w:keepNext/>
        <w:keepLines/>
        <w:numPr>
          <w:ilvl w:val="0"/>
          <w:numId w:val="1"/>
        </w:numPr>
        <w:tabs>
          <w:tab w:val="left" w:pos="4536"/>
        </w:tabs>
        <w:spacing w:before="240" w:after="120"/>
        <w:outlineLvl w:val="7"/>
        <w:rPr>
          <w:rFonts w:ascii="Calibri" w:eastAsiaTheme="majorEastAsia" w:hAnsi="Calibri" w:cstheme="majorBidi"/>
          <w:color w:val="2B3B5F" w:themeColor="text2"/>
          <w:sz w:val="30"/>
        </w:rPr>
      </w:pPr>
      <w:r w:rsidRPr="00426198">
        <w:rPr>
          <w:rFonts w:ascii="Calibri" w:eastAsiaTheme="majorEastAsia" w:hAnsi="Calibri" w:cstheme="majorBidi"/>
          <w:color w:val="2B3B5F" w:themeColor="text2"/>
          <w:sz w:val="30"/>
        </w:rPr>
        <w:lastRenderedPageBreak/>
        <w:t>– Dividend imputation credit refunds – distributional analysis</w:t>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t xml:space="preserve">Table </w:t>
      </w:r>
      <w:r w:rsidR="003E5B4A">
        <w:rPr>
          <w:b/>
          <w:bCs/>
          <w:color w:val="2B3B5F" w:themeColor="text2"/>
          <w:spacing w:val="-4"/>
        </w:rPr>
        <w:t>C</w:t>
      </w:r>
      <w:r w:rsidRPr="00426198">
        <w:rPr>
          <w:b/>
          <w:bCs/>
          <w:color w:val="2B3B5F" w:themeColor="text2"/>
          <w:spacing w:val="-4"/>
        </w:rPr>
        <w:t>1: Option 1 — Individual taxpayers directly affected in 2019-20, by pension status</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5070"/>
        <w:gridCol w:w="4962"/>
      </w:tblGrid>
      <w:tr w:rsidR="00426198" w:rsidRPr="00426198" w:rsidTr="00874E70">
        <w:trPr>
          <w:trHeight w:val="300"/>
        </w:trPr>
        <w:tc>
          <w:tcPr>
            <w:tcW w:w="2527" w:type="pct"/>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Pension status</w:t>
            </w:r>
          </w:p>
        </w:tc>
        <w:tc>
          <w:tcPr>
            <w:tcW w:w="2473"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taxpayers directly affected</w:t>
            </w:r>
          </w:p>
        </w:tc>
      </w:tr>
      <w:tr w:rsidR="00426198" w:rsidRPr="00426198" w:rsidTr="00874E70">
        <w:trPr>
          <w:trHeight w:val="300"/>
        </w:trPr>
        <w:tc>
          <w:tcPr>
            <w:tcW w:w="252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Australian Government pension and allowance recipients</w:t>
            </w:r>
          </w:p>
        </w:tc>
        <w:tc>
          <w:tcPr>
            <w:tcW w:w="2473" w:type="pct"/>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320,000</w:t>
            </w:r>
          </w:p>
        </w:tc>
      </w:tr>
      <w:tr w:rsidR="00426198" w:rsidRPr="00426198" w:rsidTr="00874E70">
        <w:trPr>
          <w:trHeight w:val="300"/>
        </w:trPr>
        <w:tc>
          <w:tcPr>
            <w:tcW w:w="252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Not an Australian Government pension and allowance recipient</w:t>
            </w:r>
          </w:p>
        </w:tc>
        <w:tc>
          <w:tcPr>
            <w:tcW w:w="2473" w:type="pct"/>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840,000</w:t>
            </w:r>
          </w:p>
        </w:tc>
      </w:tr>
      <w:tr w:rsidR="00426198" w:rsidRPr="00426198" w:rsidTr="00874E70">
        <w:trPr>
          <w:trHeight w:val="391"/>
        </w:trPr>
        <w:tc>
          <w:tcPr>
            <w:tcW w:w="2527" w:type="pct"/>
            <w:shd w:val="clear" w:color="auto" w:fill="D4DAE8" w:themeFill="accent2" w:themeFillTint="66"/>
            <w:noWrap/>
            <w:vAlign w:val="center"/>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Total individual taxpayers</w:t>
            </w:r>
          </w:p>
        </w:tc>
        <w:tc>
          <w:tcPr>
            <w:tcW w:w="2473" w:type="pct"/>
            <w:shd w:val="clear" w:color="auto" w:fill="D4DAE8" w:themeFill="accent2" w:themeFillTint="66"/>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1,160,000</w:t>
            </w:r>
          </w:p>
        </w:tc>
      </w:tr>
    </w:tbl>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t xml:space="preserve">Table </w:t>
      </w:r>
      <w:r w:rsidR="003E5B4A">
        <w:rPr>
          <w:b/>
          <w:bCs/>
          <w:color w:val="2B3B5F" w:themeColor="text2"/>
          <w:spacing w:val="-4"/>
        </w:rPr>
        <w:t>C</w:t>
      </w:r>
      <w:r w:rsidRPr="00426198">
        <w:rPr>
          <w:b/>
          <w:bCs/>
          <w:color w:val="2B3B5F" w:themeColor="text2"/>
          <w:spacing w:val="-4"/>
        </w:rPr>
        <w:t>2: Option 1 — Superannuation funds directly affected in 2019-20</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1826"/>
        <w:gridCol w:w="3244"/>
        <w:gridCol w:w="4962"/>
      </w:tblGrid>
      <w:tr w:rsidR="00426198" w:rsidRPr="00426198" w:rsidTr="00874E70">
        <w:trPr>
          <w:trHeight w:val="300"/>
        </w:trPr>
        <w:tc>
          <w:tcPr>
            <w:tcW w:w="2527" w:type="pct"/>
            <w:gridSpan w:val="2"/>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Superannuation fund status</w:t>
            </w:r>
          </w:p>
        </w:tc>
        <w:tc>
          <w:tcPr>
            <w:tcW w:w="2473"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funds directly affected</w:t>
            </w:r>
          </w:p>
        </w:tc>
      </w:tr>
      <w:tr w:rsidR="00426198" w:rsidRPr="00426198" w:rsidTr="00874E70">
        <w:trPr>
          <w:trHeight w:val="338"/>
        </w:trPr>
        <w:tc>
          <w:tcPr>
            <w:tcW w:w="910" w:type="pct"/>
            <w:vMerge w:val="restar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Self-managed superannuation funds</w:t>
            </w:r>
          </w:p>
        </w:tc>
        <w:tc>
          <w:tcPr>
            <w:tcW w:w="1617" w:type="pct"/>
            <w:shd w:val="clear" w:color="auto" w:fill="auto"/>
            <w:vAlign w:val="center"/>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eastAsia="Times New Roman" w:cs="Thorndale AMT"/>
                <w:bCs/>
                <w:i/>
                <w:color w:val="000000"/>
                <w:sz w:val="20"/>
                <w:szCs w:val="20"/>
                <w:lang w:eastAsia="en-AU"/>
              </w:rPr>
              <w:t>Contains a member receiving an Australian Government pension and allowance</w:t>
            </w:r>
            <w:r w:rsidRPr="00426198">
              <w:rPr>
                <w:rFonts w:eastAsia="Times New Roman" w:cs="Thorndale AMT"/>
                <w:bCs/>
                <w:i/>
                <w:color w:val="000000"/>
                <w:sz w:val="20"/>
                <w:szCs w:val="20"/>
                <w:vertAlign w:val="superscript"/>
                <w:lang w:eastAsia="en-AU"/>
              </w:rPr>
              <w:t>(a)</w:t>
            </w:r>
          </w:p>
        </w:tc>
        <w:tc>
          <w:tcPr>
            <w:tcW w:w="2473"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20,000</w:t>
            </w:r>
          </w:p>
        </w:tc>
      </w:tr>
      <w:tr w:rsidR="00426198" w:rsidRPr="00426198" w:rsidTr="00874E70">
        <w:trPr>
          <w:trHeight w:val="337"/>
        </w:trPr>
        <w:tc>
          <w:tcPr>
            <w:tcW w:w="910" w:type="pct"/>
            <w:vMerge/>
            <w:shd w:val="clear" w:color="auto" w:fill="auto"/>
            <w:noWrap/>
            <w:vAlign w:val="center"/>
          </w:tcPr>
          <w:p w:rsidR="00426198" w:rsidRPr="00426198" w:rsidRDefault="00426198" w:rsidP="00426198">
            <w:pPr>
              <w:spacing w:before="70" w:after="70" w:line="260" w:lineRule="atLeast"/>
              <w:rPr>
                <w:rFonts w:ascii="Calibri" w:hAnsi="Calibri"/>
                <w:i/>
                <w:color w:val="000000"/>
                <w:sz w:val="20"/>
                <w:szCs w:val="20"/>
              </w:rPr>
            </w:pPr>
          </w:p>
        </w:tc>
        <w:tc>
          <w:tcPr>
            <w:tcW w:w="1617" w:type="pct"/>
            <w:shd w:val="clear" w:color="auto" w:fill="auto"/>
            <w:vAlign w:val="center"/>
          </w:tcPr>
          <w:p w:rsidR="00426198" w:rsidRPr="00426198" w:rsidRDefault="00426198" w:rsidP="00426198">
            <w:pPr>
              <w:spacing w:before="70" w:after="70" w:line="260" w:lineRule="atLeast"/>
              <w:rPr>
                <w:rFonts w:eastAsia="Times New Roman" w:cs="Thorndale AMT"/>
                <w:bCs/>
                <w:i/>
                <w:color w:val="000000"/>
                <w:sz w:val="20"/>
                <w:szCs w:val="20"/>
                <w:vertAlign w:val="superscript"/>
                <w:lang w:eastAsia="en-AU"/>
              </w:rPr>
            </w:pPr>
            <w:r w:rsidRPr="00426198">
              <w:rPr>
                <w:rFonts w:eastAsia="Times New Roman" w:cs="Thorndale AMT"/>
                <w:bCs/>
                <w:i/>
                <w:color w:val="000000"/>
                <w:sz w:val="20"/>
                <w:szCs w:val="20"/>
                <w:lang w:eastAsia="en-AU"/>
              </w:rPr>
              <w:t>Does not contain a member receiving an Australian Government pension and allowance</w:t>
            </w:r>
            <w:r w:rsidRPr="00426198">
              <w:rPr>
                <w:rFonts w:eastAsia="Times New Roman" w:cs="Thorndale AMT"/>
                <w:bCs/>
                <w:i/>
                <w:color w:val="000000"/>
                <w:sz w:val="20"/>
                <w:szCs w:val="20"/>
                <w:vertAlign w:val="superscript"/>
                <w:lang w:eastAsia="en-AU"/>
              </w:rPr>
              <w:t>(a)</w:t>
            </w:r>
          </w:p>
        </w:tc>
        <w:tc>
          <w:tcPr>
            <w:tcW w:w="2473"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210,000</w:t>
            </w:r>
          </w:p>
        </w:tc>
      </w:tr>
      <w:tr w:rsidR="00426198" w:rsidRPr="00426198" w:rsidTr="00874E70">
        <w:trPr>
          <w:trHeight w:val="300"/>
        </w:trPr>
        <w:tc>
          <w:tcPr>
            <w:tcW w:w="2527" w:type="pct"/>
            <w:gridSpan w:val="2"/>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Total self-managed superannuation funds</w:t>
            </w:r>
          </w:p>
        </w:tc>
        <w:tc>
          <w:tcPr>
            <w:tcW w:w="2473" w:type="pct"/>
          </w:tcPr>
          <w:p w:rsidR="00426198" w:rsidRPr="00426198" w:rsidRDefault="00426198" w:rsidP="00426198">
            <w:pPr>
              <w:spacing w:before="70" w:after="70" w:line="260" w:lineRule="atLeast"/>
              <w:jc w:val="right"/>
              <w:rPr>
                <w:rFonts w:ascii="Calibri" w:hAnsi="Calibri"/>
                <w:color w:val="000000"/>
                <w:sz w:val="20"/>
                <w:szCs w:val="20"/>
              </w:rPr>
            </w:pPr>
            <w:r w:rsidRPr="00426198">
              <w:rPr>
                <w:rFonts w:ascii="Calibri" w:hAnsi="Calibri"/>
                <w:color w:val="000000"/>
                <w:sz w:val="20"/>
                <w:szCs w:val="20"/>
              </w:rPr>
              <w:t>230,000</w:t>
            </w:r>
          </w:p>
        </w:tc>
      </w:tr>
      <w:tr w:rsidR="00426198" w:rsidRPr="00426198" w:rsidTr="00874E70">
        <w:trPr>
          <w:trHeight w:val="300"/>
        </w:trPr>
        <w:tc>
          <w:tcPr>
            <w:tcW w:w="2527" w:type="pct"/>
            <w:gridSpan w:val="2"/>
            <w:shd w:val="clear" w:color="auto" w:fill="auto"/>
            <w:noWrap/>
            <w:vAlign w:val="center"/>
          </w:tcPr>
          <w:p w:rsidR="00426198" w:rsidRPr="00426198" w:rsidRDefault="00426198" w:rsidP="00426198">
            <w:pPr>
              <w:spacing w:before="70" w:after="70" w:line="260" w:lineRule="atLeast"/>
              <w:rPr>
                <w:rFonts w:ascii="Calibri" w:hAnsi="Calibri"/>
                <w:i/>
                <w:color w:val="000000"/>
                <w:sz w:val="20"/>
                <w:szCs w:val="20"/>
              </w:rPr>
            </w:pPr>
            <w:r w:rsidRPr="00426198">
              <w:rPr>
                <w:rFonts w:ascii="Calibri" w:hAnsi="Calibri"/>
                <w:i/>
                <w:color w:val="000000"/>
                <w:sz w:val="20"/>
                <w:szCs w:val="20"/>
              </w:rPr>
              <w:t>APRA-regulated superannuation funds</w:t>
            </w:r>
          </w:p>
        </w:tc>
        <w:tc>
          <w:tcPr>
            <w:tcW w:w="2473"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2,300</w:t>
            </w:r>
          </w:p>
        </w:tc>
      </w:tr>
      <w:tr w:rsidR="00426198" w:rsidRPr="00426198" w:rsidTr="00874E70">
        <w:trPr>
          <w:trHeight w:val="391"/>
        </w:trPr>
        <w:tc>
          <w:tcPr>
            <w:tcW w:w="2527" w:type="pct"/>
            <w:gridSpan w:val="2"/>
            <w:shd w:val="clear" w:color="auto" w:fill="D4DAE8" w:themeFill="accent2" w:themeFillTint="66"/>
            <w:noWrap/>
            <w:vAlign w:val="center"/>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Total superannuation funds</w:t>
            </w:r>
          </w:p>
        </w:tc>
        <w:tc>
          <w:tcPr>
            <w:tcW w:w="2473" w:type="pct"/>
            <w:shd w:val="clear" w:color="auto" w:fill="D4DAE8" w:themeFill="accent2" w:themeFillTint="66"/>
            <w:vAlign w:val="center"/>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232,300</w:t>
            </w:r>
          </w:p>
        </w:tc>
      </w:tr>
    </w:tbl>
    <w:p w:rsidR="00426198" w:rsidRPr="00426198" w:rsidRDefault="00426198" w:rsidP="00426198">
      <w:pPr>
        <w:keepNext/>
        <w:keepLines/>
        <w:spacing w:line="260" w:lineRule="atLeast"/>
        <w:ind w:left="284" w:hanging="284"/>
        <w:rPr>
          <w:sz w:val="20"/>
          <w:szCs w:val="20"/>
        </w:rPr>
      </w:pPr>
      <w:r w:rsidRPr="00426198">
        <w:rPr>
          <w:sz w:val="20"/>
          <w:szCs w:val="20"/>
        </w:rPr>
        <w:t>(a)</w:t>
      </w:r>
      <w:r w:rsidRPr="00426198">
        <w:rPr>
          <w:sz w:val="20"/>
          <w:szCs w:val="20"/>
        </w:rPr>
        <w:tab/>
        <w:t>As at 28 March 2018.</w:t>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t xml:space="preserve">Table </w:t>
      </w:r>
      <w:r w:rsidR="003E5B4A">
        <w:rPr>
          <w:b/>
          <w:bCs/>
          <w:color w:val="2B3B5F" w:themeColor="text2"/>
          <w:spacing w:val="-4"/>
        </w:rPr>
        <w:t>C</w:t>
      </w:r>
      <w:r w:rsidRPr="00426198">
        <w:rPr>
          <w:b/>
          <w:bCs/>
          <w:color w:val="2B3B5F" w:themeColor="text2"/>
          <w:spacing w:val="-4"/>
        </w:rPr>
        <w:t>3: Option 2 — Individual taxpayers directly affected in 2019-20, by pension status</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5070"/>
        <w:gridCol w:w="4962"/>
      </w:tblGrid>
      <w:tr w:rsidR="00426198" w:rsidRPr="00426198" w:rsidTr="00874E70">
        <w:trPr>
          <w:trHeight w:val="300"/>
        </w:trPr>
        <w:tc>
          <w:tcPr>
            <w:tcW w:w="2527" w:type="pct"/>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Pension status</w:t>
            </w:r>
          </w:p>
        </w:tc>
        <w:tc>
          <w:tcPr>
            <w:tcW w:w="2473"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taxpayers directly affected</w:t>
            </w:r>
          </w:p>
        </w:tc>
      </w:tr>
      <w:tr w:rsidR="00426198" w:rsidRPr="00426198" w:rsidTr="00874E70">
        <w:trPr>
          <w:trHeight w:val="300"/>
        </w:trPr>
        <w:tc>
          <w:tcPr>
            <w:tcW w:w="252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Australian Government pension and allowance recipients</w:t>
            </w:r>
          </w:p>
        </w:tc>
        <w:tc>
          <w:tcPr>
            <w:tcW w:w="2473" w:type="pct"/>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w:t>
            </w:r>
          </w:p>
        </w:tc>
      </w:tr>
      <w:tr w:rsidR="00426198" w:rsidRPr="00426198" w:rsidTr="00874E70">
        <w:trPr>
          <w:trHeight w:val="300"/>
        </w:trPr>
        <w:tc>
          <w:tcPr>
            <w:tcW w:w="252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Not an Australian Government pension and allowance recipient</w:t>
            </w:r>
          </w:p>
        </w:tc>
        <w:tc>
          <w:tcPr>
            <w:tcW w:w="2473" w:type="pct"/>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840,000</w:t>
            </w:r>
          </w:p>
        </w:tc>
      </w:tr>
      <w:tr w:rsidR="00426198" w:rsidRPr="00426198" w:rsidTr="00874E70">
        <w:trPr>
          <w:trHeight w:val="391"/>
        </w:trPr>
        <w:tc>
          <w:tcPr>
            <w:tcW w:w="2527" w:type="pct"/>
            <w:shd w:val="clear" w:color="auto" w:fill="D4DAE8" w:themeFill="accent2" w:themeFillTint="66"/>
            <w:noWrap/>
            <w:vAlign w:val="center"/>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Total individual taxpayers</w:t>
            </w:r>
          </w:p>
        </w:tc>
        <w:tc>
          <w:tcPr>
            <w:tcW w:w="2473" w:type="pct"/>
            <w:shd w:val="clear" w:color="auto" w:fill="D4DAE8" w:themeFill="accent2" w:themeFillTint="66"/>
            <w:vAlign w:val="center"/>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840,000</w:t>
            </w:r>
          </w:p>
        </w:tc>
      </w:tr>
    </w:tbl>
    <w:p w:rsidR="00426198" w:rsidRPr="00426198" w:rsidRDefault="00426198" w:rsidP="00426198">
      <w:pPr>
        <w:keepLines/>
        <w:numPr>
          <w:ilvl w:val="0"/>
          <w:numId w:val="40"/>
        </w:numPr>
        <w:spacing w:line="260" w:lineRule="atLeast"/>
        <w:ind w:left="284" w:hanging="284"/>
        <w:rPr>
          <w:sz w:val="20"/>
          <w:szCs w:val="20"/>
        </w:rPr>
      </w:pPr>
      <w:r w:rsidRPr="00426198">
        <w:rPr>
          <w:sz w:val="20"/>
          <w:szCs w:val="20"/>
        </w:rPr>
        <w:t>Indicates nil.</w:t>
      </w:r>
    </w:p>
    <w:p w:rsidR="00426198" w:rsidRPr="00426198" w:rsidRDefault="00426198" w:rsidP="00426198">
      <w:pPr>
        <w:rPr>
          <w:b/>
          <w:bCs/>
          <w:color w:val="2B3B5F" w:themeColor="text2"/>
          <w:spacing w:val="-4"/>
        </w:rPr>
      </w:pPr>
      <w:r w:rsidRPr="00426198">
        <w:br w:type="page"/>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lastRenderedPageBreak/>
        <w:t xml:space="preserve">Table </w:t>
      </w:r>
      <w:r w:rsidR="003E5B4A">
        <w:rPr>
          <w:b/>
          <w:bCs/>
          <w:color w:val="2B3B5F" w:themeColor="text2"/>
          <w:spacing w:val="-4"/>
        </w:rPr>
        <w:t>C</w:t>
      </w:r>
      <w:r w:rsidRPr="00426198">
        <w:rPr>
          <w:b/>
          <w:bCs/>
          <w:color w:val="2B3B5F" w:themeColor="text2"/>
          <w:spacing w:val="-4"/>
        </w:rPr>
        <w:t>4: Option 2 — Superannuation funds directly affected in 2019-20</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1826"/>
        <w:gridCol w:w="3812"/>
        <w:gridCol w:w="4394"/>
      </w:tblGrid>
      <w:tr w:rsidR="00426198" w:rsidRPr="00426198" w:rsidTr="00874E70">
        <w:trPr>
          <w:trHeight w:val="300"/>
        </w:trPr>
        <w:tc>
          <w:tcPr>
            <w:tcW w:w="2810" w:type="pct"/>
            <w:gridSpan w:val="2"/>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Superannuation fund status</w:t>
            </w:r>
          </w:p>
        </w:tc>
        <w:tc>
          <w:tcPr>
            <w:tcW w:w="2190"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funds directly affected</w:t>
            </w:r>
          </w:p>
        </w:tc>
      </w:tr>
      <w:tr w:rsidR="00426198" w:rsidRPr="00426198" w:rsidTr="00874E70">
        <w:trPr>
          <w:trHeight w:val="338"/>
        </w:trPr>
        <w:tc>
          <w:tcPr>
            <w:tcW w:w="910" w:type="pct"/>
            <w:vMerge w:val="restart"/>
            <w:shd w:val="clear" w:color="auto" w:fill="auto"/>
            <w:noWrap/>
            <w:vAlign w:val="center"/>
            <w:hideMark/>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ascii="Calibri" w:hAnsi="Calibri"/>
                <w:i/>
                <w:color w:val="000000"/>
                <w:sz w:val="20"/>
                <w:szCs w:val="20"/>
              </w:rPr>
              <w:t>Self-managed superannuation funds</w:t>
            </w:r>
          </w:p>
        </w:tc>
        <w:tc>
          <w:tcPr>
            <w:tcW w:w="1900" w:type="pct"/>
            <w:shd w:val="clear" w:color="auto" w:fill="auto"/>
            <w:vAlign w:val="center"/>
          </w:tcPr>
          <w:p w:rsidR="00426198" w:rsidRPr="00426198" w:rsidRDefault="00426198" w:rsidP="00426198">
            <w:pPr>
              <w:spacing w:before="70" w:after="70" w:line="260" w:lineRule="atLeast"/>
              <w:rPr>
                <w:rFonts w:eastAsia="Times New Roman" w:cs="Thorndale AMT"/>
                <w:bCs/>
                <w:i/>
                <w:color w:val="000000"/>
                <w:sz w:val="20"/>
                <w:szCs w:val="20"/>
                <w:lang w:eastAsia="en-AU"/>
              </w:rPr>
            </w:pPr>
            <w:r w:rsidRPr="00426198">
              <w:rPr>
                <w:rFonts w:eastAsia="Times New Roman" w:cs="Thorndale AMT"/>
                <w:bCs/>
                <w:i/>
                <w:color w:val="000000"/>
                <w:sz w:val="20"/>
                <w:szCs w:val="20"/>
                <w:lang w:eastAsia="en-AU"/>
              </w:rPr>
              <w:t>Contains a member receiving an Australian Government pension and allowance</w:t>
            </w:r>
            <w:r w:rsidRPr="00426198">
              <w:rPr>
                <w:rFonts w:eastAsia="Times New Roman" w:cs="Thorndale AMT"/>
                <w:bCs/>
                <w:i/>
                <w:color w:val="000000"/>
                <w:sz w:val="20"/>
                <w:szCs w:val="20"/>
                <w:vertAlign w:val="superscript"/>
                <w:lang w:eastAsia="en-AU"/>
              </w:rPr>
              <w:t>(a)</w:t>
            </w:r>
          </w:p>
        </w:tc>
        <w:tc>
          <w:tcPr>
            <w:tcW w:w="2190"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w:t>
            </w:r>
          </w:p>
        </w:tc>
      </w:tr>
      <w:tr w:rsidR="00426198" w:rsidRPr="00426198" w:rsidTr="00874E70">
        <w:trPr>
          <w:trHeight w:val="337"/>
        </w:trPr>
        <w:tc>
          <w:tcPr>
            <w:tcW w:w="910" w:type="pct"/>
            <w:vMerge/>
            <w:shd w:val="clear" w:color="auto" w:fill="auto"/>
            <w:noWrap/>
            <w:vAlign w:val="center"/>
          </w:tcPr>
          <w:p w:rsidR="00426198" w:rsidRPr="00426198" w:rsidRDefault="00426198" w:rsidP="00426198">
            <w:pPr>
              <w:spacing w:before="70" w:after="70" w:line="260" w:lineRule="atLeast"/>
              <w:rPr>
                <w:rFonts w:ascii="Calibri" w:hAnsi="Calibri"/>
                <w:i/>
                <w:color w:val="000000"/>
                <w:sz w:val="20"/>
                <w:szCs w:val="20"/>
              </w:rPr>
            </w:pPr>
          </w:p>
        </w:tc>
        <w:tc>
          <w:tcPr>
            <w:tcW w:w="1900" w:type="pct"/>
            <w:shd w:val="clear" w:color="auto" w:fill="auto"/>
            <w:vAlign w:val="center"/>
          </w:tcPr>
          <w:p w:rsidR="00426198" w:rsidRPr="00426198" w:rsidRDefault="00426198" w:rsidP="00426198">
            <w:pPr>
              <w:spacing w:before="70" w:after="70" w:line="260" w:lineRule="atLeast"/>
              <w:rPr>
                <w:rFonts w:eastAsia="Times New Roman" w:cs="Thorndale AMT"/>
                <w:bCs/>
                <w:i/>
                <w:color w:val="000000"/>
                <w:sz w:val="20"/>
                <w:szCs w:val="20"/>
                <w:vertAlign w:val="superscript"/>
                <w:lang w:eastAsia="en-AU"/>
              </w:rPr>
            </w:pPr>
            <w:r w:rsidRPr="00426198">
              <w:rPr>
                <w:rFonts w:eastAsia="Times New Roman" w:cs="Thorndale AMT"/>
                <w:bCs/>
                <w:i/>
                <w:color w:val="000000"/>
                <w:sz w:val="20"/>
                <w:szCs w:val="20"/>
                <w:lang w:eastAsia="en-AU"/>
              </w:rPr>
              <w:t>Does not contain a member receiving an Australian Government pension and allowance</w:t>
            </w:r>
            <w:r w:rsidRPr="00426198">
              <w:rPr>
                <w:rFonts w:eastAsia="Times New Roman" w:cs="Thorndale AMT"/>
                <w:bCs/>
                <w:i/>
                <w:color w:val="000000"/>
                <w:sz w:val="20"/>
                <w:szCs w:val="20"/>
                <w:vertAlign w:val="superscript"/>
                <w:lang w:eastAsia="en-AU"/>
              </w:rPr>
              <w:t>(a)</w:t>
            </w:r>
          </w:p>
        </w:tc>
        <w:tc>
          <w:tcPr>
            <w:tcW w:w="2190"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210,000</w:t>
            </w:r>
          </w:p>
        </w:tc>
      </w:tr>
      <w:tr w:rsidR="00426198" w:rsidRPr="00426198" w:rsidTr="00874E70">
        <w:trPr>
          <w:trHeight w:val="300"/>
        </w:trPr>
        <w:tc>
          <w:tcPr>
            <w:tcW w:w="2810" w:type="pct"/>
            <w:gridSpan w:val="2"/>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Total self-managed superannuation funds</w:t>
            </w:r>
          </w:p>
        </w:tc>
        <w:tc>
          <w:tcPr>
            <w:tcW w:w="2190" w:type="pct"/>
          </w:tcPr>
          <w:p w:rsidR="00426198" w:rsidRPr="00426198" w:rsidRDefault="00426198" w:rsidP="00426198">
            <w:pPr>
              <w:spacing w:before="70" w:after="70" w:line="260" w:lineRule="atLeast"/>
              <w:jc w:val="right"/>
              <w:rPr>
                <w:rFonts w:ascii="Calibri" w:hAnsi="Calibri"/>
                <w:color w:val="000000"/>
                <w:sz w:val="20"/>
                <w:szCs w:val="20"/>
              </w:rPr>
            </w:pPr>
            <w:r w:rsidRPr="00426198">
              <w:rPr>
                <w:rFonts w:ascii="Calibri" w:hAnsi="Calibri"/>
                <w:color w:val="000000"/>
                <w:sz w:val="20"/>
                <w:szCs w:val="20"/>
              </w:rPr>
              <w:t>210,000</w:t>
            </w:r>
          </w:p>
        </w:tc>
      </w:tr>
      <w:tr w:rsidR="00426198" w:rsidRPr="00426198" w:rsidTr="00874E70">
        <w:trPr>
          <w:trHeight w:val="300"/>
        </w:trPr>
        <w:tc>
          <w:tcPr>
            <w:tcW w:w="2810" w:type="pct"/>
            <w:gridSpan w:val="2"/>
            <w:shd w:val="clear" w:color="auto" w:fill="auto"/>
            <w:noWrap/>
            <w:vAlign w:val="center"/>
          </w:tcPr>
          <w:p w:rsidR="00426198" w:rsidRPr="00426198" w:rsidRDefault="00426198" w:rsidP="00426198">
            <w:pPr>
              <w:spacing w:before="70" w:after="70" w:line="260" w:lineRule="atLeast"/>
              <w:rPr>
                <w:rFonts w:ascii="Calibri" w:hAnsi="Calibri"/>
                <w:i/>
                <w:color w:val="000000"/>
                <w:sz w:val="20"/>
                <w:szCs w:val="20"/>
              </w:rPr>
            </w:pPr>
            <w:r w:rsidRPr="00426198">
              <w:rPr>
                <w:rFonts w:ascii="Calibri" w:hAnsi="Calibri"/>
                <w:i/>
                <w:color w:val="000000"/>
                <w:sz w:val="20"/>
                <w:szCs w:val="20"/>
              </w:rPr>
              <w:t>APRA-regulated superannuation funds</w:t>
            </w:r>
          </w:p>
        </w:tc>
        <w:tc>
          <w:tcPr>
            <w:tcW w:w="2190" w:type="pct"/>
            <w:vAlign w:val="center"/>
          </w:tcPr>
          <w:p w:rsidR="00426198" w:rsidRPr="00426198" w:rsidRDefault="00426198" w:rsidP="00426198">
            <w:pPr>
              <w:spacing w:before="70" w:after="70" w:line="260" w:lineRule="atLeast"/>
              <w:jc w:val="right"/>
              <w:rPr>
                <w:rFonts w:ascii="Calibri" w:hAnsi="Calibri"/>
                <w:i/>
                <w:color w:val="000000"/>
                <w:sz w:val="20"/>
                <w:szCs w:val="20"/>
              </w:rPr>
            </w:pPr>
            <w:r w:rsidRPr="00426198">
              <w:rPr>
                <w:rFonts w:ascii="Calibri" w:hAnsi="Calibri"/>
                <w:i/>
                <w:color w:val="000000"/>
                <w:sz w:val="20"/>
                <w:szCs w:val="20"/>
              </w:rPr>
              <w:t>2,300</w:t>
            </w:r>
          </w:p>
        </w:tc>
      </w:tr>
      <w:tr w:rsidR="00426198" w:rsidRPr="00426198" w:rsidTr="00874E70">
        <w:trPr>
          <w:trHeight w:val="391"/>
        </w:trPr>
        <w:tc>
          <w:tcPr>
            <w:tcW w:w="2810" w:type="pct"/>
            <w:gridSpan w:val="2"/>
            <w:shd w:val="clear" w:color="auto" w:fill="D4DAE8" w:themeFill="accent2" w:themeFillTint="66"/>
            <w:noWrap/>
            <w:vAlign w:val="center"/>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Total superannuation funds</w:t>
            </w:r>
          </w:p>
        </w:tc>
        <w:tc>
          <w:tcPr>
            <w:tcW w:w="2190" w:type="pct"/>
            <w:shd w:val="clear" w:color="auto" w:fill="D4DAE8" w:themeFill="accent2" w:themeFillTint="66"/>
            <w:vAlign w:val="center"/>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212,300</w:t>
            </w:r>
          </w:p>
        </w:tc>
      </w:tr>
    </w:tbl>
    <w:p w:rsidR="00426198" w:rsidRPr="00426198" w:rsidRDefault="00426198" w:rsidP="00426198">
      <w:pPr>
        <w:keepNext/>
        <w:keepLines/>
        <w:spacing w:line="260" w:lineRule="atLeast"/>
        <w:ind w:left="284" w:hanging="284"/>
        <w:rPr>
          <w:sz w:val="20"/>
          <w:szCs w:val="20"/>
        </w:rPr>
      </w:pPr>
      <w:r w:rsidRPr="00426198">
        <w:rPr>
          <w:sz w:val="20"/>
          <w:szCs w:val="20"/>
        </w:rPr>
        <w:t>(a) As at 28 March 2018.</w:t>
      </w:r>
    </w:p>
    <w:p w:rsidR="00426198" w:rsidRPr="00426198" w:rsidRDefault="00426198" w:rsidP="00426198">
      <w:pPr>
        <w:keepNext/>
        <w:keepLines/>
        <w:spacing w:line="260" w:lineRule="atLeast"/>
        <w:ind w:left="284" w:hanging="284"/>
        <w:rPr>
          <w:sz w:val="20"/>
          <w:szCs w:val="20"/>
        </w:rPr>
      </w:pPr>
      <w:r w:rsidRPr="00426198">
        <w:rPr>
          <w:sz w:val="20"/>
          <w:szCs w:val="20"/>
        </w:rPr>
        <w:t>-    Indicates nil.</w:t>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t xml:space="preserve">Table </w:t>
      </w:r>
      <w:r w:rsidR="003E5B4A">
        <w:rPr>
          <w:b/>
          <w:bCs/>
          <w:color w:val="2B3B5F" w:themeColor="text2"/>
          <w:spacing w:val="-4"/>
        </w:rPr>
        <w:t>C</w:t>
      </w:r>
      <w:r w:rsidRPr="00426198">
        <w:rPr>
          <w:b/>
          <w:bCs/>
          <w:color w:val="2B3B5F" w:themeColor="text2"/>
          <w:spacing w:val="-4"/>
        </w:rPr>
        <w:t>5: Individuals — Distribution by taxable income in 2014</w:t>
      </w:r>
      <w:r w:rsidRPr="00426198">
        <w:rPr>
          <w:b/>
          <w:bCs/>
          <w:color w:val="2B3B5F" w:themeColor="text2"/>
          <w:spacing w:val="-4"/>
        </w:rPr>
        <w:noBreakHyphen/>
      </w:r>
      <w:proofErr w:type="gramStart"/>
      <w:r w:rsidRPr="00426198">
        <w:rPr>
          <w:b/>
          <w:bCs/>
          <w:color w:val="2B3B5F" w:themeColor="text2"/>
          <w:spacing w:val="-4"/>
        </w:rPr>
        <w:t>15</w:t>
      </w:r>
      <w:r w:rsidRPr="00426198">
        <w:rPr>
          <w:b/>
          <w:bCs/>
          <w:color w:val="2B3B5F" w:themeColor="text2"/>
          <w:spacing w:val="-4"/>
          <w:vertAlign w:val="superscript"/>
        </w:rPr>
        <w:t>(</w:t>
      </w:r>
      <w:proofErr w:type="gramEnd"/>
      <w:r w:rsidRPr="00426198">
        <w:rPr>
          <w:b/>
          <w:bCs/>
          <w:color w:val="2B3B5F" w:themeColor="text2"/>
          <w:spacing w:val="-4"/>
          <w:vertAlign w:val="superscript"/>
        </w:rPr>
        <w:t>a)</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1107"/>
        <w:gridCol w:w="2127"/>
        <w:gridCol w:w="1699"/>
        <w:gridCol w:w="1699"/>
        <w:gridCol w:w="1699"/>
        <w:gridCol w:w="1701"/>
      </w:tblGrid>
      <w:tr w:rsidR="00426198" w:rsidRPr="00426198" w:rsidTr="00874E70">
        <w:trPr>
          <w:trHeight w:val="300"/>
        </w:trPr>
        <w:tc>
          <w:tcPr>
            <w:tcW w:w="551" w:type="pct"/>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Decile</w:t>
            </w:r>
            <w:r w:rsidRPr="00426198">
              <w:rPr>
                <w:rFonts w:eastAsia="Times New Roman" w:cs="Thorndale AMT"/>
                <w:b/>
                <w:bCs/>
                <w:color w:val="000000"/>
                <w:sz w:val="20"/>
                <w:szCs w:val="20"/>
                <w:vertAlign w:val="superscript"/>
                <w:lang w:eastAsia="en-AU"/>
              </w:rPr>
              <w:t>(b)</w:t>
            </w:r>
          </w:p>
        </w:tc>
        <w:tc>
          <w:tcPr>
            <w:tcW w:w="1060" w:type="pct"/>
            <w:shd w:val="clear" w:color="auto" w:fill="D7DDE9"/>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Taxable income range</w:t>
            </w:r>
          </w:p>
        </w:tc>
        <w:tc>
          <w:tcPr>
            <w:tcW w:w="847"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individuals claiming excess franking credits</w:t>
            </w:r>
          </w:p>
        </w:tc>
        <w:tc>
          <w:tcPr>
            <w:tcW w:w="847"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Percentage claiming excess franking credits</w:t>
            </w:r>
          </w:p>
        </w:tc>
        <w:tc>
          <w:tcPr>
            <w:tcW w:w="847"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Average excess franking credits claimed ($)</w:t>
            </w:r>
            <w:r w:rsidRPr="00426198">
              <w:rPr>
                <w:rFonts w:eastAsia="Times New Roman" w:cs="Thorndale AMT"/>
                <w:b/>
                <w:bCs/>
                <w:color w:val="000000"/>
                <w:sz w:val="20"/>
                <w:szCs w:val="20"/>
                <w:vertAlign w:val="superscript"/>
                <w:lang w:eastAsia="en-AU"/>
              </w:rPr>
              <w:t>(c)</w:t>
            </w:r>
          </w:p>
        </w:tc>
        <w:tc>
          <w:tcPr>
            <w:tcW w:w="848"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Total excess franking credits claimed ($m)</w:t>
            </w:r>
            <w:r w:rsidRPr="00426198">
              <w:rPr>
                <w:rFonts w:eastAsia="Times New Roman" w:cs="Thorndale AMT"/>
                <w:b/>
                <w:bCs/>
                <w:color w:val="000000"/>
                <w:sz w:val="20"/>
                <w:szCs w:val="20"/>
                <w:vertAlign w:val="superscript"/>
                <w:lang w:eastAsia="en-AU"/>
              </w:rPr>
              <w:t>(d)</w:t>
            </w:r>
          </w:p>
        </w:tc>
      </w:tr>
      <w:tr w:rsidR="00426198" w:rsidRPr="00426198" w:rsidTr="00874E70">
        <w:trPr>
          <w:trHeight w:val="300"/>
        </w:trPr>
        <w:tc>
          <w:tcPr>
            <w:tcW w:w="551"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1</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Under $9,500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403,700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29.5%</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640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258.8</w:t>
            </w:r>
          </w:p>
        </w:tc>
      </w:tr>
      <w:tr w:rsidR="00426198" w:rsidRPr="00426198" w:rsidTr="00874E70">
        <w:trPr>
          <w:trHeight w:val="300"/>
        </w:trPr>
        <w:tc>
          <w:tcPr>
            <w:tcW w:w="551"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2</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$9,500 to $19,000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267,700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19.3%</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990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266.3</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3</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$19,000 to $26,400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198,700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14.3%</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1,580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312.9</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4</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$26,400 to $35,000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112,900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8.1%</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2,980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336.6</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5</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$35,000 to $43,200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53,200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3.8%</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4,430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236.1</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6</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$43,200 to $52,500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24,200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1.7%</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4,670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112.8</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7</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$52,500 to $64,400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17,000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1.2%</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5,040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85.7</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8</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$64,400 to $80,200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22,500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1.6%</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6,030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136.0</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9</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$80,200 to $109,600</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16,100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1.2%</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5,980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96.0</w:t>
            </w:r>
          </w:p>
        </w:tc>
      </w:tr>
      <w:tr w:rsidR="00426198" w:rsidRPr="00426198" w:rsidTr="00874E70">
        <w:trPr>
          <w:trHeight w:val="300"/>
        </w:trPr>
        <w:tc>
          <w:tcPr>
            <w:tcW w:w="551"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10</w:t>
            </w:r>
          </w:p>
        </w:tc>
        <w:tc>
          <w:tcPr>
            <w:tcW w:w="1060" w:type="pct"/>
            <w:vAlign w:val="center"/>
          </w:tcPr>
          <w:p w:rsidR="00426198" w:rsidRPr="00426198" w:rsidRDefault="00426198" w:rsidP="00426198">
            <w:pPr>
              <w:spacing w:before="70" w:after="70" w:line="260" w:lineRule="atLeast"/>
              <w:rPr>
                <w:color w:val="000000"/>
                <w:sz w:val="20"/>
                <w:szCs w:val="20"/>
              </w:rPr>
            </w:pPr>
            <w:r w:rsidRPr="00426198">
              <w:rPr>
                <w:color w:val="000000"/>
                <w:sz w:val="20"/>
                <w:szCs w:val="20"/>
              </w:rPr>
              <w:t>$109,600 and over</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16,300</w:t>
            </w:r>
          </w:p>
        </w:tc>
        <w:tc>
          <w:tcPr>
            <w:tcW w:w="847" w:type="pct"/>
            <w:vAlign w:val="center"/>
          </w:tcPr>
          <w:p w:rsidR="00426198" w:rsidRPr="00426198" w:rsidRDefault="00426198" w:rsidP="00426198">
            <w:pPr>
              <w:tabs>
                <w:tab w:val="decimal" w:pos="293"/>
                <w:tab w:val="decimal" w:pos="954"/>
              </w:tabs>
              <w:jc w:val="right"/>
              <w:rPr>
                <w:color w:val="000000"/>
                <w:sz w:val="20"/>
                <w:szCs w:val="20"/>
              </w:rPr>
            </w:pPr>
            <w:r w:rsidRPr="00426198">
              <w:rPr>
                <w:color w:val="000000"/>
                <w:sz w:val="20"/>
                <w:szCs w:val="20"/>
              </w:rPr>
              <w:t>1.2%</w:t>
            </w:r>
          </w:p>
        </w:tc>
        <w:tc>
          <w:tcPr>
            <w:tcW w:w="847" w:type="pct"/>
            <w:vAlign w:val="center"/>
          </w:tcPr>
          <w:p w:rsidR="00426198" w:rsidRPr="00426198" w:rsidRDefault="00426198" w:rsidP="00426198">
            <w:pPr>
              <w:tabs>
                <w:tab w:val="decimal" w:pos="954"/>
              </w:tabs>
              <w:jc w:val="right"/>
              <w:rPr>
                <w:color w:val="000000"/>
                <w:sz w:val="20"/>
                <w:szCs w:val="20"/>
              </w:rPr>
            </w:pPr>
            <w:r w:rsidRPr="00426198">
              <w:rPr>
                <w:color w:val="000000"/>
                <w:sz w:val="20"/>
                <w:szCs w:val="20"/>
              </w:rPr>
              <w:t>11,880</w:t>
            </w:r>
          </w:p>
        </w:tc>
        <w:tc>
          <w:tcPr>
            <w:tcW w:w="848" w:type="pct"/>
            <w:vAlign w:val="center"/>
          </w:tcPr>
          <w:p w:rsidR="00426198" w:rsidRPr="00426198" w:rsidRDefault="00426198" w:rsidP="00426198">
            <w:pPr>
              <w:tabs>
                <w:tab w:val="decimal" w:pos="600"/>
              </w:tabs>
              <w:jc w:val="right"/>
              <w:rPr>
                <w:color w:val="000000"/>
                <w:sz w:val="20"/>
                <w:szCs w:val="20"/>
              </w:rPr>
            </w:pPr>
            <w:r w:rsidRPr="00426198">
              <w:rPr>
                <w:color w:val="000000"/>
                <w:sz w:val="20"/>
                <w:szCs w:val="20"/>
              </w:rPr>
              <w:t>193.8</w:t>
            </w:r>
          </w:p>
        </w:tc>
      </w:tr>
      <w:tr w:rsidR="00426198" w:rsidRPr="00426198" w:rsidTr="00874E70">
        <w:trPr>
          <w:trHeight w:val="393"/>
        </w:trPr>
        <w:tc>
          <w:tcPr>
            <w:tcW w:w="1610" w:type="pct"/>
            <w:gridSpan w:val="2"/>
            <w:shd w:val="clear" w:color="auto" w:fill="D7DDE9"/>
            <w:noWrap/>
            <w:vAlign w:val="center"/>
          </w:tcPr>
          <w:p w:rsidR="00426198" w:rsidRPr="00426198" w:rsidRDefault="00426198" w:rsidP="00426198">
            <w:pPr>
              <w:tabs>
                <w:tab w:val="decimal" w:pos="954"/>
              </w:tabs>
              <w:rPr>
                <w:b/>
                <w:bCs/>
                <w:color w:val="000000"/>
                <w:sz w:val="20"/>
                <w:szCs w:val="20"/>
              </w:rPr>
            </w:pPr>
            <w:r w:rsidRPr="00426198">
              <w:rPr>
                <w:rFonts w:eastAsia="Times New Roman" w:cs="Thorndale AMT"/>
                <w:b/>
                <w:bCs/>
                <w:color w:val="000000"/>
                <w:sz w:val="20"/>
                <w:szCs w:val="20"/>
                <w:lang w:eastAsia="en-AU"/>
              </w:rPr>
              <w:t>Total individual taxpayers</w:t>
            </w:r>
          </w:p>
        </w:tc>
        <w:tc>
          <w:tcPr>
            <w:tcW w:w="847" w:type="pct"/>
            <w:shd w:val="clear" w:color="auto" w:fill="D7DDE9"/>
            <w:vAlign w:val="center"/>
          </w:tcPr>
          <w:p w:rsidR="00426198" w:rsidRPr="00426198" w:rsidRDefault="00426198" w:rsidP="00426198">
            <w:pPr>
              <w:tabs>
                <w:tab w:val="decimal" w:pos="954"/>
              </w:tabs>
              <w:jc w:val="right"/>
              <w:rPr>
                <w:b/>
                <w:bCs/>
                <w:color w:val="000000"/>
                <w:sz w:val="20"/>
                <w:szCs w:val="20"/>
              </w:rPr>
            </w:pPr>
            <w:r w:rsidRPr="00426198">
              <w:rPr>
                <w:b/>
                <w:bCs/>
                <w:color w:val="000000"/>
                <w:sz w:val="20"/>
                <w:szCs w:val="20"/>
              </w:rPr>
              <w:t>1,132,300</w:t>
            </w:r>
          </w:p>
        </w:tc>
        <w:tc>
          <w:tcPr>
            <w:tcW w:w="847" w:type="pct"/>
            <w:shd w:val="clear" w:color="auto" w:fill="D7DDE9"/>
            <w:vAlign w:val="center"/>
          </w:tcPr>
          <w:p w:rsidR="00426198" w:rsidRPr="00426198" w:rsidRDefault="00426198" w:rsidP="00426198">
            <w:pPr>
              <w:jc w:val="right"/>
              <w:rPr>
                <w:b/>
                <w:bCs/>
                <w:color w:val="000000"/>
                <w:sz w:val="20"/>
                <w:szCs w:val="20"/>
              </w:rPr>
            </w:pPr>
            <w:r w:rsidRPr="00426198">
              <w:rPr>
                <w:b/>
                <w:bCs/>
                <w:color w:val="000000"/>
                <w:sz w:val="20"/>
                <w:szCs w:val="20"/>
              </w:rPr>
              <w:t>8.1%</w:t>
            </w:r>
          </w:p>
        </w:tc>
        <w:tc>
          <w:tcPr>
            <w:tcW w:w="847" w:type="pct"/>
            <w:shd w:val="clear" w:color="auto" w:fill="D7DDE9"/>
            <w:vAlign w:val="center"/>
          </w:tcPr>
          <w:p w:rsidR="00426198" w:rsidRPr="00426198" w:rsidRDefault="00426198" w:rsidP="00426198">
            <w:pPr>
              <w:tabs>
                <w:tab w:val="decimal" w:pos="954"/>
              </w:tabs>
              <w:jc w:val="right"/>
              <w:rPr>
                <w:b/>
                <w:color w:val="000000"/>
                <w:sz w:val="20"/>
                <w:szCs w:val="20"/>
              </w:rPr>
            </w:pPr>
            <w:r w:rsidRPr="00426198">
              <w:rPr>
                <w:b/>
                <w:color w:val="000000"/>
                <w:sz w:val="20"/>
                <w:szCs w:val="20"/>
              </w:rPr>
              <w:t>1,800</w:t>
            </w:r>
          </w:p>
        </w:tc>
        <w:tc>
          <w:tcPr>
            <w:tcW w:w="848" w:type="pct"/>
            <w:shd w:val="clear" w:color="auto" w:fill="D7DDE9"/>
            <w:vAlign w:val="center"/>
          </w:tcPr>
          <w:p w:rsidR="00426198" w:rsidRPr="00426198" w:rsidRDefault="00426198" w:rsidP="00426198">
            <w:pPr>
              <w:tabs>
                <w:tab w:val="decimal" w:pos="600"/>
              </w:tabs>
              <w:jc w:val="right"/>
              <w:rPr>
                <w:b/>
                <w:color w:val="000000"/>
                <w:sz w:val="20"/>
                <w:szCs w:val="20"/>
              </w:rPr>
            </w:pPr>
            <w:r w:rsidRPr="00426198">
              <w:rPr>
                <w:b/>
                <w:color w:val="000000"/>
                <w:sz w:val="20"/>
                <w:szCs w:val="20"/>
              </w:rPr>
              <w:t>2,035.1</w:t>
            </w:r>
          </w:p>
        </w:tc>
      </w:tr>
    </w:tbl>
    <w:p w:rsidR="00426198" w:rsidRPr="00426198" w:rsidRDefault="00426198" w:rsidP="00426198">
      <w:pPr>
        <w:keepNext/>
        <w:keepLines/>
        <w:spacing w:line="260" w:lineRule="atLeast"/>
        <w:ind w:left="284" w:hanging="284"/>
        <w:rPr>
          <w:sz w:val="20"/>
          <w:szCs w:val="20"/>
        </w:rPr>
      </w:pPr>
      <w:r w:rsidRPr="00426198">
        <w:rPr>
          <w:sz w:val="20"/>
          <w:szCs w:val="20"/>
        </w:rPr>
        <w:t>(a)</w:t>
      </w:r>
      <w:r w:rsidRPr="00426198">
        <w:rPr>
          <w:sz w:val="20"/>
          <w:szCs w:val="20"/>
        </w:rPr>
        <w:tab/>
        <w:t>Figures may not sum to totals due to rounding.</w:t>
      </w:r>
    </w:p>
    <w:p w:rsidR="00426198" w:rsidRPr="00426198" w:rsidRDefault="00426198" w:rsidP="00426198">
      <w:pPr>
        <w:keepNext/>
        <w:keepLines/>
        <w:spacing w:line="260" w:lineRule="atLeast"/>
        <w:ind w:left="284" w:hanging="284"/>
        <w:rPr>
          <w:sz w:val="20"/>
          <w:szCs w:val="20"/>
        </w:rPr>
      </w:pPr>
      <w:r w:rsidRPr="00426198">
        <w:rPr>
          <w:sz w:val="20"/>
          <w:szCs w:val="20"/>
        </w:rPr>
        <w:t>(b)</w:t>
      </w:r>
      <w:r w:rsidRPr="00426198">
        <w:rPr>
          <w:sz w:val="20"/>
          <w:szCs w:val="20"/>
        </w:rPr>
        <w:tab/>
        <w:t>Based on the income of all taxpayers in 2014-15.</w:t>
      </w:r>
    </w:p>
    <w:p w:rsidR="00426198" w:rsidRPr="00426198" w:rsidRDefault="00426198" w:rsidP="00426198">
      <w:pPr>
        <w:keepNext/>
        <w:keepLines/>
        <w:spacing w:line="260" w:lineRule="atLeast"/>
        <w:ind w:left="284" w:hanging="284"/>
        <w:rPr>
          <w:sz w:val="20"/>
          <w:szCs w:val="20"/>
        </w:rPr>
      </w:pPr>
      <w:r w:rsidRPr="00426198">
        <w:rPr>
          <w:sz w:val="20"/>
          <w:szCs w:val="20"/>
        </w:rPr>
        <w:t>(c)</w:t>
      </w:r>
      <w:r w:rsidRPr="00426198">
        <w:rPr>
          <w:sz w:val="20"/>
          <w:szCs w:val="20"/>
        </w:rPr>
        <w:tab/>
        <w:t>Calculated as the average franking credit refund of those individuals who received a refund in 2014-15.</w:t>
      </w:r>
    </w:p>
    <w:p w:rsidR="00426198" w:rsidRPr="00426198" w:rsidRDefault="00426198" w:rsidP="00426198">
      <w:pPr>
        <w:keepNext/>
        <w:keepLines/>
        <w:spacing w:line="260" w:lineRule="atLeast"/>
        <w:ind w:left="284" w:hanging="284"/>
        <w:rPr>
          <w:sz w:val="20"/>
          <w:szCs w:val="20"/>
        </w:rPr>
      </w:pPr>
      <w:r w:rsidRPr="00426198">
        <w:rPr>
          <w:sz w:val="20"/>
          <w:szCs w:val="20"/>
        </w:rPr>
        <w:t>(d)</w:t>
      </w:r>
      <w:r w:rsidRPr="00426198">
        <w:rPr>
          <w:sz w:val="20"/>
          <w:szCs w:val="20"/>
        </w:rPr>
        <w:tab/>
        <w:t xml:space="preserve">Calculated as </w:t>
      </w:r>
      <w:r w:rsidRPr="00426198">
        <w:rPr>
          <w:i/>
          <w:sz w:val="20"/>
          <w:szCs w:val="20"/>
        </w:rPr>
        <w:t>the number claiming excess franking credits</w:t>
      </w:r>
      <w:r w:rsidRPr="00426198">
        <w:rPr>
          <w:sz w:val="20"/>
          <w:szCs w:val="20"/>
        </w:rPr>
        <w:t xml:space="preserve"> multiplied by the </w:t>
      </w:r>
      <w:r w:rsidRPr="00426198">
        <w:rPr>
          <w:i/>
          <w:sz w:val="20"/>
          <w:szCs w:val="20"/>
        </w:rPr>
        <w:t>average excess franking credits claimed</w:t>
      </w:r>
      <w:r w:rsidRPr="00426198">
        <w:rPr>
          <w:sz w:val="20"/>
          <w:szCs w:val="20"/>
        </w:rPr>
        <w:t>.</w:t>
      </w:r>
    </w:p>
    <w:p w:rsidR="00426198" w:rsidRPr="00426198" w:rsidRDefault="00426198" w:rsidP="00426198">
      <w:pPr>
        <w:rPr>
          <w:b/>
          <w:bCs/>
          <w:color w:val="2B3B5F" w:themeColor="text2"/>
          <w:spacing w:val="-4"/>
        </w:rPr>
      </w:pPr>
      <w:r w:rsidRPr="00426198">
        <w:br w:type="page"/>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lastRenderedPageBreak/>
        <w:t xml:space="preserve">Table </w:t>
      </w:r>
      <w:r w:rsidR="003E5B4A">
        <w:rPr>
          <w:b/>
          <w:bCs/>
          <w:color w:val="2B3B5F" w:themeColor="text2"/>
          <w:spacing w:val="-4"/>
        </w:rPr>
        <w:t>C</w:t>
      </w:r>
      <w:r w:rsidRPr="00426198">
        <w:rPr>
          <w:b/>
          <w:bCs/>
          <w:color w:val="2B3B5F" w:themeColor="text2"/>
          <w:spacing w:val="-4"/>
        </w:rPr>
        <w:t>6: Self-managed superannuation funds (SMSFs) — Distribution by fund balance in 2014</w:t>
      </w:r>
      <w:r w:rsidRPr="00426198">
        <w:rPr>
          <w:b/>
          <w:bCs/>
          <w:color w:val="2B3B5F" w:themeColor="text2"/>
          <w:spacing w:val="-4"/>
        </w:rPr>
        <w:noBreakHyphen/>
      </w:r>
      <w:proofErr w:type="gramStart"/>
      <w:r w:rsidRPr="00426198">
        <w:rPr>
          <w:b/>
          <w:bCs/>
          <w:color w:val="2B3B5F" w:themeColor="text2"/>
          <w:spacing w:val="-4"/>
        </w:rPr>
        <w:t>15</w:t>
      </w:r>
      <w:r w:rsidRPr="00426198">
        <w:rPr>
          <w:b/>
          <w:bCs/>
          <w:color w:val="2B3B5F" w:themeColor="text2"/>
          <w:spacing w:val="-4"/>
          <w:vertAlign w:val="superscript"/>
        </w:rPr>
        <w:t>(</w:t>
      </w:r>
      <w:proofErr w:type="gramEnd"/>
      <w:r w:rsidRPr="00426198">
        <w:rPr>
          <w:b/>
          <w:bCs/>
          <w:color w:val="2B3B5F" w:themeColor="text2"/>
          <w:spacing w:val="-4"/>
          <w:vertAlign w:val="superscript"/>
        </w:rPr>
        <w:t>a)</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958"/>
        <w:gridCol w:w="2557"/>
        <w:gridCol w:w="1630"/>
        <w:gridCol w:w="1629"/>
        <w:gridCol w:w="1629"/>
        <w:gridCol w:w="1629"/>
      </w:tblGrid>
      <w:tr w:rsidR="00426198" w:rsidRPr="00426198" w:rsidTr="00874E70">
        <w:trPr>
          <w:trHeight w:val="300"/>
        </w:trPr>
        <w:tc>
          <w:tcPr>
            <w:tcW w:w="477" w:type="pct"/>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Decile</w:t>
            </w:r>
            <w:r w:rsidRPr="00426198">
              <w:rPr>
                <w:rFonts w:eastAsia="Times New Roman" w:cs="Thorndale AMT"/>
                <w:b/>
                <w:bCs/>
                <w:color w:val="000000"/>
                <w:sz w:val="20"/>
                <w:szCs w:val="20"/>
                <w:vertAlign w:val="superscript"/>
                <w:lang w:eastAsia="en-AU"/>
              </w:rPr>
              <w:t>(b)</w:t>
            </w:r>
          </w:p>
        </w:tc>
        <w:tc>
          <w:tcPr>
            <w:tcW w:w="1274" w:type="pct"/>
            <w:shd w:val="clear" w:color="auto" w:fill="D7DDE9"/>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Fund balance range</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funds claiming excess franking credits</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Percentage claiming excess franking credits</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Average excess franking credits claimed ($)</w:t>
            </w:r>
            <w:r w:rsidRPr="00426198">
              <w:rPr>
                <w:rFonts w:eastAsia="Times New Roman" w:cs="Thorndale AMT"/>
                <w:b/>
                <w:bCs/>
                <w:color w:val="000000"/>
                <w:sz w:val="20"/>
                <w:szCs w:val="20"/>
                <w:vertAlign w:val="superscript"/>
                <w:lang w:eastAsia="en-AU"/>
              </w:rPr>
              <w:t>(c)</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Total excess franking credits claimed ($m)</w:t>
            </w:r>
            <w:r w:rsidRPr="00426198">
              <w:rPr>
                <w:rFonts w:eastAsia="Times New Roman" w:cs="Thorndale AMT"/>
                <w:b/>
                <w:bCs/>
                <w:color w:val="000000"/>
                <w:sz w:val="20"/>
                <w:szCs w:val="20"/>
                <w:vertAlign w:val="superscript"/>
                <w:lang w:eastAsia="en-AU"/>
              </w:rPr>
              <w:t>(d)</w:t>
            </w:r>
          </w:p>
        </w:tc>
      </w:tr>
      <w:tr w:rsidR="00426198" w:rsidRPr="00426198" w:rsidTr="00874E70">
        <w:trPr>
          <w:trHeight w:val="300"/>
        </w:trPr>
        <w:tc>
          <w:tcPr>
            <w:tcW w:w="47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1</w:t>
            </w:r>
          </w:p>
        </w:tc>
        <w:tc>
          <w:tcPr>
            <w:tcW w:w="1274" w:type="pct"/>
            <w:vAlign w:val="center"/>
          </w:tcPr>
          <w:p w:rsidR="00426198" w:rsidRPr="00426198" w:rsidRDefault="00426198" w:rsidP="00426198">
            <w:pPr>
              <w:rPr>
                <w:sz w:val="20"/>
                <w:szCs w:val="20"/>
              </w:rPr>
            </w:pPr>
            <w:r w:rsidRPr="00426198">
              <w:rPr>
                <w:sz w:val="20"/>
                <w:szCs w:val="20"/>
              </w:rPr>
              <w:t>$0 to $90,276</w:t>
            </w:r>
          </w:p>
        </w:tc>
        <w:tc>
          <w:tcPr>
            <w:tcW w:w="812" w:type="pct"/>
            <w:vAlign w:val="center"/>
          </w:tcPr>
          <w:p w:rsidR="00426198" w:rsidRPr="00426198" w:rsidRDefault="00426198" w:rsidP="00426198">
            <w:pPr>
              <w:jc w:val="right"/>
              <w:rPr>
                <w:sz w:val="20"/>
                <w:szCs w:val="20"/>
              </w:rPr>
            </w:pPr>
            <w:r w:rsidRPr="00426198">
              <w:rPr>
                <w:sz w:val="20"/>
                <w:szCs w:val="20"/>
              </w:rPr>
              <w:t>8,616</w:t>
            </w:r>
          </w:p>
        </w:tc>
        <w:tc>
          <w:tcPr>
            <w:tcW w:w="812" w:type="pct"/>
            <w:vAlign w:val="center"/>
          </w:tcPr>
          <w:p w:rsidR="00426198" w:rsidRPr="00426198" w:rsidRDefault="00426198" w:rsidP="00426198">
            <w:pPr>
              <w:jc w:val="right"/>
              <w:rPr>
                <w:sz w:val="20"/>
                <w:szCs w:val="20"/>
              </w:rPr>
            </w:pPr>
            <w:r w:rsidRPr="00426198">
              <w:rPr>
                <w:sz w:val="20"/>
                <w:szCs w:val="20"/>
              </w:rPr>
              <w:t>17.9%</w:t>
            </w:r>
          </w:p>
        </w:tc>
        <w:tc>
          <w:tcPr>
            <w:tcW w:w="812" w:type="pct"/>
            <w:vAlign w:val="center"/>
          </w:tcPr>
          <w:p w:rsidR="00426198" w:rsidRPr="00426198" w:rsidRDefault="00426198" w:rsidP="00426198">
            <w:pPr>
              <w:jc w:val="right"/>
              <w:rPr>
                <w:sz w:val="20"/>
                <w:szCs w:val="20"/>
              </w:rPr>
            </w:pPr>
            <w:r w:rsidRPr="00426198">
              <w:rPr>
                <w:sz w:val="20"/>
                <w:szCs w:val="20"/>
              </w:rPr>
              <w:t xml:space="preserve"> 1,391 </w:t>
            </w:r>
          </w:p>
        </w:tc>
        <w:tc>
          <w:tcPr>
            <w:tcW w:w="812" w:type="pct"/>
            <w:vAlign w:val="center"/>
          </w:tcPr>
          <w:p w:rsidR="00426198" w:rsidRPr="00426198" w:rsidRDefault="00426198" w:rsidP="00426198">
            <w:pPr>
              <w:jc w:val="right"/>
              <w:rPr>
                <w:sz w:val="20"/>
                <w:szCs w:val="20"/>
              </w:rPr>
            </w:pPr>
            <w:r w:rsidRPr="00426198">
              <w:rPr>
                <w:sz w:val="20"/>
                <w:szCs w:val="20"/>
              </w:rPr>
              <w:t xml:space="preserve"> 12.0 </w:t>
            </w:r>
          </w:p>
        </w:tc>
      </w:tr>
      <w:tr w:rsidR="00426198" w:rsidRPr="00426198" w:rsidTr="00874E70">
        <w:trPr>
          <w:trHeight w:val="300"/>
        </w:trPr>
        <w:tc>
          <w:tcPr>
            <w:tcW w:w="47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2</w:t>
            </w:r>
          </w:p>
        </w:tc>
        <w:tc>
          <w:tcPr>
            <w:tcW w:w="1274" w:type="pct"/>
            <w:vAlign w:val="center"/>
          </w:tcPr>
          <w:p w:rsidR="00426198" w:rsidRPr="00426198" w:rsidRDefault="00426198" w:rsidP="00426198">
            <w:pPr>
              <w:rPr>
                <w:sz w:val="20"/>
                <w:szCs w:val="20"/>
              </w:rPr>
            </w:pPr>
            <w:r w:rsidRPr="00426198">
              <w:rPr>
                <w:sz w:val="20"/>
                <w:szCs w:val="20"/>
              </w:rPr>
              <w:t>$90,277 to $181,089</w:t>
            </w:r>
          </w:p>
        </w:tc>
        <w:tc>
          <w:tcPr>
            <w:tcW w:w="812" w:type="pct"/>
            <w:vAlign w:val="center"/>
          </w:tcPr>
          <w:p w:rsidR="00426198" w:rsidRPr="00426198" w:rsidRDefault="00426198" w:rsidP="00426198">
            <w:pPr>
              <w:jc w:val="right"/>
              <w:rPr>
                <w:sz w:val="20"/>
                <w:szCs w:val="20"/>
              </w:rPr>
            </w:pPr>
            <w:r w:rsidRPr="00426198">
              <w:rPr>
                <w:sz w:val="20"/>
                <w:szCs w:val="20"/>
              </w:rPr>
              <w:t>9,503</w:t>
            </w:r>
          </w:p>
        </w:tc>
        <w:tc>
          <w:tcPr>
            <w:tcW w:w="812" w:type="pct"/>
            <w:vAlign w:val="center"/>
          </w:tcPr>
          <w:p w:rsidR="00426198" w:rsidRPr="00426198" w:rsidRDefault="00426198" w:rsidP="00426198">
            <w:pPr>
              <w:jc w:val="right"/>
              <w:rPr>
                <w:sz w:val="20"/>
                <w:szCs w:val="20"/>
              </w:rPr>
            </w:pPr>
            <w:r w:rsidRPr="00426198">
              <w:rPr>
                <w:sz w:val="20"/>
                <w:szCs w:val="20"/>
              </w:rPr>
              <w:t>19.8%</w:t>
            </w:r>
          </w:p>
        </w:tc>
        <w:tc>
          <w:tcPr>
            <w:tcW w:w="812" w:type="pct"/>
            <w:vAlign w:val="center"/>
          </w:tcPr>
          <w:p w:rsidR="00426198" w:rsidRPr="00426198" w:rsidRDefault="00426198" w:rsidP="00426198">
            <w:pPr>
              <w:jc w:val="right"/>
              <w:rPr>
                <w:sz w:val="20"/>
                <w:szCs w:val="20"/>
              </w:rPr>
            </w:pPr>
            <w:r w:rsidRPr="00426198">
              <w:rPr>
                <w:sz w:val="20"/>
                <w:szCs w:val="20"/>
              </w:rPr>
              <w:t xml:space="preserve"> 1,137 </w:t>
            </w:r>
          </w:p>
        </w:tc>
        <w:tc>
          <w:tcPr>
            <w:tcW w:w="812" w:type="pct"/>
            <w:vAlign w:val="center"/>
          </w:tcPr>
          <w:p w:rsidR="00426198" w:rsidRPr="00426198" w:rsidRDefault="00426198" w:rsidP="00426198">
            <w:pPr>
              <w:jc w:val="right"/>
              <w:rPr>
                <w:sz w:val="20"/>
                <w:szCs w:val="20"/>
              </w:rPr>
            </w:pPr>
            <w:r w:rsidRPr="00426198">
              <w:rPr>
                <w:sz w:val="20"/>
                <w:szCs w:val="20"/>
              </w:rPr>
              <w:t xml:space="preserve"> 10.8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3</w:t>
            </w:r>
          </w:p>
        </w:tc>
        <w:tc>
          <w:tcPr>
            <w:tcW w:w="1274" w:type="pct"/>
            <w:vAlign w:val="center"/>
          </w:tcPr>
          <w:p w:rsidR="00426198" w:rsidRPr="00426198" w:rsidRDefault="00426198" w:rsidP="00426198">
            <w:pPr>
              <w:rPr>
                <w:sz w:val="20"/>
                <w:szCs w:val="20"/>
              </w:rPr>
            </w:pPr>
            <w:r w:rsidRPr="00426198">
              <w:rPr>
                <w:sz w:val="20"/>
                <w:szCs w:val="20"/>
              </w:rPr>
              <w:t>$181,090 to $279,252</w:t>
            </w:r>
          </w:p>
        </w:tc>
        <w:tc>
          <w:tcPr>
            <w:tcW w:w="812" w:type="pct"/>
            <w:vAlign w:val="center"/>
          </w:tcPr>
          <w:p w:rsidR="00426198" w:rsidRPr="00426198" w:rsidRDefault="00426198" w:rsidP="00426198">
            <w:pPr>
              <w:jc w:val="right"/>
              <w:rPr>
                <w:sz w:val="20"/>
                <w:szCs w:val="20"/>
              </w:rPr>
            </w:pPr>
            <w:r w:rsidRPr="00426198">
              <w:rPr>
                <w:sz w:val="20"/>
                <w:szCs w:val="20"/>
              </w:rPr>
              <w:t>11,866</w:t>
            </w:r>
          </w:p>
        </w:tc>
        <w:tc>
          <w:tcPr>
            <w:tcW w:w="812" w:type="pct"/>
            <w:vAlign w:val="center"/>
          </w:tcPr>
          <w:p w:rsidR="00426198" w:rsidRPr="00426198" w:rsidRDefault="00426198" w:rsidP="00426198">
            <w:pPr>
              <w:jc w:val="right"/>
              <w:rPr>
                <w:sz w:val="20"/>
                <w:szCs w:val="20"/>
              </w:rPr>
            </w:pPr>
            <w:r w:rsidRPr="00426198">
              <w:rPr>
                <w:sz w:val="20"/>
                <w:szCs w:val="20"/>
              </w:rPr>
              <w:t>24.7%</w:t>
            </w:r>
          </w:p>
        </w:tc>
        <w:tc>
          <w:tcPr>
            <w:tcW w:w="812" w:type="pct"/>
            <w:vAlign w:val="center"/>
          </w:tcPr>
          <w:p w:rsidR="00426198" w:rsidRPr="00426198" w:rsidRDefault="00426198" w:rsidP="00426198">
            <w:pPr>
              <w:jc w:val="right"/>
              <w:rPr>
                <w:sz w:val="20"/>
                <w:szCs w:val="20"/>
              </w:rPr>
            </w:pPr>
            <w:r w:rsidRPr="00426198">
              <w:rPr>
                <w:sz w:val="20"/>
                <w:szCs w:val="20"/>
              </w:rPr>
              <w:t xml:space="preserve"> 1,900 </w:t>
            </w:r>
          </w:p>
        </w:tc>
        <w:tc>
          <w:tcPr>
            <w:tcW w:w="812" w:type="pct"/>
            <w:vAlign w:val="center"/>
          </w:tcPr>
          <w:p w:rsidR="00426198" w:rsidRPr="00426198" w:rsidRDefault="00426198" w:rsidP="00426198">
            <w:pPr>
              <w:jc w:val="right"/>
              <w:rPr>
                <w:sz w:val="20"/>
                <w:szCs w:val="20"/>
              </w:rPr>
            </w:pPr>
            <w:r w:rsidRPr="00426198">
              <w:rPr>
                <w:sz w:val="20"/>
                <w:szCs w:val="20"/>
              </w:rPr>
              <w:t xml:space="preserve"> 22.5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4</w:t>
            </w:r>
          </w:p>
        </w:tc>
        <w:tc>
          <w:tcPr>
            <w:tcW w:w="1274" w:type="pct"/>
            <w:vAlign w:val="center"/>
          </w:tcPr>
          <w:p w:rsidR="00426198" w:rsidRPr="00426198" w:rsidRDefault="00426198" w:rsidP="00426198">
            <w:pPr>
              <w:rPr>
                <w:sz w:val="20"/>
                <w:szCs w:val="20"/>
              </w:rPr>
            </w:pPr>
            <w:r w:rsidRPr="00426198">
              <w:rPr>
                <w:sz w:val="20"/>
                <w:szCs w:val="20"/>
              </w:rPr>
              <w:t>$279,253 to $402,090</w:t>
            </w:r>
          </w:p>
        </w:tc>
        <w:tc>
          <w:tcPr>
            <w:tcW w:w="812" w:type="pct"/>
            <w:vAlign w:val="center"/>
          </w:tcPr>
          <w:p w:rsidR="00426198" w:rsidRPr="00426198" w:rsidRDefault="00426198" w:rsidP="00426198">
            <w:pPr>
              <w:jc w:val="right"/>
              <w:rPr>
                <w:sz w:val="20"/>
                <w:szCs w:val="20"/>
              </w:rPr>
            </w:pPr>
            <w:r w:rsidRPr="00426198">
              <w:rPr>
                <w:sz w:val="20"/>
                <w:szCs w:val="20"/>
              </w:rPr>
              <w:t>15,349</w:t>
            </w:r>
          </w:p>
        </w:tc>
        <w:tc>
          <w:tcPr>
            <w:tcW w:w="812" w:type="pct"/>
            <w:vAlign w:val="center"/>
          </w:tcPr>
          <w:p w:rsidR="00426198" w:rsidRPr="00426198" w:rsidRDefault="00426198" w:rsidP="00426198">
            <w:pPr>
              <w:jc w:val="right"/>
              <w:rPr>
                <w:sz w:val="20"/>
                <w:szCs w:val="20"/>
              </w:rPr>
            </w:pPr>
            <w:r w:rsidRPr="00426198">
              <w:rPr>
                <w:sz w:val="20"/>
                <w:szCs w:val="20"/>
              </w:rPr>
              <w:t>31.9%</w:t>
            </w:r>
          </w:p>
        </w:tc>
        <w:tc>
          <w:tcPr>
            <w:tcW w:w="812" w:type="pct"/>
            <w:vAlign w:val="center"/>
          </w:tcPr>
          <w:p w:rsidR="00426198" w:rsidRPr="00426198" w:rsidRDefault="00426198" w:rsidP="00426198">
            <w:pPr>
              <w:jc w:val="right"/>
              <w:rPr>
                <w:sz w:val="20"/>
                <w:szCs w:val="20"/>
              </w:rPr>
            </w:pPr>
            <w:r w:rsidRPr="00426198">
              <w:rPr>
                <w:sz w:val="20"/>
                <w:szCs w:val="20"/>
              </w:rPr>
              <w:t xml:space="preserve"> 2,890 </w:t>
            </w:r>
          </w:p>
        </w:tc>
        <w:tc>
          <w:tcPr>
            <w:tcW w:w="812" w:type="pct"/>
            <w:vAlign w:val="center"/>
          </w:tcPr>
          <w:p w:rsidR="00426198" w:rsidRPr="00426198" w:rsidRDefault="00426198" w:rsidP="00426198">
            <w:pPr>
              <w:jc w:val="right"/>
              <w:rPr>
                <w:sz w:val="20"/>
                <w:szCs w:val="20"/>
              </w:rPr>
            </w:pPr>
            <w:r w:rsidRPr="00426198">
              <w:rPr>
                <w:sz w:val="20"/>
                <w:szCs w:val="20"/>
              </w:rPr>
              <w:t xml:space="preserve"> 44.4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5</w:t>
            </w:r>
          </w:p>
        </w:tc>
        <w:tc>
          <w:tcPr>
            <w:tcW w:w="1274" w:type="pct"/>
            <w:vAlign w:val="center"/>
          </w:tcPr>
          <w:p w:rsidR="00426198" w:rsidRPr="00426198" w:rsidRDefault="00426198" w:rsidP="00426198">
            <w:pPr>
              <w:rPr>
                <w:sz w:val="20"/>
                <w:szCs w:val="20"/>
              </w:rPr>
            </w:pPr>
            <w:r w:rsidRPr="00426198">
              <w:rPr>
                <w:sz w:val="20"/>
                <w:szCs w:val="20"/>
              </w:rPr>
              <w:t>$402,091 to $558,140</w:t>
            </w:r>
          </w:p>
        </w:tc>
        <w:tc>
          <w:tcPr>
            <w:tcW w:w="812" w:type="pct"/>
            <w:vAlign w:val="center"/>
          </w:tcPr>
          <w:p w:rsidR="00426198" w:rsidRPr="00426198" w:rsidRDefault="00426198" w:rsidP="00426198">
            <w:pPr>
              <w:jc w:val="right"/>
              <w:rPr>
                <w:sz w:val="20"/>
                <w:szCs w:val="20"/>
              </w:rPr>
            </w:pPr>
            <w:r w:rsidRPr="00426198">
              <w:rPr>
                <w:sz w:val="20"/>
                <w:szCs w:val="20"/>
              </w:rPr>
              <w:t>18,554</w:t>
            </w:r>
          </w:p>
        </w:tc>
        <w:tc>
          <w:tcPr>
            <w:tcW w:w="812" w:type="pct"/>
            <w:vAlign w:val="center"/>
          </w:tcPr>
          <w:p w:rsidR="00426198" w:rsidRPr="00426198" w:rsidRDefault="00426198" w:rsidP="00426198">
            <w:pPr>
              <w:jc w:val="right"/>
              <w:rPr>
                <w:sz w:val="20"/>
                <w:szCs w:val="20"/>
              </w:rPr>
            </w:pPr>
            <w:r w:rsidRPr="00426198">
              <w:rPr>
                <w:sz w:val="20"/>
                <w:szCs w:val="20"/>
              </w:rPr>
              <w:t>38.6%</w:t>
            </w:r>
          </w:p>
        </w:tc>
        <w:tc>
          <w:tcPr>
            <w:tcW w:w="812" w:type="pct"/>
            <w:vAlign w:val="center"/>
          </w:tcPr>
          <w:p w:rsidR="00426198" w:rsidRPr="00426198" w:rsidRDefault="00426198" w:rsidP="00426198">
            <w:pPr>
              <w:jc w:val="right"/>
              <w:rPr>
                <w:sz w:val="20"/>
                <w:szCs w:val="20"/>
              </w:rPr>
            </w:pPr>
            <w:r w:rsidRPr="00426198">
              <w:rPr>
                <w:sz w:val="20"/>
                <w:szCs w:val="20"/>
              </w:rPr>
              <w:t xml:space="preserve"> 4,088 </w:t>
            </w:r>
          </w:p>
        </w:tc>
        <w:tc>
          <w:tcPr>
            <w:tcW w:w="812" w:type="pct"/>
            <w:vAlign w:val="center"/>
          </w:tcPr>
          <w:p w:rsidR="00426198" w:rsidRPr="00426198" w:rsidRDefault="00426198" w:rsidP="00426198">
            <w:pPr>
              <w:jc w:val="right"/>
              <w:rPr>
                <w:sz w:val="20"/>
                <w:szCs w:val="20"/>
              </w:rPr>
            </w:pPr>
            <w:r w:rsidRPr="00426198">
              <w:rPr>
                <w:sz w:val="20"/>
                <w:szCs w:val="20"/>
              </w:rPr>
              <w:t xml:space="preserve"> 75.8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6</w:t>
            </w:r>
          </w:p>
        </w:tc>
        <w:tc>
          <w:tcPr>
            <w:tcW w:w="1274" w:type="pct"/>
            <w:vAlign w:val="center"/>
          </w:tcPr>
          <w:p w:rsidR="00426198" w:rsidRPr="00426198" w:rsidRDefault="00426198" w:rsidP="00426198">
            <w:pPr>
              <w:rPr>
                <w:sz w:val="20"/>
                <w:szCs w:val="20"/>
              </w:rPr>
            </w:pPr>
            <w:r w:rsidRPr="00426198">
              <w:rPr>
                <w:sz w:val="20"/>
                <w:szCs w:val="20"/>
              </w:rPr>
              <w:t>$558,141 to $762,242</w:t>
            </w:r>
          </w:p>
        </w:tc>
        <w:tc>
          <w:tcPr>
            <w:tcW w:w="812" w:type="pct"/>
            <w:vAlign w:val="center"/>
          </w:tcPr>
          <w:p w:rsidR="00426198" w:rsidRPr="00426198" w:rsidRDefault="00426198" w:rsidP="00426198">
            <w:pPr>
              <w:jc w:val="right"/>
              <w:rPr>
                <w:sz w:val="20"/>
                <w:szCs w:val="20"/>
              </w:rPr>
            </w:pPr>
            <w:r w:rsidRPr="00426198">
              <w:rPr>
                <w:sz w:val="20"/>
                <w:szCs w:val="20"/>
              </w:rPr>
              <w:t>21,902</w:t>
            </w:r>
          </w:p>
        </w:tc>
        <w:tc>
          <w:tcPr>
            <w:tcW w:w="812" w:type="pct"/>
            <w:vAlign w:val="center"/>
          </w:tcPr>
          <w:p w:rsidR="00426198" w:rsidRPr="00426198" w:rsidRDefault="00426198" w:rsidP="00426198">
            <w:pPr>
              <w:jc w:val="right"/>
              <w:rPr>
                <w:sz w:val="20"/>
                <w:szCs w:val="20"/>
              </w:rPr>
            </w:pPr>
            <w:r w:rsidRPr="00426198">
              <w:rPr>
                <w:sz w:val="20"/>
                <w:szCs w:val="20"/>
              </w:rPr>
              <w:t>45.5%</w:t>
            </w:r>
          </w:p>
        </w:tc>
        <w:tc>
          <w:tcPr>
            <w:tcW w:w="812" w:type="pct"/>
            <w:vAlign w:val="center"/>
          </w:tcPr>
          <w:p w:rsidR="00426198" w:rsidRPr="00426198" w:rsidRDefault="00426198" w:rsidP="00426198">
            <w:pPr>
              <w:jc w:val="right"/>
              <w:rPr>
                <w:sz w:val="20"/>
                <w:szCs w:val="20"/>
              </w:rPr>
            </w:pPr>
            <w:r w:rsidRPr="00426198">
              <w:rPr>
                <w:sz w:val="20"/>
                <w:szCs w:val="20"/>
              </w:rPr>
              <w:t xml:space="preserve"> 5,611 </w:t>
            </w:r>
          </w:p>
        </w:tc>
        <w:tc>
          <w:tcPr>
            <w:tcW w:w="812" w:type="pct"/>
            <w:vAlign w:val="center"/>
          </w:tcPr>
          <w:p w:rsidR="00426198" w:rsidRPr="00426198" w:rsidRDefault="00426198" w:rsidP="00426198">
            <w:pPr>
              <w:jc w:val="right"/>
              <w:rPr>
                <w:sz w:val="20"/>
                <w:szCs w:val="20"/>
              </w:rPr>
            </w:pPr>
            <w:r w:rsidRPr="00426198">
              <w:rPr>
                <w:sz w:val="20"/>
                <w:szCs w:val="20"/>
              </w:rPr>
              <w:t xml:space="preserve"> 122.9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7</w:t>
            </w:r>
          </w:p>
        </w:tc>
        <w:tc>
          <w:tcPr>
            <w:tcW w:w="1274" w:type="pct"/>
            <w:vAlign w:val="center"/>
          </w:tcPr>
          <w:p w:rsidR="00426198" w:rsidRPr="00426198" w:rsidRDefault="00426198" w:rsidP="00426198">
            <w:pPr>
              <w:rPr>
                <w:sz w:val="20"/>
                <w:szCs w:val="20"/>
              </w:rPr>
            </w:pPr>
            <w:r w:rsidRPr="00426198">
              <w:rPr>
                <w:sz w:val="20"/>
                <w:szCs w:val="20"/>
              </w:rPr>
              <w:t>$762,243 to $1,044,621</w:t>
            </w:r>
          </w:p>
        </w:tc>
        <w:tc>
          <w:tcPr>
            <w:tcW w:w="812" w:type="pct"/>
            <w:vAlign w:val="center"/>
          </w:tcPr>
          <w:p w:rsidR="00426198" w:rsidRPr="00426198" w:rsidRDefault="00426198" w:rsidP="00426198">
            <w:pPr>
              <w:jc w:val="right"/>
              <w:rPr>
                <w:sz w:val="20"/>
                <w:szCs w:val="20"/>
              </w:rPr>
            </w:pPr>
            <w:r w:rsidRPr="00426198">
              <w:rPr>
                <w:sz w:val="20"/>
                <w:szCs w:val="20"/>
              </w:rPr>
              <w:t>24,734</w:t>
            </w:r>
          </w:p>
        </w:tc>
        <w:tc>
          <w:tcPr>
            <w:tcW w:w="812" w:type="pct"/>
            <w:vAlign w:val="center"/>
          </w:tcPr>
          <w:p w:rsidR="00426198" w:rsidRPr="00426198" w:rsidRDefault="00426198" w:rsidP="00426198">
            <w:pPr>
              <w:jc w:val="right"/>
              <w:rPr>
                <w:sz w:val="20"/>
                <w:szCs w:val="20"/>
              </w:rPr>
            </w:pPr>
            <w:r w:rsidRPr="00426198">
              <w:rPr>
                <w:sz w:val="20"/>
                <w:szCs w:val="20"/>
              </w:rPr>
              <w:t>51.4%</w:t>
            </w:r>
          </w:p>
        </w:tc>
        <w:tc>
          <w:tcPr>
            <w:tcW w:w="812" w:type="pct"/>
            <w:vAlign w:val="center"/>
          </w:tcPr>
          <w:p w:rsidR="00426198" w:rsidRPr="00426198" w:rsidRDefault="00426198" w:rsidP="00426198">
            <w:pPr>
              <w:jc w:val="right"/>
              <w:rPr>
                <w:sz w:val="20"/>
                <w:szCs w:val="20"/>
              </w:rPr>
            </w:pPr>
            <w:r w:rsidRPr="00426198">
              <w:rPr>
                <w:sz w:val="20"/>
                <w:szCs w:val="20"/>
              </w:rPr>
              <w:t xml:space="preserve"> 7,532 </w:t>
            </w:r>
          </w:p>
        </w:tc>
        <w:tc>
          <w:tcPr>
            <w:tcW w:w="812" w:type="pct"/>
            <w:vAlign w:val="center"/>
          </w:tcPr>
          <w:p w:rsidR="00426198" w:rsidRPr="00426198" w:rsidRDefault="00426198" w:rsidP="00426198">
            <w:pPr>
              <w:jc w:val="right"/>
              <w:rPr>
                <w:sz w:val="20"/>
                <w:szCs w:val="20"/>
              </w:rPr>
            </w:pPr>
            <w:r w:rsidRPr="00426198">
              <w:rPr>
                <w:sz w:val="20"/>
                <w:szCs w:val="20"/>
              </w:rPr>
              <w:t xml:space="preserve"> 186.3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8</w:t>
            </w:r>
          </w:p>
        </w:tc>
        <w:tc>
          <w:tcPr>
            <w:tcW w:w="1274" w:type="pct"/>
            <w:vAlign w:val="center"/>
          </w:tcPr>
          <w:p w:rsidR="00426198" w:rsidRPr="00426198" w:rsidRDefault="00426198" w:rsidP="00426198">
            <w:pPr>
              <w:rPr>
                <w:sz w:val="20"/>
                <w:szCs w:val="20"/>
              </w:rPr>
            </w:pPr>
            <w:r w:rsidRPr="00426198">
              <w:rPr>
                <w:sz w:val="20"/>
                <w:szCs w:val="20"/>
              </w:rPr>
              <w:t>$1,044,622 to $1,497,218</w:t>
            </w:r>
          </w:p>
        </w:tc>
        <w:tc>
          <w:tcPr>
            <w:tcW w:w="812" w:type="pct"/>
            <w:vAlign w:val="center"/>
          </w:tcPr>
          <w:p w:rsidR="00426198" w:rsidRPr="00426198" w:rsidRDefault="00426198" w:rsidP="00426198">
            <w:pPr>
              <w:jc w:val="right"/>
              <w:rPr>
                <w:sz w:val="20"/>
                <w:szCs w:val="20"/>
              </w:rPr>
            </w:pPr>
            <w:r w:rsidRPr="00426198">
              <w:rPr>
                <w:sz w:val="20"/>
                <w:szCs w:val="20"/>
              </w:rPr>
              <w:t>27,208</w:t>
            </w:r>
          </w:p>
        </w:tc>
        <w:tc>
          <w:tcPr>
            <w:tcW w:w="812" w:type="pct"/>
            <w:vAlign w:val="center"/>
          </w:tcPr>
          <w:p w:rsidR="00426198" w:rsidRPr="00426198" w:rsidRDefault="00426198" w:rsidP="00426198">
            <w:pPr>
              <w:jc w:val="right"/>
              <w:rPr>
                <w:sz w:val="20"/>
                <w:szCs w:val="20"/>
              </w:rPr>
            </w:pPr>
            <w:r w:rsidRPr="00426198">
              <w:rPr>
                <w:sz w:val="20"/>
                <w:szCs w:val="20"/>
              </w:rPr>
              <w:t>56.5%</w:t>
            </w:r>
          </w:p>
        </w:tc>
        <w:tc>
          <w:tcPr>
            <w:tcW w:w="812" w:type="pct"/>
            <w:vAlign w:val="center"/>
          </w:tcPr>
          <w:p w:rsidR="00426198" w:rsidRPr="00426198" w:rsidRDefault="00426198" w:rsidP="00426198">
            <w:pPr>
              <w:jc w:val="right"/>
              <w:rPr>
                <w:sz w:val="20"/>
                <w:szCs w:val="20"/>
              </w:rPr>
            </w:pPr>
            <w:r w:rsidRPr="00426198">
              <w:rPr>
                <w:sz w:val="20"/>
                <w:szCs w:val="20"/>
              </w:rPr>
              <w:t xml:space="preserve"> 10,468 </w:t>
            </w:r>
          </w:p>
        </w:tc>
        <w:tc>
          <w:tcPr>
            <w:tcW w:w="812" w:type="pct"/>
            <w:vAlign w:val="center"/>
          </w:tcPr>
          <w:p w:rsidR="00426198" w:rsidRPr="00426198" w:rsidRDefault="00426198" w:rsidP="00426198">
            <w:pPr>
              <w:jc w:val="right"/>
              <w:rPr>
                <w:sz w:val="20"/>
                <w:szCs w:val="20"/>
              </w:rPr>
            </w:pPr>
            <w:r w:rsidRPr="00426198">
              <w:rPr>
                <w:sz w:val="20"/>
                <w:szCs w:val="20"/>
              </w:rPr>
              <w:t xml:space="preserve"> 284.8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9</w:t>
            </w:r>
          </w:p>
        </w:tc>
        <w:tc>
          <w:tcPr>
            <w:tcW w:w="1274" w:type="pct"/>
            <w:vAlign w:val="center"/>
          </w:tcPr>
          <w:p w:rsidR="00426198" w:rsidRPr="00426198" w:rsidRDefault="00426198" w:rsidP="00426198">
            <w:pPr>
              <w:rPr>
                <w:sz w:val="20"/>
                <w:szCs w:val="20"/>
              </w:rPr>
            </w:pPr>
            <w:r w:rsidRPr="00426198">
              <w:rPr>
                <w:sz w:val="20"/>
                <w:szCs w:val="20"/>
              </w:rPr>
              <w:t>$1,497,219 to $2,443,843</w:t>
            </w:r>
          </w:p>
        </w:tc>
        <w:tc>
          <w:tcPr>
            <w:tcW w:w="812" w:type="pct"/>
            <w:vAlign w:val="center"/>
          </w:tcPr>
          <w:p w:rsidR="00426198" w:rsidRPr="00426198" w:rsidRDefault="00426198" w:rsidP="00426198">
            <w:pPr>
              <w:jc w:val="right"/>
              <w:rPr>
                <w:sz w:val="20"/>
                <w:szCs w:val="20"/>
              </w:rPr>
            </w:pPr>
            <w:r w:rsidRPr="00426198">
              <w:rPr>
                <w:sz w:val="20"/>
                <w:szCs w:val="20"/>
              </w:rPr>
              <w:t>29,946</w:t>
            </w:r>
          </w:p>
        </w:tc>
        <w:tc>
          <w:tcPr>
            <w:tcW w:w="812" w:type="pct"/>
            <w:vAlign w:val="center"/>
          </w:tcPr>
          <w:p w:rsidR="00426198" w:rsidRPr="00426198" w:rsidRDefault="00426198" w:rsidP="00426198">
            <w:pPr>
              <w:jc w:val="right"/>
              <w:rPr>
                <w:sz w:val="20"/>
                <w:szCs w:val="20"/>
              </w:rPr>
            </w:pPr>
            <w:r w:rsidRPr="00426198">
              <w:rPr>
                <w:sz w:val="20"/>
                <w:szCs w:val="20"/>
              </w:rPr>
              <w:t>62.2%</w:t>
            </w:r>
          </w:p>
        </w:tc>
        <w:tc>
          <w:tcPr>
            <w:tcW w:w="812" w:type="pct"/>
            <w:vAlign w:val="center"/>
          </w:tcPr>
          <w:p w:rsidR="00426198" w:rsidRPr="00426198" w:rsidRDefault="00426198" w:rsidP="00426198">
            <w:pPr>
              <w:jc w:val="right"/>
              <w:rPr>
                <w:sz w:val="20"/>
                <w:szCs w:val="20"/>
              </w:rPr>
            </w:pPr>
            <w:r w:rsidRPr="00426198">
              <w:rPr>
                <w:sz w:val="20"/>
                <w:szCs w:val="20"/>
              </w:rPr>
              <w:t xml:space="preserve"> 15,652 </w:t>
            </w:r>
          </w:p>
        </w:tc>
        <w:tc>
          <w:tcPr>
            <w:tcW w:w="812" w:type="pct"/>
            <w:vAlign w:val="center"/>
          </w:tcPr>
          <w:p w:rsidR="00426198" w:rsidRPr="00426198" w:rsidRDefault="00426198" w:rsidP="00426198">
            <w:pPr>
              <w:jc w:val="right"/>
              <w:rPr>
                <w:sz w:val="20"/>
                <w:szCs w:val="20"/>
              </w:rPr>
            </w:pPr>
            <w:r w:rsidRPr="00426198">
              <w:rPr>
                <w:sz w:val="20"/>
                <w:szCs w:val="20"/>
              </w:rPr>
              <w:t xml:space="preserve"> 468.7 </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10</w:t>
            </w:r>
          </w:p>
        </w:tc>
        <w:tc>
          <w:tcPr>
            <w:tcW w:w="1274" w:type="pct"/>
            <w:shd w:val="clear" w:color="auto" w:fill="auto"/>
            <w:vAlign w:val="center"/>
          </w:tcPr>
          <w:p w:rsidR="00426198" w:rsidRPr="00426198" w:rsidRDefault="00426198" w:rsidP="00426198">
            <w:pPr>
              <w:rPr>
                <w:sz w:val="20"/>
                <w:szCs w:val="20"/>
              </w:rPr>
            </w:pPr>
            <w:r w:rsidRPr="00426198">
              <w:rPr>
                <w:sz w:val="20"/>
                <w:szCs w:val="20"/>
              </w:rPr>
              <w:t>$2,443,843 and over</w:t>
            </w:r>
          </w:p>
        </w:tc>
        <w:tc>
          <w:tcPr>
            <w:tcW w:w="812" w:type="pct"/>
            <w:shd w:val="clear" w:color="auto" w:fill="auto"/>
            <w:vAlign w:val="center"/>
          </w:tcPr>
          <w:p w:rsidR="00426198" w:rsidRPr="00426198" w:rsidRDefault="00426198" w:rsidP="00426198">
            <w:pPr>
              <w:jc w:val="right"/>
              <w:rPr>
                <w:sz w:val="20"/>
                <w:szCs w:val="20"/>
              </w:rPr>
            </w:pPr>
            <w:r w:rsidRPr="00426198">
              <w:rPr>
                <w:sz w:val="20"/>
                <w:szCs w:val="20"/>
              </w:rPr>
              <w:t>33,761</w:t>
            </w:r>
          </w:p>
        </w:tc>
        <w:tc>
          <w:tcPr>
            <w:tcW w:w="812" w:type="pct"/>
            <w:shd w:val="clear" w:color="auto" w:fill="auto"/>
            <w:vAlign w:val="center"/>
          </w:tcPr>
          <w:p w:rsidR="00426198" w:rsidRPr="00426198" w:rsidRDefault="00426198" w:rsidP="00426198">
            <w:pPr>
              <w:jc w:val="right"/>
              <w:rPr>
                <w:sz w:val="20"/>
                <w:szCs w:val="20"/>
              </w:rPr>
            </w:pPr>
            <w:r w:rsidRPr="00426198">
              <w:rPr>
                <w:sz w:val="20"/>
                <w:szCs w:val="20"/>
              </w:rPr>
              <w:t>70.2%</w:t>
            </w:r>
          </w:p>
        </w:tc>
        <w:tc>
          <w:tcPr>
            <w:tcW w:w="812" w:type="pct"/>
            <w:shd w:val="clear" w:color="auto" w:fill="auto"/>
            <w:vAlign w:val="center"/>
          </w:tcPr>
          <w:p w:rsidR="00426198" w:rsidRPr="00426198" w:rsidRDefault="00426198" w:rsidP="00426198">
            <w:pPr>
              <w:jc w:val="right"/>
              <w:rPr>
                <w:sz w:val="20"/>
                <w:szCs w:val="20"/>
              </w:rPr>
            </w:pPr>
            <w:r w:rsidRPr="00426198">
              <w:rPr>
                <w:sz w:val="20"/>
                <w:szCs w:val="20"/>
              </w:rPr>
              <w:t xml:space="preserve"> 40,468 </w:t>
            </w:r>
          </w:p>
        </w:tc>
        <w:tc>
          <w:tcPr>
            <w:tcW w:w="812" w:type="pct"/>
            <w:shd w:val="clear" w:color="auto" w:fill="auto"/>
            <w:vAlign w:val="center"/>
          </w:tcPr>
          <w:p w:rsidR="00426198" w:rsidRPr="00426198" w:rsidRDefault="00426198" w:rsidP="00426198">
            <w:pPr>
              <w:jc w:val="right"/>
              <w:rPr>
                <w:sz w:val="20"/>
                <w:szCs w:val="20"/>
              </w:rPr>
            </w:pPr>
            <w:r w:rsidRPr="00426198">
              <w:rPr>
                <w:sz w:val="20"/>
                <w:szCs w:val="20"/>
              </w:rPr>
              <w:t xml:space="preserve"> 1,366.2 </w:t>
            </w:r>
          </w:p>
        </w:tc>
      </w:tr>
      <w:tr w:rsidR="00426198" w:rsidRPr="00426198" w:rsidTr="00874E70">
        <w:trPr>
          <w:trHeight w:val="391"/>
        </w:trPr>
        <w:tc>
          <w:tcPr>
            <w:tcW w:w="1751" w:type="pct"/>
            <w:gridSpan w:val="2"/>
            <w:shd w:val="clear" w:color="auto" w:fill="D7DDE9"/>
            <w:noWrap/>
            <w:vAlign w:val="center"/>
          </w:tcPr>
          <w:p w:rsidR="00426198" w:rsidRPr="00426198" w:rsidRDefault="00426198" w:rsidP="00426198">
            <w:pPr>
              <w:tabs>
                <w:tab w:val="decimal" w:pos="954"/>
              </w:tabs>
              <w:rPr>
                <w:rFonts w:ascii="Calibri" w:hAnsi="Calibri"/>
                <w:b/>
                <w:bCs/>
                <w:color w:val="000000"/>
                <w:sz w:val="20"/>
                <w:szCs w:val="20"/>
              </w:rPr>
            </w:pPr>
            <w:r w:rsidRPr="00426198">
              <w:rPr>
                <w:rFonts w:eastAsia="Times New Roman" w:cs="Thorndale AMT"/>
                <w:b/>
                <w:bCs/>
                <w:color w:val="000000"/>
                <w:sz w:val="20"/>
                <w:szCs w:val="20"/>
                <w:lang w:eastAsia="en-AU"/>
              </w:rPr>
              <w:t>Total SMSFs</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 xml:space="preserve"> 201,439 </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41.9%</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 xml:space="preserve"> 12,880 </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 xml:space="preserve"> 2,594.5 </w:t>
            </w:r>
          </w:p>
        </w:tc>
      </w:tr>
    </w:tbl>
    <w:p w:rsidR="00426198" w:rsidRPr="00426198" w:rsidRDefault="00426198" w:rsidP="00426198">
      <w:pPr>
        <w:keepNext/>
        <w:keepLines/>
        <w:spacing w:line="260" w:lineRule="atLeast"/>
        <w:ind w:left="284" w:hanging="284"/>
        <w:rPr>
          <w:sz w:val="20"/>
          <w:szCs w:val="20"/>
        </w:rPr>
      </w:pPr>
      <w:r w:rsidRPr="00426198">
        <w:rPr>
          <w:sz w:val="20"/>
          <w:szCs w:val="20"/>
        </w:rPr>
        <w:t>(a)</w:t>
      </w:r>
      <w:r w:rsidRPr="00426198">
        <w:rPr>
          <w:sz w:val="20"/>
          <w:szCs w:val="20"/>
        </w:rPr>
        <w:tab/>
        <w:t>Figures may not sum to totals due to rounding.</w:t>
      </w:r>
    </w:p>
    <w:p w:rsidR="00426198" w:rsidRPr="00426198" w:rsidRDefault="00426198" w:rsidP="00426198">
      <w:pPr>
        <w:keepNext/>
        <w:keepLines/>
        <w:spacing w:line="260" w:lineRule="atLeast"/>
        <w:ind w:left="284" w:hanging="284"/>
        <w:rPr>
          <w:sz w:val="20"/>
          <w:szCs w:val="20"/>
        </w:rPr>
      </w:pPr>
      <w:r w:rsidRPr="00426198">
        <w:rPr>
          <w:sz w:val="20"/>
          <w:szCs w:val="20"/>
        </w:rPr>
        <w:t>(b)</w:t>
      </w:r>
      <w:r w:rsidRPr="00426198">
        <w:rPr>
          <w:sz w:val="20"/>
          <w:szCs w:val="20"/>
        </w:rPr>
        <w:tab/>
        <w:t xml:space="preserve">Based on the fund balance of all self-managed superannuation funds in 2014-15. </w:t>
      </w:r>
    </w:p>
    <w:p w:rsidR="00426198" w:rsidRPr="00426198" w:rsidRDefault="00426198" w:rsidP="00426198">
      <w:pPr>
        <w:keepNext/>
        <w:keepLines/>
        <w:spacing w:line="260" w:lineRule="atLeast"/>
        <w:ind w:left="284" w:hanging="284"/>
        <w:rPr>
          <w:sz w:val="20"/>
          <w:szCs w:val="20"/>
        </w:rPr>
      </w:pPr>
      <w:r w:rsidRPr="00426198">
        <w:rPr>
          <w:sz w:val="20"/>
          <w:szCs w:val="20"/>
        </w:rPr>
        <w:t>(c)</w:t>
      </w:r>
      <w:r w:rsidRPr="00426198">
        <w:rPr>
          <w:sz w:val="20"/>
          <w:szCs w:val="20"/>
        </w:rPr>
        <w:tab/>
        <w:t>Calculated as the average franking credit refund of those funds who received a refund in 2014-15.</w:t>
      </w:r>
    </w:p>
    <w:p w:rsidR="00426198" w:rsidRPr="00426198" w:rsidRDefault="00426198" w:rsidP="00426198">
      <w:pPr>
        <w:keepNext/>
        <w:keepLines/>
        <w:spacing w:line="260" w:lineRule="atLeast"/>
        <w:ind w:left="284" w:hanging="284"/>
        <w:rPr>
          <w:sz w:val="20"/>
          <w:szCs w:val="20"/>
        </w:rPr>
      </w:pPr>
      <w:r w:rsidRPr="00426198">
        <w:rPr>
          <w:sz w:val="20"/>
          <w:szCs w:val="20"/>
        </w:rPr>
        <w:t>(d)</w:t>
      </w:r>
      <w:r w:rsidRPr="00426198">
        <w:rPr>
          <w:sz w:val="20"/>
          <w:szCs w:val="20"/>
        </w:rPr>
        <w:tab/>
        <w:t xml:space="preserve">Calculated as </w:t>
      </w:r>
      <w:r w:rsidRPr="00426198">
        <w:rPr>
          <w:i/>
          <w:sz w:val="20"/>
          <w:szCs w:val="20"/>
        </w:rPr>
        <w:t>the number claiming excess franking credits</w:t>
      </w:r>
      <w:r w:rsidRPr="00426198">
        <w:rPr>
          <w:sz w:val="20"/>
          <w:szCs w:val="20"/>
        </w:rPr>
        <w:t xml:space="preserve"> multiplied by the </w:t>
      </w:r>
      <w:r w:rsidRPr="00426198">
        <w:rPr>
          <w:i/>
          <w:sz w:val="20"/>
          <w:szCs w:val="20"/>
        </w:rPr>
        <w:t>average excess franking credits claimed</w:t>
      </w:r>
      <w:r w:rsidRPr="00426198">
        <w:rPr>
          <w:sz w:val="20"/>
          <w:szCs w:val="20"/>
        </w:rPr>
        <w:t>.</w:t>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t xml:space="preserve">Table </w:t>
      </w:r>
      <w:r w:rsidR="003E5B4A">
        <w:rPr>
          <w:b/>
          <w:bCs/>
          <w:color w:val="2B3B5F" w:themeColor="text2"/>
          <w:spacing w:val="-4"/>
        </w:rPr>
        <w:t>C</w:t>
      </w:r>
      <w:r w:rsidRPr="00426198">
        <w:rPr>
          <w:b/>
          <w:bCs/>
          <w:color w:val="2B3B5F" w:themeColor="text2"/>
          <w:spacing w:val="-4"/>
        </w:rPr>
        <w:t>7: Self-managed superannuation funds (SMSFs) with large balances or high excess franking credit amounts in 2014</w:t>
      </w:r>
      <w:r w:rsidRPr="00426198">
        <w:rPr>
          <w:b/>
          <w:bCs/>
          <w:color w:val="2B3B5F" w:themeColor="text2"/>
          <w:spacing w:val="-4"/>
        </w:rPr>
        <w:noBreakHyphen/>
        <w:t>15</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7339"/>
        <w:gridCol w:w="2693"/>
      </w:tblGrid>
      <w:tr w:rsidR="00426198" w:rsidRPr="00426198" w:rsidTr="00874E70">
        <w:trPr>
          <w:trHeight w:val="300"/>
        </w:trPr>
        <w:tc>
          <w:tcPr>
            <w:tcW w:w="3658" w:type="pct"/>
            <w:shd w:val="clear" w:color="auto" w:fill="D7DDE9" w:themeFill="accent3"/>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Average excess franking credits claimed by the top percentile of fund balances</w:t>
            </w:r>
          </w:p>
        </w:tc>
        <w:tc>
          <w:tcPr>
            <w:tcW w:w="1342" w:type="pct"/>
            <w:vAlign w:val="center"/>
          </w:tcPr>
          <w:p w:rsidR="00426198" w:rsidRPr="00426198" w:rsidRDefault="00426198" w:rsidP="00426198">
            <w:pPr>
              <w:spacing w:before="70" w:after="70" w:line="260" w:lineRule="atLeast"/>
              <w:jc w:val="right"/>
              <w:rPr>
                <w:rFonts w:ascii="Calibri" w:hAnsi="Calibri"/>
                <w:color w:val="000000"/>
                <w:sz w:val="20"/>
                <w:szCs w:val="20"/>
                <w:vertAlign w:val="superscript"/>
              </w:rPr>
            </w:pPr>
            <w:r w:rsidRPr="00426198">
              <w:rPr>
                <w:rFonts w:ascii="Calibri" w:hAnsi="Calibri"/>
                <w:color w:val="000000"/>
                <w:sz w:val="20"/>
                <w:szCs w:val="20"/>
              </w:rPr>
              <w:t>$83,000</w:t>
            </w:r>
            <w:r w:rsidRPr="00426198">
              <w:rPr>
                <w:rFonts w:ascii="Calibri" w:hAnsi="Calibri"/>
                <w:color w:val="000000"/>
                <w:sz w:val="20"/>
                <w:szCs w:val="20"/>
                <w:vertAlign w:val="superscript"/>
              </w:rPr>
              <w:t>(a)</w:t>
            </w:r>
          </w:p>
        </w:tc>
      </w:tr>
      <w:tr w:rsidR="00426198" w:rsidRPr="00426198" w:rsidTr="00874E70">
        <w:trPr>
          <w:trHeight w:val="300"/>
        </w:trPr>
        <w:tc>
          <w:tcPr>
            <w:tcW w:w="3658" w:type="pct"/>
            <w:shd w:val="clear" w:color="auto" w:fill="D7DDE9" w:themeFill="accent3"/>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rFonts w:ascii="Calibri" w:hAnsi="Calibri"/>
                <w:color w:val="000000"/>
                <w:sz w:val="20"/>
                <w:szCs w:val="20"/>
              </w:rPr>
              <w:t>Number of funds claiming more than $2.5 million in excess franking credits</w:t>
            </w:r>
          </w:p>
        </w:tc>
        <w:tc>
          <w:tcPr>
            <w:tcW w:w="1342" w:type="pct"/>
            <w:vAlign w:val="center"/>
          </w:tcPr>
          <w:p w:rsidR="00426198" w:rsidRPr="00426198" w:rsidRDefault="00426198" w:rsidP="00426198">
            <w:pPr>
              <w:spacing w:before="70" w:after="70" w:line="260" w:lineRule="atLeast"/>
              <w:jc w:val="right"/>
              <w:rPr>
                <w:rFonts w:ascii="Calibri" w:hAnsi="Calibri"/>
                <w:color w:val="000000"/>
                <w:sz w:val="20"/>
                <w:szCs w:val="20"/>
                <w:highlight w:val="yellow"/>
                <w:vertAlign w:val="superscript"/>
              </w:rPr>
            </w:pPr>
            <w:r w:rsidRPr="00426198">
              <w:rPr>
                <w:rFonts w:ascii="Calibri" w:hAnsi="Calibri"/>
                <w:color w:val="000000"/>
                <w:sz w:val="20"/>
                <w:szCs w:val="20"/>
              </w:rPr>
              <w:t>Less than 5</w:t>
            </w:r>
            <w:r w:rsidRPr="00426198">
              <w:rPr>
                <w:rFonts w:ascii="Calibri" w:hAnsi="Calibri"/>
                <w:color w:val="000000"/>
                <w:sz w:val="20"/>
                <w:szCs w:val="20"/>
                <w:vertAlign w:val="superscript"/>
              </w:rPr>
              <w:t>(b)</w:t>
            </w:r>
          </w:p>
        </w:tc>
      </w:tr>
    </w:tbl>
    <w:p w:rsidR="00426198" w:rsidRPr="00426198" w:rsidRDefault="00426198" w:rsidP="00426198">
      <w:pPr>
        <w:ind w:left="284" w:hanging="284"/>
        <w:rPr>
          <w:sz w:val="20"/>
          <w:szCs w:val="20"/>
        </w:rPr>
      </w:pPr>
      <w:r w:rsidRPr="00426198">
        <w:rPr>
          <w:sz w:val="20"/>
          <w:szCs w:val="20"/>
        </w:rPr>
        <w:t xml:space="preserve">(a) Rounded to the nearest $1,000. </w:t>
      </w:r>
    </w:p>
    <w:p w:rsidR="00426198" w:rsidRPr="00426198" w:rsidRDefault="00426198" w:rsidP="00426198">
      <w:pPr>
        <w:ind w:left="284" w:hanging="284"/>
        <w:rPr>
          <w:b/>
          <w:bCs/>
          <w:color w:val="2B3B5F" w:themeColor="text2"/>
          <w:spacing w:val="-4"/>
          <w:sz w:val="20"/>
          <w:szCs w:val="20"/>
        </w:rPr>
      </w:pPr>
      <w:r w:rsidRPr="00426198">
        <w:rPr>
          <w:sz w:val="20"/>
          <w:szCs w:val="20"/>
        </w:rPr>
        <w:t xml:space="preserve">(b) For confidentiality reasons, the number of funds is not published. </w:t>
      </w:r>
      <w:r w:rsidRPr="00426198">
        <w:rPr>
          <w:sz w:val="20"/>
          <w:szCs w:val="20"/>
        </w:rPr>
        <w:br w:type="page"/>
      </w:r>
    </w:p>
    <w:p w:rsidR="00426198" w:rsidRPr="00426198" w:rsidRDefault="00426198" w:rsidP="00426198">
      <w:pPr>
        <w:keepNext/>
        <w:keepLines/>
        <w:spacing w:before="360" w:after="120"/>
        <w:rPr>
          <w:b/>
          <w:bCs/>
          <w:color w:val="2B3B5F" w:themeColor="text2"/>
          <w:spacing w:val="-4"/>
        </w:rPr>
      </w:pPr>
      <w:r w:rsidRPr="00426198">
        <w:rPr>
          <w:b/>
          <w:bCs/>
          <w:color w:val="2B3B5F" w:themeColor="text2"/>
          <w:spacing w:val="-4"/>
        </w:rPr>
        <w:lastRenderedPageBreak/>
        <w:t xml:space="preserve">Table </w:t>
      </w:r>
      <w:r w:rsidR="003E5B4A">
        <w:rPr>
          <w:b/>
          <w:bCs/>
          <w:color w:val="2B3B5F" w:themeColor="text2"/>
          <w:spacing w:val="-4"/>
        </w:rPr>
        <w:t>C</w:t>
      </w:r>
      <w:r w:rsidRPr="00426198">
        <w:rPr>
          <w:b/>
          <w:bCs/>
          <w:color w:val="2B3B5F" w:themeColor="text2"/>
          <w:spacing w:val="-4"/>
        </w:rPr>
        <w:t>8: Australian Prudential Regulatory Authority (APRA) regulated superannuation funds — Distribution by fund balance in 2014</w:t>
      </w:r>
      <w:r w:rsidRPr="00426198">
        <w:rPr>
          <w:b/>
          <w:bCs/>
          <w:color w:val="2B3B5F" w:themeColor="text2"/>
          <w:spacing w:val="-4"/>
        </w:rPr>
        <w:noBreakHyphen/>
      </w:r>
      <w:proofErr w:type="gramStart"/>
      <w:r w:rsidRPr="00426198">
        <w:rPr>
          <w:b/>
          <w:bCs/>
          <w:color w:val="2B3B5F" w:themeColor="text2"/>
          <w:spacing w:val="-4"/>
        </w:rPr>
        <w:t>15</w:t>
      </w:r>
      <w:r w:rsidRPr="00426198">
        <w:rPr>
          <w:b/>
          <w:bCs/>
          <w:color w:val="2B3B5F" w:themeColor="text2"/>
          <w:spacing w:val="-4"/>
          <w:vertAlign w:val="superscript"/>
        </w:rPr>
        <w:t>(</w:t>
      </w:r>
      <w:proofErr w:type="gramEnd"/>
      <w:r w:rsidRPr="00426198">
        <w:rPr>
          <w:b/>
          <w:bCs/>
          <w:color w:val="2B3B5F" w:themeColor="text2"/>
          <w:spacing w:val="-4"/>
          <w:vertAlign w:val="superscript"/>
        </w:rPr>
        <w:t>a)</w:t>
      </w:r>
    </w:p>
    <w:tbl>
      <w:tblPr>
        <w:tblW w:w="4947" w:type="pct"/>
        <w:tblBorders>
          <w:top w:val="single" w:sz="6" w:space="0" w:color="788184" w:themeColor="background2"/>
          <w:left w:val="single" w:sz="6" w:space="0" w:color="788184" w:themeColor="background2"/>
          <w:bottom w:val="single" w:sz="6" w:space="0" w:color="788184" w:themeColor="background2"/>
          <w:right w:val="single" w:sz="6" w:space="0" w:color="788184" w:themeColor="background2"/>
          <w:insideH w:val="single" w:sz="6" w:space="0" w:color="788184" w:themeColor="background2"/>
          <w:insideV w:val="single" w:sz="6" w:space="0" w:color="788184" w:themeColor="background2"/>
        </w:tblBorders>
        <w:tblLayout w:type="fixed"/>
        <w:tblLook w:val="04A0" w:firstRow="1" w:lastRow="0" w:firstColumn="1" w:lastColumn="0" w:noHBand="0" w:noVBand="1"/>
      </w:tblPr>
      <w:tblGrid>
        <w:gridCol w:w="958"/>
        <w:gridCol w:w="2558"/>
        <w:gridCol w:w="1629"/>
        <w:gridCol w:w="1629"/>
        <w:gridCol w:w="1629"/>
        <w:gridCol w:w="1629"/>
      </w:tblGrid>
      <w:tr w:rsidR="00426198" w:rsidRPr="00426198" w:rsidTr="00874E70">
        <w:trPr>
          <w:trHeight w:val="300"/>
        </w:trPr>
        <w:tc>
          <w:tcPr>
            <w:tcW w:w="477" w:type="pct"/>
            <w:shd w:val="clear" w:color="auto" w:fill="D7DDE9"/>
            <w:noWrap/>
          </w:tcPr>
          <w:p w:rsidR="00426198" w:rsidRPr="00426198" w:rsidRDefault="00426198" w:rsidP="00426198">
            <w:pPr>
              <w:spacing w:before="70" w:after="70" w:line="260" w:lineRule="atLeas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Decile</w:t>
            </w:r>
            <w:r w:rsidRPr="00426198">
              <w:rPr>
                <w:rFonts w:eastAsia="Times New Roman" w:cs="Thorndale AMT"/>
                <w:b/>
                <w:bCs/>
                <w:color w:val="000000"/>
                <w:sz w:val="20"/>
                <w:szCs w:val="20"/>
                <w:vertAlign w:val="superscript"/>
                <w:lang w:eastAsia="en-AU"/>
              </w:rPr>
              <w:t>(b)</w:t>
            </w:r>
          </w:p>
        </w:tc>
        <w:tc>
          <w:tcPr>
            <w:tcW w:w="1275" w:type="pct"/>
            <w:shd w:val="clear" w:color="auto" w:fill="D7DDE9"/>
          </w:tcPr>
          <w:p w:rsidR="00426198" w:rsidRPr="00426198" w:rsidRDefault="00426198" w:rsidP="00426198">
            <w:pPr>
              <w:spacing w:before="70" w:after="70" w:line="260" w:lineRule="atLeas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Fund balance range</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Number of funds claiming excess franking credits</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lang w:eastAsia="en-AU"/>
              </w:rPr>
            </w:pPr>
            <w:r w:rsidRPr="00426198">
              <w:rPr>
                <w:rFonts w:eastAsia="Times New Roman" w:cs="Thorndale AMT"/>
                <w:b/>
                <w:bCs/>
                <w:color w:val="000000"/>
                <w:sz w:val="20"/>
                <w:szCs w:val="20"/>
                <w:lang w:eastAsia="en-AU"/>
              </w:rPr>
              <w:t>Percentage claiming excess franking credits</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Average excess franking credits claimed ($)</w:t>
            </w:r>
            <w:r w:rsidRPr="00426198">
              <w:rPr>
                <w:rFonts w:eastAsia="Times New Roman" w:cs="Thorndale AMT"/>
                <w:b/>
                <w:bCs/>
                <w:color w:val="000000"/>
                <w:sz w:val="20"/>
                <w:szCs w:val="20"/>
                <w:vertAlign w:val="superscript"/>
                <w:lang w:eastAsia="en-AU"/>
              </w:rPr>
              <w:t>(c)</w:t>
            </w:r>
          </w:p>
        </w:tc>
        <w:tc>
          <w:tcPr>
            <w:tcW w:w="812" w:type="pct"/>
            <w:shd w:val="clear" w:color="auto" w:fill="D7DDE9"/>
          </w:tcPr>
          <w:p w:rsidR="00426198" w:rsidRPr="00426198" w:rsidRDefault="00426198" w:rsidP="00426198">
            <w:pPr>
              <w:spacing w:before="70" w:after="70" w:line="260" w:lineRule="atLeast"/>
              <w:jc w:val="right"/>
              <w:rPr>
                <w:rFonts w:eastAsia="Times New Roman" w:cs="Thorndale AMT"/>
                <w:b/>
                <w:bCs/>
                <w:color w:val="000000"/>
                <w:sz w:val="20"/>
                <w:szCs w:val="20"/>
                <w:vertAlign w:val="superscript"/>
                <w:lang w:eastAsia="en-AU"/>
              </w:rPr>
            </w:pPr>
            <w:r w:rsidRPr="00426198">
              <w:rPr>
                <w:rFonts w:eastAsia="Times New Roman" w:cs="Thorndale AMT"/>
                <w:b/>
                <w:bCs/>
                <w:color w:val="000000"/>
                <w:sz w:val="20"/>
                <w:szCs w:val="20"/>
                <w:lang w:eastAsia="en-AU"/>
              </w:rPr>
              <w:t>Total excess franking credits claimed ($m)</w:t>
            </w:r>
            <w:r w:rsidRPr="00426198">
              <w:rPr>
                <w:rFonts w:eastAsia="Times New Roman" w:cs="Thorndale AMT"/>
                <w:b/>
                <w:bCs/>
                <w:color w:val="000000"/>
                <w:sz w:val="20"/>
                <w:szCs w:val="20"/>
                <w:vertAlign w:val="superscript"/>
                <w:lang w:eastAsia="en-AU"/>
              </w:rPr>
              <w:t>(d)</w:t>
            </w:r>
          </w:p>
        </w:tc>
      </w:tr>
      <w:tr w:rsidR="00426198" w:rsidRPr="00426198" w:rsidTr="00874E70">
        <w:trPr>
          <w:trHeight w:val="300"/>
        </w:trPr>
        <w:tc>
          <w:tcPr>
            <w:tcW w:w="47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vertAlign w:val="superscript"/>
                <w:lang w:eastAsia="en-AU"/>
              </w:rPr>
            </w:pPr>
            <w:r w:rsidRPr="00426198">
              <w:rPr>
                <w:color w:val="000000"/>
                <w:sz w:val="20"/>
                <w:szCs w:val="20"/>
              </w:rPr>
              <w:t>1</w:t>
            </w:r>
            <w:r w:rsidRPr="00426198">
              <w:rPr>
                <w:color w:val="000000"/>
                <w:sz w:val="20"/>
                <w:szCs w:val="20"/>
                <w:vertAlign w:val="superscript"/>
              </w:rPr>
              <w:t>(e)</w:t>
            </w:r>
          </w:p>
        </w:tc>
        <w:tc>
          <w:tcPr>
            <w:tcW w:w="1275" w:type="pct"/>
            <w:vAlign w:val="center"/>
          </w:tcPr>
          <w:p w:rsidR="00426198" w:rsidRPr="00426198" w:rsidRDefault="00426198" w:rsidP="00426198">
            <w:pPr>
              <w:rPr>
                <w:sz w:val="20"/>
                <w:szCs w:val="20"/>
              </w:rPr>
            </w:pPr>
            <w:r w:rsidRPr="00426198">
              <w:rPr>
                <w:sz w:val="20"/>
                <w:szCs w:val="20"/>
              </w:rPr>
              <w:t>$0</w:t>
            </w:r>
          </w:p>
        </w:tc>
        <w:tc>
          <w:tcPr>
            <w:tcW w:w="812" w:type="pct"/>
            <w:vAlign w:val="center"/>
          </w:tcPr>
          <w:p w:rsidR="00426198" w:rsidRPr="00426198" w:rsidRDefault="00426198" w:rsidP="00426198">
            <w:pPr>
              <w:jc w:val="right"/>
              <w:rPr>
                <w:sz w:val="20"/>
                <w:szCs w:val="20"/>
              </w:rPr>
            </w:pPr>
            <w:r w:rsidRPr="00426198">
              <w:rPr>
                <w:sz w:val="20"/>
                <w:szCs w:val="20"/>
              </w:rPr>
              <w:t>174</w:t>
            </w:r>
          </w:p>
        </w:tc>
        <w:tc>
          <w:tcPr>
            <w:tcW w:w="812" w:type="pct"/>
            <w:vAlign w:val="center"/>
          </w:tcPr>
          <w:p w:rsidR="00426198" w:rsidRPr="00426198" w:rsidRDefault="00426198" w:rsidP="00426198">
            <w:pPr>
              <w:jc w:val="right"/>
              <w:rPr>
                <w:sz w:val="20"/>
                <w:szCs w:val="20"/>
              </w:rPr>
            </w:pPr>
            <w:r w:rsidRPr="00426198">
              <w:rPr>
                <w:sz w:val="20"/>
                <w:szCs w:val="20"/>
              </w:rPr>
              <w:t>50.1%</w:t>
            </w:r>
          </w:p>
        </w:tc>
        <w:tc>
          <w:tcPr>
            <w:tcW w:w="812" w:type="pct"/>
            <w:vAlign w:val="center"/>
          </w:tcPr>
          <w:p w:rsidR="00426198" w:rsidRPr="00426198" w:rsidRDefault="00426198" w:rsidP="00426198">
            <w:pPr>
              <w:jc w:val="right"/>
              <w:rPr>
                <w:sz w:val="20"/>
                <w:szCs w:val="20"/>
              </w:rPr>
            </w:pPr>
            <w:r w:rsidRPr="00426198">
              <w:rPr>
                <w:sz w:val="20"/>
                <w:szCs w:val="20"/>
              </w:rPr>
              <w:t xml:space="preserve">           29,929 </w:t>
            </w:r>
          </w:p>
        </w:tc>
        <w:tc>
          <w:tcPr>
            <w:tcW w:w="812" w:type="pct"/>
            <w:vAlign w:val="center"/>
          </w:tcPr>
          <w:p w:rsidR="00426198" w:rsidRPr="00426198" w:rsidRDefault="00426198" w:rsidP="00426198">
            <w:pPr>
              <w:jc w:val="right"/>
              <w:rPr>
                <w:sz w:val="20"/>
                <w:szCs w:val="20"/>
              </w:rPr>
            </w:pPr>
            <w:r w:rsidRPr="00426198">
              <w:rPr>
                <w:sz w:val="20"/>
                <w:szCs w:val="20"/>
              </w:rPr>
              <w:t>5.2</w:t>
            </w:r>
          </w:p>
        </w:tc>
      </w:tr>
      <w:tr w:rsidR="00426198" w:rsidRPr="00426198" w:rsidTr="00874E70">
        <w:trPr>
          <w:trHeight w:val="300"/>
        </w:trPr>
        <w:tc>
          <w:tcPr>
            <w:tcW w:w="477" w:type="pct"/>
            <w:shd w:val="clear" w:color="auto" w:fill="auto"/>
            <w:noWrap/>
            <w:vAlign w:val="center"/>
            <w:hideMark/>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2</w:t>
            </w:r>
          </w:p>
        </w:tc>
        <w:tc>
          <w:tcPr>
            <w:tcW w:w="1275" w:type="pct"/>
            <w:vAlign w:val="center"/>
          </w:tcPr>
          <w:p w:rsidR="00426198" w:rsidRPr="00426198" w:rsidRDefault="00426198" w:rsidP="00426198">
            <w:pPr>
              <w:rPr>
                <w:sz w:val="20"/>
                <w:szCs w:val="20"/>
              </w:rPr>
            </w:pPr>
            <w:r w:rsidRPr="00426198">
              <w:rPr>
                <w:sz w:val="20"/>
                <w:szCs w:val="20"/>
              </w:rPr>
              <w:t>$1 to $101,068</w:t>
            </w:r>
          </w:p>
        </w:tc>
        <w:tc>
          <w:tcPr>
            <w:tcW w:w="812" w:type="pct"/>
            <w:vAlign w:val="center"/>
          </w:tcPr>
          <w:p w:rsidR="00426198" w:rsidRPr="00426198" w:rsidRDefault="00426198" w:rsidP="00426198">
            <w:pPr>
              <w:jc w:val="right"/>
              <w:rPr>
                <w:sz w:val="20"/>
                <w:szCs w:val="20"/>
              </w:rPr>
            </w:pPr>
            <w:r w:rsidRPr="00426198">
              <w:rPr>
                <w:sz w:val="20"/>
                <w:szCs w:val="20"/>
              </w:rPr>
              <w:t>165</w:t>
            </w:r>
          </w:p>
        </w:tc>
        <w:tc>
          <w:tcPr>
            <w:tcW w:w="812" w:type="pct"/>
            <w:vAlign w:val="center"/>
          </w:tcPr>
          <w:p w:rsidR="00426198" w:rsidRPr="00426198" w:rsidRDefault="00426198" w:rsidP="00426198">
            <w:pPr>
              <w:jc w:val="right"/>
              <w:rPr>
                <w:sz w:val="20"/>
                <w:szCs w:val="20"/>
              </w:rPr>
            </w:pPr>
            <w:r w:rsidRPr="00426198">
              <w:rPr>
                <w:sz w:val="20"/>
                <w:szCs w:val="20"/>
              </w:rPr>
              <w:t>76.7%</w:t>
            </w:r>
          </w:p>
        </w:tc>
        <w:tc>
          <w:tcPr>
            <w:tcW w:w="812" w:type="pct"/>
            <w:vAlign w:val="center"/>
          </w:tcPr>
          <w:p w:rsidR="00426198" w:rsidRPr="00426198" w:rsidRDefault="00426198" w:rsidP="00426198">
            <w:pPr>
              <w:jc w:val="right"/>
              <w:rPr>
                <w:sz w:val="20"/>
                <w:szCs w:val="20"/>
              </w:rPr>
            </w:pPr>
            <w:r w:rsidRPr="00426198">
              <w:rPr>
                <w:sz w:val="20"/>
                <w:szCs w:val="20"/>
              </w:rPr>
              <w:t xml:space="preserve">                854 </w:t>
            </w:r>
          </w:p>
        </w:tc>
        <w:tc>
          <w:tcPr>
            <w:tcW w:w="812" w:type="pct"/>
            <w:vAlign w:val="center"/>
          </w:tcPr>
          <w:p w:rsidR="00426198" w:rsidRPr="00426198" w:rsidRDefault="00426198" w:rsidP="00426198">
            <w:pPr>
              <w:jc w:val="right"/>
              <w:rPr>
                <w:sz w:val="20"/>
                <w:szCs w:val="20"/>
              </w:rPr>
            </w:pPr>
            <w:r w:rsidRPr="00426198">
              <w:rPr>
                <w:sz w:val="20"/>
                <w:szCs w:val="20"/>
              </w:rPr>
              <w:t>0.1</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3</w:t>
            </w:r>
          </w:p>
        </w:tc>
        <w:tc>
          <w:tcPr>
            <w:tcW w:w="1275" w:type="pct"/>
            <w:vAlign w:val="center"/>
          </w:tcPr>
          <w:p w:rsidR="00426198" w:rsidRPr="00426198" w:rsidRDefault="00426198" w:rsidP="00426198">
            <w:pPr>
              <w:rPr>
                <w:sz w:val="20"/>
                <w:szCs w:val="20"/>
              </w:rPr>
            </w:pPr>
            <w:r w:rsidRPr="00426198">
              <w:rPr>
                <w:sz w:val="20"/>
                <w:szCs w:val="20"/>
              </w:rPr>
              <w:t>$101,069 to $205,401</w:t>
            </w:r>
          </w:p>
        </w:tc>
        <w:tc>
          <w:tcPr>
            <w:tcW w:w="812" w:type="pct"/>
            <w:vAlign w:val="center"/>
          </w:tcPr>
          <w:p w:rsidR="00426198" w:rsidRPr="00426198" w:rsidRDefault="00426198" w:rsidP="00426198">
            <w:pPr>
              <w:jc w:val="right"/>
              <w:rPr>
                <w:sz w:val="20"/>
                <w:szCs w:val="20"/>
              </w:rPr>
            </w:pPr>
            <w:r w:rsidRPr="00426198">
              <w:rPr>
                <w:sz w:val="20"/>
                <w:szCs w:val="20"/>
              </w:rPr>
              <w:t>243</w:t>
            </w:r>
          </w:p>
        </w:tc>
        <w:tc>
          <w:tcPr>
            <w:tcW w:w="812" w:type="pct"/>
            <w:vAlign w:val="center"/>
          </w:tcPr>
          <w:p w:rsidR="00426198" w:rsidRPr="00426198" w:rsidRDefault="00426198" w:rsidP="00426198">
            <w:pPr>
              <w:jc w:val="right"/>
              <w:rPr>
                <w:sz w:val="20"/>
                <w:szCs w:val="20"/>
              </w:rPr>
            </w:pPr>
            <w:r w:rsidRPr="00426198">
              <w:rPr>
                <w:sz w:val="20"/>
                <w:szCs w:val="20"/>
              </w:rPr>
              <w:t>86.5%</w:t>
            </w:r>
          </w:p>
        </w:tc>
        <w:tc>
          <w:tcPr>
            <w:tcW w:w="812" w:type="pct"/>
            <w:vAlign w:val="center"/>
          </w:tcPr>
          <w:p w:rsidR="00426198" w:rsidRPr="00426198" w:rsidRDefault="00426198" w:rsidP="00426198">
            <w:pPr>
              <w:jc w:val="right"/>
              <w:rPr>
                <w:sz w:val="20"/>
                <w:szCs w:val="20"/>
              </w:rPr>
            </w:pPr>
            <w:r w:rsidRPr="00426198">
              <w:rPr>
                <w:sz w:val="20"/>
                <w:szCs w:val="20"/>
              </w:rPr>
              <w:t xml:space="preserve">             1,687 </w:t>
            </w:r>
          </w:p>
        </w:tc>
        <w:tc>
          <w:tcPr>
            <w:tcW w:w="812" w:type="pct"/>
            <w:vAlign w:val="center"/>
          </w:tcPr>
          <w:p w:rsidR="00426198" w:rsidRPr="00426198" w:rsidRDefault="00426198" w:rsidP="00426198">
            <w:pPr>
              <w:jc w:val="right"/>
              <w:rPr>
                <w:sz w:val="20"/>
                <w:szCs w:val="20"/>
              </w:rPr>
            </w:pPr>
            <w:r w:rsidRPr="00426198">
              <w:rPr>
                <w:sz w:val="20"/>
                <w:szCs w:val="20"/>
              </w:rPr>
              <w:t>0.4</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4</w:t>
            </w:r>
          </w:p>
        </w:tc>
        <w:tc>
          <w:tcPr>
            <w:tcW w:w="1275" w:type="pct"/>
            <w:vAlign w:val="center"/>
          </w:tcPr>
          <w:p w:rsidR="00426198" w:rsidRPr="00426198" w:rsidRDefault="00426198" w:rsidP="00426198">
            <w:pPr>
              <w:rPr>
                <w:sz w:val="20"/>
                <w:szCs w:val="20"/>
              </w:rPr>
            </w:pPr>
            <w:r w:rsidRPr="00426198">
              <w:rPr>
                <w:sz w:val="20"/>
                <w:szCs w:val="20"/>
              </w:rPr>
              <w:t>$205,402 to $309,472</w:t>
            </w:r>
          </w:p>
        </w:tc>
        <w:tc>
          <w:tcPr>
            <w:tcW w:w="812" w:type="pct"/>
            <w:vAlign w:val="center"/>
          </w:tcPr>
          <w:p w:rsidR="00426198" w:rsidRPr="00426198" w:rsidRDefault="00426198" w:rsidP="00426198">
            <w:pPr>
              <w:jc w:val="right"/>
              <w:rPr>
                <w:sz w:val="20"/>
                <w:szCs w:val="20"/>
              </w:rPr>
            </w:pPr>
            <w:r w:rsidRPr="00426198">
              <w:rPr>
                <w:sz w:val="20"/>
                <w:szCs w:val="20"/>
              </w:rPr>
              <w:t>267</w:t>
            </w:r>
          </w:p>
        </w:tc>
        <w:tc>
          <w:tcPr>
            <w:tcW w:w="812" w:type="pct"/>
            <w:vAlign w:val="center"/>
          </w:tcPr>
          <w:p w:rsidR="00426198" w:rsidRPr="00426198" w:rsidRDefault="00426198" w:rsidP="00426198">
            <w:pPr>
              <w:jc w:val="right"/>
              <w:rPr>
                <w:sz w:val="20"/>
                <w:szCs w:val="20"/>
              </w:rPr>
            </w:pPr>
            <w:r w:rsidRPr="00426198">
              <w:rPr>
                <w:sz w:val="20"/>
                <w:szCs w:val="20"/>
              </w:rPr>
              <w:t>94.7%</w:t>
            </w:r>
          </w:p>
        </w:tc>
        <w:tc>
          <w:tcPr>
            <w:tcW w:w="812" w:type="pct"/>
            <w:vAlign w:val="center"/>
          </w:tcPr>
          <w:p w:rsidR="00426198" w:rsidRPr="00426198" w:rsidRDefault="00426198" w:rsidP="00426198">
            <w:pPr>
              <w:jc w:val="right"/>
              <w:rPr>
                <w:sz w:val="20"/>
                <w:szCs w:val="20"/>
              </w:rPr>
            </w:pPr>
            <w:r w:rsidRPr="00426198">
              <w:rPr>
                <w:sz w:val="20"/>
                <w:szCs w:val="20"/>
              </w:rPr>
              <w:t xml:space="preserve">             2,777 </w:t>
            </w:r>
          </w:p>
        </w:tc>
        <w:tc>
          <w:tcPr>
            <w:tcW w:w="812" w:type="pct"/>
            <w:vAlign w:val="center"/>
          </w:tcPr>
          <w:p w:rsidR="00426198" w:rsidRPr="00426198" w:rsidRDefault="00426198" w:rsidP="00426198">
            <w:pPr>
              <w:jc w:val="right"/>
              <w:rPr>
                <w:sz w:val="20"/>
                <w:szCs w:val="20"/>
              </w:rPr>
            </w:pPr>
            <w:r w:rsidRPr="00426198">
              <w:rPr>
                <w:sz w:val="20"/>
                <w:szCs w:val="20"/>
              </w:rPr>
              <w:t>0.7</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5</w:t>
            </w:r>
          </w:p>
        </w:tc>
        <w:tc>
          <w:tcPr>
            <w:tcW w:w="1275" w:type="pct"/>
            <w:vAlign w:val="center"/>
          </w:tcPr>
          <w:p w:rsidR="00426198" w:rsidRPr="00426198" w:rsidRDefault="00426198" w:rsidP="00426198">
            <w:pPr>
              <w:rPr>
                <w:sz w:val="20"/>
                <w:szCs w:val="20"/>
              </w:rPr>
            </w:pPr>
            <w:r w:rsidRPr="00426198">
              <w:rPr>
                <w:sz w:val="20"/>
                <w:szCs w:val="20"/>
              </w:rPr>
              <w:t>$309,473 to $458,968</w:t>
            </w:r>
          </w:p>
        </w:tc>
        <w:tc>
          <w:tcPr>
            <w:tcW w:w="812" w:type="pct"/>
            <w:vAlign w:val="center"/>
          </w:tcPr>
          <w:p w:rsidR="00426198" w:rsidRPr="00426198" w:rsidRDefault="00426198" w:rsidP="00426198">
            <w:pPr>
              <w:jc w:val="right"/>
              <w:rPr>
                <w:sz w:val="20"/>
                <w:szCs w:val="20"/>
              </w:rPr>
            </w:pPr>
            <w:r w:rsidRPr="00426198">
              <w:rPr>
                <w:sz w:val="20"/>
                <w:szCs w:val="20"/>
              </w:rPr>
              <w:t>252</w:t>
            </w:r>
          </w:p>
        </w:tc>
        <w:tc>
          <w:tcPr>
            <w:tcW w:w="812" w:type="pct"/>
            <w:vAlign w:val="center"/>
          </w:tcPr>
          <w:p w:rsidR="00426198" w:rsidRPr="00426198" w:rsidRDefault="00426198" w:rsidP="00426198">
            <w:pPr>
              <w:jc w:val="right"/>
              <w:rPr>
                <w:sz w:val="20"/>
                <w:szCs w:val="20"/>
              </w:rPr>
            </w:pPr>
            <w:r w:rsidRPr="00426198">
              <w:rPr>
                <w:sz w:val="20"/>
                <w:szCs w:val="20"/>
              </w:rPr>
              <w:t>89.7%</w:t>
            </w:r>
          </w:p>
        </w:tc>
        <w:tc>
          <w:tcPr>
            <w:tcW w:w="812" w:type="pct"/>
            <w:vAlign w:val="center"/>
          </w:tcPr>
          <w:p w:rsidR="00426198" w:rsidRPr="00426198" w:rsidRDefault="00426198" w:rsidP="00426198">
            <w:pPr>
              <w:jc w:val="right"/>
              <w:rPr>
                <w:sz w:val="20"/>
                <w:szCs w:val="20"/>
              </w:rPr>
            </w:pPr>
            <w:r w:rsidRPr="00426198">
              <w:rPr>
                <w:sz w:val="20"/>
                <w:szCs w:val="20"/>
              </w:rPr>
              <w:t xml:space="preserve">             4,057 </w:t>
            </w:r>
          </w:p>
        </w:tc>
        <w:tc>
          <w:tcPr>
            <w:tcW w:w="812" w:type="pct"/>
            <w:vAlign w:val="center"/>
          </w:tcPr>
          <w:p w:rsidR="00426198" w:rsidRPr="00426198" w:rsidRDefault="00426198" w:rsidP="00426198">
            <w:pPr>
              <w:jc w:val="right"/>
              <w:rPr>
                <w:sz w:val="20"/>
                <w:szCs w:val="20"/>
              </w:rPr>
            </w:pPr>
            <w:r w:rsidRPr="00426198">
              <w:rPr>
                <w:sz w:val="20"/>
                <w:szCs w:val="20"/>
              </w:rPr>
              <w:t>1.0</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6</w:t>
            </w:r>
          </w:p>
        </w:tc>
        <w:tc>
          <w:tcPr>
            <w:tcW w:w="1275" w:type="pct"/>
            <w:vAlign w:val="center"/>
          </w:tcPr>
          <w:p w:rsidR="00426198" w:rsidRPr="00426198" w:rsidRDefault="00426198" w:rsidP="00426198">
            <w:pPr>
              <w:rPr>
                <w:sz w:val="20"/>
                <w:szCs w:val="20"/>
              </w:rPr>
            </w:pPr>
            <w:r w:rsidRPr="00426198">
              <w:rPr>
                <w:sz w:val="20"/>
                <w:szCs w:val="20"/>
              </w:rPr>
              <w:t>$458,969 to $650,510</w:t>
            </w:r>
          </w:p>
        </w:tc>
        <w:tc>
          <w:tcPr>
            <w:tcW w:w="812" w:type="pct"/>
            <w:vAlign w:val="center"/>
          </w:tcPr>
          <w:p w:rsidR="00426198" w:rsidRPr="00426198" w:rsidRDefault="00426198" w:rsidP="00426198">
            <w:pPr>
              <w:jc w:val="right"/>
              <w:rPr>
                <w:sz w:val="20"/>
                <w:szCs w:val="20"/>
              </w:rPr>
            </w:pPr>
            <w:r w:rsidRPr="00426198">
              <w:rPr>
                <w:sz w:val="20"/>
                <w:szCs w:val="20"/>
              </w:rPr>
              <w:t>252</w:t>
            </w:r>
          </w:p>
        </w:tc>
        <w:tc>
          <w:tcPr>
            <w:tcW w:w="812" w:type="pct"/>
            <w:vAlign w:val="center"/>
          </w:tcPr>
          <w:p w:rsidR="00426198" w:rsidRPr="00426198" w:rsidRDefault="00426198" w:rsidP="00426198">
            <w:pPr>
              <w:jc w:val="right"/>
              <w:rPr>
                <w:sz w:val="20"/>
                <w:szCs w:val="20"/>
              </w:rPr>
            </w:pPr>
            <w:r w:rsidRPr="00426198">
              <w:rPr>
                <w:sz w:val="20"/>
                <w:szCs w:val="20"/>
              </w:rPr>
              <w:t>89.7%</w:t>
            </w:r>
          </w:p>
        </w:tc>
        <w:tc>
          <w:tcPr>
            <w:tcW w:w="812" w:type="pct"/>
            <w:vAlign w:val="center"/>
          </w:tcPr>
          <w:p w:rsidR="00426198" w:rsidRPr="00426198" w:rsidRDefault="00426198" w:rsidP="00426198">
            <w:pPr>
              <w:jc w:val="right"/>
              <w:rPr>
                <w:sz w:val="20"/>
                <w:szCs w:val="20"/>
              </w:rPr>
            </w:pPr>
            <w:r w:rsidRPr="00426198">
              <w:rPr>
                <w:sz w:val="20"/>
                <w:szCs w:val="20"/>
              </w:rPr>
              <w:t xml:space="preserve">             5,671 </w:t>
            </w:r>
          </w:p>
        </w:tc>
        <w:tc>
          <w:tcPr>
            <w:tcW w:w="812" w:type="pct"/>
            <w:vAlign w:val="center"/>
          </w:tcPr>
          <w:p w:rsidR="00426198" w:rsidRPr="00426198" w:rsidRDefault="00426198" w:rsidP="00426198">
            <w:pPr>
              <w:jc w:val="right"/>
              <w:rPr>
                <w:sz w:val="20"/>
                <w:szCs w:val="20"/>
              </w:rPr>
            </w:pPr>
            <w:r w:rsidRPr="00426198">
              <w:rPr>
                <w:sz w:val="20"/>
                <w:szCs w:val="20"/>
              </w:rPr>
              <w:t>1.4</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7</w:t>
            </w:r>
          </w:p>
        </w:tc>
        <w:tc>
          <w:tcPr>
            <w:tcW w:w="1275" w:type="pct"/>
            <w:vAlign w:val="center"/>
          </w:tcPr>
          <w:p w:rsidR="00426198" w:rsidRPr="00426198" w:rsidRDefault="00426198" w:rsidP="00426198">
            <w:pPr>
              <w:rPr>
                <w:sz w:val="20"/>
                <w:szCs w:val="20"/>
              </w:rPr>
            </w:pPr>
            <w:r w:rsidRPr="00426198">
              <w:rPr>
                <w:sz w:val="20"/>
                <w:szCs w:val="20"/>
              </w:rPr>
              <w:t>$650,511 to $981,296</w:t>
            </w:r>
          </w:p>
        </w:tc>
        <w:tc>
          <w:tcPr>
            <w:tcW w:w="812" w:type="pct"/>
            <w:vAlign w:val="center"/>
          </w:tcPr>
          <w:p w:rsidR="00426198" w:rsidRPr="00426198" w:rsidRDefault="00426198" w:rsidP="00426198">
            <w:pPr>
              <w:jc w:val="right"/>
              <w:rPr>
                <w:sz w:val="20"/>
                <w:szCs w:val="20"/>
              </w:rPr>
            </w:pPr>
            <w:r w:rsidRPr="00426198">
              <w:rPr>
                <w:sz w:val="20"/>
                <w:szCs w:val="20"/>
              </w:rPr>
              <w:t>247</w:t>
            </w:r>
          </w:p>
        </w:tc>
        <w:tc>
          <w:tcPr>
            <w:tcW w:w="812" w:type="pct"/>
            <w:vAlign w:val="center"/>
          </w:tcPr>
          <w:p w:rsidR="00426198" w:rsidRPr="00426198" w:rsidRDefault="00426198" w:rsidP="00426198">
            <w:pPr>
              <w:jc w:val="right"/>
              <w:rPr>
                <w:sz w:val="20"/>
                <w:szCs w:val="20"/>
              </w:rPr>
            </w:pPr>
            <w:r w:rsidRPr="00426198">
              <w:rPr>
                <w:sz w:val="20"/>
                <w:szCs w:val="20"/>
              </w:rPr>
              <w:t>87.6%</w:t>
            </w:r>
          </w:p>
        </w:tc>
        <w:tc>
          <w:tcPr>
            <w:tcW w:w="812" w:type="pct"/>
            <w:vAlign w:val="center"/>
          </w:tcPr>
          <w:p w:rsidR="00426198" w:rsidRPr="00426198" w:rsidRDefault="00426198" w:rsidP="00426198">
            <w:pPr>
              <w:jc w:val="right"/>
              <w:rPr>
                <w:sz w:val="20"/>
                <w:szCs w:val="20"/>
              </w:rPr>
            </w:pPr>
            <w:r w:rsidRPr="00426198">
              <w:rPr>
                <w:sz w:val="20"/>
                <w:szCs w:val="20"/>
              </w:rPr>
              <w:t xml:space="preserve">             6,985 </w:t>
            </w:r>
          </w:p>
        </w:tc>
        <w:tc>
          <w:tcPr>
            <w:tcW w:w="812" w:type="pct"/>
            <w:vAlign w:val="center"/>
          </w:tcPr>
          <w:p w:rsidR="00426198" w:rsidRPr="00426198" w:rsidRDefault="00426198" w:rsidP="00426198">
            <w:pPr>
              <w:jc w:val="right"/>
              <w:rPr>
                <w:sz w:val="20"/>
                <w:szCs w:val="20"/>
              </w:rPr>
            </w:pPr>
            <w:r w:rsidRPr="00426198">
              <w:rPr>
                <w:sz w:val="20"/>
                <w:szCs w:val="20"/>
              </w:rPr>
              <w:t>1.7</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8</w:t>
            </w:r>
          </w:p>
        </w:tc>
        <w:tc>
          <w:tcPr>
            <w:tcW w:w="1275" w:type="pct"/>
            <w:vAlign w:val="center"/>
          </w:tcPr>
          <w:p w:rsidR="00426198" w:rsidRPr="00426198" w:rsidRDefault="00426198" w:rsidP="00426198">
            <w:pPr>
              <w:rPr>
                <w:sz w:val="20"/>
                <w:szCs w:val="20"/>
              </w:rPr>
            </w:pPr>
            <w:r w:rsidRPr="00426198">
              <w:rPr>
                <w:sz w:val="20"/>
                <w:szCs w:val="20"/>
              </w:rPr>
              <w:t>$981,297 to $1,634,549</w:t>
            </w:r>
          </w:p>
        </w:tc>
        <w:tc>
          <w:tcPr>
            <w:tcW w:w="812" w:type="pct"/>
            <w:vAlign w:val="center"/>
          </w:tcPr>
          <w:p w:rsidR="00426198" w:rsidRPr="00426198" w:rsidRDefault="00426198" w:rsidP="00426198">
            <w:pPr>
              <w:jc w:val="right"/>
              <w:rPr>
                <w:sz w:val="20"/>
                <w:szCs w:val="20"/>
              </w:rPr>
            </w:pPr>
            <w:r w:rsidRPr="00426198">
              <w:rPr>
                <w:sz w:val="20"/>
                <w:szCs w:val="20"/>
              </w:rPr>
              <w:t>252</w:t>
            </w:r>
          </w:p>
        </w:tc>
        <w:tc>
          <w:tcPr>
            <w:tcW w:w="812" w:type="pct"/>
            <w:vAlign w:val="center"/>
          </w:tcPr>
          <w:p w:rsidR="00426198" w:rsidRPr="00426198" w:rsidRDefault="00426198" w:rsidP="00426198">
            <w:pPr>
              <w:jc w:val="right"/>
              <w:rPr>
                <w:sz w:val="20"/>
                <w:szCs w:val="20"/>
              </w:rPr>
            </w:pPr>
            <w:r w:rsidRPr="00426198">
              <w:rPr>
                <w:sz w:val="20"/>
                <w:szCs w:val="20"/>
              </w:rPr>
              <w:t>89.7%</w:t>
            </w:r>
          </w:p>
        </w:tc>
        <w:tc>
          <w:tcPr>
            <w:tcW w:w="812" w:type="pct"/>
            <w:vAlign w:val="center"/>
          </w:tcPr>
          <w:p w:rsidR="00426198" w:rsidRPr="00426198" w:rsidRDefault="00426198" w:rsidP="00426198">
            <w:pPr>
              <w:jc w:val="right"/>
              <w:rPr>
                <w:sz w:val="20"/>
                <w:szCs w:val="20"/>
              </w:rPr>
            </w:pPr>
            <w:r w:rsidRPr="00426198">
              <w:rPr>
                <w:sz w:val="20"/>
                <w:szCs w:val="20"/>
              </w:rPr>
              <w:t xml:space="preserve">           11,815 </w:t>
            </w:r>
          </w:p>
        </w:tc>
        <w:tc>
          <w:tcPr>
            <w:tcW w:w="812" w:type="pct"/>
            <w:vAlign w:val="center"/>
          </w:tcPr>
          <w:p w:rsidR="00426198" w:rsidRPr="00426198" w:rsidRDefault="00426198" w:rsidP="00426198">
            <w:pPr>
              <w:jc w:val="right"/>
              <w:rPr>
                <w:sz w:val="20"/>
                <w:szCs w:val="20"/>
              </w:rPr>
            </w:pPr>
            <w:r w:rsidRPr="00426198">
              <w:rPr>
                <w:sz w:val="20"/>
                <w:szCs w:val="20"/>
              </w:rPr>
              <w:t>3.0</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9</w:t>
            </w:r>
          </w:p>
        </w:tc>
        <w:tc>
          <w:tcPr>
            <w:tcW w:w="1275" w:type="pct"/>
            <w:vAlign w:val="center"/>
          </w:tcPr>
          <w:p w:rsidR="00426198" w:rsidRPr="00426198" w:rsidRDefault="00426198" w:rsidP="00426198">
            <w:pPr>
              <w:rPr>
                <w:sz w:val="20"/>
                <w:szCs w:val="20"/>
              </w:rPr>
            </w:pPr>
            <w:r w:rsidRPr="00426198">
              <w:rPr>
                <w:sz w:val="20"/>
                <w:szCs w:val="20"/>
              </w:rPr>
              <w:t>$1,634,550 to $4,851,537</w:t>
            </w:r>
          </w:p>
        </w:tc>
        <w:tc>
          <w:tcPr>
            <w:tcW w:w="812" w:type="pct"/>
            <w:vAlign w:val="center"/>
          </w:tcPr>
          <w:p w:rsidR="00426198" w:rsidRPr="00426198" w:rsidRDefault="00426198" w:rsidP="00426198">
            <w:pPr>
              <w:jc w:val="right"/>
              <w:rPr>
                <w:sz w:val="20"/>
                <w:szCs w:val="20"/>
              </w:rPr>
            </w:pPr>
            <w:r w:rsidRPr="00426198">
              <w:rPr>
                <w:sz w:val="20"/>
                <w:szCs w:val="20"/>
              </w:rPr>
              <w:t>240</w:t>
            </w:r>
          </w:p>
        </w:tc>
        <w:tc>
          <w:tcPr>
            <w:tcW w:w="812" w:type="pct"/>
            <w:vAlign w:val="center"/>
          </w:tcPr>
          <w:p w:rsidR="00426198" w:rsidRPr="00426198" w:rsidRDefault="00426198" w:rsidP="00426198">
            <w:pPr>
              <w:jc w:val="right"/>
              <w:rPr>
                <w:sz w:val="20"/>
                <w:szCs w:val="20"/>
              </w:rPr>
            </w:pPr>
            <w:r w:rsidRPr="00426198">
              <w:rPr>
                <w:sz w:val="20"/>
                <w:szCs w:val="20"/>
              </w:rPr>
              <w:t>85.4%</w:t>
            </w:r>
          </w:p>
        </w:tc>
        <w:tc>
          <w:tcPr>
            <w:tcW w:w="812" w:type="pct"/>
            <w:vAlign w:val="center"/>
          </w:tcPr>
          <w:p w:rsidR="00426198" w:rsidRPr="00426198" w:rsidRDefault="00426198" w:rsidP="00426198">
            <w:pPr>
              <w:jc w:val="right"/>
              <w:rPr>
                <w:sz w:val="20"/>
                <w:szCs w:val="20"/>
              </w:rPr>
            </w:pPr>
            <w:r w:rsidRPr="00426198">
              <w:rPr>
                <w:sz w:val="20"/>
                <w:szCs w:val="20"/>
              </w:rPr>
              <w:t xml:space="preserve">           20,823 </w:t>
            </w:r>
          </w:p>
        </w:tc>
        <w:tc>
          <w:tcPr>
            <w:tcW w:w="812" w:type="pct"/>
            <w:vAlign w:val="center"/>
          </w:tcPr>
          <w:p w:rsidR="00426198" w:rsidRPr="00426198" w:rsidRDefault="00426198" w:rsidP="00426198">
            <w:pPr>
              <w:jc w:val="right"/>
              <w:rPr>
                <w:sz w:val="20"/>
                <w:szCs w:val="20"/>
              </w:rPr>
            </w:pPr>
            <w:r w:rsidRPr="00426198">
              <w:rPr>
                <w:sz w:val="20"/>
                <w:szCs w:val="20"/>
              </w:rPr>
              <w:t>5.0</w:t>
            </w:r>
          </w:p>
        </w:tc>
      </w:tr>
      <w:tr w:rsidR="00426198" w:rsidRPr="00426198" w:rsidTr="00874E70">
        <w:trPr>
          <w:trHeight w:val="300"/>
        </w:trPr>
        <w:tc>
          <w:tcPr>
            <w:tcW w:w="477" w:type="pct"/>
            <w:shd w:val="clear" w:color="auto" w:fill="auto"/>
            <w:noWrap/>
            <w:vAlign w:val="center"/>
          </w:tcPr>
          <w:p w:rsidR="00426198" w:rsidRPr="00426198" w:rsidRDefault="00426198" w:rsidP="00426198">
            <w:pPr>
              <w:spacing w:before="70" w:after="70" w:line="260" w:lineRule="atLeast"/>
              <w:rPr>
                <w:rFonts w:eastAsia="Times New Roman" w:cs="Thorndale AMT"/>
                <w:bCs/>
                <w:color w:val="000000"/>
                <w:sz w:val="20"/>
                <w:szCs w:val="20"/>
                <w:lang w:eastAsia="en-AU"/>
              </w:rPr>
            </w:pPr>
            <w:r w:rsidRPr="00426198">
              <w:rPr>
                <w:color w:val="000000"/>
                <w:sz w:val="20"/>
                <w:szCs w:val="20"/>
              </w:rPr>
              <w:t>10</w:t>
            </w:r>
          </w:p>
        </w:tc>
        <w:tc>
          <w:tcPr>
            <w:tcW w:w="1275" w:type="pct"/>
            <w:vAlign w:val="center"/>
          </w:tcPr>
          <w:p w:rsidR="00426198" w:rsidRPr="00426198" w:rsidRDefault="00426198" w:rsidP="00426198">
            <w:pPr>
              <w:rPr>
                <w:sz w:val="20"/>
                <w:szCs w:val="20"/>
              </w:rPr>
            </w:pPr>
            <w:r w:rsidRPr="00426198">
              <w:rPr>
                <w:sz w:val="20"/>
                <w:szCs w:val="20"/>
              </w:rPr>
              <w:t>$4,851,538 and over</w:t>
            </w:r>
          </w:p>
        </w:tc>
        <w:tc>
          <w:tcPr>
            <w:tcW w:w="812" w:type="pct"/>
            <w:vAlign w:val="center"/>
          </w:tcPr>
          <w:p w:rsidR="00426198" w:rsidRPr="00426198" w:rsidRDefault="00426198" w:rsidP="00426198">
            <w:pPr>
              <w:jc w:val="right"/>
              <w:rPr>
                <w:sz w:val="20"/>
                <w:szCs w:val="20"/>
              </w:rPr>
            </w:pPr>
            <w:r w:rsidRPr="00426198">
              <w:rPr>
                <w:sz w:val="20"/>
                <w:szCs w:val="20"/>
              </w:rPr>
              <w:t>94</w:t>
            </w:r>
          </w:p>
        </w:tc>
        <w:tc>
          <w:tcPr>
            <w:tcW w:w="812" w:type="pct"/>
            <w:vAlign w:val="center"/>
          </w:tcPr>
          <w:p w:rsidR="00426198" w:rsidRPr="00426198" w:rsidRDefault="00426198" w:rsidP="00426198">
            <w:pPr>
              <w:jc w:val="right"/>
              <w:rPr>
                <w:sz w:val="20"/>
                <w:szCs w:val="20"/>
              </w:rPr>
            </w:pPr>
            <w:r w:rsidRPr="00426198">
              <w:rPr>
                <w:sz w:val="20"/>
                <w:szCs w:val="20"/>
              </w:rPr>
              <w:t>33.5%</w:t>
            </w:r>
          </w:p>
        </w:tc>
        <w:tc>
          <w:tcPr>
            <w:tcW w:w="812" w:type="pct"/>
            <w:vAlign w:val="center"/>
          </w:tcPr>
          <w:p w:rsidR="00426198" w:rsidRPr="00426198" w:rsidRDefault="00426198" w:rsidP="00426198">
            <w:pPr>
              <w:jc w:val="right"/>
              <w:rPr>
                <w:sz w:val="20"/>
                <w:szCs w:val="20"/>
              </w:rPr>
            </w:pPr>
            <w:r w:rsidRPr="00426198">
              <w:rPr>
                <w:sz w:val="20"/>
                <w:szCs w:val="20"/>
              </w:rPr>
              <w:t xml:space="preserve">      3,033,446 </w:t>
            </w:r>
          </w:p>
        </w:tc>
        <w:tc>
          <w:tcPr>
            <w:tcW w:w="812" w:type="pct"/>
            <w:vAlign w:val="center"/>
          </w:tcPr>
          <w:p w:rsidR="00426198" w:rsidRPr="00426198" w:rsidRDefault="00426198" w:rsidP="00426198">
            <w:pPr>
              <w:jc w:val="right"/>
              <w:rPr>
                <w:sz w:val="20"/>
                <w:szCs w:val="20"/>
              </w:rPr>
            </w:pPr>
            <w:r w:rsidRPr="00426198">
              <w:rPr>
                <w:sz w:val="20"/>
                <w:szCs w:val="20"/>
              </w:rPr>
              <w:t>285.1</w:t>
            </w:r>
          </w:p>
        </w:tc>
      </w:tr>
      <w:tr w:rsidR="00426198" w:rsidRPr="00426198" w:rsidTr="00874E70">
        <w:trPr>
          <w:trHeight w:val="391"/>
        </w:trPr>
        <w:tc>
          <w:tcPr>
            <w:tcW w:w="1752" w:type="pct"/>
            <w:gridSpan w:val="2"/>
            <w:shd w:val="clear" w:color="auto" w:fill="D7DDE9"/>
            <w:noWrap/>
            <w:vAlign w:val="center"/>
          </w:tcPr>
          <w:p w:rsidR="00426198" w:rsidRPr="006855CE" w:rsidRDefault="006855CE" w:rsidP="006855CE">
            <w:pPr>
              <w:pStyle w:val="Lettertext"/>
              <w:spacing w:before="0" w:line="240" w:lineRule="auto"/>
              <w:rPr>
                <w:b/>
              </w:rPr>
            </w:pPr>
            <w:r w:rsidRPr="006855CE">
              <w:rPr>
                <w:b/>
                <w:sz w:val="20"/>
              </w:rPr>
              <w:t>Total APRA-regulated superannuation funds</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 xml:space="preserve">2,186 </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77.7%</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138,973</w:t>
            </w:r>
          </w:p>
        </w:tc>
        <w:tc>
          <w:tcPr>
            <w:tcW w:w="812" w:type="pct"/>
            <w:shd w:val="clear" w:color="auto" w:fill="D7DDE9"/>
            <w:vAlign w:val="center"/>
          </w:tcPr>
          <w:p w:rsidR="00426198" w:rsidRPr="00426198" w:rsidRDefault="00426198" w:rsidP="00426198">
            <w:pPr>
              <w:jc w:val="right"/>
              <w:rPr>
                <w:b/>
                <w:sz w:val="20"/>
                <w:szCs w:val="20"/>
              </w:rPr>
            </w:pPr>
            <w:r w:rsidRPr="00426198">
              <w:rPr>
                <w:b/>
                <w:sz w:val="20"/>
                <w:szCs w:val="20"/>
              </w:rPr>
              <w:t xml:space="preserve">303.8 </w:t>
            </w:r>
          </w:p>
        </w:tc>
      </w:tr>
    </w:tbl>
    <w:p w:rsidR="00426198" w:rsidRPr="00426198" w:rsidRDefault="00426198" w:rsidP="00426198">
      <w:pPr>
        <w:keepNext/>
        <w:keepLines/>
        <w:spacing w:line="260" w:lineRule="atLeast"/>
        <w:ind w:left="284" w:hanging="284"/>
        <w:rPr>
          <w:sz w:val="20"/>
          <w:szCs w:val="20"/>
        </w:rPr>
      </w:pPr>
      <w:r w:rsidRPr="00426198">
        <w:rPr>
          <w:sz w:val="20"/>
          <w:szCs w:val="20"/>
        </w:rPr>
        <w:t>(a)</w:t>
      </w:r>
      <w:r w:rsidRPr="00426198">
        <w:rPr>
          <w:sz w:val="20"/>
          <w:szCs w:val="20"/>
        </w:rPr>
        <w:tab/>
        <w:t>Figures may not sum to totals due to rounding.</w:t>
      </w:r>
    </w:p>
    <w:p w:rsidR="00426198" w:rsidRPr="00426198" w:rsidRDefault="00426198" w:rsidP="00426198">
      <w:pPr>
        <w:keepNext/>
        <w:keepLines/>
        <w:spacing w:line="260" w:lineRule="atLeast"/>
        <w:ind w:left="284" w:hanging="284"/>
        <w:rPr>
          <w:sz w:val="20"/>
          <w:szCs w:val="20"/>
        </w:rPr>
      </w:pPr>
      <w:r w:rsidRPr="00426198">
        <w:rPr>
          <w:sz w:val="20"/>
          <w:szCs w:val="20"/>
        </w:rPr>
        <w:t>(b)</w:t>
      </w:r>
      <w:r w:rsidRPr="00426198">
        <w:rPr>
          <w:sz w:val="20"/>
          <w:szCs w:val="20"/>
        </w:rPr>
        <w:tab/>
        <w:t xml:space="preserve">Based on the fund balance of all APRA-regulated superannuation funds in 2014-15. </w:t>
      </w:r>
    </w:p>
    <w:p w:rsidR="00426198" w:rsidRPr="00426198" w:rsidRDefault="00426198" w:rsidP="00426198">
      <w:pPr>
        <w:keepNext/>
        <w:keepLines/>
        <w:spacing w:line="260" w:lineRule="atLeast"/>
        <w:ind w:left="284" w:hanging="284"/>
        <w:rPr>
          <w:sz w:val="20"/>
          <w:szCs w:val="20"/>
        </w:rPr>
      </w:pPr>
      <w:r w:rsidRPr="00426198">
        <w:rPr>
          <w:sz w:val="20"/>
          <w:szCs w:val="20"/>
        </w:rPr>
        <w:t>(c)</w:t>
      </w:r>
      <w:r w:rsidRPr="00426198">
        <w:rPr>
          <w:sz w:val="20"/>
          <w:szCs w:val="20"/>
        </w:rPr>
        <w:tab/>
        <w:t>Calculated as the average franking credit refund of those funds who received a refund in 2014-15.</w:t>
      </w:r>
    </w:p>
    <w:p w:rsidR="00426198" w:rsidRPr="00426198" w:rsidRDefault="00426198" w:rsidP="00426198">
      <w:pPr>
        <w:keepNext/>
        <w:keepLines/>
        <w:spacing w:line="260" w:lineRule="atLeast"/>
        <w:ind w:left="284" w:hanging="284"/>
        <w:rPr>
          <w:sz w:val="20"/>
          <w:szCs w:val="20"/>
        </w:rPr>
      </w:pPr>
      <w:r w:rsidRPr="00426198">
        <w:rPr>
          <w:sz w:val="20"/>
          <w:szCs w:val="20"/>
        </w:rPr>
        <w:t>(d)</w:t>
      </w:r>
      <w:r w:rsidRPr="00426198">
        <w:rPr>
          <w:sz w:val="20"/>
          <w:szCs w:val="20"/>
        </w:rPr>
        <w:tab/>
        <w:t xml:space="preserve">Calculated as </w:t>
      </w:r>
      <w:r w:rsidRPr="00426198">
        <w:rPr>
          <w:i/>
          <w:sz w:val="20"/>
          <w:szCs w:val="20"/>
        </w:rPr>
        <w:t>the number claiming excess franking credits</w:t>
      </w:r>
      <w:r w:rsidRPr="00426198">
        <w:rPr>
          <w:sz w:val="20"/>
          <w:szCs w:val="20"/>
        </w:rPr>
        <w:t xml:space="preserve"> multiplied by the </w:t>
      </w:r>
      <w:r w:rsidRPr="00426198">
        <w:rPr>
          <w:i/>
          <w:sz w:val="20"/>
          <w:szCs w:val="20"/>
        </w:rPr>
        <w:t>average excess franking credits claimed</w:t>
      </w:r>
      <w:r w:rsidRPr="00426198">
        <w:rPr>
          <w:sz w:val="20"/>
          <w:szCs w:val="20"/>
        </w:rPr>
        <w:t>.</w:t>
      </w:r>
    </w:p>
    <w:p w:rsidR="00426198" w:rsidRPr="00426198" w:rsidRDefault="00426198" w:rsidP="00426198">
      <w:pPr>
        <w:keepNext/>
        <w:keepLines/>
        <w:spacing w:line="260" w:lineRule="atLeast"/>
        <w:ind w:left="284" w:hanging="284"/>
        <w:rPr>
          <w:sz w:val="20"/>
          <w:szCs w:val="20"/>
        </w:rPr>
      </w:pPr>
      <w:r w:rsidRPr="00426198">
        <w:rPr>
          <w:sz w:val="20"/>
          <w:szCs w:val="20"/>
        </w:rPr>
        <w:t>(e)</w:t>
      </w:r>
      <w:r w:rsidRPr="00426198">
        <w:rPr>
          <w:sz w:val="20"/>
          <w:szCs w:val="20"/>
        </w:rPr>
        <w:tab/>
        <w:t>As around 12.3 per cent of APRA-regulated superannuation funds have zero fund balance, there is no meaningful way to separate these funds when grouping by fund balance.  As a result, the first decile includes all zero balance funds, which are then subtracted from the second decile (which as a result only includes around 7.7 per cent of APRA</w:t>
      </w:r>
      <w:r w:rsidRPr="00426198">
        <w:rPr>
          <w:sz w:val="20"/>
          <w:szCs w:val="20"/>
        </w:rPr>
        <w:noBreakHyphen/>
        <w:t>regulated superannuation funds).</w:t>
      </w:r>
    </w:p>
    <w:p w:rsidR="00131861" w:rsidRPr="00131861" w:rsidRDefault="00131861" w:rsidP="00D17B0C">
      <w:pPr>
        <w:pStyle w:val="BodyText"/>
        <w:spacing w:before="0"/>
      </w:pPr>
    </w:p>
    <w:sectPr w:rsidR="00131861" w:rsidRPr="00131861" w:rsidSect="00A401C8">
      <w:type w:val="continuous"/>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86" w:rsidRDefault="00A81E86" w:rsidP="00A20802">
      <w:pPr>
        <w:spacing w:line="240" w:lineRule="auto"/>
      </w:pPr>
      <w:r>
        <w:separator/>
      </w:r>
    </w:p>
    <w:p w:rsidR="00A81E86" w:rsidRDefault="00A81E86"/>
    <w:p w:rsidR="00A81E86" w:rsidRDefault="00A81E86"/>
  </w:endnote>
  <w:endnote w:type="continuationSeparator" w:id="0">
    <w:p w:rsidR="00A81E86" w:rsidRDefault="00A81E86" w:rsidP="00A20802">
      <w:pPr>
        <w:spacing w:line="240" w:lineRule="auto"/>
      </w:pPr>
      <w:r>
        <w:continuationSeparator/>
      </w:r>
    </w:p>
    <w:p w:rsidR="00A81E86" w:rsidRDefault="00A81E86"/>
    <w:p w:rsidR="00A81E86" w:rsidRDefault="00A81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horndale AMT">
    <w:charset w:val="00"/>
    <w:family w:val="roman"/>
    <w:pitch w:val="variable"/>
    <w:sig w:usb0="00002A87" w:usb1="4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05" w:rsidRDefault="005F5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86" w:rsidRPr="00015E04" w:rsidRDefault="00A81E86"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3E5B4A">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81537">
      <w:rPr>
        <w:rStyle w:val="FooterChar"/>
        <w:b/>
        <w:noProof/>
      </w:rPr>
      <w:t>2</w:t>
    </w:r>
    <w:r w:rsidRPr="002C4DA6">
      <w:rPr>
        <w:rStyle w:val="FooterChar"/>
        <w:b/>
      </w:rPr>
      <w:fldChar w:fldCharType="end"/>
    </w:r>
    <w:r w:rsidRPr="002C4DA6">
      <w:rPr>
        <w:rStyle w:val="FooterChar"/>
        <w:b/>
      </w:rPr>
      <w:t xml:space="preserve"> of </w:t>
    </w:r>
    <w:r>
      <w:rPr>
        <w:rStyle w:val="FooterChar"/>
        <w:b/>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86" w:rsidRPr="007A47D0" w:rsidRDefault="00A81E86"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145</w:t>
    </w:r>
    <w:r w:rsidRPr="009B70E6">
      <w:rPr>
        <w:rStyle w:val="FooterChar"/>
        <w:rFonts w:ascii="Calibri" w:hAnsi="Calibri" w:cs="Arial"/>
        <w:b/>
        <w:sz w:val="20"/>
        <w:szCs w:val="20"/>
      </w:rPr>
      <w:tab/>
    </w:r>
    <w:r w:rsidRPr="003E5B4A">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81537">
      <w:rPr>
        <w:rStyle w:val="FooterChar"/>
        <w:b/>
        <w:noProof/>
      </w:rPr>
      <w:t>1</w:t>
    </w:r>
    <w:r w:rsidRPr="002C4DA6">
      <w:rPr>
        <w:rStyle w:val="FooterChar"/>
        <w:b/>
      </w:rPr>
      <w:fldChar w:fldCharType="end"/>
    </w:r>
    <w:r w:rsidRPr="002C4DA6">
      <w:rPr>
        <w:rStyle w:val="FooterChar"/>
        <w:b/>
      </w:rPr>
      <w:t xml:space="preserve"> of </w:t>
    </w:r>
    <w:r>
      <w:rPr>
        <w:rStyle w:val="FooterChar"/>
        <w:b/>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86" w:rsidRPr="00015E04" w:rsidRDefault="00A81E86"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3E5B4A">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81537">
      <w:rPr>
        <w:rStyle w:val="FooterChar"/>
        <w:b/>
        <w:noProof/>
      </w:rPr>
      <w:t>7</w:t>
    </w:r>
    <w:r w:rsidRPr="002C4DA6">
      <w:rPr>
        <w:rStyle w:val="FooterChar"/>
        <w:b/>
      </w:rPr>
      <w:fldChar w:fldCharType="end"/>
    </w:r>
    <w:r w:rsidRPr="002C4DA6">
      <w:rPr>
        <w:rStyle w:val="FooterChar"/>
        <w:b/>
      </w:rPr>
      <w:t xml:space="preserve"> of </w:t>
    </w:r>
    <w:r>
      <w:rPr>
        <w:rStyle w:val="FooterChar"/>
        <w:b/>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86" w:rsidRPr="000557A7" w:rsidRDefault="00A81E86" w:rsidP="008D5A11">
      <w:pPr>
        <w:pBdr>
          <w:top w:val="single" w:sz="4" w:space="1" w:color="auto"/>
        </w:pBdr>
        <w:spacing w:before="240" w:line="60" w:lineRule="exact"/>
        <w:rPr>
          <w:sz w:val="16"/>
          <w:szCs w:val="16"/>
        </w:rPr>
      </w:pPr>
    </w:p>
    <w:p w:rsidR="00A81E86" w:rsidRDefault="00A81E86"/>
  </w:footnote>
  <w:footnote w:type="continuationSeparator" w:id="0">
    <w:p w:rsidR="00A81E86" w:rsidRDefault="00A81E86" w:rsidP="00A20802">
      <w:pPr>
        <w:spacing w:line="240" w:lineRule="auto"/>
      </w:pPr>
      <w:r>
        <w:continuationSeparator/>
      </w:r>
    </w:p>
    <w:p w:rsidR="00A81E86" w:rsidRDefault="00A81E86"/>
    <w:p w:rsidR="00A81E86" w:rsidRDefault="00A81E86"/>
  </w:footnote>
  <w:footnote w:id="1">
    <w:p w:rsidR="00A81E86" w:rsidRPr="00B80A95" w:rsidRDefault="00A81E86" w:rsidP="00B80A95">
      <w:pPr>
        <w:pStyle w:val="FootnoteText"/>
        <w:tabs>
          <w:tab w:val="clear" w:pos="425"/>
          <w:tab w:val="left" w:pos="0"/>
        </w:tabs>
        <w:ind w:left="0" w:firstLine="0"/>
        <w:rPr>
          <w:i/>
        </w:rPr>
      </w:pPr>
      <w:r>
        <w:rPr>
          <w:rStyle w:val="FootnoteReference"/>
        </w:rPr>
        <w:footnoteRef/>
      </w:r>
      <w:r>
        <w:t xml:space="preserve"> There are inherent uncertainties in all policy costings, regardless of who produces them.  For a more detailed discussion of the nature and sources of these uncertainties see PBO information paper no. 01/2017, </w:t>
      </w:r>
      <w:r>
        <w:rPr>
          <w:i/>
        </w:rPr>
        <w:t>Factors influencing the reliability of policy proposal costings.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05" w:rsidRDefault="005F5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05" w:rsidRPr="005F5F05" w:rsidRDefault="005F5F05" w:rsidP="005F5F05">
    <w:pPr>
      <w:pStyle w:val="Header"/>
      <w:jc w:val="center"/>
      <w:rPr>
        <w:rFonts w:ascii="Calibri" w:hAnsi="Calibri"/>
        <w:b/>
        <w:strike/>
        <w:color w:val="FF0000"/>
        <w:sz w:val="40"/>
        <w:szCs w:val="40"/>
      </w:rPr>
    </w:pPr>
    <w:r w:rsidRPr="003E5B4A">
      <w:rPr>
        <w:rFonts w:ascii="Calibri" w:hAnsi="Calibri"/>
        <w:b/>
        <w:strike/>
        <w:color w:val="FF0000"/>
        <w:sz w:val="40"/>
        <w:szCs w:val="40"/>
      </w:rPr>
      <w:t>Sensitive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86" w:rsidRPr="003E5B4A" w:rsidRDefault="00A81E86" w:rsidP="002C4DA6">
    <w:pPr>
      <w:pStyle w:val="Header"/>
      <w:jc w:val="center"/>
      <w:rPr>
        <w:rFonts w:ascii="Calibri" w:hAnsi="Calibri"/>
        <w:b/>
        <w:strike/>
        <w:color w:val="FF0000"/>
        <w:sz w:val="40"/>
        <w:szCs w:val="40"/>
      </w:rPr>
    </w:pPr>
    <w:r w:rsidRPr="003E5B4A">
      <w:rPr>
        <w:rFonts w:ascii="Calibri" w:hAnsi="Calibri"/>
        <w:b/>
        <w:strike/>
        <w:color w:val="FF0000"/>
        <w:sz w:val="40"/>
        <w:szCs w:val="40"/>
      </w:rPr>
      <w:t>Sensitive</w:t>
    </w:r>
  </w:p>
  <w:p w:rsidR="00A81E86" w:rsidRPr="0046444F" w:rsidRDefault="00A81E86" w:rsidP="0046444F">
    <w:pPr>
      <w:pStyle w:val="Header"/>
    </w:pPr>
    <w:r>
      <w:rPr>
        <w:noProof/>
        <w:lang w:eastAsia="en-AU"/>
      </w:rPr>
      <w:drawing>
        <wp:inline distT="0" distB="0" distL="0" distR="0" wp14:anchorId="3100F035" wp14:editId="0C0BFDA5">
          <wp:extent cx="2696845" cy="572135"/>
          <wp:effectExtent l="0" t="0" r="8255" b="0"/>
          <wp:docPr id="6" name="Picture 6"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5F0A503D"/>
    <w:multiLevelType w:val="hybridMultilevel"/>
    <w:tmpl w:val="04209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2"/>
  </w:num>
  <w:num w:numId="4">
    <w:abstractNumId w:val="13"/>
  </w:num>
  <w:num w:numId="5">
    <w:abstractNumId w:val="10"/>
  </w:num>
  <w:num w:numId="6">
    <w:abstractNumId w:val="30"/>
  </w:num>
  <w:num w:numId="7">
    <w:abstractNumId w:val="4"/>
  </w:num>
  <w:num w:numId="8">
    <w:abstractNumId w:val="6"/>
  </w:num>
  <w:num w:numId="9">
    <w:abstractNumId w:val="29"/>
  </w:num>
  <w:num w:numId="10">
    <w:abstractNumId w:val="3"/>
  </w:num>
  <w:num w:numId="11">
    <w:abstractNumId w:val="8"/>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34"/>
  </w:num>
  <w:num w:numId="19">
    <w:abstractNumId w:val="0"/>
  </w:num>
  <w:num w:numId="20">
    <w:abstractNumId w:val="19"/>
  </w:num>
  <w:num w:numId="21">
    <w:abstractNumId w:val="21"/>
  </w:num>
  <w:num w:numId="22">
    <w:abstractNumId w:val="15"/>
  </w:num>
  <w:num w:numId="23">
    <w:abstractNumId w:val="16"/>
  </w:num>
  <w:num w:numId="24">
    <w:abstractNumId w:val="26"/>
  </w:num>
  <w:num w:numId="25">
    <w:abstractNumId w:val="14"/>
  </w:num>
  <w:num w:numId="26">
    <w:abstractNumId w:val="5"/>
  </w:num>
  <w:num w:numId="27">
    <w:abstractNumId w:val="25"/>
  </w:num>
  <w:num w:numId="28">
    <w:abstractNumId w:val="22"/>
  </w:num>
  <w:num w:numId="29">
    <w:abstractNumId w:val="27"/>
  </w:num>
  <w:num w:numId="30">
    <w:abstractNumId w:val="33"/>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 w:numId="41">
    <w:abstractNumId w:val="24"/>
  </w:num>
  <w:num w:numId="42">
    <w:abstractNumId w:val="1"/>
  </w:num>
  <w:num w:numId="4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DE06EC"/>
    <w:rsid w:val="0000071C"/>
    <w:rsid w:val="0000322C"/>
    <w:rsid w:val="00003CDD"/>
    <w:rsid w:val="00013620"/>
    <w:rsid w:val="0001406F"/>
    <w:rsid w:val="00015E04"/>
    <w:rsid w:val="000168A7"/>
    <w:rsid w:val="00016D53"/>
    <w:rsid w:val="000278D0"/>
    <w:rsid w:val="00027E62"/>
    <w:rsid w:val="000307C8"/>
    <w:rsid w:val="00030F73"/>
    <w:rsid w:val="00033326"/>
    <w:rsid w:val="00035ADE"/>
    <w:rsid w:val="0004224B"/>
    <w:rsid w:val="00046226"/>
    <w:rsid w:val="00050117"/>
    <w:rsid w:val="000505FB"/>
    <w:rsid w:val="0005330D"/>
    <w:rsid w:val="000557A7"/>
    <w:rsid w:val="00055805"/>
    <w:rsid w:val="00056CB3"/>
    <w:rsid w:val="0005793B"/>
    <w:rsid w:val="00061758"/>
    <w:rsid w:val="00065125"/>
    <w:rsid w:val="00066D54"/>
    <w:rsid w:val="00067A28"/>
    <w:rsid w:val="00071FF2"/>
    <w:rsid w:val="0007260F"/>
    <w:rsid w:val="000739CB"/>
    <w:rsid w:val="00073C89"/>
    <w:rsid w:val="0007488E"/>
    <w:rsid w:val="000805D5"/>
    <w:rsid w:val="0008103B"/>
    <w:rsid w:val="000841C9"/>
    <w:rsid w:val="000845A5"/>
    <w:rsid w:val="00085F97"/>
    <w:rsid w:val="000879B1"/>
    <w:rsid w:val="00092A33"/>
    <w:rsid w:val="000973F9"/>
    <w:rsid w:val="00097A23"/>
    <w:rsid w:val="00097AEC"/>
    <w:rsid w:val="000A0848"/>
    <w:rsid w:val="000A2FEC"/>
    <w:rsid w:val="000A348F"/>
    <w:rsid w:val="000B1B0C"/>
    <w:rsid w:val="000B4345"/>
    <w:rsid w:val="000B5900"/>
    <w:rsid w:val="000B60AE"/>
    <w:rsid w:val="000B6942"/>
    <w:rsid w:val="000B6D00"/>
    <w:rsid w:val="000C09FA"/>
    <w:rsid w:val="000C1AB0"/>
    <w:rsid w:val="000C26C9"/>
    <w:rsid w:val="000C37A9"/>
    <w:rsid w:val="000C6034"/>
    <w:rsid w:val="000C6728"/>
    <w:rsid w:val="000C702E"/>
    <w:rsid w:val="000C72FA"/>
    <w:rsid w:val="000D15E9"/>
    <w:rsid w:val="000D3182"/>
    <w:rsid w:val="000D45C4"/>
    <w:rsid w:val="000D46B3"/>
    <w:rsid w:val="000E18F3"/>
    <w:rsid w:val="000E19AC"/>
    <w:rsid w:val="000E266E"/>
    <w:rsid w:val="000E3F4C"/>
    <w:rsid w:val="000E4C7B"/>
    <w:rsid w:val="000F1515"/>
    <w:rsid w:val="000F16B5"/>
    <w:rsid w:val="000F616E"/>
    <w:rsid w:val="000F7D50"/>
    <w:rsid w:val="00101536"/>
    <w:rsid w:val="00110D43"/>
    <w:rsid w:val="001159EA"/>
    <w:rsid w:val="00120A75"/>
    <w:rsid w:val="00125410"/>
    <w:rsid w:val="00130858"/>
    <w:rsid w:val="00131861"/>
    <w:rsid w:val="00135BC7"/>
    <w:rsid w:val="00136C26"/>
    <w:rsid w:val="0014059F"/>
    <w:rsid w:val="00141551"/>
    <w:rsid w:val="001417CE"/>
    <w:rsid w:val="0014479F"/>
    <w:rsid w:val="00146B30"/>
    <w:rsid w:val="00146EAD"/>
    <w:rsid w:val="001541BF"/>
    <w:rsid w:val="00154DC5"/>
    <w:rsid w:val="00160C8D"/>
    <w:rsid w:val="001629C0"/>
    <w:rsid w:val="00163585"/>
    <w:rsid w:val="00165122"/>
    <w:rsid w:val="00165161"/>
    <w:rsid w:val="00165854"/>
    <w:rsid w:val="00166078"/>
    <w:rsid w:val="00166A15"/>
    <w:rsid w:val="001711BC"/>
    <w:rsid w:val="001738DB"/>
    <w:rsid w:val="001738F5"/>
    <w:rsid w:val="00173DFD"/>
    <w:rsid w:val="00180FF9"/>
    <w:rsid w:val="0019204F"/>
    <w:rsid w:val="00195228"/>
    <w:rsid w:val="00195696"/>
    <w:rsid w:val="00196532"/>
    <w:rsid w:val="001A13CD"/>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1CF"/>
    <w:rsid w:val="001D52E3"/>
    <w:rsid w:val="001D576F"/>
    <w:rsid w:val="001D7C29"/>
    <w:rsid w:val="001E0475"/>
    <w:rsid w:val="001E33C2"/>
    <w:rsid w:val="001E708A"/>
    <w:rsid w:val="001F2AAD"/>
    <w:rsid w:val="001F2DAF"/>
    <w:rsid w:val="001F5C90"/>
    <w:rsid w:val="001F767C"/>
    <w:rsid w:val="001F7B10"/>
    <w:rsid w:val="002035D2"/>
    <w:rsid w:val="00203782"/>
    <w:rsid w:val="00203A7B"/>
    <w:rsid w:val="002057EF"/>
    <w:rsid w:val="00205C6E"/>
    <w:rsid w:val="0020781D"/>
    <w:rsid w:val="00210074"/>
    <w:rsid w:val="00210FCF"/>
    <w:rsid w:val="002179B6"/>
    <w:rsid w:val="00220970"/>
    <w:rsid w:val="00222EFF"/>
    <w:rsid w:val="002240D5"/>
    <w:rsid w:val="002261A7"/>
    <w:rsid w:val="00226AEC"/>
    <w:rsid w:val="00235C95"/>
    <w:rsid w:val="00250FAE"/>
    <w:rsid w:val="002545F3"/>
    <w:rsid w:val="00255541"/>
    <w:rsid w:val="0026257E"/>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5778"/>
    <w:rsid w:val="002A6E3B"/>
    <w:rsid w:val="002B0AC2"/>
    <w:rsid w:val="002B1C24"/>
    <w:rsid w:val="002B1E84"/>
    <w:rsid w:val="002B2085"/>
    <w:rsid w:val="002B3EC4"/>
    <w:rsid w:val="002C37D5"/>
    <w:rsid w:val="002C4DA6"/>
    <w:rsid w:val="002C60A0"/>
    <w:rsid w:val="002D0BAB"/>
    <w:rsid w:val="002D18E1"/>
    <w:rsid w:val="002D239A"/>
    <w:rsid w:val="002D34DB"/>
    <w:rsid w:val="002D48BE"/>
    <w:rsid w:val="002D4B11"/>
    <w:rsid w:val="002E5633"/>
    <w:rsid w:val="002E5CE6"/>
    <w:rsid w:val="002F1963"/>
    <w:rsid w:val="002F5B6E"/>
    <w:rsid w:val="002F61B5"/>
    <w:rsid w:val="00300066"/>
    <w:rsid w:val="0030209B"/>
    <w:rsid w:val="0030723B"/>
    <w:rsid w:val="003116DE"/>
    <w:rsid w:val="00312494"/>
    <w:rsid w:val="003127E4"/>
    <w:rsid w:val="00312C42"/>
    <w:rsid w:val="00313215"/>
    <w:rsid w:val="00313DA1"/>
    <w:rsid w:val="003174C3"/>
    <w:rsid w:val="003230D5"/>
    <w:rsid w:val="0032557A"/>
    <w:rsid w:val="00326E3E"/>
    <w:rsid w:val="003318BA"/>
    <w:rsid w:val="003326F7"/>
    <w:rsid w:val="00340778"/>
    <w:rsid w:val="00343205"/>
    <w:rsid w:val="00344D2C"/>
    <w:rsid w:val="003458CE"/>
    <w:rsid w:val="00345A57"/>
    <w:rsid w:val="00346D90"/>
    <w:rsid w:val="00351617"/>
    <w:rsid w:val="00351F62"/>
    <w:rsid w:val="0035792C"/>
    <w:rsid w:val="00357D45"/>
    <w:rsid w:val="003601F4"/>
    <w:rsid w:val="00361150"/>
    <w:rsid w:val="003671E2"/>
    <w:rsid w:val="003700B7"/>
    <w:rsid w:val="00370320"/>
    <w:rsid w:val="00372AE6"/>
    <w:rsid w:val="00376C3A"/>
    <w:rsid w:val="0038082C"/>
    <w:rsid w:val="003837E1"/>
    <w:rsid w:val="0038584D"/>
    <w:rsid w:val="0039257F"/>
    <w:rsid w:val="003931DE"/>
    <w:rsid w:val="00397D1A"/>
    <w:rsid w:val="003A0586"/>
    <w:rsid w:val="003A163C"/>
    <w:rsid w:val="003A2B4E"/>
    <w:rsid w:val="003A2FBB"/>
    <w:rsid w:val="003A3799"/>
    <w:rsid w:val="003A4913"/>
    <w:rsid w:val="003A54A9"/>
    <w:rsid w:val="003A62A5"/>
    <w:rsid w:val="003A7083"/>
    <w:rsid w:val="003B2CF2"/>
    <w:rsid w:val="003B3103"/>
    <w:rsid w:val="003B38B3"/>
    <w:rsid w:val="003B3A97"/>
    <w:rsid w:val="003B3D44"/>
    <w:rsid w:val="003B47BC"/>
    <w:rsid w:val="003C2540"/>
    <w:rsid w:val="003C6BB5"/>
    <w:rsid w:val="003C7CC2"/>
    <w:rsid w:val="003D0977"/>
    <w:rsid w:val="003D3379"/>
    <w:rsid w:val="003D50B6"/>
    <w:rsid w:val="003E05DF"/>
    <w:rsid w:val="003E1562"/>
    <w:rsid w:val="003E41B2"/>
    <w:rsid w:val="003E5B4A"/>
    <w:rsid w:val="003E6085"/>
    <w:rsid w:val="003E6CA3"/>
    <w:rsid w:val="003F4C96"/>
    <w:rsid w:val="003F6B55"/>
    <w:rsid w:val="003F7553"/>
    <w:rsid w:val="004014CB"/>
    <w:rsid w:val="00401C49"/>
    <w:rsid w:val="00403452"/>
    <w:rsid w:val="00404CFE"/>
    <w:rsid w:val="00406002"/>
    <w:rsid w:val="00406AD3"/>
    <w:rsid w:val="00410731"/>
    <w:rsid w:val="00412E42"/>
    <w:rsid w:val="00413EC1"/>
    <w:rsid w:val="00415776"/>
    <w:rsid w:val="0042112A"/>
    <w:rsid w:val="00425534"/>
    <w:rsid w:val="00425C05"/>
    <w:rsid w:val="00426198"/>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716E3"/>
    <w:rsid w:val="00474BB7"/>
    <w:rsid w:val="00476133"/>
    <w:rsid w:val="00476800"/>
    <w:rsid w:val="004816D7"/>
    <w:rsid w:val="00482F63"/>
    <w:rsid w:val="0048342E"/>
    <w:rsid w:val="00485343"/>
    <w:rsid w:val="004856D8"/>
    <w:rsid w:val="00486868"/>
    <w:rsid w:val="00487478"/>
    <w:rsid w:val="0048782D"/>
    <w:rsid w:val="00490873"/>
    <w:rsid w:val="00491703"/>
    <w:rsid w:val="00494DC1"/>
    <w:rsid w:val="004A118B"/>
    <w:rsid w:val="004A1612"/>
    <w:rsid w:val="004A3F56"/>
    <w:rsid w:val="004A4F1C"/>
    <w:rsid w:val="004A5E21"/>
    <w:rsid w:val="004A666A"/>
    <w:rsid w:val="004A7CF2"/>
    <w:rsid w:val="004B143F"/>
    <w:rsid w:val="004B3022"/>
    <w:rsid w:val="004B49A0"/>
    <w:rsid w:val="004B5CFC"/>
    <w:rsid w:val="004C6306"/>
    <w:rsid w:val="004C6F5E"/>
    <w:rsid w:val="004C7E94"/>
    <w:rsid w:val="004D4551"/>
    <w:rsid w:val="004D7CF8"/>
    <w:rsid w:val="004D7EDA"/>
    <w:rsid w:val="004E0E49"/>
    <w:rsid w:val="004E197A"/>
    <w:rsid w:val="004E5D52"/>
    <w:rsid w:val="004F07D7"/>
    <w:rsid w:val="004F1297"/>
    <w:rsid w:val="004F16DB"/>
    <w:rsid w:val="004F419F"/>
    <w:rsid w:val="004F4D7E"/>
    <w:rsid w:val="004F5B16"/>
    <w:rsid w:val="004F5D9D"/>
    <w:rsid w:val="004F64EB"/>
    <w:rsid w:val="004F68E5"/>
    <w:rsid w:val="004F7037"/>
    <w:rsid w:val="004F741B"/>
    <w:rsid w:val="00500F08"/>
    <w:rsid w:val="0050132A"/>
    <w:rsid w:val="00503253"/>
    <w:rsid w:val="00503BB0"/>
    <w:rsid w:val="00503E03"/>
    <w:rsid w:val="00511F0B"/>
    <w:rsid w:val="00512226"/>
    <w:rsid w:val="00512B31"/>
    <w:rsid w:val="005147C6"/>
    <w:rsid w:val="005154A3"/>
    <w:rsid w:val="005159B1"/>
    <w:rsid w:val="00522502"/>
    <w:rsid w:val="00522530"/>
    <w:rsid w:val="005255A1"/>
    <w:rsid w:val="00525825"/>
    <w:rsid w:val="0052641C"/>
    <w:rsid w:val="005311C2"/>
    <w:rsid w:val="0053795D"/>
    <w:rsid w:val="00544522"/>
    <w:rsid w:val="00545D37"/>
    <w:rsid w:val="005467E2"/>
    <w:rsid w:val="005468AB"/>
    <w:rsid w:val="005501A0"/>
    <w:rsid w:val="0055026B"/>
    <w:rsid w:val="00550831"/>
    <w:rsid w:val="005525B0"/>
    <w:rsid w:val="00554273"/>
    <w:rsid w:val="0055452E"/>
    <w:rsid w:val="00555DAD"/>
    <w:rsid w:val="00556300"/>
    <w:rsid w:val="0056001A"/>
    <w:rsid w:val="005642B6"/>
    <w:rsid w:val="00566A97"/>
    <w:rsid w:val="00571D5E"/>
    <w:rsid w:val="005814CA"/>
    <w:rsid w:val="005823D0"/>
    <w:rsid w:val="00582D54"/>
    <w:rsid w:val="00583AAF"/>
    <w:rsid w:val="00587AF9"/>
    <w:rsid w:val="005962D5"/>
    <w:rsid w:val="005979D8"/>
    <w:rsid w:val="005A2748"/>
    <w:rsid w:val="005A443F"/>
    <w:rsid w:val="005A5215"/>
    <w:rsid w:val="005A7C26"/>
    <w:rsid w:val="005B0970"/>
    <w:rsid w:val="005B0E43"/>
    <w:rsid w:val="005B54F9"/>
    <w:rsid w:val="005B58D4"/>
    <w:rsid w:val="005B5B58"/>
    <w:rsid w:val="005B761D"/>
    <w:rsid w:val="005B7DC9"/>
    <w:rsid w:val="005C07B3"/>
    <w:rsid w:val="005C284E"/>
    <w:rsid w:val="005C47D4"/>
    <w:rsid w:val="005D51D0"/>
    <w:rsid w:val="005D6F83"/>
    <w:rsid w:val="005D7877"/>
    <w:rsid w:val="005D7CCF"/>
    <w:rsid w:val="005E04CF"/>
    <w:rsid w:val="005E58C4"/>
    <w:rsid w:val="005E5D8F"/>
    <w:rsid w:val="005F5A5C"/>
    <w:rsid w:val="005F5CD9"/>
    <w:rsid w:val="005F5F05"/>
    <w:rsid w:val="00602664"/>
    <w:rsid w:val="0061135C"/>
    <w:rsid w:val="006136DD"/>
    <w:rsid w:val="006149F0"/>
    <w:rsid w:val="006220A5"/>
    <w:rsid w:val="00622D86"/>
    <w:rsid w:val="00624AC8"/>
    <w:rsid w:val="006262CF"/>
    <w:rsid w:val="006275C3"/>
    <w:rsid w:val="00633812"/>
    <w:rsid w:val="00633C60"/>
    <w:rsid w:val="0064126D"/>
    <w:rsid w:val="006451B8"/>
    <w:rsid w:val="00645722"/>
    <w:rsid w:val="00647769"/>
    <w:rsid w:val="006509C3"/>
    <w:rsid w:val="00652432"/>
    <w:rsid w:val="00657840"/>
    <w:rsid w:val="0066003C"/>
    <w:rsid w:val="0066041E"/>
    <w:rsid w:val="006619BB"/>
    <w:rsid w:val="00665435"/>
    <w:rsid w:val="00673CCC"/>
    <w:rsid w:val="00675C98"/>
    <w:rsid w:val="006855CE"/>
    <w:rsid w:val="0069026B"/>
    <w:rsid w:val="006956EA"/>
    <w:rsid w:val="00696DCC"/>
    <w:rsid w:val="006A0D82"/>
    <w:rsid w:val="006A490C"/>
    <w:rsid w:val="006A5881"/>
    <w:rsid w:val="006A766E"/>
    <w:rsid w:val="006B4F7D"/>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F100B"/>
    <w:rsid w:val="006F239A"/>
    <w:rsid w:val="006F2C9D"/>
    <w:rsid w:val="006F4201"/>
    <w:rsid w:val="006F6B51"/>
    <w:rsid w:val="007048DB"/>
    <w:rsid w:val="0070637D"/>
    <w:rsid w:val="007071DD"/>
    <w:rsid w:val="0070771F"/>
    <w:rsid w:val="00712A14"/>
    <w:rsid w:val="00713208"/>
    <w:rsid w:val="00716C04"/>
    <w:rsid w:val="00717180"/>
    <w:rsid w:val="007179D2"/>
    <w:rsid w:val="00720750"/>
    <w:rsid w:val="0072549C"/>
    <w:rsid w:val="00725A80"/>
    <w:rsid w:val="00726E61"/>
    <w:rsid w:val="0073102A"/>
    <w:rsid w:val="00733970"/>
    <w:rsid w:val="007375FE"/>
    <w:rsid w:val="00740FC3"/>
    <w:rsid w:val="00741D0B"/>
    <w:rsid w:val="00754C58"/>
    <w:rsid w:val="00755F80"/>
    <w:rsid w:val="0077436E"/>
    <w:rsid w:val="00776E78"/>
    <w:rsid w:val="0078138A"/>
    <w:rsid w:val="00783014"/>
    <w:rsid w:val="007834DC"/>
    <w:rsid w:val="00790768"/>
    <w:rsid w:val="007959D8"/>
    <w:rsid w:val="0079630F"/>
    <w:rsid w:val="007A04C2"/>
    <w:rsid w:val="007A4188"/>
    <w:rsid w:val="007A4238"/>
    <w:rsid w:val="007A47D0"/>
    <w:rsid w:val="007B146A"/>
    <w:rsid w:val="007B3C66"/>
    <w:rsid w:val="007B57C9"/>
    <w:rsid w:val="007C0E7C"/>
    <w:rsid w:val="007C0EAA"/>
    <w:rsid w:val="007C19C3"/>
    <w:rsid w:val="007C44B2"/>
    <w:rsid w:val="007C54EE"/>
    <w:rsid w:val="007C6496"/>
    <w:rsid w:val="007C745E"/>
    <w:rsid w:val="007D0ABE"/>
    <w:rsid w:val="007E0E53"/>
    <w:rsid w:val="007E319A"/>
    <w:rsid w:val="007E356F"/>
    <w:rsid w:val="007E3F8C"/>
    <w:rsid w:val="007F2058"/>
    <w:rsid w:val="007F41A3"/>
    <w:rsid w:val="007F7685"/>
    <w:rsid w:val="0080011D"/>
    <w:rsid w:val="00800EA5"/>
    <w:rsid w:val="00801C01"/>
    <w:rsid w:val="00805EBD"/>
    <w:rsid w:val="008112CC"/>
    <w:rsid w:val="008130BB"/>
    <w:rsid w:val="00813D7D"/>
    <w:rsid w:val="008147C6"/>
    <w:rsid w:val="00817406"/>
    <w:rsid w:val="0082042D"/>
    <w:rsid w:val="008208A7"/>
    <w:rsid w:val="008237FA"/>
    <w:rsid w:val="00824C52"/>
    <w:rsid w:val="00825D37"/>
    <w:rsid w:val="008369B0"/>
    <w:rsid w:val="008372D1"/>
    <w:rsid w:val="00845C1E"/>
    <w:rsid w:val="0085732C"/>
    <w:rsid w:val="00857C91"/>
    <w:rsid w:val="00860B45"/>
    <w:rsid w:val="00861F68"/>
    <w:rsid w:val="00863860"/>
    <w:rsid w:val="008638B5"/>
    <w:rsid w:val="00866B47"/>
    <w:rsid w:val="008734DB"/>
    <w:rsid w:val="0087390B"/>
    <w:rsid w:val="00874035"/>
    <w:rsid w:val="008745A1"/>
    <w:rsid w:val="00874E70"/>
    <w:rsid w:val="008768E9"/>
    <w:rsid w:val="0087751B"/>
    <w:rsid w:val="00881A32"/>
    <w:rsid w:val="0088586F"/>
    <w:rsid w:val="00890995"/>
    <w:rsid w:val="008914FB"/>
    <w:rsid w:val="00892516"/>
    <w:rsid w:val="0089737A"/>
    <w:rsid w:val="00897E99"/>
    <w:rsid w:val="00897F60"/>
    <w:rsid w:val="008A4829"/>
    <w:rsid w:val="008A7F34"/>
    <w:rsid w:val="008B0262"/>
    <w:rsid w:val="008B2384"/>
    <w:rsid w:val="008B38D6"/>
    <w:rsid w:val="008B4802"/>
    <w:rsid w:val="008B500D"/>
    <w:rsid w:val="008B69E3"/>
    <w:rsid w:val="008C1FD1"/>
    <w:rsid w:val="008C24A8"/>
    <w:rsid w:val="008C35EF"/>
    <w:rsid w:val="008C3664"/>
    <w:rsid w:val="008C5996"/>
    <w:rsid w:val="008C7FEC"/>
    <w:rsid w:val="008D4FA9"/>
    <w:rsid w:val="008D5A11"/>
    <w:rsid w:val="008D5E23"/>
    <w:rsid w:val="008D77AF"/>
    <w:rsid w:val="008E6D59"/>
    <w:rsid w:val="008F30C7"/>
    <w:rsid w:val="008F40B1"/>
    <w:rsid w:val="008F4527"/>
    <w:rsid w:val="008F5D66"/>
    <w:rsid w:val="009028AA"/>
    <w:rsid w:val="00903E3F"/>
    <w:rsid w:val="009049C3"/>
    <w:rsid w:val="00904AB8"/>
    <w:rsid w:val="009057D9"/>
    <w:rsid w:val="0090774A"/>
    <w:rsid w:val="00910D07"/>
    <w:rsid w:val="00914B2F"/>
    <w:rsid w:val="009150E6"/>
    <w:rsid w:val="00916290"/>
    <w:rsid w:val="00916F37"/>
    <w:rsid w:val="0091737B"/>
    <w:rsid w:val="00917F89"/>
    <w:rsid w:val="009223BE"/>
    <w:rsid w:val="0092499B"/>
    <w:rsid w:val="009255EE"/>
    <w:rsid w:val="00925603"/>
    <w:rsid w:val="00925F76"/>
    <w:rsid w:val="00925FCE"/>
    <w:rsid w:val="00932E89"/>
    <w:rsid w:val="0093359D"/>
    <w:rsid w:val="00933F2B"/>
    <w:rsid w:val="00942EEB"/>
    <w:rsid w:val="0094468E"/>
    <w:rsid w:val="00944B6E"/>
    <w:rsid w:val="00945261"/>
    <w:rsid w:val="00947377"/>
    <w:rsid w:val="009506A5"/>
    <w:rsid w:val="00951452"/>
    <w:rsid w:val="009541CC"/>
    <w:rsid w:val="00956564"/>
    <w:rsid w:val="009567A6"/>
    <w:rsid w:val="00956D5A"/>
    <w:rsid w:val="00961B2C"/>
    <w:rsid w:val="00961DBB"/>
    <w:rsid w:val="00963A5C"/>
    <w:rsid w:val="00963D2B"/>
    <w:rsid w:val="00964FAD"/>
    <w:rsid w:val="0096618E"/>
    <w:rsid w:val="009742CC"/>
    <w:rsid w:val="009758AE"/>
    <w:rsid w:val="00981433"/>
    <w:rsid w:val="0098222F"/>
    <w:rsid w:val="0098244F"/>
    <w:rsid w:val="00983122"/>
    <w:rsid w:val="00985C07"/>
    <w:rsid w:val="00992686"/>
    <w:rsid w:val="00995B4F"/>
    <w:rsid w:val="00995FA3"/>
    <w:rsid w:val="00997582"/>
    <w:rsid w:val="009A22F8"/>
    <w:rsid w:val="009A2C21"/>
    <w:rsid w:val="009A3E58"/>
    <w:rsid w:val="009A5F02"/>
    <w:rsid w:val="009A7AB1"/>
    <w:rsid w:val="009B424D"/>
    <w:rsid w:val="009B6408"/>
    <w:rsid w:val="009B70E6"/>
    <w:rsid w:val="009C6DAA"/>
    <w:rsid w:val="009D0E74"/>
    <w:rsid w:val="009D12E6"/>
    <w:rsid w:val="009D1A96"/>
    <w:rsid w:val="009D370B"/>
    <w:rsid w:val="009D7EE0"/>
    <w:rsid w:val="009E2087"/>
    <w:rsid w:val="009E252B"/>
    <w:rsid w:val="009E3265"/>
    <w:rsid w:val="009E3353"/>
    <w:rsid w:val="009E446D"/>
    <w:rsid w:val="009E7C09"/>
    <w:rsid w:val="009F146D"/>
    <w:rsid w:val="009F4F1E"/>
    <w:rsid w:val="009F5D6A"/>
    <w:rsid w:val="00A015E4"/>
    <w:rsid w:val="00A0590A"/>
    <w:rsid w:val="00A075BC"/>
    <w:rsid w:val="00A07EEE"/>
    <w:rsid w:val="00A11222"/>
    <w:rsid w:val="00A12C39"/>
    <w:rsid w:val="00A134FB"/>
    <w:rsid w:val="00A162FE"/>
    <w:rsid w:val="00A20802"/>
    <w:rsid w:val="00A25B4F"/>
    <w:rsid w:val="00A261B3"/>
    <w:rsid w:val="00A27E8B"/>
    <w:rsid w:val="00A311CF"/>
    <w:rsid w:val="00A31D30"/>
    <w:rsid w:val="00A401C8"/>
    <w:rsid w:val="00A42121"/>
    <w:rsid w:val="00A43AC0"/>
    <w:rsid w:val="00A442BF"/>
    <w:rsid w:val="00A50BC1"/>
    <w:rsid w:val="00A517D0"/>
    <w:rsid w:val="00A51B96"/>
    <w:rsid w:val="00A53716"/>
    <w:rsid w:val="00A5629E"/>
    <w:rsid w:val="00A64832"/>
    <w:rsid w:val="00A727A4"/>
    <w:rsid w:val="00A732DB"/>
    <w:rsid w:val="00A75338"/>
    <w:rsid w:val="00A81E86"/>
    <w:rsid w:val="00A838D2"/>
    <w:rsid w:val="00A86F04"/>
    <w:rsid w:val="00A946C4"/>
    <w:rsid w:val="00AA478E"/>
    <w:rsid w:val="00AB137D"/>
    <w:rsid w:val="00AC01F8"/>
    <w:rsid w:val="00AC059A"/>
    <w:rsid w:val="00AC3BE3"/>
    <w:rsid w:val="00AC41CF"/>
    <w:rsid w:val="00AD0308"/>
    <w:rsid w:val="00AD377A"/>
    <w:rsid w:val="00AD67BB"/>
    <w:rsid w:val="00AE1CC1"/>
    <w:rsid w:val="00AE3EA4"/>
    <w:rsid w:val="00AE43FF"/>
    <w:rsid w:val="00AE51FE"/>
    <w:rsid w:val="00AE69C8"/>
    <w:rsid w:val="00AE70B7"/>
    <w:rsid w:val="00AF1B02"/>
    <w:rsid w:val="00AF41E4"/>
    <w:rsid w:val="00AF568A"/>
    <w:rsid w:val="00B02D0B"/>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80A95"/>
    <w:rsid w:val="00B80FB4"/>
    <w:rsid w:val="00B85123"/>
    <w:rsid w:val="00B85366"/>
    <w:rsid w:val="00B87F60"/>
    <w:rsid w:val="00B9079B"/>
    <w:rsid w:val="00B93B5E"/>
    <w:rsid w:val="00B93D3D"/>
    <w:rsid w:val="00B96341"/>
    <w:rsid w:val="00BA471F"/>
    <w:rsid w:val="00BA52C3"/>
    <w:rsid w:val="00BA5E35"/>
    <w:rsid w:val="00BB5013"/>
    <w:rsid w:val="00BB528E"/>
    <w:rsid w:val="00BB615A"/>
    <w:rsid w:val="00BB78CD"/>
    <w:rsid w:val="00BC11EC"/>
    <w:rsid w:val="00BC2600"/>
    <w:rsid w:val="00BC36F0"/>
    <w:rsid w:val="00BC3E99"/>
    <w:rsid w:val="00BC3EFD"/>
    <w:rsid w:val="00BC4FA7"/>
    <w:rsid w:val="00BC5E30"/>
    <w:rsid w:val="00BD00ED"/>
    <w:rsid w:val="00BD02C5"/>
    <w:rsid w:val="00BD068D"/>
    <w:rsid w:val="00BE0D9A"/>
    <w:rsid w:val="00BE1A50"/>
    <w:rsid w:val="00BE2F0D"/>
    <w:rsid w:val="00BE5E2E"/>
    <w:rsid w:val="00BF0BD5"/>
    <w:rsid w:val="00BF0D35"/>
    <w:rsid w:val="00BF31FB"/>
    <w:rsid w:val="00BF55F8"/>
    <w:rsid w:val="00C051FD"/>
    <w:rsid w:val="00C1744F"/>
    <w:rsid w:val="00C20C7D"/>
    <w:rsid w:val="00C20DEF"/>
    <w:rsid w:val="00C24B25"/>
    <w:rsid w:val="00C24E89"/>
    <w:rsid w:val="00C27AB1"/>
    <w:rsid w:val="00C32C2F"/>
    <w:rsid w:val="00C350AE"/>
    <w:rsid w:val="00C3738A"/>
    <w:rsid w:val="00C40859"/>
    <w:rsid w:val="00C4315A"/>
    <w:rsid w:val="00C43F5E"/>
    <w:rsid w:val="00C44074"/>
    <w:rsid w:val="00C4651F"/>
    <w:rsid w:val="00C47478"/>
    <w:rsid w:val="00C51D0B"/>
    <w:rsid w:val="00C52207"/>
    <w:rsid w:val="00C52A50"/>
    <w:rsid w:val="00C53AD9"/>
    <w:rsid w:val="00C642D4"/>
    <w:rsid w:val="00C66AF6"/>
    <w:rsid w:val="00C730F4"/>
    <w:rsid w:val="00C74311"/>
    <w:rsid w:val="00C760B7"/>
    <w:rsid w:val="00C80200"/>
    <w:rsid w:val="00C80E0A"/>
    <w:rsid w:val="00C8270B"/>
    <w:rsid w:val="00C841A9"/>
    <w:rsid w:val="00C8728F"/>
    <w:rsid w:val="00C91D48"/>
    <w:rsid w:val="00C94F94"/>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6C06"/>
    <w:rsid w:val="00CD1526"/>
    <w:rsid w:val="00CD1546"/>
    <w:rsid w:val="00CD2807"/>
    <w:rsid w:val="00CD5509"/>
    <w:rsid w:val="00CE0215"/>
    <w:rsid w:val="00CE1EB0"/>
    <w:rsid w:val="00CE3DF2"/>
    <w:rsid w:val="00CE5914"/>
    <w:rsid w:val="00CF04D5"/>
    <w:rsid w:val="00CF0C0F"/>
    <w:rsid w:val="00CF1690"/>
    <w:rsid w:val="00CF1F2A"/>
    <w:rsid w:val="00CF5CE3"/>
    <w:rsid w:val="00CF7412"/>
    <w:rsid w:val="00D030F8"/>
    <w:rsid w:val="00D06DC4"/>
    <w:rsid w:val="00D077B7"/>
    <w:rsid w:val="00D166E4"/>
    <w:rsid w:val="00D17B0C"/>
    <w:rsid w:val="00D20297"/>
    <w:rsid w:val="00D21E6B"/>
    <w:rsid w:val="00D229D7"/>
    <w:rsid w:val="00D2336A"/>
    <w:rsid w:val="00D23634"/>
    <w:rsid w:val="00D34551"/>
    <w:rsid w:val="00D36D27"/>
    <w:rsid w:val="00D41664"/>
    <w:rsid w:val="00D4569D"/>
    <w:rsid w:val="00D457D6"/>
    <w:rsid w:val="00D55013"/>
    <w:rsid w:val="00D64CE2"/>
    <w:rsid w:val="00D661D4"/>
    <w:rsid w:val="00D702E1"/>
    <w:rsid w:val="00D719B9"/>
    <w:rsid w:val="00D7270F"/>
    <w:rsid w:val="00D7596A"/>
    <w:rsid w:val="00D7751B"/>
    <w:rsid w:val="00D81537"/>
    <w:rsid w:val="00D815DC"/>
    <w:rsid w:val="00D822B5"/>
    <w:rsid w:val="00D83D3C"/>
    <w:rsid w:val="00D84451"/>
    <w:rsid w:val="00D867AE"/>
    <w:rsid w:val="00D87BBB"/>
    <w:rsid w:val="00D87C87"/>
    <w:rsid w:val="00D921C4"/>
    <w:rsid w:val="00D9279C"/>
    <w:rsid w:val="00D9296A"/>
    <w:rsid w:val="00D93C23"/>
    <w:rsid w:val="00D95638"/>
    <w:rsid w:val="00D9584C"/>
    <w:rsid w:val="00D97180"/>
    <w:rsid w:val="00D97C79"/>
    <w:rsid w:val="00DA14D9"/>
    <w:rsid w:val="00DB13AD"/>
    <w:rsid w:val="00DB23F9"/>
    <w:rsid w:val="00DB58BE"/>
    <w:rsid w:val="00DB602E"/>
    <w:rsid w:val="00DB6176"/>
    <w:rsid w:val="00DB6AA0"/>
    <w:rsid w:val="00DB7C3A"/>
    <w:rsid w:val="00DC7E01"/>
    <w:rsid w:val="00DD14EE"/>
    <w:rsid w:val="00DD32AB"/>
    <w:rsid w:val="00DD3762"/>
    <w:rsid w:val="00DD5BF6"/>
    <w:rsid w:val="00DD64DC"/>
    <w:rsid w:val="00DE06EC"/>
    <w:rsid w:val="00DE1865"/>
    <w:rsid w:val="00DE6CEF"/>
    <w:rsid w:val="00DF11C2"/>
    <w:rsid w:val="00DF2134"/>
    <w:rsid w:val="00DF4593"/>
    <w:rsid w:val="00DF64E0"/>
    <w:rsid w:val="00E10D05"/>
    <w:rsid w:val="00E2223E"/>
    <w:rsid w:val="00E22D98"/>
    <w:rsid w:val="00E24623"/>
    <w:rsid w:val="00E252E3"/>
    <w:rsid w:val="00E25B1B"/>
    <w:rsid w:val="00E378A9"/>
    <w:rsid w:val="00E40505"/>
    <w:rsid w:val="00E42A41"/>
    <w:rsid w:val="00E45766"/>
    <w:rsid w:val="00E45AC5"/>
    <w:rsid w:val="00E56230"/>
    <w:rsid w:val="00E567E5"/>
    <w:rsid w:val="00E64480"/>
    <w:rsid w:val="00E65807"/>
    <w:rsid w:val="00E66103"/>
    <w:rsid w:val="00E6708B"/>
    <w:rsid w:val="00E73A8C"/>
    <w:rsid w:val="00E75050"/>
    <w:rsid w:val="00E75D5E"/>
    <w:rsid w:val="00E76F42"/>
    <w:rsid w:val="00E77D6D"/>
    <w:rsid w:val="00E915E6"/>
    <w:rsid w:val="00EA3E11"/>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4AE4"/>
    <w:rsid w:val="00EE5492"/>
    <w:rsid w:val="00EE583A"/>
    <w:rsid w:val="00EF0A00"/>
    <w:rsid w:val="00EF7395"/>
    <w:rsid w:val="00F0183C"/>
    <w:rsid w:val="00F0379D"/>
    <w:rsid w:val="00F03C79"/>
    <w:rsid w:val="00F072B1"/>
    <w:rsid w:val="00F07BD5"/>
    <w:rsid w:val="00F122D6"/>
    <w:rsid w:val="00F147EA"/>
    <w:rsid w:val="00F15BF4"/>
    <w:rsid w:val="00F171E0"/>
    <w:rsid w:val="00F17940"/>
    <w:rsid w:val="00F17DC0"/>
    <w:rsid w:val="00F2046C"/>
    <w:rsid w:val="00F20647"/>
    <w:rsid w:val="00F207FC"/>
    <w:rsid w:val="00F22915"/>
    <w:rsid w:val="00F274DB"/>
    <w:rsid w:val="00F31392"/>
    <w:rsid w:val="00F3247A"/>
    <w:rsid w:val="00F348B5"/>
    <w:rsid w:val="00F3652B"/>
    <w:rsid w:val="00F36D95"/>
    <w:rsid w:val="00F377B9"/>
    <w:rsid w:val="00F45442"/>
    <w:rsid w:val="00F5145E"/>
    <w:rsid w:val="00F558EA"/>
    <w:rsid w:val="00F5681C"/>
    <w:rsid w:val="00F57DBB"/>
    <w:rsid w:val="00F6045D"/>
    <w:rsid w:val="00F613CB"/>
    <w:rsid w:val="00F61F79"/>
    <w:rsid w:val="00F651DD"/>
    <w:rsid w:val="00F656A4"/>
    <w:rsid w:val="00F6665E"/>
    <w:rsid w:val="00F7075F"/>
    <w:rsid w:val="00F71D76"/>
    <w:rsid w:val="00F8235B"/>
    <w:rsid w:val="00F8349F"/>
    <w:rsid w:val="00F83FB7"/>
    <w:rsid w:val="00F85935"/>
    <w:rsid w:val="00F85D29"/>
    <w:rsid w:val="00F87865"/>
    <w:rsid w:val="00F9581A"/>
    <w:rsid w:val="00F969D3"/>
    <w:rsid w:val="00F9789E"/>
    <w:rsid w:val="00FA190E"/>
    <w:rsid w:val="00FA54D8"/>
    <w:rsid w:val="00FB460E"/>
    <w:rsid w:val="00FC4FB7"/>
    <w:rsid w:val="00FC68C7"/>
    <w:rsid w:val="00FC6998"/>
    <w:rsid w:val="00FD1EE0"/>
    <w:rsid w:val="00FD357B"/>
    <w:rsid w:val="00FD38FC"/>
    <w:rsid w:val="00FD6119"/>
    <w:rsid w:val="00FD688E"/>
    <w:rsid w:val="00FD7C0C"/>
    <w:rsid w:val="00FE045C"/>
    <w:rsid w:val="00FE0C52"/>
    <w:rsid w:val="00FE1692"/>
    <w:rsid w:val="00FE18B0"/>
    <w:rsid w:val="00FE3069"/>
    <w:rsid w:val="00FE3B13"/>
    <w:rsid w:val="00FE5455"/>
    <w:rsid w:val="00FF0566"/>
    <w:rsid w:val="00FF15F5"/>
    <w:rsid w:val="00FF5BE7"/>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A50BC1"/>
    <w:pPr>
      <w:keepNext/>
      <w:keepLines/>
      <w:numPr>
        <w:ilvl w:val="1"/>
        <w:numId w:val="10"/>
      </w:numPr>
      <w:tabs>
        <w:tab w:val="left" w:pos="1418"/>
        <w:tab w:val="left" w:pos="1701"/>
        <w:tab w:val="left" w:pos="1985"/>
      </w:tabs>
      <w:spacing w:before="24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A50BC1"/>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16F37"/>
    <w:pPr>
      <w:keepNext/>
      <w:keepLines/>
      <w:spacing w:before="36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A50BC1"/>
    <w:pPr>
      <w:keepNext/>
      <w:keepLines/>
      <w:numPr>
        <w:ilvl w:val="1"/>
        <w:numId w:val="10"/>
      </w:numPr>
      <w:tabs>
        <w:tab w:val="left" w:pos="1418"/>
        <w:tab w:val="left" w:pos="1701"/>
        <w:tab w:val="left" w:pos="1985"/>
      </w:tabs>
      <w:spacing w:before="24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A50BC1"/>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16F37"/>
    <w:pPr>
      <w:keepNext/>
      <w:keepLines/>
      <w:spacing w:before="36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558206762">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CLC%20and%20CM%20&#8211;%20cos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AB05740364C818B8E5C1F27A48789"/>
        <w:category>
          <w:name w:val="General"/>
          <w:gallery w:val="placeholder"/>
        </w:category>
        <w:types>
          <w:type w:val="bbPlcHdr"/>
        </w:types>
        <w:behaviors>
          <w:behavior w:val="content"/>
        </w:behaviors>
        <w:guid w:val="{2B20D141-1CC8-4D53-9510-567E7AE4906F}"/>
      </w:docPartPr>
      <w:docPartBody>
        <w:p w:rsidR="00077ADA" w:rsidRDefault="00077ADA">
          <w:pPr>
            <w:pStyle w:val="F97AB05740364C818B8E5C1F27A48789"/>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horndale AMT">
    <w:charset w:val="00"/>
    <w:family w:val="roman"/>
    <w:pitch w:val="variable"/>
    <w:sig w:usb0="00002A87" w:usb1="4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A"/>
    <w:rsid w:val="00077ADA"/>
    <w:rsid w:val="003F3AC9"/>
    <w:rsid w:val="0069541A"/>
    <w:rsid w:val="00B3199E"/>
    <w:rsid w:val="00BB5BEB"/>
    <w:rsid w:val="00D02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F97AB05740364C818B8E5C1F27A48789">
    <w:name w:val="F97AB05740364C818B8E5C1F27A487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F97AB05740364C818B8E5C1F27A48789">
    <w:name w:val="F97AB05740364C818B8E5C1F27A48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EFD57867-9B1E-4870-8681-77ED9F30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costing.dotm</Template>
  <TotalTime>5</TotalTime>
  <Pages>12</Pages>
  <Words>3543</Words>
  <Characters>19522</Characters>
  <Application>Microsoft Office Word</Application>
  <DocSecurity>0</DocSecurity>
  <Lines>976</Lines>
  <Paragraphs>823</Paragraphs>
  <ScaleCrop>false</ScaleCrop>
  <HeadingPairs>
    <vt:vector size="2" baseType="variant">
      <vt:variant>
        <vt:lpstr>Title</vt:lpstr>
      </vt:variant>
      <vt:variant>
        <vt:i4>1</vt:i4>
      </vt:variant>
    </vt:vector>
  </HeadingPairs>
  <TitlesOfParts>
    <vt:vector size="1" baseType="lpstr">
      <vt:lpstr>Dividend imputation credit refunds</vt:lpstr>
    </vt:vector>
  </TitlesOfParts>
  <Company>Parliament of Australia</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imputation credit refunds</dc:title>
  <dc:creator>PBO@pbo.gov.au</dc:creator>
  <cp:lastModifiedBy>Pratley, Lauren (PBO)</cp:lastModifiedBy>
  <cp:revision>8</cp:revision>
  <cp:lastPrinted>2018-04-30T02:44:00Z</cp:lastPrinted>
  <dcterms:created xsi:type="dcterms:W3CDTF">2018-05-08T06:43:00Z</dcterms:created>
  <dcterms:modified xsi:type="dcterms:W3CDTF">2018-05-08T07:45:00Z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