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8E" w:rsidRDefault="00AA478E" w:rsidP="00AA478E">
      <w:pPr>
        <w:pStyle w:val="Heading1spacebefore"/>
        <w:tabs>
          <w:tab w:val="left" w:pos="2694"/>
        </w:tabs>
        <w:spacing w:before="480" w:after="240"/>
        <w:rPr>
          <w:sz w:val="32"/>
        </w:rPr>
      </w:pPr>
      <w:bookmarkStart w:id="0" w:name="_GoBack"/>
      <w:bookmarkEnd w:id="0"/>
      <w:r w:rsidRPr="008D4FA9">
        <w:rPr>
          <w:sz w:val="32"/>
        </w:rPr>
        <w:t xml:space="preserve">Policy costing </w:t>
      </w:r>
    </w:p>
    <w:tbl>
      <w:tblPr>
        <w:tblStyle w:val="LightGrid-Accent6"/>
        <w:tblW w:w="4992" w:type="pct"/>
        <w:tblLook w:val="0600" w:firstRow="0" w:lastRow="0" w:firstColumn="0" w:lastColumn="0" w:noHBand="1" w:noVBand="1"/>
      </w:tblPr>
      <w:tblGrid>
        <w:gridCol w:w="3629"/>
        <w:gridCol w:w="2835"/>
        <w:gridCol w:w="2807"/>
      </w:tblGrid>
      <w:tr w:rsidR="00AA478E" w:rsidRPr="008D77AF" w:rsidTr="009464D7">
        <w:tc>
          <w:tcPr>
            <w:tcW w:w="5000" w:type="pct"/>
            <w:gridSpan w:val="3"/>
            <w:shd w:val="clear" w:color="auto" w:fill="A7B2D4" w:themeFill="background2" w:themeFillTint="66"/>
          </w:tcPr>
          <w:p w:rsidR="00AA478E" w:rsidRPr="0023196F" w:rsidRDefault="0023196F" w:rsidP="00013620">
            <w:pPr>
              <w:pStyle w:val="Nameofproposal"/>
            </w:pPr>
            <w:r w:rsidRPr="0023196F">
              <w:t>Australian Federal Integrity Commission and Commonwealth Parliamentary Standards Commissioner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Person/party requesting the costing:</w:t>
            </w:r>
          </w:p>
        </w:tc>
        <w:tc>
          <w:tcPr>
            <w:tcW w:w="3043" w:type="pct"/>
            <w:gridSpan w:val="2"/>
            <w:tcBorders>
              <w:bottom w:val="single" w:sz="8" w:space="0" w:color="788183" w:themeColor="accent6"/>
            </w:tcBorders>
          </w:tcPr>
          <w:p w:rsidR="00AA478E" w:rsidRPr="008D77AF" w:rsidRDefault="0023196F" w:rsidP="00696DCC">
            <w:pPr>
              <w:pStyle w:val="BodyText"/>
            </w:pPr>
            <w:r>
              <w:t>Dr Helen Haines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Date costing completed:</w:t>
            </w:r>
          </w:p>
        </w:tc>
        <w:tc>
          <w:tcPr>
            <w:tcW w:w="3043" w:type="pct"/>
            <w:gridSpan w:val="2"/>
          </w:tcPr>
          <w:p w:rsidR="00AA478E" w:rsidRPr="008D77AF" w:rsidRDefault="008548DD" w:rsidP="002C43C6">
            <w:pPr>
              <w:pStyle w:val="BodyText"/>
            </w:pPr>
            <w:r>
              <w:t>14</w:t>
            </w:r>
            <w:r w:rsidR="004069EB">
              <w:t xml:space="preserve"> </w:t>
            </w:r>
            <w:r w:rsidR="0023196F">
              <w:t>October 2020</w:t>
            </w:r>
          </w:p>
        </w:tc>
      </w:tr>
      <w:tr w:rsidR="00AA478E" w:rsidRPr="008D77AF" w:rsidTr="00013620">
        <w:tc>
          <w:tcPr>
            <w:tcW w:w="1957" w:type="pct"/>
          </w:tcPr>
          <w:p w:rsidR="00AA478E" w:rsidRPr="008D77AF" w:rsidRDefault="00AA478E" w:rsidP="00696DCC">
            <w:pPr>
              <w:pStyle w:val="BodyText"/>
            </w:pPr>
            <w:r w:rsidRPr="008D77AF">
              <w:t>Expiry date of the costing:</w:t>
            </w:r>
          </w:p>
        </w:tc>
        <w:tc>
          <w:tcPr>
            <w:tcW w:w="3043" w:type="pct"/>
            <w:gridSpan w:val="2"/>
          </w:tcPr>
          <w:p w:rsidR="00AA478E" w:rsidRPr="008D77AF" w:rsidRDefault="00AA478E" w:rsidP="00696DCC">
            <w:pPr>
              <w:pStyle w:val="BodyText"/>
            </w:pPr>
            <w:r w:rsidRPr="008D77AF">
              <w:t>Release of the next economic and fiscal outlook report.</w:t>
            </w:r>
          </w:p>
        </w:tc>
      </w:tr>
      <w:tr w:rsidR="00AA478E" w:rsidTr="00013620">
        <w:tc>
          <w:tcPr>
            <w:tcW w:w="1957" w:type="pct"/>
            <w:vMerge w:val="restart"/>
          </w:tcPr>
          <w:p w:rsidR="00AA478E" w:rsidRDefault="00AA478E" w:rsidP="00696DCC">
            <w:pPr>
              <w:pStyle w:val="BodyText"/>
            </w:pPr>
            <w:r>
              <w:t>Status at time of request</w:t>
            </w:r>
            <w:r w:rsidRPr="008D77AF">
              <w:t>:</w:t>
            </w:r>
          </w:p>
        </w:tc>
        <w:tc>
          <w:tcPr>
            <w:tcW w:w="3043" w:type="pct"/>
            <w:gridSpan w:val="2"/>
            <w:tcBorders>
              <w:bottom w:val="nil"/>
              <w:right w:val="single" w:sz="8" w:space="0" w:color="788183" w:themeColor="accent6"/>
            </w:tcBorders>
          </w:tcPr>
          <w:p w:rsidR="00AA478E" w:rsidRDefault="00AA478E" w:rsidP="00696DCC">
            <w:pPr>
              <w:pStyle w:val="BodyText"/>
            </w:pPr>
            <w:r>
              <w:t>Submitted outside the caretaker period</w:t>
            </w:r>
          </w:p>
        </w:tc>
      </w:tr>
      <w:tr w:rsidR="00AA478E" w:rsidRPr="008D77AF" w:rsidTr="00013620">
        <w:tc>
          <w:tcPr>
            <w:tcW w:w="1957" w:type="pct"/>
            <w:vMerge/>
          </w:tcPr>
          <w:p w:rsidR="00AA478E" w:rsidRPr="008D77AF" w:rsidRDefault="00AA478E" w:rsidP="00013620">
            <w:pPr>
              <w:pStyle w:val="PullOutBoxBodyText"/>
              <w:ind w:left="0" w:right="0"/>
            </w:pPr>
          </w:p>
        </w:tc>
        <w:tc>
          <w:tcPr>
            <w:tcW w:w="1529" w:type="pct"/>
            <w:tcBorders>
              <w:top w:val="nil"/>
              <w:right w:val="nil"/>
            </w:tcBorders>
          </w:tcPr>
          <w:p w:rsidR="00AA478E" w:rsidRPr="008D77AF" w:rsidRDefault="00BE7E49" w:rsidP="00696DCC">
            <w:pPr>
              <w:pStyle w:val="BodyText"/>
            </w:pPr>
            <w:sdt>
              <w:sdtPr>
                <w:id w:val="-901915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96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A478E" w:rsidRPr="008D77AF">
              <w:t xml:space="preserve"> </w:t>
            </w:r>
            <w:r w:rsidR="00AA478E">
              <w:t>Confidential</w:t>
            </w:r>
          </w:p>
        </w:tc>
        <w:tc>
          <w:tcPr>
            <w:tcW w:w="1514" w:type="pct"/>
            <w:tcBorders>
              <w:top w:val="nil"/>
              <w:left w:val="nil"/>
              <w:right w:val="single" w:sz="8" w:space="0" w:color="788183" w:themeColor="accent6"/>
            </w:tcBorders>
          </w:tcPr>
          <w:p w:rsidR="00AA478E" w:rsidRPr="008D77AF" w:rsidRDefault="00BE7E49" w:rsidP="00696DCC">
            <w:pPr>
              <w:pStyle w:val="BodyText"/>
            </w:pPr>
            <w:sdt>
              <w:sdtPr>
                <w:id w:val="163506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8E" w:rsidRPr="008D7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78E" w:rsidRPr="008D77AF">
              <w:t xml:space="preserve"> No</w:t>
            </w:r>
            <w:r w:rsidR="00AA478E">
              <w:t>t confidential</w:t>
            </w:r>
          </w:p>
        </w:tc>
      </w:tr>
      <w:tr w:rsidR="00AA478E" w:rsidRPr="008D77AF" w:rsidTr="00013620">
        <w:tc>
          <w:tcPr>
            <w:tcW w:w="5000" w:type="pct"/>
            <w:gridSpan w:val="3"/>
          </w:tcPr>
          <w:p w:rsidR="00AA478E" w:rsidRPr="00E75D5E" w:rsidRDefault="00AA478E" w:rsidP="00696DCC">
            <w:pPr>
              <w:pStyle w:val="BodyText"/>
            </w:pPr>
            <w:r w:rsidRPr="00E75D5E">
              <w:t>Summary of proposal:</w:t>
            </w:r>
          </w:p>
          <w:p w:rsidR="00077303" w:rsidRPr="00077303" w:rsidRDefault="00077303" w:rsidP="00077303">
            <w:pPr>
              <w:pStyle w:val="TableTextCentred"/>
              <w:spacing w:line="240" w:lineRule="auto"/>
              <w:ind w:left="0"/>
              <w:jc w:val="left"/>
              <w:rPr>
                <w:rFonts w:asciiTheme="minorHAnsi" w:hAnsiTheme="minorHAnsi"/>
                <w:bCs/>
                <w:sz w:val="22"/>
              </w:rPr>
            </w:pPr>
            <w:r w:rsidRPr="00077303">
              <w:rPr>
                <w:rFonts w:asciiTheme="minorHAnsi" w:hAnsiTheme="minorHAnsi"/>
                <w:bCs/>
                <w:sz w:val="22"/>
              </w:rPr>
              <w:t xml:space="preserve">The proposal would establish two new government </w:t>
            </w:r>
            <w:r w:rsidR="00537702">
              <w:rPr>
                <w:rFonts w:asciiTheme="minorHAnsi" w:hAnsiTheme="minorHAnsi"/>
                <w:bCs/>
                <w:sz w:val="22"/>
              </w:rPr>
              <w:t xml:space="preserve">functions </w:t>
            </w:r>
            <w:r w:rsidR="00D368A8">
              <w:rPr>
                <w:rFonts w:asciiTheme="minorHAnsi" w:hAnsiTheme="minorHAnsi"/>
                <w:bCs/>
                <w:sz w:val="22"/>
              </w:rPr>
              <w:t>with effect from 1 July 2021</w:t>
            </w:r>
            <w:r w:rsidR="008F60D2">
              <w:rPr>
                <w:rFonts w:asciiTheme="minorHAnsi" w:hAnsiTheme="minorHAnsi"/>
                <w:bCs/>
                <w:sz w:val="22"/>
              </w:rPr>
              <w:t>.</w:t>
            </w:r>
          </w:p>
          <w:p w:rsidR="007B5310" w:rsidRPr="00D5395A" w:rsidRDefault="00FA429D" w:rsidP="00D368A8">
            <w:pPr>
              <w:pStyle w:val="Letterbullet"/>
              <w:spacing w:before="120"/>
              <w:ind w:left="284" w:hanging="284"/>
            </w:pPr>
            <w:r w:rsidRPr="00D5395A">
              <w:t xml:space="preserve">The </w:t>
            </w:r>
            <w:r w:rsidR="00077303" w:rsidRPr="00D5395A">
              <w:t>Australian Federa</w:t>
            </w:r>
            <w:r w:rsidR="007B5310" w:rsidRPr="00D5395A">
              <w:t xml:space="preserve">l Integrity Commission (AFIC) would be </w:t>
            </w:r>
            <w:r w:rsidR="00077303" w:rsidRPr="00D5395A">
              <w:t>a</w:t>
            </w:r>
            <w:r w:rsidRPr="00D5395A">
              <w:t>n</w:t>
            </w:r>
            <w:r w:rsidR="00077303" w:rsidRPr="00D5395A">
              <w:t xml:space="preserve"> independent statutory agency responsible for implementing a new national integrity strategy and preventing corruption in federal public administration. </w:t>
            </w:r>
            <w:r w:rsidR="00437AF3" w:rsidRPr="00D5395A">
              <w:t xml:space="preserve"> </w:t>
            </w:r>
          </w:p>
          <w:p w:rsidR="00437AF3" w:rsidRPr="0064157C" w:rsidRDefault="00437AF3" w:rsidP="00652BD3">
            <w:pPr>
              <w:pStyle w:val="Letterbullet"/>
              <w:numPr>
                <w:ilvl w:val="0"/>
                <w:numId w:val="13"/>
              </w:numPr>
              <w:spacing w:before="120"/>
              <w:ind w:left="568" w:hanging="284"/>
            </w:pPr>
            <w:r w:rsidRPr="00077303">
              <w:t xml:space="preserve">The </w:t>
            </w:r>
            <w:r w:rsidR="0064157C">
              <w:t xml:space="preserve">AFIC </w:t>
            </w:r>
            <w:r w:rsidRPr="00077303">
              <w:t>framework w</w:t>
            </w:r>
            <w:r w:rsidR="002C43C6">
              <w:t>ould</w:t>
            </w:r>
            <w:r w:rsidRPr="00077303">
              <w:t xml:space="preserve"> include a comprehensive anti</w:t>
            </w:r>
            <w:r w:rsidR="002C43C6">
              <w:noBreakHyphen/>
            </w:r>
            <w:r w:rsidRPr="00077303">
              <w:t xml:space="preserve">corruption research program, the </w:t>
            </w:r>
            <w:r w:rsidRPr="0064157C">
              <w:t>creation</w:t>
            </w:r>
            <w:r w:rsidRPr="00077303">
              <w:t xml:space="preserve"> of a national anti</w:t>
            </w:r>
            <w:r w:rsidR="002C43C6">
              <w:noBreakHyphen/>
            </w:r>
            <w:r w:rsidRPr="00077303">
              <w:t xml:space="preserve">corruption action plan, and dedicated education, training and prevention functions. </w:t>
            </w:r>
            <w:r w:rsidR="002C43C6">
              <w:t xml:space="preserve"> </w:t>
            </w:r>
            <w:r w:rsidRPr="00077303">
              <w:t>AFIC w</w:t>
            </w:r>
            <w:r w:rsidR="002C43C6">
              <w:t>ould</w:t>
            </w:r>
            <w:r w:rsidRPr="00077303">
              <w:t xml:space="preserve"> also have strong investigatory powers to allow it to hold hearings and make findings in relation to allegations of serious and/or systemic corruption in federal public administration.</w:t>
            </w:r>
          </w:p>
          <w:p w:rsidR="006C3A1C" w:rsidRDefault="006C3A1C" w:rsidP="00652BD3">
            <w:pPr>
              <w:pStyle w:val="Letterbullet"/>
              <w:numPr>
                <w:ilvl w:val="0"/>
                <w:numId w:val="13"/>
              </w:numPr>
              <w:spacing w:before="120"/>
              <w:ind w:left="568" w:hanging="284"/>
            </w:pPr>
            <w:r>
              <w:t xml:space="preserve">AFIC would </w:t>
            </w:r>
            <w:r w:rsidR="005D5834">
              <w:t xml:space="preserve">require </w:t>
            </w:r>
            <w:r w:rsidR="0064157C">
              <w:t xml:space="preserve">eight statutory leadership appointments </w:t>
            </w:r>
            <w:r w:rsidR="005D5834">
              <w:t xml:space="preserve">and </w:t>
            </w:r>
            <w:r>
              <w:t xml:space="preserve">employ </w:t>
            </w:r>
            <w:r w:rsidR="00D368A8">
              <w:t>around</w:t>
            </w:r>
            <w:r>
              <w:t xml:space="preserve"> </w:t>
            </w:r>
            <w:r w:rsidR="0017494C">
              <w:t xml:space="preserve">197 </w:t>
            </w:r>
            <w:r>
              <w:t>staff.</w:t>
            </w:r>
          </w:p>
          <w:p w:rsidR="00D5395A" w:rsidRPr="002C43C6" w:rsidRDefault="00D5395A" w:rsidP="00652BD3">
            <w:pPr>
              <w:pStyle w:val="Letterbullet"/>
              <w:numPr>
                <w:ilvl w:val="1"/>
                <w:numId w:val="13"/>
              </w:numPr>
              <w:spacing w:before="120"/>
              <w:ind w:left="851" w:hanging="284"/>
            </w:pPr>
            <w:r w:rsidRPr="00D5395A">
              <w:t>The</w:t>
            </w:r>
            <w:r w:rsidRPr="002C43C6">
              <w:t xml:space="preserve"> Australian Commission for Law Enforcement </w:t>
            </w:r>
            <w:r>
              <w:t xml:space="preserve">Integrity (ACLEI) </w:t>
            </w:r>
            <w:r w:rsidRPr="002C43C6">
              <w:t>would be subsumed into AFIC</w:t>
            </w:r>
            <w:r w:rsidR="008F60D2">
              <w:t xml:space="preserve">.  ACLEI’s funding </w:t>
            </w:r>
            <w:r w:rsidR="0048493B">
              <w:t xml:space="preserve">and current staff </w:t>
            </w:r>
            <w:r w:rsidR="008F60D2">
              <w:t xml:space="preserve">would be </w:t>
            </w:r>
            <w:r w:rsidRPr="002C43C6">
              <w:t>redirected to AFIC</w:t>
            </w:r>
            <w:r>
              <w:t xml:space="preserve"> less </w:t>
            </w:r>
            <w:r w:rsidRPr="002C43C6">
              <w:t xml:space="preserve">any </w:t>
            </w:r>
            <w:r w:rsidR="008F60D2">
              <w:t xml:space="preserve">merger related </w:t>
            </w:r>
            <w:r w:rsidRPr="002C43C6">
              <w:t>savings</w:t>
            </w:r>
            <w:r w:rsidR="008F60D2">
              <w:t>.</w:t>
            </w:r>
            <w:r w:rsidRPr="002C43C6">
              <w:t xml:space="preserve"> </w:t>
            </w:r>
          </w:p>
          <w:p w:rsidR="002C43C6" w:rsidRPr="0064157C" w:rsidRDefault="008F60D2" w:rsidP="00652BD3">
            <w:pPr>
              <w:pStyle w:val="Letterbullet"/>
              <w:numPr>
                <w:ilvl w:val="0"/>
                <w:numId w:val="13"/>
              </w:numPr>
              <w:spacing w:before="120"/>
              <w:ind w:left="568" w:hanging="284"/>
            </w:pPr>
            <w:r>
              <w:t>Funding of</w:t>
            </w:r>
            <w:r w:rsidR="00D368A8">
              <w:t xml:space="preserve"> </w:t>
            </w:r>
            <w:r w:rsidR="001F538D" w:rsidRPr="0064157C">
              <w:t>$</w:t>
            </w:r>
            <w:r w:rsidR="00530264">
              <w:t>14.5</w:t>
            </w:r>
            <w:r w:rsidR="001F538D" w:rsidRPr="0064157C">
              <w:t xml:space="preserve"> million </w:t>
            </w:r>
            <w:r w:rsidR="00D368A8">
              <w:t>each year</w:t>
            </w:r>
            <w:r w:rsidR="001F538D" w:rsidRPr="0064157C">
              <w:t xml:space="preserve"> </w:t>
            </w:r>
            <w:r>
              <w:t xml:space="preserve">would be provided for </w:t>
            </w:r>
            <w:r w:rsidR="001F538D" w:rsidRPr="0064157C">
              <w:t xml:space="preserve">external </w:t>
            </w:r>
            <w:r w:rsidR="00D368A8">
              <w:t xml:space="preserve">legal, research, policy advice </w:t>
            </w:r>
            <w:r w:rsidR="001F538D" w:rsidRPr="0064157C">
              <w:t>contracting and independent auditing services</w:t>
            </w:r>
            <w:r w:rsidR="002C43C6" w:rsidRPr="0064157C">
              <w:t>.</w:t>
            </w:r>
          </w:p>
          <w:p w:rsidR="001F538D" w:rsidRPr="005D5834" w:rsidRDefault="002C43C6" w:rsidP="00652BD3">
            <w:pPr>
              <w:pStyle w:val="Letterbullet"/>
              <w:numPr>
                <w:ilvl w:val="0"/>
                <w:numId w:val="13"/>
              </w:numPr>
              <w:spacing w:before="120"/>
              <w:ind w:left="568" w:hanging="284"/>
            </w:pPr>
            <w:r w:rsidRPr="005D5834">
              <w:t xml:space="preserve">A </w:t>
            </w:r>
            <w:r w:rsidR="00FC1521" w:rsidRPr="00FC1521">
              <w:t xml:space="preserve">Corporate Services and Facilities branch </w:t>
            </w:r>
            <w:r>
              <w:t xml:space="preserve">would also require funding </w:t>
            </w:r>
            <w:r w:rsidR="00FC1521" w:rsidRPr="00FC1521">
              <w:t>to manage travel expenses and other contracting services</w:t>
            </w:r>
            <w:r w:rsidR="001F538D" w:rsidRPr="005D5834">
              <w:t>.</w:t>
            </w:r>
            <w:r w:rsidR="009649D4" w:rsidRPr="005D5834">
              <w:t xml:space="preserve"> </w:t>
            </w:r>
            <w:r w:rsidR="005D5834">
              <w:t xml:space="preserve"> This funding</w:t>
            </w:r>
            <w:r w:rsidR="009649D4" w:rsidRPr="005D5834">
              <w:t xml:space="preserve"> would be indexed </w:t>
            </w:r>
            <w:r w:rsidR="005D5834">
              <w:t xml:space="preserve">over time. </w:t>
            </w:r>
          </w:p>
          <w:p w:rsidR="00D5395A" w:rsidRPr="00D5395A" w:rsidRDefault="00437AF3" w:rsidP="008F60D2">
            <w:pPr>
              <w:pStyle w:val="Letterbullet"/>
              <w:spacing w:before="120"/>
              <w:ind w:left="284" w:hanging="284"/>
            </w:pPr>
            <w:r w:rsidRPr="00D5395A">
              <w:t xml:space="preserve">The Office of the Commonwealth Parliamentary Standards Commissioner </w:t>
            </w:r>
            <w:r w:rsidR="006C3A1C" w:rsidRPr="00D5395A">
              <w:t>(CPSC)</w:t>
            </w:r>
            <w:r w:rsidRPr="00D5395A">
              <w:t xml:space="preserve"> </w:t>
            </w:r>
            <w:r w:rsidR="002C43C6" w:rsidRPr="00D5395A">
              <w:t>would</w:t>
            </w:r>
            <w:r w:rsidRPr="00D5395A">
              <w:t xml:space="preserve"> </w:t>
            </w:r>
            <w:r w:rsidR="00537702">
              <w:t xml:space="preserve">be an independent function, within the Department of Parliamentary Services.  The Commissioner would </w:t>
            </w:r>
            <w:r w:rsidRPr="00D5395A">
              <w:t xml:space="preserve">assist the Presiding Officers, the Privileges Committees, </w:t>
            </w:r>
            <w:r w:rsidR="006A3A9F">
              <w:t xml:space="preserve">the </w:t>
            </w:r>
            <w:r w:rsidRPr="00D5395A">
              <w:t xml:space="preserve">Prime Minister and AFIC with the assessment, investigation and resolution of alleged breaches of a new parliamentary code of conduct, and to create and maintain a new register of interests for all parliamentarians.  </w:t>
            </w:r>
            <w:r w:rsidR="00D5395A" w:rsidRPr="00D5395A">
              <w:t xml:space="preserve">A Commonwealth Parliamentary Standards Commissioner would lead the office. </w:t>
            </w:r>
          </w:p>
          <w:p w:rsidR="006C3A1C" w:rsidRPr="00D5395A" w:rsidRDefault="005D5834" w:rsidP="00652BD3">
            <w:pPr>
              <w:pStyle w:val="Letterbullet"/>
              <w:numPr>
                <w:ilvl w:val="0"/>
                <w:numId w:val="13"/>
              </w:numPr>
              <w:spacing w:before="120"/>
              <w:ind w:left="568" w:hanging="284"/>
            </w:pPr>
            <w:r w:rsidRPr="00D5395A">
              <w:t>A</w:t>
            </w:r>
            <w:r w:rsidR="00437AF3" w:rsidRPr="00D5395A">
              <w:t xml:space="preserve"> </w:t>
            </w:r>
            <w:r>
              <w:t xml:space="preserve">Parliamentary Integrity Adviser </w:t>
            </w:r>
            <w:r w:rsidR="00D5395A">
              <w:t xml:space="preserve">would be appointed to </w:t>
            </w:r>
            <w:r>
              <w:t>support the CPS</w:t>
            </w:r>
            <w:r w:rsidR="00D5395A">
              <w:t>C</w:t>
            </w:r>
            <w:r>
              <w:t xml:space="preserve"> </w:t>
            </w:r>
            <w:r w:rsidR="00D5395A">
              <w:t xml:space="preserve">by </w:t>
            </w:r>
            <w:r w:rsidR="00437AF3" w:rsidRPr="00077303">
              <w:t>provid</w:t>
            </w:r>
            <w:r w:rsidR="00D5395A">
              <w:t>ing</w:t>
            </w:r>
            <w:r w:rsidR="00437AF3" w:rsidRPr="00077303">
              <w:t xml:space="preserve"> independent, confidential advice and guidance to Members </w:t>
            </w:r>
            <w:r w:rsidR="00D5395A">
              <w:t xml:space="preserve">of parliament </w:t>
            </w:r>
            <w:r w:rsidR="00437AF3" w:rsidRPr="00077303">
              <w:t>and their staff on how to honour the applicable codes of conduct.</w:t>
            </w:r>
          </w:p>
          <w:p w:rsidR="002C43C6" w:rsidRDefault="00D5395A" w:rsidP="00652BD3">
            <w:pPr>
              <w:pStyle w:val="Letterbullet"/>
              <w:numPr>
                <w:ilvl w:val="0"/>
                <w:numId w:val="13"/>
              </w:numPr>
              <w:spacing w:before="120"/>
              <w:ind w:left="568" w:hanging="284"/>
            </w:pPr>
            <w:r>
              <w:t xml:space="preserve">The </w:t>
            </w:r>
            <w:r w:rsidR="006C3A1C" w:rsidRPr="005D5834">
              <w:t>CPSC</w:t>
            </w:r>
            <w:r w:rsidR="006C3A1C" w:rsidRPr="002C43C6">
              <w:t xml:space="preserve"> would employ approximately </w:t>
            </w:r>
            <w:r w:rsidR="00530264">
              <w:t>15</w:t>
            </w:r>
            <w:r w:rsidR="00530264" w:rsidRPr="002C43C6">
              <w:t xml:space="preserve"> </w:t>
            </w:r>
            <w:r w:rsidR="006C3A1C" w:rsidRPr="002C43C6">
              <w:t>staff.</w:t>
            </w:r>
          </w:p>
          <w:p w:rsidR="00D368A8" w:rsidRPr="00437AF3" w:rsidRDefault="00D368A8" w:rsidP="00D368A8">
            <w:pPr>
              <w:pStyle w:val="TableTextCentred"/>
              <w:spacing w:line="240" w:lineRule="auto"/>
              <w:jc w:val="left"/>
              <w:rPr>
                <w:rFonts w:asciiTheme="minorHAnsi" w:hAnsiTheme="minorHAnsi"/>
                <w:bCs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 xml:space="preserve">Detailed policy specifications are provided at </w:t>
            </w:r>
            <w:r w:rsidRPr="00437AF3">
              <w:rPr>
                <w:color w:val="000000" w:themeColor="text1"/>
                <w:sz w:val="22"/>
                <w:u w:val="single"/>
              </w:rPr>
              <w:t>Attachment A</w:t>
            </w:r>
            <w:r>
              <w:rPr>
                <w:color w:val="000000" w:themeColor="text1"/>
                <w:sz w:val="22"/>
              </w:rPr>
              <w:t>.</w:t>
            </w:r>
          </w:p>
        </w:tc>
      </w:tr>
    </w:tbl>
    <w:p w:rsidR="00AA478E" w:rsidRPr="00D014E1" w:rsidRDefault="00AA478E" w:rsidP="00AA478E">
      <w:pPr>
        <w:pStyle w:val="Heading1"/>
      </w:pPr>
      <w:r w:rsidRPr="00D014E1">
        <w:lastRenderedPageBreak/>
        <w:t>Costing overview</w:t>
      </w:r>
    </w:p>
    <w:p w:rsidR="00676882" w:rsidRDefault="006D4CDC" w:rsidP="00C91D48">
      <w:pPr>
        <w:pStyle w:val="BodyText"/>
      </w:pPr>
      <w:r>
        <w:t xml:space="preserve">The staffing and specified operating </w:t>
      </w:r>
      <w:r w:rsidR="00961473">
        <w:t xml:space="preserve">costs for </w:t>
      </w:r>
      <w:r>
        <w:t>the two new agencies</w:t>
      </w:r>
      <w:r w:rsidR="00866166">
        <w:t xml:space="preserve"> is expected to decrease the fiscal and </w:t>
      </w:r>
      <w:r w:rsidR="00E06D6F">
        <w:t>underlying cash balances by $</w:t>
      </w:r>
      <w:r w:rsidR="0017494C">
        <w:t>187</w:t>
      </w:r>
      <w:r w:rsidR="00C04E9F">
        <w:t>.</w:t>
      </w:r>
      <w:r w:rsidR="0017494C">
        <w:t>3 </w:t>
      </w:r>
      <w:r w:rsidR="00866166">
        <w:t xml:space="preserve">million over the 2020-21 Budget forward estimates period.  </w:t>
      </w:r>
      <w:r w:rsidR="00676882">
        <w:t>This impact entirely reflects an increase in departmental expenses.</w:t>
      </w:r>
    </w:p>
    <w:p w:rsidR="00C91D48" w:rsidRPr="00B311BA" w:rsidRDefault="00B411C5" w:rsidP="00C91D48">
      <w:pPr>
        <w:pStyle w:val="BodyText"/>
      </w:pPr>
      <w:r>
        <w:t xml:space="preserve">This financial impact relates to the proposal’s staffing and </w:t>
      </w:r>
      <w:r w:rsidR="00D85669">
        <w:t xml:space="preserve">specified </w:t>
      </w:r>
      <w:r>
        <w:t xml:space="preserve">operating costs only.  Costs of accommodating staff have not </w:t>
      </w:r>
      <w:r w:rsidR="00866166">
        <w:t>been inc</w:t>
      </w:r>
      <w:r w:rsidR="00676882">
        <w:t xml:space="preserve">luded in this costing </w:t>
      </w:r>
      <w:r w:rsidR="002C43C6">
        <w:t xml:space="preserve">because of the </w:t>
      </w:r>
      <w:r w:rsidR="00676882">
        <w:t>high level of uncertainty surrounding cost of construct</w:t>
      </w:r>
      <w:r w:rsidR="002C43C6">
        <w:t>ing,</w:t>
      </w:r>
      <w:r w:rsidR="00676882">
        <w:t xml:space="preserve"> </w:t>
      </w:r>
      <w:r w:rsidR="002C43C6">
        <w:t xml:space="preserve">leasing and </w:t>
      </w:r>
      <w:r w:rsidR="00676882">
        <w:t>fit</w:t>
      </w:r>
      <w:r w:rsidR="002C43C6">
        <w:t>ting</w:t>
      </w:r>
      <w:r w:rsidR="002C43C6">
        <w:noBreakHyphen/>
      </w:r>
      <w:r w:rsidR="00676882">
        <w:t xml:space="preserve">out suitable buildings.  </w:t>
      </w:r>
    </w:p>
    <w:p w:rsidR="00C91D48" w:rsidRDefault="006D4CDC" w:rsidP="00C91D48">
      <w:pPr>
        <w:pStyle w:val="BodyText"/>
      </w:pPr>
      <w:r>
        <w:t xml:space="preserve">The proposal would have ongoing financial impacts beyond the 2020-21 Budget forward estimates period.  Estimates extending to 2030-31 are included at </w:t>
      </w:r>
      <w:r w:rsidRPr="006D4CDC">
        <w:rPr>
          <w:u w:val="single"/>
        </w:rPr>
        <w:t xml:space="preserve">Attachment </w:t>
      </w:r>
      <w:r w:rsidR="00E70361">
        <w:rPr>
          <w:u w:val="single"/>
        </w:rPr>
        <w:t>B</w:t>
      </w:r>
      <w:r>
        <w:t>.</w:t>
      </w:r>
    </w:p>
    <w:p w:rsidR="00E70361" w:rsidRDefault="00E70361" w:rsidP="00E70361">
      <w:pPr>
        <w:pStyle w:val="BodyText"/>
      </w:pPr>
      <w:r w:rsidRPr="00794D05">
        <w:t>Th</w:t>
      </w:r>
      <w:r w:rsidR="00B411C5">
        <w:t>is costing’s</w:t>
      </w:r>
      <w:r w:rsidRPr="00794D05">
        <w:t xml:space="preserve"> estimate</w:t>
      </w:r>
      <w:r>
        <w:t xml:space="preserve">s are relatively certain as they are </w:t>
      </w:r>
      <w:r w:rsidR="002C43C6">
        <w:t xml:space="preserve">largely </w:t>
      </w:r>
      <w:r>
        <w:t xml:space="preserve">based on </w:t>
      </w:r>
      <w:r w:rsidRPr="00794D05">
        <w:t xml:space="preserve">specified </w:t>
      </w:r>
      <w:r w:rsidR="00B411C5">
        <w:t xml:space="preserve">staff </w:t>
      </w:r>
      <w:r w:rsidRPr="00794D05">
        <w:t>number</w:t>
      </w:r>
      <w:r>
        <w:t>s</w:t>
      </w:r>
      <w:r w:rsidRPr="00794D05">
        <w:t xml:space="preserve"> and the average cost </w:t>
      </w:r>
      <w:r w:rsidR="00B411C5">
        <w:t>of employing each person</w:t>
      </w:r>
      <w:r w:rsidRPr="00794D05">
        <w:t xml:space="preserve">. </w:t>
      </w:r>
      <w:r>
        <w:t xml:space="preserve"> </w:t>
      </w:r>
      <w:r w:rsidR="00B411C5">
        <w:t>E</w:t>
      </w:r>
      <w:r w:rsidRPr="00794D05">
        <w:t>ach staff member</w:t>
      </w:r>
      <w:r w:rsidR="00B411C5">
        <w:t xml:space="preserve">’s average cost amount, </w:t>
      </w:r>
      <w:r>
        <w:t>over the medium term in particular</w:t>
      </w:r>
      <w:r w:rsidR="00B411C5">
        <w:t>,</w:t>
      </w:r>
      <w:r>
        <w:t xml:space="preserve"> </w:t>
      </w:r>
      <w:r w:rsidR="00B411C5">
        <w:t>is</w:t>
      </w:r>
      <w:r w:rsidRPr="00794D05">
        <w:t xml:space="preserve"> moderately sensitive to wage cost</w:t>
      </w:r>
      <w:r w:rsidR="00B411C5">
        <w:t xml:space="preserve"> indexation rates</w:t>
      </w:r>
      <w:r w:rsidRPr="00794D05">
        <w:t xml:space="preserve"> </w:t>
      </w:r>
      <w:r w:rsidR="00B411C5">
        <w:t xml:space="preserve">and </w:t>
      </w:r>
      <w:r w:rsidRPr="00794D05">
        <w:t xml:space="preserve">the </w:t>
      </w:r>
      <w:r w:rsidR="00B411C5">
        <w:t xml:space="preserve">effect of the </w:t>
      </w:r>
      <w:r w:rsidRPr="00794D05">
        <w:t>efficiency dividend.</w:t>
      </w:r>
      <w:r w:rsidR="00462B8C">
        <w:t xml:space="preserve">  </w:t>
      </w:r>
    </w:p>
    <w:p w:rsidR="0050132A" w:rsidRPr="00D014E1" w:rsidRDefault="0050132A" w:rsidP="00916F37">
      <w:pPr>
        <w:pStyle w:val="Caption"/>
      </w:pPr>
      <w:r w:rsidRPr="00D014E1">
        <w:t xml:space="preserve">Table </w:t>
      </w:r>
      <w:r w:rsidR="00866166">
        <w:t>1</w:t>
      </w:r>
      <w:r w:rsidRPr="00D014E1">
        <w:t>: Financial implications ($m)</w:t>
      </w:r>
      <w:r w:rsidRPr="00D014E1">
        <w:rPr>
          <w:vertAlign w:val="superscript"/>
        </w:rPr>
        <w:t>(a)(b)</w:t>
      </w:r>
    </w:p>
    <w:tbl>
      <w:tblPr>
        <w:tblStyle w:val="LightGrid-Accent6"/>
        <w:tblW w:w="5000" w:type="pct"/>
        <w:tblLook w:val="0680" w:firstRow="0" w:lastRow="0" w:firstColumn="1" w:lastColumn="0" w:noHBand="1" w:noVBand="1"/>
      </w:tblPr>
      <w:tblGrid>
        <w:gridCol w:w="2742"/>
        <w:gridCol w:w="1310"/>
        <w:gridCol w:w="1309"/>
        <w:gridCol w:w="1309"/>
        <w:gridCol w:w="1309"/>
        <w:gridCol w:w="1307"/>
      </w:tblGrid>
      <w:tr w:rsidR="00365844" w:rsidRPr="009B70E6" w:rsidTr="00946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shd w:val="clear" w:color="auto" w:fill="A7B2D4" w:themeFill="background2" w:themeFillTint="66"/>
            <w:vAlign w:val="center"/>
          </w:tcPr>
          <w:p w:rsidR="00365844" w:rsidRPr="009B70E6" w:rsidRDefault="00365844" w:rsidP="006262CF">
            <w:pPr>
              <w:pStyle w:val="TableHeading"/>
              <w:rPr>
                <w:b w:val="0"/>
                <w:sz w:val="22"/>
              </w:rPr>
            </w:pP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:rsidR="00365844" w:rsidRPr="009B70E6" w:rsidRDefault="00FC60BE" w:rsidP="00272994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2020</w:t>
            </w:r>
            <w:r w:rsidR="00365844" w:rsidRPr="009B70E6">
              <w:rPr>
                <w:b w:val="0"/>
                <w:sz w:val="22"/>
              </w:rPr>
              <w:t>–</w:t>
            </w:r>
            <w:r>
              <w:rPr>
                <w:b w:val="0"/>
                <w:sz w:val="22"/>
              </w:rPr>
              <w:t>21</w:t>
            </w: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:rsidR="00365844" w:rsidRPr="009B70E6" w:rsidRDefault="00FC60BE" w:rsidP="00272994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2021–22</w:t>
            </w: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:rsidR="00365844" w:rsidRPr="009B70E6" w:rsidRDefault="00FC60BE" w:rsidP="00272994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2022–23</w:t>
            </w:r>
          </w:p>
        </w:tc>
        <w:tc>
          <w:tcPr>
            <w:tcW w:w="705" w:type="pct"/>
            <w:shd w:val="clear" w:color="auto" w:fill="A7B2D4" w:themeFill="background2" w:themeFillTint="66"/>
            <w:vAlign w:val="center"/>
          </w:tcPr>
          <w:p w:rsidR="00365844" w:rsidRPr="009B70E6" w:rsidRDefault="00FC60BE" w:rsidP="00272994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2023–24</w:t>
            </w:r>
          </w:p>
        </w:tc>
        <w:tc>
          <w:tcPr>
            <w:tcW w:w="704" w:type="pct"/>
            <w:shd w:val="clear" w:color="auto" w:fill="A7B2D4" w:themeFill="background2" w:themeFillTint="66"/>
            <w:vAlign w:val="center"/>
          </w:tcPr>
          <w:p w:rsidR="00365844" w:rsidRPr="009B70E6" w:rsidRDefault="00365844" w:rsidP="00272994">
            <w:pPr>
              <w:pStyle w:val="TableHeading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B70E6">
              <w:rPr>
                <w:sz w:val="22"/>
              </w:rPr>
              <w:t>Total to 202</w:t>
            </w:r>
            <w:r w:rsidR="00FC60BE">
              <w:rPr>
                <w:sz w:val="22"/>
              </w:rPr>
              <w:t>3</w:t>
            </w:r>
            <w:r w:rsidRPr="009B70E6">
              <w:rPr>
                <w:sz w:val="22"/>
              </w:rPr>
              <w:t>–2</w:t>
            </w:r>
            <w:r w:rsidR="00FC60BE">
              <w:rPr>
                <w:sz w:val="22"/>
              </w:rPr>
              <w:t>4</w:t>
            </w:r>
          </w:p>
        </w:tc>
      </w:tr>
      <w:tr w:rsidR="0017494C" w:rsidRPr="009B70E6" w:rsidTr="009E1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17494C" w:rsidRPr="009B70E6" w:rsidRDefault="0017494C" w:rsidP="006B549D">
            <w:pPr>
              <w:pStyle w:val="TableHeading"/>
              <w:spacing w:before="0" w:after="0"/>
              <w:rPr>
                <w:rFonts w:asciiTheme="majorHAnsi" w:hAnsiTheme="majorHAnsi"/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Fiscal balance</w:t>
            </w:r>
          </w:p>
        </w:tc>
        <w:tc>
          <w:tcPr>
            <w:tcW w:w="705" w:type="pct"/>
            <w:vAlign w:val="center"/>
          </w:tcPr>
          <w:p w:rsidR="0017494C" w:rsidRPr="00B526CC" w:rsidRDefault="0017494C" w:rsidP="002C287E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-2.0</w:t>
            </w:r>
          </w:p>
        </w:tc>
        <w:tc>
          <w:tcPr>
            <w:tcW w:w="705" w:type="pct"/>
            <w:vAlign w:val="center"/>
          </w:tcPr>
          <w:p w:rsidR="0017494C" w:rsidRPr="00B526CC" w:rsidRDefault="0017494C" w:rsidP="002C287E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-61.5</w:t>
            </w:r>
          </w:p>
        </w:tc>
        <w:tc>
          <w:tcPr>
            <w:tcW w:w="705" w:type="pct"/>
            <w:vAlign w:val="center"/>
          </w:tcPr>
          <w:p w:rsidR="0017494C" w:rsidRPr="00B526CC" w:rsidRDefault="0017494C" w:rsidP="002C287E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-61.8</w:t>
            </w:r>
          </w:p>
        </w:tc>
        <w:tc>
          <w:tcPr>
            <w:tcW w:w="705" w:type="pct"/>
            <w:vAlign w:val="center"/>
          </w:tcPr>
          <w:p w:rsidR="0017494C" w:rsidRPr="00B526CC" w:rsidRDefault="0017494C" w:rsidP="002C287E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-62.3</w:t>
            </w:r>
          </w:p>
        </w:tc>
        <w:tc>
          <w:tcPr>
            <w:tcW w:w="704" w:type="pct"/>
            <w:vAlign w:val="center"/>
          </w:tcPr>
          <w:p w:rsidR="0017494C" w:rsidRPr="007A53BD" w:rsidRDefault="0017494C" w:rsidP="002C287E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-187.3</w:t>
            </w:r>
          </w:p>
        </w:tc>
      </w:tr>
      <w:tr w:rsidR="0017494C" w:rsidRPr="009B70E6" w:rsidTr="00672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pct"/>
            <w:vAlign w:val="center"/>
          </w:tcPr>
          <w:p w:rsidR="0017494C" w:rsidRPr="009B70E6" w:rsidRDefault="0017494C" w:rsidP="006B549D">
            <w:pPr>
              <w:pStyle w:val="TableHeading"/>
              <w:spacing w:before="0" w:after="0"/>
              <w:rPr>
                <w:b w:val="0"/>
                <w:sz w:val="22"/>
              </w:rPr>
            </w:pPr>
            <w:r w:rsidRPr="009B70E6">
              <w:rPr>
                <w:b w:val="0"/>
                <w:sz w:val="22"/>
              </w:rPr>
              <w:t>Underlying cash balance</w:t>
            </w:r>
          </w:p>
        </w:tc>
        <w:tc>
          <w:tcPr>
            <w:tcW w:w="705" w:type="pct"/>
            <w:vAlign w:val="center"/>
          </w:tcPr>
          <w:p w:rsidR="0017494C" w:rsidRPr="00B526CC" w:rsidRDefault="0017494C" w:rsidP="002C287E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-2.0</w:t>
            </w:r>
          </w:p>
        </w:tc>
        <w:tc>
          <w:tcPr>
            <w:tcW w:w="705" w:type="pct"/>
            <w:vAlign w:val="center"/>
          </w:tcPr>
          <w:p w:rsidR="0017494C" w:rsidRPr="00B526CC" w:rsidRDefault="0017494C" w:rsidP="002C287E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-61.5</w:t>
            </w:r>
          </w:p>
        </w:tc>
        <w:tc>
          <w:tcPr>
            <w:tcW w:w="705" w:type="pct"/>
            <w:vAlign w:val="center"/>
          </w:tcPr>
          <w:p w:rsidR="0017494C" w:rsidRPr="00B526CC" w:rsidRDefault="0017494C" w:rsidP="002C287E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-61.8</w:t>
            </w:r>
          </w:p>
        </w:tc>
        <w:tc>
          <w:tcPr>
            <w:tcW w:w="705" w:type="pct"/>
            <w:vAlign w:val="center"/>
          </w:tcPr>
          <w:p w:rsidR="0017494C" w:rsidRPr="00B526CC" w:rsidRDefault="0017494C" w:rsidP="002C287E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-62.3</w:t>
            </w:r>
          </w:p>
        </w:tc>
        <w:tc>
          <w:tcPr>
            <w:tcW w:w="704" w:type="pct"/>
            <w:vAlign w:val="center"/>
          </w:tcPr>
          <w:p w:rsidR="0017494C" w:rsidRPr="007A53BD" w:rsidRDefault="0017494C" w:rsidP="002C287E">
            <w:pPr>
              <w:spacing w:before="70" w:after="70"/>
              <w:ind w:left="57"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-187.3</w:t>
            </w:r>
          </w:p>
        </w:tc>
      </w:tr>
    </w:tbl>
    <w:p w:rsidR="0050132A" w:rsidRPr="00A162FE" w:rsidRDefault="0050132A" w:rsidP="006262CF">
      <w:pPr>
        <w:keepNext/>
        <w:keepLines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(a)</w:t>
      </w:r>
      <w:r w:rsidRPr="00A162FE">
        <w:rPr>
          <w:sz w:val="20"/>
          <w:szCs w:val="20"/>
        </w:rPr>
        <w:tab/>
        <w:t>A positive number represents an increase in the relevant budget balance; a negative number represents a decrease.</w:t>
      </w:r>
    </w:p>
    <w:p w:rsidR="0050132A" w:rsidRPr="00A162FE" w:rsidRDefault="0050132A" w:rsidP="006262CF">
      <w:pPr>
        <w:keepNext/>
        <w:keepLines/>
        <w:spacing w:line="260" w:lineRule="atLeast"/>
        <w:ind w:left="284" w:hanging="284"/>
        <w:rPr>
          <w:sz w:val="20"/>
          <w:szCs w:val="20"/>
        </w:rPr>
      </w:pPr>
      <w:r w:rsidRPr="00A162FE">
        <w:rPr>
          <w:sz w:val="20"/>
          <w:szCs w:val="20"/>
        </w:rPr>
        <w:t>(b)</w:t>
      </w:r>
      <w:r w:rsidRPr="00A162FE">
        <w:rPr>
          <w:sz w:val="20"/>
          <w:szCs w:val="20"/>
        </w:rPr>
        <w:tab/>
        <w:t>Figures may not sum to totals due to rounding.</w:t>
      </w:r>
    </w:p>
    <w:p w:rsidR="00E70361" w:rsidRPr="00D014E1" w:rsidRDefault="002C43C6" w:rsidP="00E70361">
      <w:pPr>
        <w:pStyle w:val="Heading1"/>
      </w:pPr>
      <w:r w:rsidRPr="006262CF" w:rsidDel="002C43C6">
        <w:rPr>
          <w:sz w:val="20"/>
          <w:szCs w:val="20"/>
        </w:rPr>
        <w:t xml:space="preserve"> </w:t>
      </w:r>
      <w:r w:rsidR="00E70361">
        <w:t>Assumptions</w:t>
      </w:r>
    </w:p>
    <w:p w:rsidR="00CD3F66" w:rsidRDefault="00CD3F66" w:rsidP="00E70361">
      <w:pPr>
        <w:pStyle w:val="BodyText"/>
        <w:rPr>
          <w:noProof/>
        </w:rPr>
      </w:pPr>
      <w:r>
        <w:rPr>
          <w:noProof/>
        </w:rPr>
        <w:t>The Parliamentary Budget Office (PBO) has made the following assumptions in costing this proposal:</w:t>
      </w:r>
    </w:p>
    <w:p w:rsidR="00FB30EF" w:rsidRDefault="002C43C6" w:rsidP="007B5310">
      <w:pPr>
        <w:pStyle w:val="ListBullet"/>
        <w:ind w:left="284" w:hanging="284"/>
        <w:rPr>
          <w:noProof/>
        </w:rPr>
      </w:pPr>
      <w:r>
        <w:rPr>
          <w:noProof/>
        </w:rPr>
        <w:t>T</w:t>
      </w:r>
      <w:r w:rsidR="0056020E" w:rsidRPr="0056020E">
        <w:rPr>
          <w:noProof/>
        </w:rPr>
        <w:t xml:space="preserve">here would be a 20 per cent </w:t>
      </w:r>
      <w:r w:rsidR="0056020E">
        <w:rPr>
          <w:noProof/>
        </w:rPr>
        <w:t>saving in corporate costs from ACLEI being subsumed by AFIC</w:t>
      </w:r>
      <w:r>
        <w:rPr>
          <w:noProof/>
        </w:rPr>
        <w:t>.</w:t>
      </w:r>
    </w:p>
    <w:p w:rsidR="00CD3F66" w:rsidRDefault="002C43C6" w:rsidP="007B5310">
      <w:pPr>
        <w:pStyle w:val="ListBullet"/>
        <w:ind w:left="284" w:hanging="284"/>
        <w:rPr>
          <w:noProof/>
        </w:rPr>
      </w:pPr>
      <w:r>
        <w:rPr>
          <w:noProof/>
        </w:rPr>
        <w:t>R</w:t>
      </w:r>
      <w:r w:rsidR="00CD3F66">
        <w:rPr>
          <w:noProof/>
        </w:rPr>
        <w:t>emuneration for the ten new statutory appointments would be comparable to similar existing full-time public office appointments</w:t>
      </w:r>
      <w:r>
        <w:rPr>
          <w:noProof/>
        </w:rPr>
        <w:t>.</w:t>
      </w:r>
    </w:p>
    <w:p w:rsidR="00A60CA1" w:rsidRDefault="005C113A" w:rsidP="00A60CA1">
      <w:pPr>
        <w:pStyle w:val="ListBullet"/>
        <w:ind w:left="284" w:hanging="284"/>
        <w:rPr>
          <w:noProof/>
        </w:rPr>
      </w:pPr>
      <w:r>
        <w:rPr>
          <w:noProof/>
        </w:rPr>
        <w:t>AFIC’s travel and contracting services (including annual audit and printing services)</w:t>
      </w:r>
      <w:r>
        <w:rPr>
          <w:rStyle w:val="FootnoteReference"/>
          <w:noProof/>
        </w:rPr>
        <w:footnoteReference w:id="1"/>
      </w:r>
      <w:r w:rsidR="00D85669">
        <w:rPr>
          <w:noProof/>
        </w:rPr>
        <w:t xml:space="preserve"> are estimated to cost $10 million per annum, based on information from </w:t>
      </w:r>
      <w:r w:rsidR="00A60CA1">
        <w:rPr>
          <w:noProof/>
        </w:rPr>
        <w:t>ACLEI’s 2018-19 Annual</w:t>
      </w:r>
      <w:r w:rsidR="00D85669">
        <w:rPr>
          <w:noProof/>
        </w:rPr>
        <w:t> </w:t>
      </w:r>
      <w:r w:rsidR="00A60CA1">
        <w:rPr>
          <w:noProof/>
        </w:rPr>
        <w:t>Report.</w:t>
      </w:r>
    </w:p>
    <w:p w:rsidR="00CD3F66" w:rsidRDefault="002C43C6" w:rsidP="007B5310">
      <w:pPr>
        <w:pStyle w:val="ListBullet"/>
        <w:ind w:left="284" w:hanging="284"/>
        <w:rPr>
          <w:noProof/>
        </w:rPr>
      </w:pPr>
      <w:r>
        <w:rPr>
          <w:noProof/>
        </w:rPr>
        <w:t xml:space="preserve">Staffing costs equal to </w:t>
      </w:r>
      <w:r w:rsidR="00CD3F66">
        <w:rPr>
          <w:noProof/>
        </w:rPr>
        <w:t xml:space="preserve">5 per cent of </w:t>
      </w:r>
      <w:r>
        <w:rPr>
          <w:noProof/>
        </w:rPr>
        <w:t xml:space="preserve">the first year’s </w:t>
      </w:r>
      <w:r w:rsidR="00CD3F66">
        <w:rPr>
          <w:noProof/>
        </w:rPr>
        <w:t>staffing costs</w:t>
      </w:r>
      <w:r>
        <w:rPr>
          <w:noProof/>
        </w:rPr>
        <w:t xml:space="preserve"> would be required </w:t>
      </w:r>
      <w:r w:rsidR="00CD3F66">
        <w:rPr>
          <w:noProof/>
        </w:rPr>
        <w:t xml:space="preserve">in the year prior to AFIC and CPSC </w:t>
      </w:r>
      <w:r>
        <w:rPr>
          <w:noProof/>
        </w:rPr>
        <w:t xml:space="preserve">commencing operations in order to </w:t>
      </w:r>
      <w:r w:rsidR="00CD3F66">
        <w:rPr>
          <w:noProof/>
        </w:rPr>
        <w:t>implement the proposal.</w:t>
      </w:r>
    </w:p>
    <w:p w:rsidR="00FE3B13" w:rsidRPr="00D014E1" w:rsidRDefault="00FE3B13" w:rsidP="0056001A">
      <w:pPr>
        <w:pStyle w:val="Heading1"/>
      </w:pPr>
      <w:r w:rsidRPr="00D014E1">
        <w:t>Methodology</w:t>
      </w:r>
    </w:p>
    <w:p w:rsidR="00AF4389" w:rsidRDefault="002C43C6" w:rsidP="00E70361">
      <w:pPr>
        <w:pStyle w:val="BodyText"/>
        <w:rPr>
          <w:noProof/>
        </w:rPr>
      </w:pPr>
      <w:r>
        <w:rPr>
          <w:noProof/>
        </w:rPr>
        <w:t>S</w:t>
      </w:r>
      <w:r w:rsidR="00AF4389">
        <w:rPr>
          <w:noProof/>
        </w:rPr>
        <w:t xml:space="preserve">taffing </w:t>
      </w:r>
      <w:r>
        <w:rPr>
          <w:noProof/>
        </w:rPr>
        <w:t xml:space="preserve">costs were calculated by multiplying the </w:t>
      </w:r>
      <w:r w:rsidR="00AF4389">
        <w:rPr>
          <w:noProof/>
        </w:rPr>
        <w:t>specif</w:t>
      </w:r>
      <w:r>
        <w:rPr>
          <w:noProof/>
        </w:rPr>
        <w:t xml:space="preserve">ied number of staff within each agency by average staffing costs for each APS level. </w:t>
      </w:r>
      <w:r w:rsidR="00AF4389">
        <w:rPr>
          <w:noProof/>
        </w:rPr>
        <w:t xml:space="preserve"> </w:t>
      </w:r>
      <w:r>
        <w:rPr>
          <w:noProof/>
        </w:rPr>
        <w:t>The specifided number of staff included:</w:t>
      </w:r>
    </w:p>
    <w:p w:rsidR="00AF4389" w:rsidRDefault="00AF4389" w:rsidP="004B554C">
      <w:pPr>
        <w:pStyle w:val="ListBullet"/>
        <w:ind w:left="284" w:hanging="284"/>
        <w:rPr>
          <w:noProof/>
        </w:rPr>
      </w:pPr>
      <w:r>
        <w:rPr>
          <w:noProof/>
        </w:rPr>
        <w:lastRenderedPageBreak/>
        <w:t>AFIC: 1</w:t>
      </w:r>
      <w:r w:rsidR="00530264">
        <w:rPr>
          <w:noProof/>
        </w:rPr>
        <w:t>0</w:t>
      </w:r>
      <w:r>
        <w:rPr>
          <w:noProof/>
        </w:rPr>
        <w:t xml:space="preserve">xSES1, </w:t>
      </w:r>
      <w:r w:rsidR="00530264">
        <w:rPr>
          <w:noProof/>
        </w:rPr>
        <w:t>36</w:t>
      </w:r>
      <w:r>
        <w:rPr>
          <w:noProof/>
        </w:rPr>
        <w:t xml:space="preserve">xEL2, </w:t>
      </w:r>
      <w:r w:rsidR="009079BD">
        <w:rPr>
          <w:noProof/>
        </w:rPr>
        <w:t>34xEL1</w:t>
      </w:r>
      <w:r>
        <w:rPr>
          <w:noProof/>
        </w:rPr>
        <w:t xml:space="preserve">, </w:t>
      </w:r>
      <w:r w:rsidR="00162F0A">
        <w:rPr>
          <w:noProof/>
        </w:rPr>
        <w:t>27</w:t>
      </w:r>
      <w:r>
        <w:rPr>
          <w:noProof/>
        </w:rPr>
        <w:t xml:space="preserve">xAPS6, </w:t>
      </w:r>
      <w:r w:rsidR="009079BD">
        <w:rPr>
          <w:noProof/>
        </w:rPr>
        <w:t xml:space="preserve">47xAPS5 </w:t>
      </w:r>
      <w:r>
        <w:rPr>
          <w:noProof/>
        </w:rPr>
        <w:t xml:space="preserve">and </w:t>
      </w:r>
      <w:r w:rsidR="00530264">
        <w:rPr>
          <w:noProof/>
        </w:rPr>
        <w:t>43</w:t>
      </w:r>
      <w:r>
        <w:rPr>
          <w:noProof/>
        </w:rPr>
        <w:t>xAPS4 level staff</w:t>
      </w:r>
    </w:p>
    <w:p w:rsidR="00AF4389" w:rsidRDefault="00AF4389" w:rsidP="004B554C">
      <w:pPr>
        <w:pStyle w:val="ListBullet"/>
        <w:ind w:left="284" w:hanging="284"/>
        <w:rPr>
          <w:noProof/>
        </w:rPr>
      </w:pPr>
      <w:r>
        <w:rPr>
          <w:noProof/>
        </w:rPr>
        <w:t>CPSC:</w:t>
      </w:r>
      <w:r w:rsidRPr="00AF4389">
        <w:rPr>
          <w:noProof/>
        </w:rPr>
        <w:t xml:space="preserve"> </w:t>
      </w:r>
      <w:r>
        <w:rPr>
          <w:noProof/>
        </w:rPr>
        <w:t xml:space="preserve"> 1xSES1, 4xEL2, </w:t>
      </w:r>
      <w:r w:rsidR="00530264">
        <w:rPr>
          <w:noProof/>
        </w:rPr>
        <w:t>5</w:t>
      </w:r>
      <w:r>
        <w:rPr>
          <w:noProof/>
        </w:rPr>
        <w:t>xEL1</w:t>
      </w:r>
      <w:r w:rsidR="00530264">
        <w:rPr>
          <w:noProof/>
        </w:rPr>
        <w:t xml:space="preserve"> and</w:t>
      </w:r>
      <w:r>
        <w:rPr>
          <w:noProof/>
        </w:rPr>
        <w:t xml:space="preserve"> </w:t>
      </w:r>
      <w:r w:rsidR="00530264">
        <w:rPr>
          <w:noProof/>
        </w:rPr>
        <w:t xml:space="preserve">5xAPS6 </w:t>
      </w:r>
      <w:r>
        <w:rPr>
          <w:noProof/>
        </w:rPr>
        <w:t>level staff.</w:t>
      </w:r>
    </w:p>
    <w:p w:rsidR="00ED1CEB" w:rsidRDefault="00E70361" w:rsidP="00C847AF">
      <w:pPr>
        <w:pStyle w:val="BodyText"/>
        <w:rPr>
          <w:noProof/>
        </w:rPr>
      </w:pPr>
      <w:r w:rsidRPr="00845B3C">
        <w:rPr>
          <w:noProof/>
        </w:rPr>
        <w:t>Th</w:t>
      </w:r>
      <w:r>
        <w:rPr>
          <w:noProof/>
        </w:rPr>
        <w:t xml:space="preserve">e </w:t>
      </w:r>
      <w:r w:rsidR="004B554C">
        <w:rPr>
          <w:noProof/>
        </w:rPr>
        <w:t xml:space="preserve">average staffing costs for each APS employee are included in the </w:t>
      </w:r>
      <w:r>
        <w:rPr>
          <w:noProof/>
        </w:rPr>
        <w:t xml:space="preserve">standard departmental costing </w:t>
      </w:r>
      <w:r w:rsidRPr="00845B3C">
        <w:rPr>
          <w:noProof/>
        </w:rPr>
        <w:t>template provided by the Depa</w:t>
      </w:r>
      <w:r>
        <w:rPr>
          <w:noProof/>
        </w:rPr>
        <w:t>rtment of Finance over the 201</w:t>
      </w:r>
      <w:r w:rsidR="000B2DE8">
        <w:rPr>
          <w:noProof/>
        </w:rPr>
        <w:t>9-20</w:t>
      </w:r>
      <w:r w:rsidRPr="00845B3C">
        <w:rPr>
          <w:noProof/>
        </w:rPr>
        <w:t xml:space="preserve"> B</w:t>
      </w:r>
      <w:r>
        <w:rPr>
          <w:noProof/>
        </w:rPr>
        <w:t>udget forward estimates period</w:t>
      </w:r>
      <w:r w:rsidR="004B554C">
        <w:rPr>
          <w:noProof/>
        </w:rPr>
        <w:t>.</w:t>
      </w:r>
      <w:r>
        <w:rPr>
          <w:noProof/>
        </w:rPr>
        <w:t xml:space="preserve"> </w:t>
      </w:r>
      <w:r w:rsidR="002C43C6">
        <w:rPr>
          <w:noProof/>
        </w:rPr>
        <w:t xml:space="preserve"> </w:t>
      </w:r>
      <w:r w:rsidRPr="00845B3C">
        <w:rPr>
          <w:noProof/>
        </w:rPr>
        <w:t>Th</w:t>
      </w:r>
      <w:r w:rsidR="002C43C6">
        <w:rPr>
          <w:noProof/>
        </w:rPr>
        <w:t xml:space="preserve">e PBO extended this </w:t>
      </w:r>
      <w:r w:rsidRPr="00845B3C">
        <w:rPr>
          <w:noProof/>
        </w:rPr>
        <w:t>costing template beyond the forward estima</w:t>
      </w:r>
      <w:r>
        <w:rPr>
          <w:noProof/>
        </w:rPr>
        <w:t xml:space="preserve">tes period </w:t>
      </w:r>
      <w:r w:rsidR="004B554C">
        <w:rPr>
          <w:noProof/>
        </w:rPr>
        <w:t xml:space="preserve">by indexing costs and </w:t>
      </w:r>
      <w:r w:rsidR="002C43C6">
        <w:rPr>
          <w:noProof/>
        </w:rPr>
        <w:t xml:space="preserve">allowing for the impact of the </w:t>
      </w:r>
      <w:r w:rsidRPr="00845B3C">
        <w:rPr>
          <w:noProof/>
        </w:rPr>
        <w:t>efficiency dividend.</w:t>
      </w:r>
      <w:r>
        <w:rPr>
          <w:noProof/>
        </w:rPr>
        <w:t xml:space="preserve">  </w:t>
      </w:r>
      <w:r w:rsidR="002C43C6">
        <w:rPr>
          <w:noProof/>
        </w:rPr>
        <w:t>T</w:t>
      </w:r>
      <w:r w:rsidR="00ED1CEB">
        <w:rPr>
          <w:noProof/>
        </w:rPr>
        <w:t xml:space="preserve">he costing template </w:t>
      </w:r>
      <w:r w:rsidR="002C43C6">
        <w:rPr>
          <w:noProof/>
        </w:rPr>
        <w:t xml:space="preserve">includes: base salary amounts, </w:t>
      </w:r>
      <w:r w:rsidR="00ED1CEB">
        <w:rPr>
          <w:noProof/>
        </w:rPr>
        <w:t>superannuation</w:t>
      </w:r>
      <w:r w:rsidR="00C847AF">
        <w:rPr>
          <w:noProof/>
        </w:rPr>
        <w:t xml:space="preserve">, </w:t>
      </w:r>
      <w:r w:rsidR="00ED1CEB">
        <w:rPr>
          <w:noProof/>
        </w:rPr>
        <w:t>long service leave</w:t>
      </w:r>
      <w:r w:rsidR="00C847AF">
        <w:rPr>
          <w:noProof/>
        </w:rPr>
        <w:t xml:space="preserve">, </w:t>
      </w:r>
      <w:r w:rsidR="00ED1CEB">
        <w:rPr>
          <w:noProof/>
        </w:rPr>
        <w:t>staff training and development</w:t>
      </w:r>
      <w:r w:rsidR="00C847AF">
        <w:rPr>
          <w:noProof/>
        </w:rPr>
        <w:t xml:space="preserve">, </w:t>
      </w:r>
      <w:r w:rsidR="00ED1CEB">
        <w:rPr>
          <w:noProof/>
        </w:rPr>
        <w:t>HR support</w:t>
      </w:r>
      <w:r w:rsidR="00C847AF">
        <w:rPr>
          <w:noProof/>
        </w:rPr>
        <w:t xml:space="preserve">, </w:t>
      </w:r>
      <w:r w:rsidR="00ED1CEB">
        <w:rPr>
          <w:noProof/>
        </w:rPr>
        <w:t>organisational services</w:t>
      </w:r>
      <w:r w:rsidR="004B554C">
        <w:rPr>
          <w:noProof/>
        </w:rPr>
        <w:t xml:space="preserve"> and</w:t>
      </w:r>
      <w:r w:rsidR="00C847AF">
        <w:rPr>
          <w:noProof/>
        </w:rPr>
        <w:t xml:space="preserve"> ICT </w:t>
      </w:r>
      <w:r w:rsidR="00ED1CEB">
        <w:rPr>
          <w:noProof/>
        </w:rPr>
        <w:t>services</w:t>
      </w:r>
      <w:r w:rsidR="00C847AF">
        <w:rPr>
          <w:noProof/>
        </w:rPr>
        <w:t xml:space="preserve"> </w:t>
      </w:r>
      <w:r w:rsidR="002C43C6">
        <w:rPr>
          <w:noProof/>
        </w:rPr>
        <w:t>on a per employee basis</w:t>
      </w:r>
      <w:r w:rsidR="00ED1CEB">
        <w:rPr>
          <w:noProof/>
        </w:rPr>
        <w:t>.</w:t>
      </w:r>
    </w:p>
    <w:p w:rsidR="00A57FB5" w:rsidRPr="00A57FB5" w:rsidRDefault="00CD3F66" w:rsidP="00E70361">
      <w:pPr>
        <w:pStyle w:val="BodyText"/>
        <w:rPr>
          <w:noProof/>
        </w:rPr>
      </w:pPr>
      <w:r w:rsidRPr="00CD3F66">
        <w:rPr>
          <w:noProof/>
        </w:rPr>
        <w:t>Remuneration for the ten new statutory appointment</w:t>
      </w:r>
      <w:r w:rsidR="002C43C6">
        <w:rPr>
          <w:noProof/>
        </w:rPr>
        <w:t>s</w:t>
      </w:r>
      <w:r w:rsidRPr="00CD3F66">
        <w:rPr>
          <w:noProof/>
        </w:rPr>
        <w:t xml:space="preserve"> was estimated using publicly available information about the remuneration of </w:t>
      </w:r>
      <w:r w:rsidR="002C43C6">
        <w:rPr>
          <w:noProof/>
        </w:rPr>
        <w:t xml:space="preserve">other </w:t>
      </w:r>
      <w:r w:rsidRPr="00CD3F66">
        <w:rPr>
          <w:noProof/>
        </w:rPr>
        <w:t>full-time public office appointments</w:t>
      </w:r>
      <w:r w:rsidR="006A3A9F">
        <w:rPr>
          <w:noProof/>
        </w:rPr>
        <w:t>,</w:t>
      </w:r>
      <w:r w:rsidRPr="00CD3F66">
        <w:rPr>
          <w:noProof/>
        </w:rPr>
        <w:t xml:space="preserve"> </w:t>
      </w:r>
      <w:r w:rsidR="004B554C">
        <w:rPr>
          <w:noProof/>
        </w:rPr>
        <w:t>which</w:t>
      </w:r>
      <w:r w:rsidR="002C43C6">
        <w:rPr>
          <w:noProof/>
        </w:rPr>
        <w:t xml:space="preserve"> were also</w:t>
      </w:r>
      <w:r w:rsidRPr="00CD3F66">
        <w:rPr>
          <w:noProof/>
        </w:rPr>
        <w:t xml:space="preserve"> determined by the Remuneration Tribunal.</w:t>
      </w:r>
    </w:p>
    <w:p w:rsidR="00E70361" w:rsidRPr="00002D5D" w:rsidRDefault="00A57FB5" w:rsidP="00E70361">
      <w:pPr>
        <w:pStyle w:val="BodyText"/>
        <w:rPr>
          <w:noProof/>
        </w:rPr>
      </w:pPr>
      <w:r>
        <w:rPr>
          <w:noProof/>
        </w:rPr>
        <w:t>All</w:t>
      </w:r>
      <w:r w:rsidR="00E70361">
        <w:rPr>
          <w:noProof/>
        </w:rPr>
        <w:t xml:space="preserve"> estimates were</w:t>
      </w:r>
      <w:r w:rsidR="00456006">
        <w:rPr>
          <w:noProof/>
        </w:rPr>
        <w:t xml:space="preserve"> rounded to the nearest $</w:t>
      </w:r>
      <w:r w:rsidR="00BC2CD8">
        <w:rPr>
          <w:noProof/>
        </w:rPr>
        <w:t>0.</w:t>
      </w:r>
      <w:r w:rsidR="00456006">
        <w:rPr>
          <w:noProof/>
        </w:rPr>
        <w:t>1 million</w:t>
      </w:r>
      <w:r w:rsidR="00E70361">
        <w:rPr>
          <w:noProof/>
        </w:rPr>
        <w:t>.</w:t>
      </w:r>
    </w:p>
    <w:p w:rsidR="00FE3B13" w:rsidRPr="00D014E1" w:rsidRDefault="00FE3B13" w:rsidP="00FE3B13">
      <w:pPr>
        <w:pStyle w:val="Heading1"/>
      </w:pPr>
      <w:r w:rsidRPr="00D014E1">
        <w:t>Data sources</w:t>
      </w:r>
    </w:p>
    <w:p w:rsidR="00A57FB5" w:rsidRPr="00A57FB5" w:rsidRDefault="00A57FB5" w:rsidP="00A57FB5">
      <w:pPr>
        <w:pStyle w:val="BodyText"/>
      </w:pPr>
      <w:r w:rsidRPr="00E70361">
        <w:t>Australian Commission for Law Enforcement</w:t>
      </w:r>
      <w:r>
        <w:t xml:space="preserve">, 2019. </w:t>
      </w:r>
      <w:r w:rsidR="00EF060B" w:rsidRPr="00EF060B">
        <w:t xml:space="preserve">Annual Report </w:t>
      </w:r>
      <w:r>
        <w:t xml:space="preserve">of the Integrity Commissioner </w:t>
      </w:r>
      <w:r w:rsidR="00EF060B" w:rsidRPr="00EF060B">
        <w:t>2018-19</w:t>
      </w:r>
      <w:r>
        <w:t xml:space="preserve">. [Online] Available at </w:t>
      </w:r>
      <w:hyperlink r:id="rId9" w:history="1">
        <w:r w:rsidRPr="00A57FB5">
          <w:rPr>
            <w:rStyle w:val="Hyperlink"/>
            <w:i/>
            <w:u w:val="none"/>
          </w:rPr>
          <w:t>https://www.aclei.gov.au/sites/default/files/19468_aclei_-_annual_report_2018-19-accessible.pdf</w:t>
        </w:r>
      </w:hyperlink>
      <w:r>
        <w:t xml:space="preserve"> [Accessed on 24 September 2020]</w:t>
      </w:r>
    </w:p>
    <w:p w:rsidR="00A57FB5" w:rsidRDefault="00A57FB5" w:rsidP="00A57FB5">
      <w:pPr>
        <w:pStyle w:val="Default"/>
      </w:pPr>
      <w:r w:rsidRPr="00A57FB5">
        <w:rPr>
          <w:rFonts w:asciiTheme="minorHAnsi" w:hAnsiTheme="minorHAnsi"/>
          <w:color w:val="auto"/>
          <w:spacing w:val="-1"/>
          <w:sz w:val="22"/>
          <w:szCs w:val="22"/>
        </w:rPr>
        <w:t>Remuneration Tribunal</w:t>
      </w:r>
      <w:r>
        <w:rPr>
          <w:rFonts w:asciiTheme="minorHAnsi" w:hAnsiTheme="minorHAnsi"/>
          <w:color w:val="auto"/>
          <w:spacing w:val="-1"/>
          <w:sz w:val="22"/>
          <w:szCs w:val="22"/>
        </w:rPr>
        <w:t>,</w:t>
      </w:r>
      <w:r>
        <w:rPr>
          <w:spacing w:val="-1"/>
        </w:rPr>
        <w:t xml:space="preserve"> </w:t>
      </w:r>
      <w:r w:rsidRPr="00A57FB5">
        <w:rPr>
          <w:rFonts w:asciiTheme="minorHAnsi" w:hAnsiTheme="minorHAnsi"/>
          <w:color w:val="auto"/>
          <w:spacing w:val="-1"/>
          <w:sz w:val="22"/>
          <w:szCs w:val="22"/>
        </w:rPr>
        <w:t>2020.</w:t>
      </w:r>
      <w:r>
        <w:rPr>
          <w:rFonts w:asciiTheme="minorHAnsi" w:hAnsiTheme="minorHAnsi"/>
          <w:color w:val="auto"/>
          <w:spacing w:val="-1"/>
          <w:sz w:val="22"/>
          <w:szCs w:val="22"/>
        </w:rPr>
        <w:t xml:space="preserve"> Remuneration Tribunal (Remuneration and Allowances for Holders of Full-time Public Office Determination 2020).</w:t>
      </w:r>
    </w:p>
    <w:p w:rsidR="000B2DE8" w:rsidRDefault="00A57FB5" w:rsidP="000B2DE8">
      <w:pPr>
        <w:pStyle w:val="BodyText"/>
        <w:keepNext/>
        <w:keepLines/>
        <w:rPr>
          <w:noProof/>
        </w:rPr>
      </w:pPr>
      <w:r>
        <w:rPr>
          <w:noProof/>
        </w:rPr>
        <w:t xml:space="preserve">The </w:t>
      </w:r>
      <w:r w:rsidR="000B2DE8" w:rsidRPr="001B23AF">
        <w:rPr>
          <w:noProof/>
        </w:rPr>
        <w:t xml:space="preserve">Department of </w:t>
      </w:r>
      <w:r w:rsidR="000B2DE8">
        <w:rPr>
          <w:noProof/>
        </w:rPr>
        <w:t>Finance</w:t>
      </w:r>
      <w:r w:rsidR="000B2DE8" w:rsidRPr="001B23AF">
        <w:rPr>
          <w:noProof/>
        </w:rPr>
        <w:t xml:space="preserve"> provided </w:t>
      </w:r>
      <w:r w:rsidR="000B2DE8">
        <w:rPr>
          <w:noProof/>
        </w:rPr>
        <w:t xml:space="preserve">indexation parameters as at the 2019-20 Mid-Year Economic and Fiscal Outlook.  </w:t>
      </w:r>
    </w:p>
    <w:p w:rsidR="007D0ABE" w:rsidRPr="0046444F" w:rsidRDefault="007D0ABE" w:rsidP="00B311BA">
      <w:pPr>
        <w:pStyle w:val="BodyText"/>
      </w:pPr>
    </w:p>
    <w:p w:rsidR="0046444F" w:rsidRDefault="0046444F" w:rsidP="00B311BA">
      <w:pPr>
        <w:pStyle w:val="BodyText"/>
        <w:sectPr w:rsidR="0046444F" w:rsidSect="007A4238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134" w:left="1418" w:header="284" w:footer="454" w:gutter="0"/>
          <w:pgNumType w:start="1"/>
          <w:cols w:space="708"/>
          <w:formProt w:val="0"/>
          <w:titlePg/>
          <w:docGrid w:linePitch="360"/>
        </w:sectPr>
      </w:pPr>
    </w:p>
    <w:p w:rsidR="00016D53" w:rsidRPr="00D014E1" w:rsidRDefault="00016D53" w:rsidP="00B538BA">
      <w:pPr>
        <w:pStyle w:val="Heading8"/>
        <w:spacing w:before="240" w:after="120"/>
      </w:pPr>
      <w:r w:rsidRPr="00D014E1">
        <w:lastRenderedPageBreak/>
        <w:t xml:space="preserve">– </w:t>
      </w:r>
      <w:r w:rsidR="004B554C">
        <w:t>Detailed</w:t>
      </w:r>
      <w:r w:rsidR="00437AF3">
        <w:t xml:space="preserve"> policy specification</w:t>
      </w:r>
    </w:p>
    <w:p w:rsidR="00437AF3" w:rsidRPr="00077303" w:rsidRDefault="00437AF3" w:rsidP="00437AF3">
      <w:pPr>
        <w:pStyle w:val="TableTextCentred"/>
        <w:spacing w:line="240" w:lineRule="auto"/>
        <w:jc w:val="left"/>
        <w:rPr>
          <w:rFonts w:asciiTheme="minorHAnsi" w:hAnsiTheme="minorHAnsi"/>
          <w:bCs/>
          <w:sz w:val="22"/>
        </w:rPr>
      </w:pPr>
    </w:p>
    <w:p w:rsidR="00437AF3" w:rsidRPr="00437AF3" w:rsidRDefault="00437AF3" w:rsidP="00437AF3">
      <w:pPr>
        <w:pStyle w:val="TableTextCentred"/>
        <w:spacing w:line="240" w:lineRule="auto"/>
        <w:jc w:val="left"/>
        <w:rPr>
          <w:rFonts w:asciiTheme="minorHAnsi" w:hAnsiTheme="minorHAnsi"/>
          <w:b/>
          <w:bCs/>
          <w:sz w:val="22"/>
        </w:rPr>
      </w:pPr>
      <w:r w:rsidRPr="00077303">
        <w:rPr>
          <w:rFonts w:asciiTheme="minorHAnsi" w:hAnsiTheme="minorHAnsi"/>
          <w:b/>
          <w:bCs/>
          <w:sz w:val="22"/>
        </w:rPr>
        <w:t>Australia</w:t>
      </w:r>
      <w:r w:rsidR="00D21487">
        <w:rPr>
          <w:rFonts w:asciiTheme="minorHAnsi" w:hAnsiTheme="minorHAnsi"/>
          <w:b/>
          <w:bCs/>
          <w:sz w:val="22"/>
        </w:rPr>
        <w:t>n</w:t>
      </w:r>
      <w:r w:rsidRPr="00077303">
        <w:rPr>
          <w:rFonts w:asciiTheme="minorHAnsi" w:hAnsiTheme="minorHAnsi"/>
          <w:b/>
          <w:bCs/>
          <w:sz w:val="22"/>
        </w:rPr>
        <w:t xml:space="preserve"> Federal Integrity Commission (AFIC)</w:t>
      </w:r>
    </w:p>
    <w:p w:rsidR="00437AF3" w:rsidRPr="00EE1E5A" w:rsidRDefault="00437AF3" w:rsidP="004B554C">
      <w:pPr>
        <w:pStyle w:val="ListBullet"/>
        <w:ind w:left="284" w:hanging="284"/>
      </w:pPr>
      <w:r w:rsidRPr="00077303">
        <w:rPr>
          <w:noProof/>
        </w:rPr>
        <w:t>The</w:t>
      </w:r>
      <w:r w:rsidRPr="00077303">
        <w:t xml:space="preserve"> </w:t>
      </w:r>
      <w:r w:rsidR="004B554C">
        <w:t xml:space="preserve">AFIC executive would comprise the following full-time Canberra based </w:t>
      </w:r>
      <w:r w:rsidRPr="00EE1E5A">
        <w:t>statutory appointments</w:t>
      </w:r>
      <w:r w:rsidR="004B554C">
        <w:t xml:space="preserve">, </w:t>
      </w:r>
      <w:r w:rsidR="00652BD3">
        <w:t>whose</w:t>
      </w:r>
      <w:r w:rsidR="004B554C">
        <w:t xml:space="preserve"> s</w:t>
      </w:r>
      <w:r w:rsidR="004B554C">
        <w:rPr>
          <w:noProof/>
        </w:rPr>
        <w:t>alaries</w:t>
      </w:r>
      <w:r w:rsidR="004B554C">
        <w:t xml:space="preserve"> would be determined by the </w:t>
      </w:r>
      <w:r w:rsidR="004B554C" w:rsidRPr="00EE1E5A">
        <w:t>Remuneration Tribunal</w:t>
      </w:r>
      <w:r w:rsidR="004B554C">
        <w:t>.</w:t>
      </w:r>
    </w:p>
    <w:p w:rsidR="00437AF3" w:rsidRPr="00EE1E5A" w:rsidRDefault="00437AF3" w:rsidP="00B67A93">
      <w:pPr>
        <w:pStyle w:val="ListBullet2"/>
        <w:ind w:left="568" w:hanging="284"/>
        <w:rPr>
          <w:noProof/>
        </w:rPr>
      </w:pPr>
      <w:r w:rsidRPr="00EE1E5A">
        <w:rPr>
          <w:noProof/>
        </w:rPr>
        <w:t>Australian Federal Integrity Commissioner (Chair)</w:t>
      </w:r>
    </w:p>
    <w:p w:rsidR="00437AF3" w:rsidRPr="00EE1E5A" w:rsidRDefault="00437AF3" w:rsidP="00B67A93">
      <w:pPr>
        <w:pStyle w:val="ListBullet2"/>
        <w:ind w:left="568" w:hanging="284"/>
        <w:rPr>
          <w:noProof/>
        </w:rPr>
      </w:pPr>
      <w:r w:rsidRPr="00EE1E5A">
        <w:rPr>
          <w:noProof/>
        </w:rPr>
        <w:t>Law Enforcement Commissioner (currently the ACLEI Commissioner)</w:t>
      </w:r>
    </w:p>
    <w:p w:rsidR="00437AF3" w:rsidRPr="00EE1E5A" w:rsidRDefault="00437AF3" w:rsidP="00B67A93">
      <w:pPr>
        <w:pStyle w:val="ListBullet2"/>
        <w:ind w:left="568" w:hanging="284"/>
        <w:rPr>
          <w:noProof/>
        </w:rPr>
      </w:pPr>
      <w:r w:rsidRPr="00EE1E5A">
        <w:rPr>
          <w:noProof/>
        </w:rPr>
        <w:t>Whistle</w:t>
      </w:r>
      <w:r w:rsidR="00652BD3">
        <w:rPr>
          <w:noProof/>
        </w:rPr>
        <w:t>-</w:t>
      </w:r>
      <w:r w:rsidRPr="00EE1E5A">
        <w:rPr>
          <w:noProof/>
        </w:rPr>
        <w:t>blower Protection Commissioner</w:t>
      </w:r>
    </w:p>
    <w:p w:rsidR="00437AF3" w:rsidRPr="00EE1E5A" w:rsidRDefault="00437AF3" w:rsidP="00B67A93">
      <w:pPr>
        <w:pStyle w:val="ListBullet2"/>
        <w:ind w:left="568" w:hanging="284"/>
        <w:rPr>
          <w:noProof/>
        </w:rPr>
      </w:pPr>
      <w:r w:rsidRPr="00EE1E5A">
        <w:rPr>
          <w:noProof/>
        </w:rPr>
        <w:t>Assistant Commissioner for Public Interest and Research</w:t>
      </w:r>
    </w:p>
    <w:p w:rsidR="00437AF3" w:rsidRPr="00EE1E5A" w:rsidRDefault="00437AF3" w:rsidP="00B67A93">
      <w:pPr>
        <w:pStyle w:val="ListBullet2"/>
        <w:ind w:left="568" w:hanging="284"/>
        <w:rPr>
          <w:noProof/>
        </w:rPr>
      </w:pPr>
      <w:r w:rsidRPr="00EE1E5A">
        <w:rPr>
          <w:noProof/>
        </w:rPr>
        <w:t>Assistant Commissioner for Assessment and Referrals</w:t>
      </w:r>
    </w:p>
    <w:p w:rsidR="00437AF3" w:rsidRPr="00EE1E5A" w:rsidRDefault="00437AF3" w:rsidP="00B67A93">
      <w:pPr>
        <w:pStyle w:val="ListBullet2"/>
        <w:ind w:left="568" w:hanging="284"/>
        <w:rPr>
          <w:noProof/>
        </w:rPr>
      </w:pPr>
      <w:r w:rsidRPr="00EE1E5A">
        <w:rPr>
          <w:noProof/>
        </w:rPr>
        <w:t>Assistant Commissioner for Education, Training and Prevention</w:t>
      </w:r>
    </w:p>
    <w:p w:rsidR="00437AF3" w:rsidRPr="00EE1E5A" w:rsidRDefault="00437AF3" w:rsidP="00B67A93">
      <w:pPr>
        <w:pStyle w:val="ListBullet2"/>
        <w:ind w:left="568" w:hanging="284"/>
        <w:rPr>
          <w:noProof/>
        </w:rPr>
      </w:pPr>
      <w:r w:rsidRPr="00EE1E5A">
        <w:rPr>
          <w:noProof/>
        </w:rPr>
        <w:t>Chief Executive Officer</w:t>
      </w:r>
    </w:p>
    <w:p w:rsidR="00437AF3" w:rsidRPr="00EE1E5A" w:rsidRDefault="00437AF3" w:rsidP="00B67A93">
      <w:pPr>
        <w:pStyle w:val="ListBullet2"/>
        <w:ind w:left="568" w:hanging="284"/>
        <w:rPr>
          <w:noProof/>
        </w:rPr>
      </w:pPr>
      <w:r w:rsidRPr="00EE1E5A">
        <w:rPr>
          <w:noProof/>
        </w:rPr>
        <w:t>AFIC Parliamentary Inspector</w:t>
      </w:r>
    </w:p>
    <w:p w:rsidR="00437AF3" w:rsidRPr="00EE1E5A" w:rsidRDefault="00437AF3" w:rsidP="004B554C">
      <w:pPr>
        <w:pStyle w:val="ListBullet"/>
        <w:ind w:left="284" w:hanging="284"/>
      </w:pPr>
      <w:r w:rsidRPr="00EE1E5A">
        <w:t>AFIC w</w:t>
      </w:r>
      <w:r w:rsidR="004B554C">
        <w:t>ould</w:t>
      </w:r>
      <w:r w:rsidRPr="00EE1E5A">
        <w:t xml:space="preserve"> include the following sub-branches</w:t>
      </w:r>
      <w:r w:rsidR="004B554C">
        <w:t xml:space="preserve"> and </w:t>
      </w:r>
      <w:r w:rsidR="00AF4389" w:rsidRPr="00EE1E5A">
        <w:t>staffing requirements</w:t>
      </w:r>
      <w:r w:rsidR="00DC0E8A" w:rsidRPr="00EE1E5A">
        <w:t>:</w:t>
      </w:r>
    </w:p>
    <w:p w:rsidR="00437AF3" w:rsidRPr="00EE1E5A" w:rsidRDefault="00437AF3" w:rsidP="004B554C">
      <w:pPr>
        <w:pStyle w:val="ListBullet2"/>
        <w:tabs>
          <w:tab w:val="clear" w:pos="907"/>
          <w:tab w:val="num" w:pos="567"/>
        </w:tabs>
        <w:ind w:left="567" w:hanging="283"/>
      </w:pPr>
      <w:r w:rsidRPr="00EE1E5A">
        <w:rPr>
          <w:noProof/>
        </w:rPr>
        <w:t>Offices</w:t>
      </w:r>
      <w:r w:rsidRPr="00EE1E5A">
        <w:t xml:space="preserve"> of the Commissioners, Assistant Commissioners and CEO</w:t>
      </w:r>
    </w:p>
    <w:p w:rsidR="00437AF3" w:rsidRPr="00EE1E5A" w:rsidRDefault="00A41C2D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>
        <w:rPr>
          <w:noProof/>
        </w:rPr>
        <w:t xml:space="preserve">The </w:t>
      </w:r>
      <w:r w:rsidR="00437AF3" w:rsidRPr="00EE1E5A">
        <w:rPr>
          <w:noProof/>
        </w:rPr>
        <w:t xml:space="preserve">Commissioner </w:t>
      </w:r>
      <w:r>
        <w:rPr>
          <w:noProof/>
        </w:rPr>
        <w:t>will need an</w:t>
      </w:r>
      <w:r w:rsidR="00437AF3" w:rsidRPr="00EE1E5A">
        <w:rPr>
          <w:noProof/>
        </w:rPr>
        <w:t xml:space="preserve"> Executive Officer (EL1) and Executive Assistant (APS5)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The Commissioners and CEO </w:t>
      </w:r>
      <w:r w:rsidR="00AF4389" w:rsidRPr="00EE1E5A">
        <w:rPr>
          <w:noProof/>
        </w:rPr>
        <w:t>would have</w:t>
      </w:r>
      <w:r w:rsidRPr="00EE1E5A">
        <w:rPr>
          <w:noProof/>
        </w:rPr>
        <w:t xml:space="preserve"> an Executive Support and Secretariat Unit to manage correspondence, internal reporting</w:t>
      </w:r>
      <w:r w:rsidR="00652BD3">
        <w:rPr>
          <w:noProof/>
        </w:rPr>
        <w:t xml:space="preserve"> and</w:t>
      </w:r>
      <w:r w:rsidRPr="00EE1E5A">
        <w:rPr>
          <w:noProof/>
        </w:rPr>
        <w:t xml:space="preserve"> Commissioner meetings. </w:t>
      </w:r>
      <w:r w:rsidR="00652BD3">
        <w:rPr>
          <w:noProof/>
        </w:rPr>
        <w:t xml:space="preserve"> </w:t>
      </w:r>
      <w:r w:rsidRPr="00EE1E5A">
        <w:rPr>
          <w:noProof/>
        </w:rPr>
        <w:t>This would require a unit head (EL</w:t>
      </w:r>
      <w:r w:rsidR="00A41C2D">
        <w:rPr>
          <w:noProof/>
        </w:rPr>
        <w:t>1</w:t>
      </w:r>
      <w:r w:rsidRPr="00EE1E5A">
        <w:rPr>
          <w:noProof/>
        </w:rPr>
        <w:t xml:space="preserve">) and </w:t>
      </w:r>
      <w:r w:rsidR="00A41C2D">
        <w:rPr>
          <w:noProof/>
        </w:rPr>
        <w:t>2</w:t>
      </w:r>
      <w:r w:rsidRPr="00EE1E5A">
        <w:rPr>
          <w:noProof/>
        </w:rPr>
        <w:t xml:space="preserve"> supporting staff across the APS4 to EL1 levels.</w:t>
      </w:r>
    </w:p>
    <w:p w:rsidR="00437AF3" w:rsidRPr="00EE1E5A" w:rsidRDefault="00437AF3" w:rsidP="00652BD3">
      <w:pPr>
        <w:pStyle w:val="ListBullet2"/>
        <w:tabs>
          <w:tab w:val="clear" w:pos="907"/>
          <w:tab w:val="num" w:pos="567"/>
        </w:tabs>
        <w:ind w:left="567" w:hanging="283"/>
        <w:rPr>
          <w:noProof/>
        </w:rPr>
      </w:pPr>
      <w:r w:rsidRPr="00EE1E5A">
        <w:rPr>
          <w:noProof/>
        </w:rPr>
        <w:t>Corporate Services and Facilities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>Branch Head – 1 x SES</w:t>
      </w:r>
      <w:r w:rsidR="00A41C2D">
        <w:rPr>
          <w:noProof/>
        </w:rPr>
        <w:t>1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Media and Communications –1 x EL2, </w:t>
      </w:r>
      <w:r w:rsidR="00A41C2D">
        <w:rPr>
          <w:noProof/>
        </w:rPr>
        <w:t>4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>supporting staff across APS4 to EL1.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Information Technology –1 x EL2, </w:t>
      </w:r>
      <w:r w:rsidR="00A41C2D">
        <w:rPr>
          <w:noProof/>
        </w:rPr>
        <w:t>4</w:t>
      </w:r>
      <w:r w:rsidRPr="00EE1E5A">
        <w:rPr>
          <w:noProof/>
        </w:rPr>
        <w:t xml:space="preserve"> supporting staff across APS4 to EL1.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Building Services – 1 x EL2, </w:t>
      </w:r>
      <w:r w:rsidR="00A41C2D">
        <w:rPr>
          <w:noProof/>
        </w:rPr>
        <w:t>4</w:t>
      </w:r>
      <w:r w:rsidRPr="00EE1E5A">
        <w:rPr>
          <w:noProof/>
        </w:rPr>
        <w:t xml:space="preserve"> supporting staff across APS4 to APS6.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Procurement and Contracting – 1 x EL2, </w:t>
      </w:r>
      <w:r w:rsidR="00A41C2D">
        <w:rPr>
          <w:noProof/>
        </w:rPr>
        <w:t>2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>supporting staff across APS5 to EL1.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>Human Resourcing – 1 x EL2, 4 supporting staff across APS5 to EL1.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Reception and Front Security – 1 x EL1, </w:t>
      </w:r>
      <w:r w:rsidR="00A41C2D">
        <w:rPr>
          <w:noProof/>
        </w:rPr>
        <w:t>4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>supporting staff across APS4 to APS6.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Hearings Operations – 1 x SES1, 1 x EL2, </w:t>
      </w:r>
      <w:r w:rsidR="00A41C2D">
        <w:rPr>
          <w:noProof/>
        </w:rPr>
        <w:t>4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>supporting staff across APS4 to EL1.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Corporate Counsel – 1 x SES1, 1 x EL2, </w:t>
      </w:r>
      <w:r w:rsidR="00A41C2D">
        <w:rPr>
          <w:noProof/>
        </w:rPr>
        <w:t>4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>supporting staff across APS4 to EL1 – all legal</w:t>
      </w:r>
    </w:p>
    <w:p w:rsidR="00437AF3" w:rsidRPr="00EE1E5A" w:rsidRDefault="00437AF3" w:rsidP="00652BD3">
      <w:pPr>
        <w:pStyle w:val="ListBullet2"/>
        <w:tabs>
          <w:tab w:val="clear" w:pos="907"/>
          <w:tab w:val="num" w:pos="567"/>
        </w:tabs>
        <w:ind w:left="567" w:hanging="283"/>
        <w:rPr>
          <w:noProof/>
        </w:rPr>
      </w:pPr>
      <w:r w:rsidRPr="00EE1E5A">
        <w:rPr>
          <w:noProof/>
        </w:rPr>
        <w:t>Whistleblower Protection Unit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>Branch Head – 1 x SES1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Advice and Support – </w:t>
      </w:r>
      <w:r w:rsidR="00A41C2D">
        <w:rPr>
          <w:noProof/>
        </w:rPr>
        <w:t>1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 xml:space="preserve">x EL2, </w:t>
      </w:r>
      <w:r w:rsidR="00A41C2D">
        <w:rPr>
          <w:noProof/>
        </w:rPr>
        <w:t>1</w:t>
      </w:r>
      <w:r w:rsidRPr="00EE1E5A">
        <w:rPr>
          <w:noProof/>
        </w:rPr>
        <w:t>0 supporting staff across APS4 to EL1</w:t>
      </w:r>
    </w:p>
    <w:p w:rsidR="00437AF3" w:rsidRPr="00EE1E5A" w:rsidRDefault="00437AF3" w:rsidP="00652BD3">
      <w:pPr>
        <w:pStyle w:val="ListBullet2"/>
        <w:tabs>
          <w:tab w:val="clear" w:pos="907"/>
          <w:tab w:val="num" w:pos="567"/>
        </w:tabs>
        <w:ind w:left="567" w:hanging="283"/>
        <w:rPr>
          <w:noProof/>
        </w:rPr>
      </w:pPr>
      <w:r w:rsidRPr="00EE1E5A">
        <w:rPr>
          <w:noProof/>
        </w:rPr>
        <w:t>Assessment and Investigations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Branch Head – 1 x </w:t>
      </w:r>
      <w:r w:rsidR="00A41C2D" w:rsidRPr="00EE1E5A">
        <w:rPr>
          <w:noProof/>
        </w:rPr>
        <w:t>SES</w:t>
      </w:r>
      <w:r w:rsidR="00A41C2D">
        <w:rPr>
          <w:noProof/>
        </w:rPr>
        <w:t>1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Outbound Referrals – </w:t>
      </w:r>
      <w:r w:rsidR="00A41C2D">
        <w:rPr>
          <w:noProof/>
        </w:rPr>
        <w:t>3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 xml:space="preserve">x EL2, </w:t>
      </w:r>
      <w:r w:rsidR="00A41C2D">
        <w:rPr>
          <w:noProof/>
        </w:rPr>
        <w:t>1</w:t>
      </w:r>
      <w:r w:rsidRPr="00EE1E5A">
        <w:rPr>
          <w:noProof/>
        </w:rPr>
        <w:t>0 supporting staff across APS4 to EL1.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lastRenderedPageBreak/>
        <w:t xml:space="preserve">Investigations – </w:t>
      </w:r>
      <w:r w:rsidR="00A41C2D">
        <w:rPr>
          <w:noProof/>
        </w:rPr>
        <w:t>2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 xml:space="preserve">x SES1, 8 x EL2, </w:t>
      </w:r>
      <w:r w:rsidR="00A41C2D">
        <w:rPr>
          <w:noProof/>
        </w:rPr>
        <w:t>3</w:t>
      </w:r>
      <w:r w:rsidRPr="00EE1E5A">
        <w:rPr>
          <w:noProof/>
        </w:rPr>
        <w:t>0 supporting staff across APS4 to EL1 – all legal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Operations and Warrants – 2 x EL2, </w:t>
      </w:r>
      <w:r w:rsidR="00A41C2D">
        <w:rPr>
          <w:noProof/>
        </w:rPr>
        <w:t>5</w:t>
      </w:r>
      <w:r w:rsidRPr="00EE1E5A">
        <w:rPr>
          <w:noProof/>
        </w:rPr>
        <w:t xml:space="preserve"> supporting staff across APS4 to EL1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>An external legal contracting budget of $</w:t>
      </w:r>
      <w:r w:rsidR="00A41C2D">
        <w:rPr>
          <w:noProof/>
        </w:rPr>
        <w:t>5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 xml:space="preserve">million </w:t>
      </w:r>
      <w:r w:rsidR="00652BD3">
        <w:rPr>
          <w:noProof/>
        </w:rPr>
        <w:t>per year</w:t>
      </w:r>
      <w:r w:rsidRPr="00EE1E5A">
        <w:rPr>
          <w:noProof/>
        </w:rPr>
        <w:t xml:space="preserve"> </w:t>
      </w:r>
    </w:p>
    <w:p w:rsidR="00437AF3" w:rsidRPr="00EE1E5A" w:rsidRDefault="00437AF3" w:rsidP="00652BD3">
      <w:pPr>
        <w:pStyle w:val="ListBullet2"/>
        <w:tabs>
          <w:tab w:val="clear" w:pos="907"/>
          <w:tab w:val="num" w:pos="567"/>
        </w:tabs>
        <w:ind w:left="567" w:hanging="283"/>
        <w:rPr>
          <w:noProof/>
        </w:rPr>
      </w:pPr>
      <w:r w:rsidRPr="00EE1E5A">
        <w:rPr>
          <w:noProof/>
        </w:rPr>
        <w:t>Public Interest Research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>Branch Head – 1 x SES</w:t>
      </w:r>
      <w:r w:rsidR="00A41C2D">
        <w:rPr>
          <w:noProof/>
        </w:rPr>
        <w:t>1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Internal Research – </w:t>
      </w:r>
      <w:r w:rsidR="00A41C2D">
        <w:rPr>
          <w:noProof/>
        </w:rPr>
        <w:t>3</w:t>
      </w:r>
      <w:r w:rsidRPr="00EE1E5A">
        <w:rPr>
          <w:noProof/>
        </w:rPr>
        <w:t xml:space="preserve"> x EL2, </w:t>
      </w:r>
      <w:r w:rsidR="00A41C2D">
        <w:rPr>
          <w:noProof/>
        </w:rPr>
        <w:t>8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>supporting staff across APS4 to EL1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>External Research –</w:t>
      </w:r>
      <w:r w:rsidR="00A41C2D">
        <w:rPr>
          <w:noProof/>
        </w:rPr>
        <w:t xml:space="preserve"> 3</w:t>
      </w:r>
      <w:r w:rsidRPr="00EE1E5A">
        <w:rPr>
          <w:noProof/>
        </w:rPr>
        <w:t xml:space="preserve"> x EL2, </w:t>
      </w:r>
      <w:r w:rsidR="00A41C2D">
        <w:rPr>
          <w:noProof/>
        </w:rPr>
        <w:t>8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>supporting staff across APS4 to EL1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>An external research contracting budget of $</w:t>
      </w:r>
      <w:r w:rsidR="00A41C2D">
        <w:rPr>
          <w:noProof/>
        </w:rPr>
        <w:t>5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 xml:space="preserve">million </w:t>
      </w:r>
      <w:r w:rsidR="00652BD3">
        <w:rPr>
          <w:noProof/>
        </w:rPr>
        <w:t>per year</w:t>
      </w:r>
      <w:r w:rsidRPr="00EE1E5A">
        <w:rPr>
          <w:noProof/>
        </w:rPr>
        <w:t xml:space="preserve"> </w:t>
      </w:r>
    </w:p>
    <w:p w:rsidR="00437AF3" w:rsidRPr="00EE1E5A" w:rsidRDefault="00437AF3" w:rsidP="00652BD3">
      <w:pPr>
        <w:pStyle w:val="ListBullet2"/>
        <w:tabs>
          <w:tab w:val="clear" w:pos="907"/>
          <w:tab w:val="num" w:pos="567"/>
        </w:tabs>
        <w:ind w:left="567" w:hanging="283"/>
        <w:rPr>
          <w:noProof/>
        </w:rPr>
      </w:pPr>
      <w:r w:rsidRPr="00EE1E5A">
        <w:rPr>
          <w:noProof/>
        </w:rPr>
        <w:t>National Policy and Stakeholder Coordination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Branch Head – 1 x </w:t>
      </w:r>
      <w:r w:rsidR="00A41C2D" w:rsidRPr="00EE1E5A">
        <w:rPr>
          <w:noProof/>
        </w:rPr>
        <w:t>SES</w:t>
      </w:r>
      <w:r w:rsidR="00A41C2D">
        <w:rPr>
          <w:noProof/>
        </w:rPr>
        <w:t>1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Policy – </w:t>
      </w:r>
      <w:r w:rsidR="00A41C2D">
        <w:rPr>
          <w:noProof/>
        </w:rPr>
        <w:t>3</w:t>
      </w:r>
      <w:r w:rsidRPr="00EE1E5A">
        <w:rPr>
          <w:noProof/>
        </w:rPr>
        <w:t xml:space="preserve"> x EL2, </w:t>
      </w:r>
      <w:r w:rsidR="00A41C2D">
        <w:rPr>
          <w:noProof/>
        </w:rPr>
        <w:t>8</w:t>
      </w:r>
      <w:r w:rsidRPr="00EE1E5A">
        <w:rPr>
          <w:noProof/>
        </w:rPr>
        <w:t xml:space="preserve"> supporting staff across APS4 to EL1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>Stakeholder Coordination –</w:t>
      </w:r>
      <w:r w:rsidR="00A41C2D">
        <w:rPr>
          <w:noProof/>
        </w:rPr>
        <w:t xml:space="preserve"> </w:t>
      </w:r>
      <w:r w:rsidRPr="00EE1E5A">
        <w:rPr>
          <w:noProof/>
        </w:rPr>
        <w:t>2 x EL2, 6 supporting staff across APS4 to EL1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>An external policy contracting budget of $</w:t>
      </w:r>
      <w:r w:rsidR="00A41C2D">
        <w:rPr>
          <w:noProof/>
        </w:rPr>
        <w:t>2</w:t>
      </w:r>
      <w:r w:rsidRPr="00EE1E5A">
        <w:rPr>
          <w:noProof/>
        </w:rPr>
        <w:t xml:space="preserve"> million </w:t>
      </w:r>
      <w:r w:rsidR="00652BD3">
        <w:rPr>
          <w:noProof/>
        </w:rPr>
        <w:t>per year</w:t>
      </w:r>
      <w:r w:rsidRPr="00EE1E5A">
        <w:rPr>
          <w:noProof/>
        </w:rPr>
        <w:t xml:space="preserve"> </w:t>
      </w:r>
    </w:p>
    <w:p w:rsidR="00437AF3" w:rsidRPr="00EE1E5A" w:rsidRDefault="00437AF3" w:rsidP="00652BD3">
      <w:pPr>
        <w:pStyle w:val="ListBullet2"/>
        <w:tabs>
          <w:tab w:val="clear" w:pos="907"/>
          <w:tab w:val="num" w:pos="567"/>
        </w:tabs>
        <w:ind w:left="567" w:hanging="283"/>
        <w:rPr>
          <w:noProof/>
        </w:rPr>
      </w:pPr>
      <w:r w:rsidRPr="00EE1E5A">
        <w:rPr>
          <w:noProof/>
        </w:rPr>
        <w:t>Education, Training and Prevention Initiatives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Branch Head – 1 x </w:t>
      </w:r>
      <w:r w:rsidR="00A41C2D" w:rsidRPr="00EE1E5A">
        <w:rPr>
          <w:noProof/>
        </w:rPr>
        <w:t>SES</w:t>
      </w:r>
      <w:r w:rsidR="00A41C2D">
        <w:rPr>
          <w:noProof/>
        </w:rPr>
        <w:t>1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>Education and Training –</w:t>
      </w:r>
      <w:r w:rsidR="00A41C2D">
        <w:rPr>
          <w:noProof/>
        </w:rPr>
        <w:t xml:space="preserve"> </w:t>
      </w:r>
      <w:r w:rsidRPr="00EE1E5A">
        <w:rPr>
          <w:noProof/>
        </w:rPr>
        <w:t xml:space="preserve">2 x EL2, </w:t>
      </w:r>
      <w:r w:rsidR="00A41C2D">
        <w:rPr>
          <w:noProof/>
        </w:rPr>
        <w:t>6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>supporting staff across APS4 to EL1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Prevention Initiatives – </w:t>
      </w:r>
      <w:r w:rsidR="00A41C2D">
        <w:rPr>
          <w:noProof/>
        </w:rPr>
        <w:t>2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 xml:space="preserve">x EL2, </w:t>
      </w:r>
      <w:r w:rsidR="00A41C2D">
        <w:rPr>
          <w:noProof/>
        </w:rPr>
        <w:t>6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>supporting staff across APS4 to EL1</w:t>
      </w:r>
    </w:p>
    <w:p w:rsidR="00437AF3" w:rsidRPr="00EE1E5A" w:rsidRDefault="00437AF3" w:rsidP="00652BD3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>An external contracting budget of $</w:t>
      </w:r>
      <w:r w:rsidR="00A41C2D">
        <w:rPr>
          <w:noProof/>
        </w:rPr>
        <w:t>2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 xml:space="preserve">million </w:t>
      </w:r>
      <w:r w:rsidR="00652BD3">
        <w:rPr>
          <w:noProof/>
        </w:rPr>
        <w:t>per year</w:t>
      </w:r>
      <w:r w:rsidRPr="00EE1E5A">
        <w:rPr>
          <w:noProof/>
        </w:rPr>
        <w:t xml:space="preserve"> </w:t>
      </w:r>
    </w:p>
    <w:p w:rsidR="00272994" w:rsidRDefault="00437AF3" w:rsidP="00272994">
      <w:pPr>
        <w:pStyle w:val="ListBullet2"/>
        <w:tabs>
          <w:tab w:val="clear" w:pos="907"/>
          <w:tab w:val="num" w:pos="567"/>
        </w:tabs>
        <w:ind w:left="567" w:hanging="283"/>
      </w:pPr>
      <w:r w:rsidRPr="00EE1E5A">
        <w:rPr>
          <w:noProof/>
        </w:rPr>
        <w:t>ACLEI</w:t>
      </w:r>
      <w:r w:rsidRPr="00EE1E5A">
        <w:t xml:space="preserve"> w</w:t>
      </w:r>
      <w:r w:rsidR="00272994">
        <w:t>ould</w:t>
      </w:r>
      <w:r w:rsidRPr="00EE1E5A">
        <w:t xml:space="preserve"> be </w:t>
      </w:r>
      <w:r w:rsidR="00272994">
        <w:t xml:space="preserve">entirely </w:t>
      </w:r>
      <w:r w:rsidRPr="00EE1E5A">
        <w:t>subsumed by AFIC</w:t>
      </w:r>
    </w:p>
    <w:p w:rsidR="00437AF3" w:rsidRPr="00EE1E5A" w:rsidRDefault="00272994" w:rsidP="00272994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>
        <w:rPr>
          <w:noProof/>
        </w:rPr>
        <w:t xml:space="preserve">ACLEI’s entire funding </w:t>
      </w:r>
      <w:r w:rsidR="00437AF3" w:rsidRPr="00EE1E5A">
        <w:rPr>
          <w:noProof/>
        </w:rPr>
        <w:t xml:space="preserve">would be </w:t>
      </w:r>
      <w:r>
        <w:rPr>
          <w:noProof/>
        </w:rPr>
        <w:t>realloc</w:t>
      </w:r>
      <w:r w:rsidR="0022014A">
        <w:rPr>
          <w:noProof/>
        </w:rPr>
        <w:t>at</w:t>
      </w:r>
      <w:r>
        <w:rPr>
          <w:noProof/>
        </w:rPr>
        <w:t>ed to AFIC less any</w:t>
      </w:r>
      <w:r w:rsidR="00437AF3" w:rsidRPr="00EE1E5A">
        <w:rPr>
          <w:noProof/>
        </w:rPr>
        <w:t xml:space="preserve"> </w:t>
      </w:r>
      <w:r>
        <w:rPr>
          <w:noProof/>
        </w:rPr>
        <w:t>merger rel</w:t>
      </w:r>
      <w:r w:rsidR="0022014A">
        <w:rPr>
          <w:noProof/>
        </w:rPr>
        <w:t>a</w:t>
      </w:r>
      <w:r>
        <w:rPr>
          <w:noProof/>
        </w:rPr>
        <w:t xml:space="preserve">ted corporate cost </w:t>
      </w:r>
      <w:r w:rsidR="00437AF3" w:rsidRPr="00EE1E5A">
        <w:rPr>
          <w:noProof/>
        </w:rPr>
        <w:t>savings.</w:t>
      </w:r>
    </w:p>
    <w:p w:rsidR="00437AF3" w:rsidRPr="00EE1E5A" w:rsidRDefault="00437AF3" w:rsidP="00272994">
      <w:pPr>
        <w:pStyle w:val="ListBullet"/>
        <w:ind w:left="284" w:hanging="284"/>
      </w:pPr>
      <w:r w:rsidRPr="00EE1E5A">
        <w:t xml:space="preserve">AFIC would </w:t>
      </w:r>
      <w:r w:rsidR="009B3D16">
        <w:t>have</w:t>
      </w:r>
      <w:r w:rsidRPr="00EE1E5A">
        <w:t xml:space="preserve"> its own building in Canberra with a bespoke high-tech heari</w:t>
      </w:r>
      <w:r w:rsidR="00652BD3">
        <w:t xml:space="preserve">ng room </w:t>
      </w:r>
      <w:r w:rsidR="009B3D16">
        <w:t>and</w:t>
      </w:r>
      <w:r w:rsidR="00652BD3">
        <w:t xml:space="preserve"> a public gallery (around </w:t>
      </w:r>
      <w:r w:rsidRPr="00EE1E5A">
        <w:t xml:space="preserve">50 observers), and </w:t>
      </w:r>
      <w:r w:rsidR="00A41C2D">
        <w:t>2</w:t>
      </w:r>
      <w:r w:rsidR="00A41C2D" w:rsidRPr="00EE1E5A">
        <w:t xml:space="preserve"> </w:t>
      </w:r>
      <w:r w:rsidRPr="00EE1E5A">
        <w:t>smaller hearing rooms (</w:t>
      </w:r>
      <w:r w:rsidR="00652BD3">
        <w:t xml:space="preserve">around </w:t>
      </w:r>
      <w:r w:rsidRPr="00EE1E5A">
        <w:t xml:space="preserve">10 observers). </w:t>
      </w:r>
    </w:p>
    <w:p w:rsidR="00272994" w:rsidRDefault="00272994" w:rsidP="00272994">
      <w:pPr>
        <w:pStyle w:val="ListBullet"/>
        <w:ind w:left="284" w:hanging="284"/>
      </w:pPr>
      <w:r>
        <w:t xml:space="preserve">AFIC would also </w:t>
      </w:r>
      <w:r w:rsidR="00437AF3" w:rsidRPr="00EE1E5A">
        <w:t xml:space="preserve">have a smaller corporate presence in Sydney, Melbourne, Brisbane and Perth with no hearing rooms. </w:t>
      </w:r>
      <w:r>
        <w:t xml:space="preserve"> </w:t>
      </w:r>
    </w:p>
    <w:p w:rsidR="00437AF3" w:rsidRPr="00EE1E5A" w:rsidRDefault="00437AF3" w:rsidP="00272994">
      <w:pPr>
        <w:pStyle w:val="ListBullet"/>
        <w:ind w:left="284" w:hanging="284"/>
      </w:pPr>
      <w:r w:rsidRPr="00EE1E5A">
        <w:t xml:space="preserve">The </w:t>
      </w:r>
      <w:r w:rsidR="009B3D16">
        <w:t xml:space="preserve">AFIC </w:t>
      </w:r>
      <w:r w:rsidRPr="00EE1E5A">
        <w:t>Parliamentary Inspector w</w:t>
      </w:r>
      <w:r w:rsidR="00272994">
        <w:t>ould</w:t>
      </w:r>
      <w:r w:rsidRPr="00EE1E5A">
        <w:t xml:space="preserve"> be based in Parliament House and </w:t>
      </w:r>
      <w:r w:rsidR="00DC0E8A" w:rsidRPr="00EE1E5A">
        <w:t>would</w:t>
      </w:r>
      <w:r w:rsidRPr="00EE1E5A">
        <w:t xml:space="preserve"> have functions similar to other Parliamentary Inspectors. </w:t>
      </w:r>
      <w:r w:rsidR="00272994">
        <w:t xml:space="preserve"> This would</w:t>
      </w:r>
      <w:r w:rsidRPr="00EE1E5A">
        <w:t xml:space="preserve"> </w:t>
      </w:r>
      <w:r w:rsidR="00272994">
        <w:t xml:space="preserve">require a </w:t>
      </w:r>
      <w:r w:rsidRPr="00EE1E5A">
        <w:t xml:space="preserve">generous budget to be able to engage high-quality independent auditing services to assess whether AFIC has enough resources to fulfil its stated purposes under the Act every three years (estimated </w:t>
      </w:r>
      <w:r w:rsidR="00272994">
        <w:t xml:space="preserve">at </w:t>
      </w:r>
      <w:r w:rsidRPr="00EE1E5A">
        <w:t>$500</w:t>
      </w:r>
      <w:r w:rsidR="00652BD3">
        <w:t>,000</w:t>
      </w:r>
      <w:r w:rsidRPr="00EE1E5A">
        <w:t xml:space="preserve"> </w:t>
      </w:r>
      <w:r w:rsidR="00652BD3">
        <w:t>per year</w:t>
      </w:r>
      <w:r w:rsidRPr="00EE1E5A">
        <w:t>).</w:t>
      </w:r>
    </w:p>
    <w:p w:rsidR="00437AF3" w:rsidRPr="00EE1E5A" w:rsidRDefault="00437AF3" w:rsidP="00272994">
      <w:pPr>
        <w:pStyle w:val="ListBullet"/>
        <w:ind w:left="284" w:hanging="284"/>
      </w:pPr>
      <w:r w:rsidRPr="00EE1E5A">
        <w:t>A new Parliamentary Joint Committee for the Australian Federal Integrity Commission would also be created and would need a dedicated secretariat function.</w:t>
      </w:r>
    </w:p>
    <w:p w:rsidR="00437AF3" w:rsidRPr="00EE1E5A" w:rsidRDefault="00437AF3" w:rsidP="00437AF3">
      <w:pPr>
        <w:pStyle w:val="TableTextCentred"/>
        <w:spacing w:line="240" w:lineRule="auto"/>
        <w:jc w:val="left"/>
        <w:rPr>
          <w:rFonts w:asciiTheme="minorHAnsi" w:hAnsiTheme="minorHAnsi"/>
          <w:color w:val="000000" w:themeColor="text1"/>
          <w:sz w:val="22"/>
        </w:rPr>
      </w:pPr>
      <w:r w:rsidRPr="00EE1E5A">
        <w:rPr>
          <w:rFonts w:asciiTheme="minorHAnsi" w:hAnsiTheme="minorHAnsi"/>
          <w:b/>
          <w:bCs/>
          <w:color w:val="000000" w:themeColor="text1"/>
          <w:sz w:val="22"/>
        </w:rPr>
        <w:t xml:space="preserve">Commonwealth Parliamentary Standards Commissioner </w:t>
      </w:r>
    </w:p>
    <w:p w:rsidR="009B3D16" w:rsidRDefault="00437AF3" w:rsidP="009B3D16">
      <w:pPr>
        <w:pStyle w:val="ListBullet"/>
        <w:ind w:left="284" w:hanging="284"/>
        <w:rPr>
          <w:iCs/>
          <w:color w:val="000000" w:themeColor="text1"/>
        </w:rPr>
      </w:pPr>
      <w:r w:rsidRPr="009B3D16">
        <w:rPr>
          <w:iCs/>
          <w:color w:val="000000" w:themeColor="text1"/>
        </w:rPr>
        <w:t>The CPSC</w:t>
      </w:r>
      <w:r w:rsidR="009B3D16" w:rsidRPr="009B3D16">
        <w:rPr>
          <w:iCs/>
          <w:color w:val="000000" w:themeColor="text1"/>
        </w:rPr>
        <w:t xml:space="preserve"> </w:t>
      </w:r>
      <w:r w:rsidRPr="009B3D16">
        <w:rPr>
          <w:iCs/>
          <w:color w:val="000000" w:themeColor="text1"/>
        </w:rPr>
        <w:t>and Parliamentary Integrity Advisor w</w:t>
      </w:r>
      <w:r w:rsidR="009B3D16" w:rsidRPr="009B3D16">
        <w:rPr>
          <w:iCs/>
          <w:color w:val="000000" w:themeColor="text1"/>
        </w:rPr>
        <w:t>ould</w:t>
      </w:r>
      <w:r w:rsidRPr="009B3D16">
        <w:rPr>
          <w:iCs/>
          <w:color w:val="000000" w:themeColor="text1"/>
        </w:rPr>
        <w:t xml:space="preserve"> be full time statutory appointments with their pay being determined by the Remuneration Tribunal. </w:t>
      </w:r>
      <w:r w:rsidR="009B3D16" w:rsidRPr="009B3D16">
        <w:rPr>
          <w:iCs/>
          <w:color w:val="000000" w:themeColor="text1"/>
        </w:rPr>
        <w:t xml:space="preserve"> </w:t>
      </w:r>
      <w:r w:rsidRPr="009B3D16">
        <w:rPr>
          <w:iCs/>
          <w:color w:val="000000" w:themeColor="text1"/>
        </w:rPr>
        <w:t xml:space="preserve">Both appointments, and their supporting teams, would be based in Parliament House. </w:t>
      </w:r>
      <w:r w:rsidR="009B3D16" w:rsidRPr="009B3D16">
        <w:rPr>
          <w:iCs/>
          <w:color w:val="000000" w:themeColor="text1"/>
        </w:rPr>
        <w:t xml:space="preserve"> </w:t>
      </w:r>
    </w:p>
    <w:p w:rsidR="00437AF3" w:rsidRPr="00EE1E5A" w:rsidRDefault="009B3D16" w:rsidP="009B3D16">
      <w:pPr>
        <w:pStyle w:val="ListBullet"/>
        <w:ind w:left="284" w:hanging="284"/>
        <w:rPr>
          <w:iCs/>
          <w:color w:val="000000" w:themeColor="text1"/>
        </w:rPr>
      </w:pPr>
      <w:r>
        <w:rPr>
          <w:iCs/>
          <w:color w:val="000000" w:themeColor="text1"/>
        </w:rPr>
        <w:t>R</w:t>
      </w:r>
      <w:r w:rsidR="00437AF3" w:rsidRPr="00EE1E5A">
        <w:rPr>
          <w:iCs/>
          <w:color w:val="000000" w:themeColor="text1"/>
        </w:rPr>
        <w:t xml:space="preserve">esourcing </w:t>
      </w:r>
      <w:r>
        <w:rPr>
          <w:iCs/>
          <w:color w:val="000000" w:themeColor="text1"/>
        </w:rPr>
        <w:t xml:space="preserve">would </w:t>
      </w:r>
      <w:r w:rsidR="00437AF3" w:rsidRPr="00EE1E5A">
        <w:rPr>
          <w:iCs/>
          <w:color w:val="000000" w:themeColor="text1"/>
        </w:rPr>
        <w:t xml:space="preserve">need to be around </w:t>
      </w:r>
      <w:r w:rsidR="00A41C2D">
        <w:rPr>
          <w:iCs/>
          <w:color w:val="000000" w:themeColor="text1"/>
        </w:rPr>
        <w:t>15</w:t>
      </w:r>
      <w:r w:rsidR="00A41C2D" w:rsidRPr="00EE1E5A">
        <w:rPr>
          <w:iCs/>
          <w:color w:val="000000" w:themeColor="text1"/>
        </w:rPr>
        <w:t xml:space="preserve"> </w:t>
      </w:r>
      <w:r w:rsidR="00437AF3" w:rsidRPr="00EE1E5A">
        <w:rPr>
          <w:iCs/>
          <w:color w:val="000000" w:themeColor="text1"/>
        </w:rPr>
        <w:t>people:</w:t>
      </w:r>
    </w:p>
    <w:p w:rsidR="00437AF3" w:rsidRPr="00EE1E5A" w:rsidRDefault="00437AF3" w:rsidP="009B3D16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>Unit Head – 1x SES1</w:t>
      </w:r>
    </w:p>
    <w:p w:rsidR="00437AF3" w:rsidRPr="00EE1E5A" w:rsidRDefault="00437AF3" w:rsidP="009B3D16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Assessment, Investigation and Referral Team – 1 x EL2, </w:t>
      </w:r>
      <w:r w:rsidR="00A41C2D">
        <w:rPr>
          <w:noProof/>
        </w:rPr>
        <w:t>1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 xml:space="preserve">x EL1, </w:t>
      </w:r>
      <w:r w:rsidR="00A41C2D">
        <w:rPr>
          <w:noProof/>
        </w:rPr>
        <w:t>1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>x APS6</w:t>
      </w:r>
    </w:p>
    <w:p w:rsidR="00437AF3" w:rsidRPr="00EE1E5A" w:rsidRDefault="00437AF3" w:rsidP="009B3D16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lastRenderedPageBreak/>
        <w:t xml:space="preserve">Education and Prevention Initiatives – 1 x EL2, </w:t>
      </w:r>
      <w:r w:rsidR="00A41C2D">
        <w:rPr>
          <w:noProof/>
        </w:rPr>
        <w:t>1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 xml:space="preserve">x EL1, </w:t>
      </w:r>
      <w:r w:rsidR="00A41C2D">
        <w:rPr>
          <w:noProof/>
        </w:rPr>
        <w:t>1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>x APS6</w:t>
      </w:r>
    </w:p>
    <w:p w:rsidR="00437AF3" w:rsidRPr="00EE1E5A" w:rsidRDefault="00437AF3" w:rsidP="009B3D16">
      <w:pPr>
        <w:pStyle w:val="ListBullet3"/>
        <w:tabs>
          <w:tab w:val="clear" w:pos="1361"/>
          <w:tab w:val="num" w:pos="851"/>
        </w:tabs>
        <w:ind w:left="851" w:hanging="284"/>
        <w:rPr>
          <w:noProof/>
        </w:rPr>
      </w:pPr>
      <w:r w:rsidRPr="00EE1E5A">
        <w:rPr>
          <w:noProof/>
        </w:rPr>
        <w:t xml:space="preserve">Register of Interest Team – 1 x EL2, 1 x EL1, </w:t>
      </w:r>
      <w:r w:rsidR="00A41C2D">
        <w:rPr>
          <w:noProof/>
        </w:rPr>
        <w:t>1</w:t>
      </w:r>
      <w:r w:rsidR="00A41C2D" w:rsidRPr="00EE1E5A">
        <w:rPr>
          <w:noProof/>
        </w:rPr>
        <w:t xml:space="preserve"> </w:t>
      </w:r>
      <w:r w:rsidRPr="00EE1E5A">
        <w:rPr>
          <w:noProof/>
        </w:rPr>
        <w:t>x APS6</w:t>
      </w:r>
    </w:p>
    <w:p w:rsidR="009B3D16" w:rsidRDefault="00437AF3" w:rsidP="009B3D16">
      <w:pPr>
        <w:pStyle w:val="ListBullet3"/>
        <w:tabs>
          <w:tab w:val="clear" w:pos="1361"/>
          <w:tab w:val="num" w:pos="851"/>
        </w:tabs>
        <w:ind w:left="851" w:hanging="284"/>
      </w:pPr>
      <w:r w:rsidRPr="00EE1E5A">
        <w:rPr>
          <w:noProof/>
        </w:rPr>
        <w:t>Parliamentary Advisor Team – 1 x EL2, 2 x EL1, 2 x APS6</w:t>
      </w:r>
    </w:p>
    <w:p w:rsidR="009B3D16" w:rsidRPr="009B3D16" w:rsidRDefault="009B3D16" w:rsidP="009B3D16">
      <w:pPr>
        <w:pStyle w:val="ListBullet"/>
        <w:ind w:left="284" w:hanging="284"/>
        <w:rPr>
          <w:iCs/>
          <w:color w:val="000000" w:themeColor="text1"/>
        </w:rPr>
      </w:pPr>
      <w:r w:rsidRPr="009B3D16">
        <w:rPr>
          <w:iCs/>
          <w:color w:val="000000" w:themeColor="text1"/>
        </w:rPr>
        <w:t>The CPSC would also have access to a dedicated boardroom that can only be used for the purpose of Commonwealth Parliamentary Standard matters.</w:t>
      </w:r>
    </w:p>
    <w:p w:rsidR="00AC74DF" w:rsidRDefault="00AC74DF" w:rsidP="009B3D16">
      <w:pPr>
        <w:pStyle w:val="ListBullet3"/>
        <w:tabs>
          <w:tab w:val="clear" w:pos="1361"/>
          <w:tab w:val="num" w:pos="851"/>
        </w:tabs>
        <w:ind w:left="851" w:hanging="284"/>
      </w:pPr>
      <w:r>
        <w:br w:type="page"/>
      </w:r>
    </w:p>
    <w:p w:rsidR="00AC74DF" w:rsidRPr="00D014E1" w:rsidRDefault="00AC74DF" w:rsidP="00AC74DF">
      <w:pPr>
        <w:pStyle w:val="Heading8"/>
        <w:spacing w:before="240" w:after="120"/>
      </w:pPr>
      <w:r w:rsidRPr="00D014E1">
        <w:lastRenderedPageBreak/>
        <w:t xml:space="preserve">– </w:t>
      </w:r>
      <w:r>
        <w:t>Australia</w:t>
      </w:r>
      <w:r w:rsidR="0022014A">
        <w:t>n</w:t>
      </w:r>
      <w:r>
        <w:t xml:space="preserve"> Federal Integrity Commission and Commonwealth Parliamentary Standards </w:t>
      </w:r>
      <w:r w:rsidR="00AF1365">
        <w:t xml:space="preserve">Commissioner </w:t>
      </w:r>
      <w:r w:rsidRPr="00D014E1">
        <w:t>–</w:t>
      </w:r>
      <w:r>
        <w:t xml:space="preserve"> financial implications</w:t>
      </w:r>
    </w:p>
    <w:p w:rsidR="006C7EB8" w:rsidRDefault="006C7EB8" w:rsidP="006C7EB8">
      <w:pPr>
        <w:pStyle w:val="Caption"/>
        <w:widowControl w:val="0"/>
        <w:tabs>
          <w:tab w:val="left" w:pos="9356"/>
        </w:tabs>
        <w:rPr>
          <w:vertAlign w:val="superscript"/>
        </w:rPr>
      </w:pPr>
      <w:r w:rsidRPr="002D239A">
        <w:t xml:space="preserve">Table </w:t>
      </w:r>
      <w:r w:rsidR="00BE7E49">
        <w:fldChar w:fldCharType="begin"/>
      </w:r>
      <w:r w:rsidR="00BE7E49">
        <w:instrText xml:space="preserve"> STYLEREF 8 \s </w:instrText>
      </w:r>
      <w:r w:rsidR="00BE7E49">
        <w:fldChar w:fldCharType="separate"/>
      </w:r>
      <w:r w:rsidR="005F3766">
        <w:rPr>
          <w:noProof/>
        </w:rPr>
        <w:t>B</w:t>
      </w:r>
      <w:r w:rsidR="00BE7E49">
        <w:rPr>
          <w:noProof/>
        </w:rPr>
        <w:fldChar w:fldCharType="end"/>
      </w:r>
      <w:r w:rsidR="00BE7E49">
        <w:fldChar w:fldCharType="begin"/>
      </w:r>
      <w:r w:rsidR="00BE7E49">
        <w:instrText xml:space="preserve"> SEQ AppendixTable\s 8 </w:instrText>
      </w:r>
      <w:r w:rsidR="00BE7E49">
        <w:fldChar w:fldCharType="separate"/>
      </w:r>
      <w:r w:rsidR="005F3766">
        <w:rPr>
          <w:noProof/>
        </w:rPr>
        <w:t>1</w:t>
      </w:r>
      <w:r w:rsidR="00BE7E49">
        <w:rPr>
          <w:noProof/>
        </w:rPr>
        <w:fldChar w:fldCharType="end"/>
      </w:r>
      <w:r w:rsidRPr="002D239A">
        <w:t xml:space="preserve">: </w:t>
      </w:r>
      <w:r w:rsidR="00AF1365">
        <w:t>Australia</w:t>
      </w:r>
      <w:r w:rsidR="0022014A">
        <w:t>n</w:t>
      </w:r>
      <w:r w:rsidR="00AF1365">
        <w:t xml:space="preserve"> Federal Integrity Commission and Commonwealth Parliamentary Standards Commissioner </w:t>
      </w:r>
      <w:r>
        <w:t>– Fiscal and underlying cash balances ($m)</w:t>
      </w:r>
      <w:r w:rsidRPr="002D239A">
        <w:rPr>
          <w:vertAlign w:val="superscript"/>
        </w:rPr>
        <w:t>(a)(b)</w:t>
      </w:r>
    </w:p>
    <w:tbl>
      <w:tblPr>
        <w:tblStyle w:val="LightGrid-Accent6"/>
        <w:tblW w:w="5004" w:type="pct"/>
        <w:tblLayout w:type="fixed"/>
        <w:tblLook w:val="0680" w:firstRow="0" w:lastRow="0" w:firstColumn="1" w:lastColumn="0" w:noHBand="1" w:noVBand="1"/>
      </w:tblPr>
      <w:tblGrid>
        <w:gridCol w:w="2075"/>
        <w:gridCol w:w="588"/>
        <w:gridCol w:w="588"/>
        <w:gridCol w:w="588"/>
        <w:gridCol w:w="588"/>
        <w:gridCol w:w="588"/>
        <w:gridCol w:w="589"/>
        <w:gridCol w:w="589"/>
        <w:gridCol w:w="589"/>
        <w:gridCol w:w="589"/>
        <w:gridCol w:w="589"/>
        <w:gridCol w:w="589"/>
        <w:gridCol w:w="796"/>
        <w:gridCol w:w="802"/>
      </w:tblGrid>
      <w:tr w:rsidR="008548DD" w:rsidRPr="009F2A5C" w:rsidTr="0017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pct"/>
            <w:shd w:val="clear" w:color="auto" w:fill="7C8CBF" w:themeFill="background2" w:themeFillTint="99"/>
            <w:vAlign w:val="center"/>
          </w:tcPr>
          <w:p w:rsidR="006C7EB8" w:rsidRPr="009F2A5C" w:rsidRDefault="006C7EB8" w:rsidP="00272994">
            <w:pPr>
              <w:pStyle w:val="TableHeading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 w:right="-57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7C8CBF" w:themeFill="background2" w:themeFillTint="99"/>
            <w:vAlign w:val="center"/>
          </w:tcPr>
          <w:p w:rsidR="006C7EB8" w:rsidRPr="00ED0817" w:rsidRDefault="006C7EB8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2020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:rsidR="006C7EB8" w:rsidRPr="00ED0817" w:rsidRDefault="006C7EB8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</w:p>
        </w:tc>
        <w:tc>
          <w:tcPr>
            <w:tcW w:w="290" w:type="pct"/>
            <w:shd w:val="clear" w:color="auto" w:fill="7C8CBF" w:themeFill="background2" w:themeFillTint="99"/>
            <w:vAlign w:val="center"/>
          </w:tcPr>
          <w:p w:rsidR="006C7EB8" w:rsidRPr="00ED0817" w:rsidRDefault="006C7EB8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21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:rsidR="006C7EB8" w:rsidRPr="00ED0817" w:rsidRDefault="006C7EB8" w:rsidP="006C7EB8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2</w:t>
            </w:r>
          </w:p>
        </w:tc>
        <w:tc>
          <w:tcPr>
            <w:tcW w:w="290" w:type="pct"/>
            <w:shd w:val="clear" w:color="auto" w:fill="7C8CBF" w:themeFill="background2" w:themeFillTint="99"/>
            <w:vAlign w:val="center"/>
          </w:tcPr>
          <w:p w:rsidR="006C7EB8" w:rsidRPr="00ED0817" w:rsidRDefault="006C7EB8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2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:rsidR="006C7EB8" w:rsidRPr="00ED0817" w:rsidRDefault="006C7EB8" w:rsidP="006C7EB8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 w:val="0"/>
                <w:sz w:val="16"/>
                <w:szCs w:val="16"/>
              </w:rPr>
              <w:t>3</w:t>
            </w:r>
          </w:p>
        </w:tc>
        <w:tc>
          <w:tcPr>
            <w:tcW w:w="290" w:type="pct"/>
            <w:shd w:val="clear" w:color="auto" w:fill="7C8CBF" w:themeFill="background2" w:themeFillTint="99"/>
            <w:vAlign w:val="center"/>
          </w:tcPr>
          <w:p w:rsidR="006C7EB8" w:rsidRPr="00ED0817" w:rsidRDefault="006C7EB8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202</w:t>
            </w:r>
            <w:r w:rsidR="00AF1365">
              <w:rPr>
                <w:rFonts w:asciiTheme="minorHAnsi" w:hAnsiTheme="minorHAnsi"/>
                <w:b w:val="0"/>
                <w:sz w:val="16"/>
                <w:szCs w:val="16"/>
              </w:rPr>
              <w:t>3</w:t>
            </w:r>
            <w:r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24</w:t>
            </w:r>
          </w:p>
        </w:tc>
        <w:tc>
          <w:tcPr>
            <w:tcW w:w="290" w:type="pct"/>
            <w:shd w:val="clear" w:color="auto" w:fill="7C8CBF" w:themeFill="background2" w:themeFillTint="99"/>
            <w:vAlign w:val="center"/>
          </w:tcPr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2024</w:t>
            </w:r>
            <w:r w:rsidR="006C7EB8"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25</w:t>
            </w:r>
          </w:p>
        </w:tc>
        <w:tc>
          <w:tcPr>
            <w:tcW w:w="290" w:type="pct"/>
            <w:shd w:val="clear" w:color="auto" w:fill="7C8CBF" w:themeFill="background2" w:themeFillTint="99"/>
            <w:vAlign w:val="center"/>
          </w:tcPr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2025</w:t>
            </w:r>
            <w:r w:rsidR="006C7EB8"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26</w:t>
            </w:r>
          </w:p>
        </w:tc>
        <w:tc>
          <w:tcPr>
            <w:tcW w:w="290" w:type="pct"/>
            <w:shd w:val="clear" w:color="auto" w:fill="7C8CBF" w:themeFill="background2" w:themeFillTint="99"/>
            <w:vAlign w:val="center"/>
          </w:tcPr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2026</w:t>
            </w:r>
            <w:r w:rsidR="006C7EB8"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27</w:t>
            </w:r>
          </w:p>
        </w:tc>
        <w:tc>
          <w:tcPr>
            <w:tcW w:w="290" w:type="pct"/>
            <w:shd w:val="clear" w:color="auto" w:fill="7C8CBF" w:themeFill="background2" w:themeFillTint="99"/>
            <w:vAlign w:val="center"/>
          </w:tcPr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2027</w:t>
            </w:r>
            <w:r w:rsidR="006C7EB8"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28</w:t>
            </w:r>
          </w:p>
        </w:tc>
        <w:tc>
          <w:tcPr>
            <w:tcW w:w="290" w:type="pct"/>
            <w:shd w:val="clear" w:color="auto" w:fill="7C8CBF" w:themeFill="background2" w:themeFillTint="99"/>
            <w:vAlign w:val="center"/>
          </w:tcPr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2028</w:t>
            </w:r>
            <w:r w:rsidR="006C7EB8"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29</w:t>
            </w:r>
          </w:p>
        </w:tc>
        <w:tc>
          <w:tcPr>
            <w:tcW w:w="290" w:type="pct"/>
            <w:shd w:val="clear" w:color="auto" w:fill="7C8CBF" w:themeFill="background2" w:themeFillTint="99"/>
            <w:vAlign w:val="center"/>
          </w:tcPr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2029</w:t>
            </w:r>
            <w:r w:rsidR="006C7EB8"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30</w:t>
            </w:r>
          </w:p>
        </w:tc>
        <w:tc>
          <w:tcPr>
            <w:tcW w:w="290" w:type="pct"/>
            <w:shd w:val="clear" w:color="auto" w:fill="7C8CBF" w:themeFill="background2" w:themeFillTint="99"/>
            <w:vAlign w:val="center"/>
          </w:tcPr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2030</w:t>
            </w:r>
            <w:r w:rsidR="006C7EB8" w:rsidRPr="00ED0817">
              <w:rPr>
                <w:rFonts w:asciiTheme="minorHAnsi" w:hAnsiTheme="minorHAnsi"/>
                <w:b w:val="0"/>
                <w:sz w:val="16"/>
                <w:szCs w:val="16"/>
              </w:rPr>
              <w:t>–</w:t>
            </w:r>
          </w:p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31</w:t>
            </w:r>
          </w:p>
        </w:tc>
        <w:tc>
          <w:tcPr>
            <w:tcW w:w="392" w:type="pct"/>
            <w:shd w:val="clear" w:color="auto" w:fill="7C8CBF" w:themeFill="background2" w:themeFillTint="99"/>
            <w:vAlign w:val="center"/>
          </w:tcPr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Total to 2023–24</w:t>
            </w:r>
          </w:p>
        </w:tc>
        <w:tc>
          <w:tcPr>
            <w:tcW w:w="394" w:type="pct"/>
            <w:shd w:val="clear" w:color="auto" w:fill="7C8CBF" w:themeFill="background2" w:themeFillTint="99"/>
            <w:vAlign w:val="center"/>
          </w:tcPr>
          <w:p w:rsidR="006C7EB8" w:rsidRPr="00ED0817" w:rsidRDefault="00AF1365" w:rsidP="00272994">
            <w:pPr>
              <w:pStyle w:val="TableHeadingRight"/>
              <w:keepLines w:val="0"/>
              <w:widowControl w:val="0"/>
              <w:tabs>
                <w:tab w:val="left" w:pos="9356"/>
              </w:tabs>
              <w:spacing w:before="57" w:after="57" w:line="240" w:lineRule="auto"/>
              <w:ind w:left="-57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Total to 2030–31</w:t>
            </w:r>
          </w:p>
        </w:tc>
      </w:tr>
      <w:tr w:rsidR="00AF1365" w:rsidRPr="009F2A5C" w:rsidTr="00AF1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  <w:vAlign w:val="center"/>
          </w:tcPr>
          <w:p w:rsidR="00AF1365" w:rsidRPr="00AF1365" w:rsidRDefault="00AF1365" w:rsidP="00AF1365">
            <w:pPr>
              <w:spacing w:before="70" w:after="70"/>
              <w:ind w:left="-57" w:right="-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Departmental expenses</w:t>
            </w:r>
          </w:p>
        </w:tc>
      </w:tr>
      <w:tr w:rsidR="0017494C" w:rsidRPr="009F2A5C" w:rsidTr="0017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pct"/>
            <w:vAlign w:val="center"/>
          </w:tcPr>
          <w:p w:rsidR="0017494C" w:rsidRPr="00AF1365" w:rsidRDefault="0017494C" w:rsidP="00DC0E8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DC0E8A">
              <w:rPr>
                <w:rFonts w:asciiTheme="minorHAnsi" w:hAnsiTheme="minorHAnsi"/>
                <w:i/>
                <w:sz w:val="16"/>
                <w:szCs w:val="16"/>
              </w:rPr>
              <w:t>Australia</w:t>
            </w:r>
            <w:r w:rsidR="0022014A">
              <w:rPr>
                <w:rFonts w:asciiTheme="minorHAnsi" w:hAnsiTheme="minorHAnsi"/>
                <w:i/>
                <w:sz w:val="16"/>
                <w:szCs w:val="16"/>
              </w:rPr>
              <w:t>n</w:t>
            </w:r>
            <w:r w:rsidRPr="00DC0E8A">
              <w:rPr>
                <w:rFonts w:asciiTheme="minorHAnsi" w:hAnsiTheme="minorHAnsi"/>
                <w:i/>
                <w:sz w:val="16"/>
                <w:szCs w:val="16"/>
              </w:rPr>
              <w:t xml:space="preserve"> Fed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eral Integrity Commission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-68.2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-68.5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-69.1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-70.0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-71.2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-72.6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-74.5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-76.7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-79.3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-82.0</w:t>
            </w:r>
          </w:p>
        </w:tc>
        <w:tc>
          <w:tcPr>
            <w:tcW w:w="392" w:type="pct"/>
            <w:vAlign w:val="center"/>
          </w:tcPr>
          <w:p w:rsidR="0017494C" w:rsidRPr="00D45238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4"/>
                <w:szCs w:val="14"/>
              </w:rPr>
            </w:pPr>
            <w:r w:rsidRPr="00F65DAF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-207.5</w:t>
            </w:r>
          </w:p>
        </w:tc>
        <w:tc>
          <w:tcPr>
            <w:tcW w:w="394" w:type="pct"/>
            <w:vAlign w:val="center"/>
          </w:tcPr>
          <w:p w:rsidR="0017494C" w:rsidRPr="00D45238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4"/>
                <w:szCs w:val="14"/>
              </w:rPr>
            </w:pPr>
            <w:r w:rsidRPr="00F65DAF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-733.8</w:t>
            </w:r>
          </w:p>
        </w:tc>
      </w:tr>
      <w:tr w:rsidR="0017494C" w:rsidRPr="009F2A5C" w:rsidTr="0017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pct"/>
            <w:vAlign w:val="center"/>
          </w:tcPr>
          <w:p w:rsidR="0017494C" w:rsidRPr="00AF1365" w:rsidRDefault="0017494C" w:rsidP="00DC0E8A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DC0E8A">
              <w:rPr>
                <w:rFonts w:asciiTheme="minorHAnsi" w:hAnsiTheme="minorHAnsi"/>
                <w:i/>
                <w:sz w:val="16"/>
                <w:szCs w:val="16"/>
              </w:rPr>
              <w:t xml:space="preserve">Commonwealth Parliamentary Standards Commissioner 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-3.8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-3.8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-3.8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-3.9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-4.0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-4.0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392" w:type="pct"/>
            <w:vAlign w:val="center"/>
          </w:tcPr>
          <w:p w:rsidR="0017494C" w:rsidRPr="00D45238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4"/>
                <w:szCs w:val="14"/>
              </w:rPr>
            </w:pPr>
            <w:r w:rsidRPr="00F65DAF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-11.5</w:t>
            </w:r>
          </w:p>
        </w:tc>
        <w:tc>
          <w:tcPr>
            <w:tcW w:w="394" w:type="pct"/>
            <w:vAlign w:val="center"/>
          </w:tcPr>
          <w:p w:rsidR="0017494C" w:rsidRPr="00D45238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4"/>
                <w:szCs w:val="14"/>
              </w:rPr>
            </w:pPr>
            <w:r w:rsidRPr="00F65DAF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-39.4</w:t>
            </w:r>
          </w:p>
        </w:tc>
      </w:tr>
      <w:tr w:rsidR="0017494C" w:rsidRPr="009F2A5C" w:rsidTr="0017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pct"/>
            <w:vAlign w:val="center"/>
          </w:tcPr>
          <w:p w:rsidR="0017494C" w:rsidRPr="00AF1365" w:rsidRDefault="0017494C" w:rsidP="00272994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i/>
                <w:sz w:val="16"/>
                <w:szCs w:val="16"/>
              </w:rPr>
            </w:pPr>
            <w:r w:rsidRPr="00EE1E5A">
              <w:rPr>
                <w:rFonts w:asciiTheme="minorHAnsi" w:hAnsiTheme="minorHAnsi"/>
                <w:i/>
                <w:sz w:val="16"/>
                <w:szCs w:val="16"/>
              </w:rPr>
              <w:t>Australian Commission for Law Enforcement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Integrity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i/>
                <w:iCs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392" w:type="pct"/>
            <w:vAlign w:val="center"/>
          </w:tcPr>
          <w:p w:rsidR="0017494C" w:rsidRPr="00D45238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4"/>
                <w:szCs w:val="14"/>
              </w:rPr>
            </w:pPr>
            <w:r w:rsidRPr="00F65DAF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31.7</w:t>
            </w:r>
          </w:p>
        </w:tc>
        <w:tc>
          <w:tcPr>
            <w:tcW w:w="394" w:type="pct"/>
            <w:vAlign w:val="center"/>
          </w:tcPr>
          <w:p w:rsidR="0017494C" w:rsidRPr="00D45238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Cs/>
                <w:color w:val="000000"/>
                <w:sz w:val="14"/>
                <w:szCs w:val="14"/>
              </w:rPr>
            </w:pPr>
            <w:r w:rsidRPr="00F65DAF">
              <w:rPr>
                <w:rFonts w:ascii="Calibri" w:hAnsi="Calibri"/>
                <w:b/>
                <w:i/>
                <w:iCs/>
                <w:color w:val="000000"/>
                <w:sz w:val="16"/>
                <w:szCs w:val="16"/>
              </w:rPr>
              <w:t>117.4</w:t>
            </w:r>
          </w:p>
        </w:tc>
      </w:tr>
      <w:tr w:rsidR="0017494C" w:rsidRPr="009F2A5C" w:rsidTr="0017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pct"/>
            <w:vAlign w:val="center"/>
          </w:tcPr>
          <w:p w:rsidR="0017494C" w:rsidRPr="00456006" w:rsidRDefault="0017494C" w:rsidP="00272994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456006">
              <w:rPr>
                <w:rFonts w:asciiTheme="minorHAnsi" w:hAnsiTheme="minorHAnsi"/>
                <w:b/>
                <w:i/>
                <w:sz w:val="16"/>
                <w:szCs w:val="16"/>
              </w:rPr>
              <w:t>Total departmental expenses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-2.0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-61.5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-61.8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-62.3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-63.1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-64.0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-65.0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-66.5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-68.1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-70.0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-71.9</w:t>
            </w:r>
          </w:p>
        </w:tc>
        <w:tc>
          <w:tcPr>
            <w:tcW w:w="392" w:type="pct"/>
            <w:vAlign w:val="center"/>
          </w:tcPr>
          <w:p w:rsidR="0017494C" w:rsidRPr="00D45238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4"/>
                <w:szCs w:val="14"/>
              </w:rPr>
            </w:pPr>
            <w:r w:rsidRPr="00D4523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-187.3</w:t>
            </w:r>
          </w:p>
        </w:tc>
        <w:tc>
          <w:tcPr>
            <w:tcW w:w="394" w:type="pct"/>
            <w:vAlign w:val="center"/>
          </w:tcPr>
          <w:p w:rsidR="0017494C" w:rsidRPr="00D45238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  <w:sz w:val="14"/>
                <w:szCs w:val="14"/>
              </w:rPr>
            </w:pPr>
            <w:r w:rsidRPr="00D4523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</w:rPr>
              <w:t>-655.8</w:t>
            </w:r>
          </w:p>
        </w:tc>
      </w:tr>
      <w:tr w:rsidR="0017494C" w:rsidRPr="009F2A5C" w:rsidTr="0017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pct"/>
            <w:vAlign w:val="center"/>
          </w:tcPr>
          <w:p w:rsidR="0017494C" w:rsidRDefault="0017494C" w:rsidP="00272994">
            <w:pPr>
              <w:pStyle w:val="TableText"/>
              <w:keepNext/>
              <w:widowControl w:val="0"/>
              <w:tabs>
                <w:tab w:val="left" w:pos="9356"/>
              </w:tabs>
              <w:spacing w:line="240" w:lineRule="auto"/>
              <w:ind w:left="-57" w:right="-57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-2.0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-61.5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-61.8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-62.3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-63.1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-64.0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-65.0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-66.5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-68.1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-70.0</w:t>
            </w:r>
          </w:p>
        </w:tc>
        <w:tc>
          <w:tcPr>
            <w:tcW w:w="290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-71.9</w:t>
            </w:r>
          </w:p>
        </w:tc>
        <w:tc>
          <w:tcPr>
            <w:tcW w:w="392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-187.3</w:t>
            </w:r>
          </w:p>
        </w:tc>
        <w:tc>
          <w:tcPr>
            <w:tcW w:w="394" w:type="pct"/>
            <w:vAlign w:val="center"/>
          </w:tcPr>
          <w:p w:rsidR="0017494C" w:rsidRPr="00B526CC" w:rsidRDefault="0017494C">
            <w:pPr>
              <w:spacing w:before="70" w:after="70"/>
              <w:ind w:left="-57"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-655.8</w:t>
            </w:r>
          </w:p>
        </w:tc>
      </w:tr>
    </w:tbl>
    <w:p w:rsidR="006C7EB8" w:rsidRPr="00D8306A" w:rsidRDefault="006C7EB8" w:rsidP="006C7EB8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(a)</w:t>
      </w:r>
      <w:r w:rsidRPr="00D8306A">
        <w:rPr>
          <w:sz w:val="16"/>
          <w:szCs w:val="16"/>
        </w:rPr>
        <w:tab/>
        <w:t>A positive number for the fiscal balance indicates an increase in revenue or a decrease in expenses or net capital investment in accrual terms.  A negative number for the fiscal balance indicates a decrease in revenue or an increase in expenses or net capital investment in accrual terms.</w:t>
      </w:r>
      <w:r>
        <w:rPr>
          <w:sz w:val="16"/>
          <w:szCs w:val="16"/>
        </w:rPr>
        <w:t xml:space="preserve">  </w:t>
      </w:r>
      <w:r w:rsidRPr="00D8306A">
        <w:rPr>
          <w:sz w:val="16"/>
          <w:szCs w:val="16"/>
        </w:rPr>
        <w:t xml:space="preserve">A positive number for the </w:t>
      </w:r>
      <w:r>
        <w:rPr>
          <w:sz w:val="16"/>
          <w:szCs w:val="16"/>
        </w:rPr>
        <w:t xml:space="preserve">underlying cash </w:t>
      </w:r>
      <w:r w:rsidRPr="00D8306A">
        <w:rPr>
          <w:sz w:val="16"/>
          <w:szCs w:val="16"/>
        </w:rPr>
        <w:t xml:space="preserve">balance indicates an increase in revenue or a decrease in expenses or net capital investment in accrual terms.  A negative number for the </w:t>
      </w:r>
      <w:r>
        <w:rPr>
          <w:sz w:val="16"/>
          <w:szCs w:val="16"/>
        </w:rPr>
        <w:t xml:space="preserve">underlying cash </w:t>
      </w:r>
      <w:r w:rsidRPr="00D8306A">
        <w:rPr>
          <w:sz w:val="16"/>
          <w:szCs w:val="16"/>
        </w:rPr>
        <w:t xml:space="preserve">balance indicates a decrease in revenue or an increase in expenses or net capital investment in accrual terms.  </w:t>
      </w:r>
    </w:p>
    <w:p w:rsidR="006C7EB8" w:rsidRPr="00D8306A" w:rsidRDefault="006C7EB8" w:rsidP="006C7EB8">
      <w:pPr>
        <w:keepNext/>
        <w:widowControl w:val="0"/>
        <w:tabs>
          <w:tab w:val="left" w:pos="9356"/>
        </w:tabs>
        <w:spacing w:line="260" w:lineRule="atLeast"/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(b)</w:t>
      </w:r>
      <w:r w:rsidRPr="00D8306A">
        <w:rPr>
          <w:sz w:val="16"/>
          <w:szCs w:val="16"/>
        </w:rPr>
        <w:tab/>
        <w:t>Figures may not sum to totals due to rounding.</w:t>
      </w:r>
    </w:p>
    <w:p w:rsidR="006C7EB8" w:rsidRDefault="006C7EB8" w:rsidP="006C7EB8">
      <w:pPr>
        <w:pStyle w:val="TableFootnotes"/>
        <w:keepLines w:val="0"/>
        <w:numPr>
          <w:ilvl w:val="0"/>
          <w:numId w:val="11"/>
        </w:numPr>
        <w:tabs>
          <w:tab w:val="left" w:pos="9356"/>
        </w:tabs>
        <w:ind w:left="284" w:hanging="284"/>
        <w:rPr>
          <w:sz w:val="16"/>
          <w:szCs w:val="16"/>
        </w:rPr>
      </w:pPr>
      <w:r w:rsidRPr="00D8306A">
        <w:rPr>
          <w:sz w:val="16"/>
          <w:szCs w:val="16"/>
        </w:rPr>
        <w:t>Indicates nil.</w:t>
      </w:r>
    </w:p>
    <w:p w:rsidR="00EE1E5A" w:rsidRDefault="00EE1E5A" w:rsidP="00131861">
      <w:pPr>
        <w:pStyle w:val="BodyText"/>
      </w:pPr>
    </w:p>
    <w:sectPr w:rsidR="00EE1E5A" w:rsidSect="00131861">
      <w:footerReference w:type="default" r:id="rId14"/>
      <w:pgSz w:w="11907" w:h="16839" w:code="9"/>
      <w:pgMar w:top="1134" w:right="992" w:bottom="1134" w:left="992" w:header="28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94" w:rsidRDefault="00272994" w:rsidP="00A20802">
      <w:pPr>
        <w:spacing w:line="240" w:lineRule="auto"/>
      </w:pPr>
      <w:r>
        <w:separator/>
      </w:r>
    </w:p>
    <w:p w:rsidR="00272994" w:rsidRDefault="00272994"/>
    <w:p w:rsidR="00272994" w:rsidRDefault="00272994"/>
  </w:endnote>
  <w:endnote w:type="continuationSeparator" w:id="0">
    <w:p w:rsidR="00272994" w:rsidRDefault="00272994" w:rsidP="00A20802">
      <w:pPr>
        <w:spacing w:line="240" w:lineRule="auto"/>
      </w:pPr>
      <w:r>
        <w:continuationSeparator/>
      </w:r>
    </w:p>
    <w:p w:rsidR="00272994" w:rsidRDefault="00272994"/>
    <w:p w:rsidR="00272994" w:rsidRDefault="00272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94" w:rsidRPr="00015E04" w:rsidRDefault="00684A62" w:rsidP="0042553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 w:rsidRPr="00DD281D">
      <w:rPr>
        <w:rStyle w:val="FooterChar"/>
        <w:rFonts w:ascii="Calibri" w:hAnsi="Calibri" w:cs="Arial"/>
        <w:b/>
      </w:rPr>
      <w:t>PBO</w:t>
    </w:r>
    <w:r>
      <w:rPr>
        <w:rStyle w:val="FooterChar"/>
        <w:rFonts w:ascii="Calibri" w:hAnsi="Calibri" w:cs="Arial"/>
        <w:b/>
      </w:rPr>
      <w:t xml:space="preserve"> reference </w:t>
    </w:r>
    <w:r w:rsidRPr="003E41B2">
      <w:rPr>
        <w:rStyle w:val="FooterChar"/>
        <w:rFonts w:ascii="Calibri" w:hAnsi="Calibri" w:cs="Arial"/>
        <w:b/>
      </w:rPr>
      <w:t>PR</w:t>
    </w:r>
    <w:r>
      <w:rPr>
        <w:rStyle w:val="FooterChar"/>
        <w:rFonts w:ascii="Calibri" w:hAnsi="Calibri" w:cs="Arial"/>
        <w:b/>
      </w:rPr>
      <w:t>20</w:t>
    </w:r>
    <w:r w:rsidRPr="003E41B2">
      <w:rPr>
        <w:rStyle w:val="FooterChar"/>
        <w:rFonts w:ascii="Calibri" w:hAnsi="Calibri" w:cs="Arial"/>
        <w:b/>
      </w:rPr>
      <w:t>/00</w:t>
    </w:r>
    <w:r>
      <w:rPr>
        <w:rStyle w:val="FooterChar"/>
        <w:rFonts w:ascii="Calibri" w:hAnsi="Calibri" w:cs="Arial"/>
        <w:b/>
      </w:rPr>
      <w:t>1</w:t>
    </w:r>
    <w:r w:rsidR="009D3CE7">
      <w:rPr>
        <w:rStyle w:val="FooterChar"/>
        <w:rFonts w:ascii="Calibri" w:hAnsi="Calibri" w:cs="Arial"/>
        <w:b/>
      </w:rPr>
      <w:t>47</w:t>
    </w:r>
    <w:r w:rsidR="00272994"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="00272994" w:rsidRPr="00E8242F">
      <w:rPr>
        <w:rStyle w:val="FooterChar"/>
        <w:rFonts w:ascii="Calibri" w:hAnsi="Calibri" w:cs="Arial"/>
        <w:b/>
        <w:strike/>
        <w:color w:val="FF0000"/>
        <w:sz w:val="36"/>
        <w:szCs w:val="36"/>
      </w:rPr>
      <w:t>OFFICIAL: Sensitive</w:t>
    </w:r>
    <w:r w:rsidR="00272994"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="00272994" w:rsidRPr="002C4DA6">
      <w:rPr>
        <w:rStyle w:val="FooterChar"/>
        <w:b/>
      </w:rPr>
      <w:t xml:space="preserve">Page </w:t>
    </w:r>
    <w:r w:rsidR="00272994" w:rsidRPr="002C4DA6">
      <w:rPr>
        <w:rStyle w:val="FooterChar"/>
        <w:b/>
      </w:rPr>
      <w:fldChar w:fldCharType="begin"/>
    </w:r>
    <w:r w:rsidR="00272994" w:rsidRPr="002C4DA6">
      <w:rPr>
        <w:rStyle w:val="FooterChar"/>
        <w:b/>
      </w:rPr>
      <w:instrText xml:space="preserve"> PAGE  \* Arabic  \* MERGEFORMAT </w:instrText>
    </w:r>
    <w:r w:rsidR="00272994" w:rsidRPr="002C4DA6">
      <w:rPr>
        <w:rStyle w:val="FooterChar"/>
        <w:b/>
      </w:rPr>
      <w:fldChar w:fldCharType="separate"/>
    </w:r>
    <w:r w:rsidR="00BE7E49">
      <w:rPr>
        <w:rStyle w:val="FooterChar"/>
        <w:b/>
        <w:noProof/>
      </w:rPr>
      <w:t>3</w:t>
    </w:r>
    <w:r w:rsidR="00272994" w:rsidRPr="002C4DA6">
      <w:rPr>
        <w:rStyle w:val="FooterChar"/>
        <w:b/>
      </w:rPr>
      <w:fldChar w:fldCharType="end"/>
    </w:r>
    <w:r w:rsidR="00272994" w:rsidRPr="002C4DA6">
      <w:rPr>
        <w:rStyle w:val="FooterChar"/>
        <w:b/>
      </w:rPr>
      <w:t xml:space="preserve"> of </w:t>
    </w:r>
    <w:r w:rsidR="00256605">
      <w:rPr>
        <w:rStyle w:val="FooterChar"/>
        <w:b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94" w:rsidRPr="007A47D0" w:rsidRDefault="00272994" w:rsidP="00015E04">
    <w:pPr>
      <w:pStyle w:val="Footer"/>
      <w:tabs>
        <w:tab w:val="center" w:pos="4536"/>
        <w:tab w:val="right" w:pos="9072"/>
      </w:tabs>
      <w:spacing w:before="120"/>
      <w:rPr>
        <w:rFonts w:ascii="Calibri" w:hAnsi="Calibri" w:cs="Arial"/>
        <w:color w:val="FF0000"/>
        <w:sz w:val="40"/>
        <w:szCs w:val="40"/>
      </w:rPr>
    </w:pPr>
    <w:r w:rsidRPr="00DD281D">
      <w:rPr>
        <w:rStyle w:val="FooterChar"/>
        <w:rFonts w:ascii="Calibri" w:hAnsi="Calibri" w:cs="Arial"/>
        <w:b/>
      </w:rPr>
      <w:t>PBO</w:t>
    </w:r>
    <w:r>
      <w:rPr>
        <w:rStyle w:val="FooterChar"/>
        <w:rFonts w:ascii="Calibri" w:hAnsi="Calibri" w:cs="Arial"/>
        <w:b/>
      </w:rPr>
      <w:t xml:space="preserve"> reference </w:t>
    </w:r>
    <w:r w:rsidRPr="003E41B2">
      <w:rPr>
        <w:rStyle w:val="FooterChar"/>
        <w:rFonts w:ascii="Calibri" w:hAnsi="Calibri" w:cs="Arial"/>
        <w:b/>
      </w:rPr>
      <w:t>PR</w:t>
    </w:r>
    <w:r>
      <w:rPr>
        <w:rStyle w:val="FooterChar"/>
        <w:rFonts w:ascii="Calibri" w:hAnsi="Calibri" w:cs="Arial"/>
        <w:b/>
      </w:rPr>
      <w:t>20</w:t>
    </w:r>
    <w:r w:rsidRPr="003E41B2">
      <w:rPr>
        <w:rStyle w:val="FooterChar"/>
        <w:rFonts w:ascii="Calibri" w:hAnsi="Calibri" w:cs="Arial"/>
        <w:b/>
      </w:rPr>
      <w:t>/00</w:t>
    </w:r>
    <w:r>
      <w:rPr>
        <w:rStyle w:val="FooterChar"/>
        <w:rFonts w:ascii="Calibri" w:hAnsi="Calibri" w:cs="Arial"/>
        <w:b/>
      </w:rPr>
      <w:t>1</w:t>
    </w:r>
    <w:r w:rsidR="009D3CE7">
      <w:rPr>
        <w:rStyle w:val="FooterChar"/>
        <w:rFonts w:ascii="Calibri" w:hAnsi="Calibri" w:cs="Arial"/>
        <w:b/>
      </w:rPr>
      <w:t>47</w:t>
    </w:r>
    <w:r w:rsidRPr="009B70E6">
      <w:rPr>
        <w:rStyle w:val="FooterChar"/>
        <w:rFonts w:ascii="Calibri" w:hAnsi="Calibri" w:cs="Arial"/>
        <w:b/>
        <w:sz w:val="20"/>
        <w:szCs w:val="20"/>
      </w:rPr>
      <w:tab/>
    </w:r>
    <w:r w:rsidRPr="00E8242F">
      <w:rPr>
        <w:rStyle w:val="FooterChar"/>
        <w:rFonts w:ascii="Calibri" w:hAnsi="Calibri" w:cs="Arial"/>
        <w:b/>
        <w:strike/>
        <w:color w:val="FF0000"/>
        <w:sz w:val="36"/>
        <w:szCs w:val="36"/>
      </w:rPr>
      <w:t>OFFICIAL: Sensitive</w:t>
    </w:r>
    <w:r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Pr="002C4DA6">
      <w:rPr>
        <w:rStyle w:val="FooterChar"/>
        <w:b/>
      </w:rPr>
      <w:t xml:space="preserve">Page </w:t>
    </w:r>
    <w:r w:rsidRPr="002C4DA6">
      <w:rPr>
        <w:rStyle w:val="FooterChar"/>
        <w:b/>
      </w:rPr>
      <w:fldChar w:fldCharType="begin"/>
    </w:r>
    <w:r w:rsidRPr="002C4DA6">
      <w:rPr>
        <w:rStyle w:val="FooterChar"/>
        <w:b/>
      </w:rPr>
      <w:instrText xml:space="preserve"> PAGE  \* Arabic  \* MERGEFORMAT </w:instrText>
    </w:r>
    <w:r w:rsidRPr="002C4DA6">
      <w:rPr>
        <w:rStyle w:val="FooterChar"/>
        <w:b/>
      </w:rPr>
      <w:fldChar w:fldCharType="separate"/>
    </w:r>
    <w:r w:rsidR="00BE7E49">
      <w:rPr>
        <w:rStyle w:val="FooterChar"/>
        <w:b/>
        <w:noProof/>
      </w:rPr>
      <w:t>1</w:t>
    </w:r>
    <w:r w:rsidRPr="002C4DA6">
      <w:rPr>
        <w:rStyle w:val="FooterChar"/>
        <w:b/>
      </w:rPr>
      <w:fldChar w:fldCharType="end"/>
    </w:r>
    <w:r w:rsidRPr="002C4DA6">
      <w:rPr>
        <w:rStyle w:val="FooterChar"/>
        <w:b/>
      </w:rPr>
      <w:t xml:space="preserve"> of </w:t>
    </w:r>
    <w:r w:rsidR="00256605">
      <w:rPr>
        <w:rStyle w:val="FooterChar"/>
        <w:b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94" w:rsidRPr="00015E04" w:rsidRDefault="00684A62" w:rsidP="002E5CE6">
    <w:pPr>
      <w:pStyle w:val="Footer"/>
      <w:tabs>
        <w:tab w:val="center" w:pos="4962"/>
        <w:tab w:val="right" w:pos="9923"/>
      </w:tabs>
      <w:spacing w:before="120"/>
      <w:rPr>
        <w:rFonts w:ascii="Calibri" w:hAnsi="Calibri" w:cs="Arial"/>
        <w:color w:val="FF0000"/>
        <w:sz w:val="40"/>
        <w:szCs w:val="40"/>
      </w:rPr>
    </w:pPr>
    <w:r w:rsidRPr="00DD281D">
      <w:rPr>
        <w:rStyle w:val="FooterChar"/>
        <w:rFonts w:ascii="Calibri" w:hAnsi="Calibri" w:cs="Arial"/>
        <w:b/>
      </w:rPr>
      <w:t>PBO</w:t>
    </w:r>
    <w:r>
      <w:rPr>
        <w:rStyle w:val="FooterChar"/>
        <w:rFonts w:ascii="Calibri" w:hAnsi="Calibri" w:cs="Arial"/>
        <w:b/>
      </w:rPr>
      <w:t xml:space="preserve"> reference </w:t>
    </w:r>
    <w:r w:rsidRPr="003E41B2">
      <w:rPr>
        <w:rStyle w:val="FooterChar"/>
        <w:rFonts w:ascii="Calibri" w:hAnsi="Calibri" w:cs="Arial"/>
        <w:b/>
      </w:rPr>
      <w:t>PR</w:t>
    </w:r>
    <w:r>
      <w:rPr>
        <w:rStyle w:val="FooterChar"/>
        <w:rFonts w:ascii="Calibri" w:hAnsi="Calibri" w:cs="Arial"/>
        <w:b/>
      </w:rPr>
      <w:t>20</w:t>
    </w:r>
    <w:r w:rsidRPr="003E41B2">
      <w:rPr>
        <w:rStyle w:val="FooterChar"/>
        <w:rFonts w:ascii="Calibri" w:hAnsi="Calibri" w:cs="Arial"/>
        <w:b/>
      </w:rPr>
      <w:t>/00</w:t>
    </w:r>
    <w:r w:rsidR="009D3CE7">
      <w:rPr>
        <w:rStyle w:val="FooterChar"/>
        <w:rFonts w:ascii="Calibri" w:hAnsi="Calibri" w:cs="Arial"/>
        <w:b/>
      </w:rPr>
      <w:t>147</w:t>
    </w:r>
    <w:r w:rsidR="00272994"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="00272994" w:rsidRPr="00E8242F">
      <w:rPr>
        <w:rStyle w:val="FooterChar"/>
        <w:rFonts w:ascii="Calibri" w:hAnsi="Calibri" w:cs="Arial"/>
        <w:b/>
        <w:strike/>
        <w:color w:val="FF0000"/>
        <w:sz w:val="36"/>
        <w:szCs w:val="36"/>
      </w:rPr>
      <w:t>OFFICIAL: Sensitive</w:t>
    </w:r>
    <w:r w:rsidR="00272994">
      <w:rPr>
        <w:rStyle w:val="FooterChar"/>
        <w:rFonts w:ascii="Calibri" w:hAnsi="Calibri" w:cs="Arial"/>
        <w:b/>
        <w:color w:val="FF0000"/>
        <w:sz w:val="40"/>
        <w:szCs w:val="40"/>
      </w:rPr>
      <w:tab/>
    </w:r>
    <w:r w:rsidR="00272994" w:rsidRPr="002C4DA6">
      <w:rPr>
        <w:rStyle w:val="FooterChar"/>
        <w:b/>
      </w:rPr>
      <w:t xml:space="preserve">Page </w:t>
    </w:r>
    <w:r w:rsidR="00272994" w:rsidRPr="002C4DA6">
      <w:rPr>
        <w:rStyle w:val="FooterChar"/>
        <w:b/>
      </w:rPr>
      <w:fldChar w:fldCharType="begin"/>
    </w:r>
    <w:r w:rsidR="00272994" w:rsidRPr="002C4DA6">
      <w:rPr>
        <w:rStyle w:val="FooterChar"/>
        <w:b/>
      </w:rPr>
      <w:instrText xml:space="preserve"> PAGE  \* Arabic  \* MERGEFORMAT </w:instrText>
    </w:r>
    <w:r w:rsidR="00272994" w:rsidRPr="002C4DA6">
      <w:rPr>
        <w:rStyle w:val="FooterChar"/>
        <w:b/>
      </w:rPr>
      <w:fldChar w:fldCharType="separate"/>
    </w:r>
    <w:r w:rsidR="00BE7E49">
      <w:rPr>
        <w:rStyle w:val="FooterChar"/>
        <w:b/>
        <w:noProof/>
      </w:rPr>
      <w:t>7</w:t>
    </w:r>
    <w:r w:rsidR="00272994" w:rsidRPr="002C4DA6">
      <w:rPr>
        <w:rStyle w:val="FooterChar"/>
        <w:b/>
      </w:rPr>
      <w:fldChar w:fldCharType="end"/>
    </w:r>
    <w:r w:rsidR="00272994" w:rsidRPr="002C4DA6">
      <w:rPr>
        <w:rStyle w:val="FooterChar"/>
        <w:b/>
      </w:rPr>
      <w:t xml:space="preserve"> of </w:t>
    </w:r>
    <w:r w:rsidR="00256605">
      <w:rPr>
        <w:rStyle w:val="FooterChar"/>
        <w:b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94" w:rsidRPr="000557A7" w:rsidRDefault="00272994" w:rsidP="008D5A11">
      <w:pPr>
        <w:pBdr>
          <w:top w:val="single" w:sz="4" w:space="1" w:color="auto"/>
        </w:pBdr>
        <w:spacing w:before="240" w:line="60" w:lineRule="exact"/>
        <w:rPr>
          <w:sz w:val="16"/>
          <w:szCs w:val="16"/>
        </w:rPr>
      </w:pPr>
    </w:p>
  </w:footnote>
  <w:footnote w:type="continuationSeparator" w:id="0">
    <w:p w:rsidR="00272994" w:rsidRDefault="00272994" w:rsidP="00A20802">
      <w:pPr>
        <w:spacing w:line="240" w:lineRule="auto"/>
      </w:pPr>
      <w:r>
        <w:continuationSeparator/>
      </w:r>
    </w:p>
    <w:p w:rsidR="00272994" w:rsidRDefault="00272994"/>
    <w:p w:rsidR="00272994" w:rsidRDefault="00272994"/>
  </w:footnote>
  <w:footnote w:id="1">
    <w:p w:rsidR="00272994" w:rsidRDefault="00272994">
      <w:pPr>
        <w:pStyle w:val="FootnoteText"/>
      </w:pPr>
      <w:r>
        <w:rPr>
          <w:rStyle w:val="FootnoteReference"/>
        </w:rPr>
        <w:footnoteRef/>
      </w:r>
      <w:r>
        <w:t xml:space="preserve"> All other operational expense amounts were explicitly specified in the proposal.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05" w:rsidRDefault="00704170" w:rsidP="00704170">
    <w:pPr>
      <w:pStyle w:val="Header"/>
      <w:jc w:val="center"/>
    </w:pPr>
    <w:r w:rsidRPr="00E8242F">
      <w:rPr>
        <w:rStyle w:val="FooterChar"/>
        <w:rFonts w:ascii="Calibri" w:hAnsi="Calibri" w:cs="Arial"/>
        <w:strike/>
        <w:color w:val="FF0000"/>
        <w:sz w:val="36"/>
        <w:szCs w:val="36"/>
      </w:rPr>
      <w:t>OFFICIAL: Sensitive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94" w:rsidRPr="00E8242F" w:rsidRDefault="00272994" w:rsidP="002C4DA6">
    <w:pPr>
      <w:pStyle w:val="Header"/>
      <w:jc w:val="center"/>
      <w:rPr>
        <w:rFonts w:ascii="Calibri" w:hAnsi="Calibri"/>
        <w:b/>
        <w:strike/>
        <w:color w:val="FF0000"/>
        <w:sz w:val="36"/>
        <w:szCs w:val="36"/>
      </w:rPr>
    </w:pPr>
    <w:r w:rsidRPr="00E8242F">
      <w:rPr>
        <w:rFonts w:ascii="Calibri" w:hAnsi="Calibri"/>
        <w:b/>
        <w:strike/>
        <w:color w:val="FF0000"/>
        <w:sz w:val="36"/>
        <w:szCs w:val="36"/>
      </w:rPr>
      <w:t>OFFICIAL: Sensitive</w:t>
    </w:r>
  </w:p>
  <w:p w:rsidR="00272994" w:rsidRPr="0046444F" w:rsidRDefault="00272994" w:rsidP="0046444F">
    <w:pPr>
      <w:pStyle w:val="Header"/>
    </w:pPr>
    <w:r>
      <w:rPr>
        <w:noProof/>
        <w:lang w:eastAsia="en-AU"/>
      </w:rPr>
      <w:drawing>
        <wp:inline distT="0" distB="0" distL="0" distR="0" wp14:anchorId="4C0B74A4" wp14:editId="6E86A139">
          <wp:extent cx="1934491" cy="5760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BO Logo In Line_Black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49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37FE"/>
    <w:multiLevelType w:val="multilevel"/>
    <w:tmpl w:val="2CA8A22A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907"/>
        </w:tabs>
        <w:ind w:left="907" w:hanging="453"/>
      </w:pPr>
      <w:rPr>
        <w:rFonts w:ascii="Calibri" w:hAnsi="Calibri" w:hint="default"/>
        <w:b w:val="0"/>
        <w:i w:val="0"/>
        <w:color w:val="auto"/>
        <w:position w:val="0"/>
        <w:sz w:val="22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color w:val="auto"/>
        <w:spacing w:val="0"/>
        <w:w w:val="100"/>
        <w:position w:val="1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">
    <w:nsid w:val="0D745448"/>
    <w:multiLevelType w:val="multilevel"/>
    <w:tmpl w:val="B9B27878"/>
    <w:name w:val="PBO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4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5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left"/>
      <w:pPr>
        <w:ind w:left="765" w:hanging="765"/>
      </w:pPr>
      <w:rPr>
        <w:rFonts w:hint="default"/>
      </w:rPr>
    </w:lvl>
  </w:abstractNum>
  <w:abstractNum w:abstractNumId="2">
    <w:nsid w:val="0FB2573F"/>
    <w:multiLevelType w:val="multilevel"/>
    <w:tmpl w:val="CCB018EE"/>
    <w:lvl w:ilvl="0">
      <w:start w:val="1"/>
      <w:numFmt w:val="lowerLetter"/>
      <w:pStyle w:val="TableFootnotes"/>
      <w:lvlText w:val="(%1)"/>
      <w:lvlJc w:val="left"/>
      <w:pPr>
        <w:ind w:left="360" w:hanging="360"/>
      </w:pPr>
      <w:rPr>
        <w:rFonts w:hint="default"/>
        <w:color w:val="auto"/>
        <w:spacing w:val="0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pacing w:val="0"/>
        <w:w w:val="100"/>
        <w:kern w:val="0"/>
        <w:position w:val="0"/>
      </w:rPr>
    </w:lvl>
    <w:lvl w:ilvl="2">
      <w:start w:val="1"/>
      <w:numFmt w:val="bullet"/>
      <w:lvlRestart w:val="1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709" w:firstLine="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lowerRoman"/>
      <w:lvlRestart w:val="1"/>
      <w:lvlText w:val="%7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7"/>
        </w:tabs>
        <w:ind w:left="737" w:hanging="368"/>
      </w:pPr>
      <w:rPr>
        <w:rFonts w:hint="default"/>
        <w:position w:val="0"/>
      </w:rPr>
    </w:lvl>
    <w:lvl w:ilvl="8">
      <w:start w:val="1"/>
      <w:numFmt w:val="bullet"/>
      <w:lvlText w:val=""/>
      <w:lvlJc w:val="left"/>
      <w:pPr>
        <w:tabs>
          <w:tab w:val="num" w:pos="1106"/>
        </w:tabs>
        <w:ind w:left="1106" w:hanging="369"/>
      </w:pPr>
      <w:rPr>
        <w:rFonts w:ascii="Symbol" w:hAnsi="Symbol" w:hint="default"/>
        <w:position w:val="2"/>
        <w:sz w:val="20"/>
        <w:szCs w:val="20"/>
      </w:rPr>
    </w:lvl>
  </w:abstractNum>
  <w:abstractNum w:abstractNumId="3">
    <w:nsid w:val="194A695C"/>
    <w:multiLevelType w:val="multilevel"/>
    <w:tmpl w:val="9710D28A"/>
    <w:name w:val="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color w:val="auto"/>
        <w:position w:val="2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</w:rPr>
    </w:lvl>
    <w:lvl w:ilvl="2">
      <w:start w:val="1"/>
      <w:numFmt w:val="bullet"/>
      <w:pStyle w:val="TableTextBullet3"/>
      <w:lvlText w:val="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  <w:color w:val="auto"/>
        <w:position w:val="1"/>
        <w:sz w:val="20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4">
    <w:nsid w:val="1A154848"/>
    <w:multiLevelType w:val="hybridMultilevel"/>
    <w:tmpl w:val="09B261B0"/>
    <w:lvl w:ilvl="0" w:tplc="0652CEDE">
      <w:start w:val="1"/>
      <w:numFmt w:val="bullet"/>
      <w:pStyle w:val="Lett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75442"/>
    <w:multiLevelType w:val="hybridMultilevel"/>
    <w:tmpl w:val="7E50674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580B"/>
    <w:multiLevelType w:val="multilevel"/>
    <w:tmpl w:val="A1605A0E"/>
    <w:name w:val="PullOutNumbering"/>
    <w:lvl w:ilvl="0">
      <w:start w:val="1"/>
      <w:numFmt w:val="decimal"/>
      <w:pStyle w:val="PullOutBoxNumber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>
      <w:start w:val="1"/>
      <w:numFmt w:val="lowerLetter"/>
      <w:pStyle w:val="PullOutBoxNumber2"/>
      <w:lvlText w:val="%2"/>
      <w:lvlJc w:val="left"/>
      <w:pPr>
        <w:tabs>
          <w:tab w:val="num" w:pos="964"/>
        </w:tabs>
        <w:ind w:left="964" w:hanging="340"/>
      </w:pPr>
      <w:rPr>
        <w:rFonts w:hint="default"/>
        <w:color w:val="auto"/>
      </w:rPr>
    </w:lvl>
    <w:lvl w:ilvl="2">
      <w:start w:val="1"/>
      <w:numFmt w:val="lowerRoman"/>
      <w:pStyle w:val="PullOutBoxNumber3"/>
      <w:lvlText w:val="%3"/>
      <w:lvlJc w:val="left"/>
      <w:pPr>
        <w:tabs>
          <w:tab w:val="num" w:pos="1304"/>
        </w:tabs>
        <w:ind w:left="1304" w:hanging="340"/>
      </w:pPr>
      <w:rPr>
        <w:rFonts w:hint="default"/>
        <w:color w:val="auto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38723AD4"/>
    <w:multiLevelType w:val="multilevel"/>
    <w:tmpl w:val="CC2400A2"/>
    <w:name w:val="PullOutBullets"/>
    <w:lvl w:ilvl="0">
      <w:start w:val="1"/>
      <w:numFmt w:val="bullet"/>
      <w:pStyle w:val="PullOutBoxBullet"/>
      <w:lvlText w:val="•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964"/>
        </w:tabs>
        <w:ind w:left="964" w:hanging="340"/>
      </w:pPr>
      <w:rPr>
        <w:rFonts w:ascii="Calibri" w:hAnsi="Calibri" w:hint="default"/>
        <w:color w:val="auto"/>
        <w:sz w:val="22"/>
      </w:rPr>
    </w:lvl>
    <w:lvl w:ilvl="2">
      <w:start w:val="1"/>
      <w:numFmt w:val="bullet"/>
      <w:pStyle w:val="PullOutBoxBullet3"/>
      <w:lvlText w:val=""/>
      <w:lvlJc w:val="left"/>
      <w:pPr>
        <w:tabs>
          <w:tab w:val="num" w:pos="1304"/>
        </w:tabs>
        <w:ind w:left="1304" w:hanging="340"/>
      </w:pPr>
      <w:rPr>
        <w:rFonts w:ascii="Wingdings" w:hAnsi="Wingdings" w:hint="default"/>
        <w:color w:val="auto"/>
        <w:position w:val="0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E335DB6"/>
    <w:multiLevelType w:val="hybridMultilevel"/>
    <w:tmpl w:val="8E94282C"/>
    <w:lvl w:ilvl="0" w:tplc="535C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05370"/>
    <w:multiLevelType w:val="hybridMultilevel"/>
    <w:tmpl w:val="8BE68176"/>
    <w:name w:val="TableFootnotes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540A9"/>
    <w:multiLevelType w:val="multilevel"/>
    <w:tmpl w:val="E4D434E6"/>
    <w:name w:val="AppendicesNumbering"/>
    <w:lvl w:ilvl="0">
      <w:start w:val="1"/>
      <w:numFmt w:val="upperLetter"/>
      <w:lvlRestart w:val="0"/>
      <w:pStyle w:val="Heading8"/>
      <w:suff w:val="space"/>
      <w:lvlText w:val="Attachment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sz w:val="26"/>
      </w:rPr>
    </w:lvl>
    <w:lvl w:ilvl="2">
      <w:start w:val="1"/>
      <w:numFmt w:val="none"/>
      <w:pStyle w:val="AttachmentHeading2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Restart w:val="2"/>
      <w:pStyle w:val="AttachmentHeading3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765" w:hanging="765"/>
      </w:pPr>
      <w:rPr>
        <w:rFonts w:hint="default"/>
      </w:rPr>
    </w:lvl>
    <w:lvl w:ilvl="5">
      <w:start w:val="1"/>
      <w:numFmt w:val="none"/>
      <w:lvlText w:val=""/>
      <w:lvlJc w:val="right"/>
      <w:pPr>
        <w:ind w:left="765" w:hanging="765"/>
      </w:pPr>
      <w:rPr>
        <w:rFonts w:hint="default"/>
      </w:rPr>
    </w:lvl>
    <w:lvl w:ilvl="6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7">
      <w:start w:val="1"/>
      <w:numFmt w:val="none"/>
      <w:lvlText w:val=""/>
      <w:lvlJc w:val="left"/>
      <w:pPr>
        <w:ind w:left="765" w:hanging="765"/>
      </w:pPr>
      <w:rPr>
        <w:rFonts w:hint="default"/>
      </w:rPr>
    </w:lvl>
    <w:lvl w:ilvl="8">
      <w:start w:val="1"/>
      <w:numFmt w:val="none"/>
      <w:lvlText w:val=""/>
      <w:lvlJc w:val="right"/>
      <w:pPr>
        <w:ind w:left="765" w:hanging="765"/>
      </w:pPr>
      <w:rPr>
        <w:rFonts w:hint="default"/>
      </w:rPr>
    </w:lvl>
  </w:abstractNum>
  <w:abstractNum w:abstractNumId="11">
    <w:nsid w:val="6D1D40AC"/>
    <w:multiLevelType w:val="multilevel"/>
    <w:tmpl w:val="D18C6390"/>
    <w:name w:val="TableNumbering"/>
    <w:lvl w:ilvl="0">
      <w:start w:val="1"/>
      <w:numFmt w:val="decimal"/>
      <w:pStyle w:val="TableTextNumber"/>
      <w:lvlText w:val="%1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TextNumber2"/>
      <w:lvlText w:val="%2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2">
      <w:start w:val="1"/>
      <w:numFmt w:val="lowerRoman"/>
      <w:pStyle w:val="TableTextNumber3"/>
      <w:lvlText w:val="%3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70250B03"/>
    <w:multiLevelType w:val="multilevel"/>
    <w:tmpl w:val="5796740A"/>
    <w:name w:val="QuoteBullets"/>
    <w:lvl w:ilvl="0">
      <w:start w:val="1"/>
      <w:numFmt w:val="bullet"/>
      <w:pStyle w:val="Quote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  <w:sz w:val="18"/>
      </w:rPr>
    </w:lvl>
    <w:lvl w:ilvl="1">
      <w:start w:val="1"/>
      <w:numFmt w:val="bullet"/>
      <w:pStyle w:val="QuoteBullet2"/>
      <w:lvlText w:val="‒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9778B4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13">
    <w:nsid w:val="7839021E"/>
    <w:multiLevelType w:val="multilevel"/>
    <w:tmpl w:val="C186E662"/>
    <w:name w:val="ListNumbering"/>
    <w:lvl w:ilvl="0">
      <w:start w:val="1"/>
      <w:numFmt w:val="decimal"/>
      <w:pStyle w:val="ListNumber"/>
      <w:lvlText w:val="%1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pacing w:val="0"/>
        <w:sz w:val="22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907"/>
        </w:tabs>
        <w:ind w:left="907" w:hanging="453"/>
      </w:pPr>
      <w:rPr>
        <w:rFonts w:hint="default"/>
        <w:color w:val="auto"/>
        <w:spacing w:val="0"/>
        <w:sz w:val="22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endices" w:val="True"/>
    <w:docVar w:name="AppendixName" w:val="Attachment"/>
    <w:docVar w:name="Disclaimer" w:val="False"/>
    <w:docVar w:name="Foreword" w:val="True"/>
    <w:docVar w:name="Heading1Numbered" w:val="False"/>
    <w:docVar w:name="Heading2Numbered" w:val="False"/>
    <w:docVar w:name="Heading3Numbered" w:val="False"/>
    <w:docVar w:name="IsWordingOverview" w:val="True"/>
    <w:docVar w:name="NumberedBodyText" w:val="False"/>
    <w:docVar w:name="optHeading1OddPage" w:val="False"/>
    <w:docVar w:name="Overview" w:val="False"/>
    <w:docVar w:name="PageSetup" w:val="Double"/>
    <w:docVar w:name="RibbonLabel" w:val="Appendix"/>
    <w:docVar w:name="TOC" w:val="True"/>
    <w:docVar w:name="TOCNew" w:val="True"/>
    <w:docVar w:name="Version" w:val="Version 1"/>
  </w:docVars>
  <w:rsids>
    <w:rsidRoot w:val="00477B2D"/>
    <w:rsid w:val="0000071C"/>
    <w:rsid w:val="0000322C"/>
    <w:rsid w:val="00003CDD"/>
    <w:rsid w:val="00013620"/>
    <w:rsid w:val="0001406F"/>
    <w:rsid w:val="00015E04"/>
    <w:rsid w:val="000168A7"/>
    <w:rsid w:val="00016D53"/>
    <w:rsid w:val="000278D0"/>
    <w:rsid w:val="00027E62"/>
    <w:rsid w:val="000307C8"/>
    <w:rsid w:val="00030F73"/>
    <w:rsid w:val="00033326"/>
    <w:rsid w:val="00035ADE"/>
    <w:rsid w:val="0004224B"/>
    <w:rsid w:val="00046226"/>
    <w:rsid w:val="000505FB"/>
    <w:rsid w:val="0005330D"/>
    <w:rsid w:val="000557A7"/>
    <w:rsid w:val="00055805"/>
    <w:rsid w:val="00056CB3"/>
    <w:rsid w:val="0005793B"/>
    <w:rsid w:val="00061758"/>
    <w:rsid w:val="00065125"/>
    <w:rsid w:val="00066D54"/>
    <w:rsid w:val="00067A28"/>
    <w:rsid w:val="0007260F"/>
    <w:rsid w:val="000739CB"/>
    <w:rsid w:val="00073C89"/>
    <w:rsid w:val="0007488E"/>
    <w:rsid w:val="00077303"/>
    <w:rsid w:val="000805D5"/>
    <w:rsid w:val="0008103B"/>
    <w:rsid w:val="00085F97"/>
    <w:rsid w:val="000879B1"/>
    <w:rsid w:val="00092A33"/>
    <w:rsid w:val="000973F9"/>
    <w:rsid w:val="00097A23"/>
    <w:rsid w:val="000A0848"/>
    <w:rsid w:val="000A2FEC"/>
    <w:rsid w:val="000A348F"/>
    <w:rsid w:val="000B1B0C"/>
    <w:rsid w:val="000B2DE8"/>
    <w:rsid w:val="000B4345"/>
    <w:rsid w:val="000B5900"/>
    <w:rsid w:val="000B60AE"/>
    <w:rsid w:val="000B6942"/>
    <w:rsid w:val="000B6D00"/>
    <w:rsid w:val="000C09FA"/>
    <w:rsid w:val="000C1AB0"/>
    <w:rsid w:val="000C37A9"/>
    <w:rsid w:val="000C6728"/>
    <w:rsid w:val="000C702E"/>
    <w:rsid w:val="000D15E9"/>
    <w:rsid w:val="000D3182"/>
    <w:rsid w:val="000D45C4"/>
    <w:rsid w:val="000D46B3"/>
    <w:rsid w:val="000E18F3"/>
    <w:rsid w:val="000E19AC"/>
    <w:rsid w:val="000E266E"/>
    <w:rsid w:val="000E4C7B"/>
    <w:rsid w:val="000F1515"/>
    <w:rsid w:val="000F16B5"/>
    <w:rsid w:val="000F616E"/>
    <w:rsid w:val="000F7D50"/>
    <w:rsid w:val="00110D43"/>
    <w:rsid w:val="001159EA"/>
    <w:rsid w:val="00120A75"/>
    <w:rsid w:val="00125410"/>
    <w:rsid w:val="00130858"/>
    <w:rsid w:val="00131861"/>
    <w:rsid w:val="00136C26"/>
    <w:rsid w:val="0014059F"/>
    <w:rsid w:val="00141551"/>
    <w:rsid w:val="001417CE"/>
    <w:rsid w:val="0014479F"/>
    <w:rsid w:val="00146B30"/>
    <w:rsid w:val="00146EAD"/>
    <w:rsid w:val="001541BF"/>
    <w:rsid w:val="00154DC5"/>
    <w:rsid w:val="00160C8D"/>
    <w:rsid w:val="001616E8"/>
    <w:rsid w:val="001629C0"/>
    <w:rsid w:val="00162F0A"/>
    <w:rsid w:val="00165122"/>
    <w:rsid w:val="00165854"/>
    <w:rsid w:val="00166078"/>
    <w:rsid w:val="00166A15"/>
    <w:rsid w:val="001711BC"/>
    <w:rsid w:val="001738DB"/>
    <w:rsid w:val="001738F5"/>
    <w:rsid w:val="00173DFD"/>
    <w:rsid w:val="0017494C"/>
    <w:rsid w:val="00180FF9"/>
    <w:rsid w:val="0019204F"/>
    <w:rsid w:val="00195228"/>
    <w:rsid w:val="00195696"/>
    <w:rsid w:val="00196532"/>
    <w:rsid w:val="001A1EFC"/>
    <w:rsid w:val="001A48EF"/>
    <w:rsid w:val="001A49CC"/>
    <w:rsid w:val="001A5553"/>
    <w:rsid w:val="001A716E"/>
    <w:rsid w:val="001B18C6"/>
    <w:rsid w:val="001B2C65"/>
    <w:rsid w:val="001B4255"/>
    <w:rsid w:val="001B7058"/>
    <w:rsid w:val="001C3A4F"/>
    <w:rsid w:val="001C3C2A"/>
    <w:rsid w:val="001C4121"/>
    <w:rsid w:val="001C48DE"/>
    <w:rsid w:val="001C7F8D"/>
    <w:rsid w:val="001D30C1"/>
    <w:rsid w:val="001D52E3"/>
    <w:rsid w:val="001D576F"/>
    <w:rsid w:val="001D7C29"/>
    <w:rsid w:val="001E0475"/>
    <w:rsid w:val="001E33C2"/>
    <w:rsid w:val="001E708A"/>
    <w:rsid w:val="001F2AAD"/>
    <w:rsid w:val="001F538D"/>
    <w:rsid w:val="001F5C90"/>
    <w:rsid w:val="001F767C"/>
    <w:rsid w:val="001F7B10"/>
    <w:rsid w:val="00203A7B"/>
    <w:rsid w:val="002057EF"/>
    <w:rsid w:val="00205C6E"/>
    <w:rsid w:val="00210074"/>
    <w:rsid w:val="00210FCF"/>
    <w:rsid w:val="002179B6"/>
    <w:rsid w:val="0022014A"/>
    <w:rsid w:val="00222EFF"/>
    <w:rsid w:val="002240D5"/>
    <w:rsid w:val="002261A7"/>
    <w:rsid w:val="00226AEC"/>
    <w:rsid w:val="0023077A"/>
    <w:rsid w:val="0023196F"/>
    <w:rsid w:val="00235C95"/>
    <w:rsid w:val="002545F3"/>
    <w:rsid w:val="00256605"/>
    <w:rsid w:val="0026257E"/>
    <w:rsid w:val="0026344F"/>
    <w:rsid w:val="00266A17"/>
    <w:rsid w:val="00270372"/>
    <w:rsid w:val="00272994"/>
    <w:rsid w:val="00275534"/>
    <w:rsid w:val="00277075"/>
    <w:rsid w:val="002775D2"/>
    <w:rsid w:val="00281ADD"/>
    <w:rsid w:val="0028563E"/>
    <w:rsid w:val="00287823"/>
    <w:rsid w:val="0028792D"/>
    <w:rsid w:val="00293E0D"/>
    <w:rsid w:val="00293E80"/>
    <w:rsid w:val="002973B0"/>
    <w:rsid w:val="00297C14"/>
    <w:rsid w:val="002A220F"/>
    <w:rsid w:val="002A24F1"/>
    <w:rsid w:val="002A43A0"/>
    <w:rsid w:val="002A5778"/>
    <w:rsid w:val="002A6E3B"/>
    <w:rsid w:val="002B1C24"/>
    <w:rsid w:val="002B1E84"/>
    <w:rsid w:val="002B2085"/>
    <w:rsid w:val="002B3EC4"/>
    <w:rsid w:val="002C041C"/>
    <w:rsid w:val="002C287E"/>
    <w:rsid w:val="002C37D5"/>
    <w:rsid w:val="002C43C6"/>
    <w:rsid w:val="002C4DA6"/>
    <w:rsid w:val="002C60A0"/>
    <w:rsid w:val="002D0BAB"/>
    <w:rsid w:val="002D18E1"/>
    <w:rsid w:val="002D239A"/>
    <w:rsid w:val="002D34DB"/>
    <w:rsid w:val="002D48BE"/>
    <w:rsid w:val="002D4B11"/>
    <w:rsid w:val="002E5633"/>
    <w:rsid w:val="002E5CE6"/>
    <w:rsid w:val="002E5E37"/>
    <w:rsid w:val="002F1963"/>
    <w:rsid w:val="002F5B6E"/>
    <w:rsid w:val="002F61B5"/>
    <w:rsid w:val="00300066"/>
    <w:rsid w:val="0030209B"/>
    <w:rsid w:val="003116DE"/>
    <w:rsid w:val="00312494"/>
    <w:rsid w:val="003127E4"/>
    <w:rsid w:val="00312C42"/>
    <w:rsid w:val="00313215"/>
    <w:rsid w:val="00313DA1"/>
    <w:rsid w:val="003174C3"/>
    <w:rsid w:val="003230D5"/>
    <w:rsid w:val="0032557A"/>
    <w:rsid w:val="00326E3E"/>
    <w:rsid w:val="003318BA"/>
    <w:rsid w:val="003326F7"/>
    <w:rsid w:val="00340778"/>
    <w:rsid w:val="00343205"/>
    <w:rsid w:val="00344D2C"/>
    <w:rsid w:val="003458CE"/>
    <w:rsid w:val="00345A57"/>
    <w:rsid w:val="00346D90"/>
    <w:rsid w:val="00351F62"/>
    <w:rsid w:val="0035792C"/>
    <w:rsid w:val="003601F4"/>
    <w:rsid w:val="00360AE9"/>
    <w:rsid w:val="00361150"/>
    <w:rsid w:val="00365844"/>
    <w:rsid w:val="003671E2"/>
    <w:rsid w:val="00370320"/>
    <w:rsid w:val="00372AE6"/>
    <w:rsid w:val="00376705"/>
    <w:rsid w:val="00376C3A"/>
    <w:rsid w:val="0038082C"/>
    <w:rsid w:val="003837E1"/>
    <w:rsid w:val="0038542D"/>
    <w:rsid w:val="0038584D"/>
    <w:rsid w:val="0039257F"/>
    <w:rsid w:val="003931DE"/>
    <w:rsid w:val="00397D1A"/>
    <w:rsid w:val="003A163C"/>
    <w:rsid w:val="003A2B4E"/>
    <w:rsid w:val="003A2FBB"/>
    <w:rsid w:val="003A3799"/>
    <w:rsid w:val="003A4913"/>
    <w:rsid w:val="003A54A9"/>
    <w:rsid w:val="003A62A5"/>
    <w:rsid w:val="003A7083"/>
    <w:rsid w:val="003B2CF2"/>
    <w:rsid w:val="003B3103"/>
    <w:rsid w:val="003B38B3"/>
    <w:rsid w:val="003B3A97"/>
    <w:rsid w:val="003B3D44"/>
    <w:rsid w:val="003B47BC"/>
    <w:rsid w:val="003C2540"/>
    <w:rsid w:val="003C6BB5"/>
    <w:rsid w:val="003C7CC2"/>
    <w:rsid w:val="003D3379"/>
    <w:rsid w:val="003D50B6"/>
    <w:rsid w:val="003D78A2"/>
    <w:rsid w:val="003E05DF"/>
    <w:rsid w:val="003E1562"/>
    <w:rsid w:val="003E41B2"/>
    <w:rsid w:val="003E6085"/>
    <w:rsid w:val="003E6CA3"/>
    <w:rsid w:val="003F4C96"/>
    <w:rsid w:val="003F63F7"/>
    <w:rsid w:val="00401C49"/>
    <w:rsid w:val="00404CFE"/>
    <w:rsid w:val="00406002"/>
    <w:rsid w:val="004069EB"/>
    <w:rsid w:val="00406AD3"/>
    <w:rsid w:val="00410731"/>
    <w:rsid w:val="00412E42"/>
    <w:rsid w:val="00413EC1"/>
    <w:rsid w:val="00415776"/>
    <w:rsid w:val="0042112A"/>
    <w:rsid w:val="00425534"/>
    <w:rsid w:val="00425C05"/>
    <w:rsid w:val="00426356"/>
    <w:rsid w:val="00426929"/>
    <w:rsid w:val="00433D11"/>
    <w:rsid w:val="00437AF3"/>
    <w:rsid w:val="00440108"/>
    <w:rsid w:val="00441A6D"/>
    <w:rsid w:val="00442C16"/>
    <w:rsid w:val="00445410"/>
    <w:rsid w:val="00446439"/>
    <w:rsid w:val="00450BDA"/>
    <w:rsid w:val="00453A3E"/>
    <w:rsid w:val="0045452F"/>
    <w:rsid w:val="00456006"/>
    <w:rsid w:val="0045766B"/>
    <w:rsid w:val="00457EA9"/>
    <w:rsid w:val="004618A2"/>
    <w:rsid w:val="00462B8C"/>
    <w:rsid w:val="0046444F"/>
    <w:rsid w:val="00464FF9"/>
    <w:rsid w:val="004716E3"/>
    <w:rsid w:val="00474BB7"/>
    <w:rsid w:val="00476133"/>
    <w:rsid w:val="00476800"/>
    <w:rsid w:val="00477B2D"/>
    <w:rsid w:val="004816D7"/>
    <w:rsid w:val="00482F63"/>
    <w:rsid w:val="0048342E"/>
    <w:rsid w:val="0048493B"/>
    <w:rsid w:val="00487478"/>
    <w:rsid w:val="0048782D"/>
    <w:rsid w:val="00490873"/>
    <w:rsid w:val="00491703"/>
    <w:rsid w:val="004920FC"/>
    <w:rsid w:val="00494DC1"/>
    <w:rsid w:val="004A3F56"/>
    <w:rsid w:val="004A4F1C"/>
    <w:rsid w:val="004A5E21"/>
    <w:rsid w:val="004A666A"/>
    <w:rsid w:val="004B143F"/>
    <w:rsid w:val="004B3022"/>
    <w:rsid w:val="004B49A0"/>
    <w:rsid w:val="004B554C"/>
    <w:rsid w:val="004B6996"/>
    <w:rsid w:val="004C3BDA"/>
    <w:rsid w:val="004C6306"/>
    <w:rsid w:val="004C6F5E"/>
    <w:rsid w:val="004C7E94"/>
    <w:rsid w:val="004D4551"/>
    <w:rsid w:val="004D7CF8"/>
    <w:rsid w:val="004D7EDA"/>
    <w:rsid w:val="004E0E49"/>
    <w:rsid w:val="004E197A"/>
    <w:rsid w:val="004E5D52"/>
    <w:rsid w:val="004F07D7"/>
    <w:rsid w:val="004F1297"/>
    <w:rsid w:val="004F16DB"/>
    <w:rsid w:val="004F4D7E"/>
    <w:rsid w:val="004F5B16"/>
    <w:rsid w:val="004F5D9D"/>
    <w:rsid w:val="004F68E5"/>
    <w:rsid w:val="004F7037"/>
    <w:rsid w:val="004F741B"/>
    <w:rsid w:val="00500F08"/>
    <w:rsid w:val="0050132A"/>
    <w:rsid w:val="00503253"/>
    <w:rsid w:val="00503BB0"/>
    <w:rsid w:val="00503E03"/>
    <w:rsid w:val="00511F0B"/>
    <w:rsid w:val="00512226"/>
    <w:rsid w:val="00512B31"/>
    <w:rsid w:val="005147C6"/>
    <w:rsid w:val="005159B1"/>
    <w:rsid w:val="00522502"/>
    <w:rsid w:val="00522530"/>
    <w:rsid w:val="005255A1"/>
    <w:rsid w:val="00525825"/>
    <w:rsid w:val="0052641C"/>
    <w:rsid w:val="00530264"/>
    <w:rsid w:val="005311C2"/>
    <w:rsid w:val="00537702"/>
    <w:rsid w:val="0053795D"/>
    <w:rsid w:val="00544522"/>
    <w:rsid w:val="00545D37"/>
    <w:rsid w:val="005467E2"/>
    <w:rsid w:val="005468AB"/>
    <w:rsid w:val="005501A0"/>
    <w:rsid w:val="0055026B"/>
    <w:rsid w:val="00550831"/>
    <w:rsid w:val="00550A6C"/>
    <w:rsid w:val="005525B0"/>
    <w:rsid w:val="00554273"/>
    <w:rsid w:val="0056001A"/>
    <w:rsid w:val="0056020E"/>
    <w:rsid w:val="005642B6"/>
    <w:rsid w:val="00566A97"/>
    <w:rsid w:val="00571D5E"/>
    <w:rsid w:val="005814CA"/>
    <w:rsid w:val="005823D0"/>
    <w:rsid w:val="00582D54"/>
    <w:rsid w:val="00583AAF"/>
    <w:rsid w:val="00587AF9"/>
    <w:rsid w:val="005962D5"/>
    <w:rsid w:val="005979D8"/>
    <w:rsid w:val="005A2748"/>
    <w:rsid w:val="005A443F"/>
    <w:rsid w:val="005A5215"/>
    <w:rsid w:val="005A7C26"/>
    <w:rsid w:val="005B0970"/>
    <w:rsid w:val="005B0E43"/>
    <w:rsid w:val="005B54F9"/>
    <w:rsid w:val="005B58D4"/>
    <w:rsid w:val="005B5B58"/>
    <w:rsid w:val="005B7DC9"/>
    <w:rsid w:val="005C07B3"/>
    <w:rsid w:val="005C113A"/>
    <w:rsid w:val="005C284E"/>
    <w:rsid w:val="005C47D4"/>
    <w:rsid w:val="005D51D0"/>
    <w:rsid w:val="005D5834"/>
    <w:rsid w:val="005D6F83"/>
    <w:rsid w:val="005D7747"/>
    <w:rsid w:val="005D7877"/>
    <w:rsid w:val="005D7B5B"/>
    <w:rsid w:val="005D7CCF"/>
    <w:rsid w:val="005E04CF"/>
    <w:rsid w:val="005E58C4"/>
    <w:rsid w:val="005E5D8F"/>
    <w:rsid w:val="005F18B1"/>
    <w:rsid w:val="005F3766"/>
    <w:rsid w:val="005F5A5C"/>
    <w:rsid w:val="005F5CD9"/>
    <w:rsid w:val="00602664"/>
    <w:rsid w:val="0061135C"/>
    <w:rsid w:val="006136DD"/>
    <w:rsid w:val="006149F0"/>
    <w:rsid w:val="006220A5"/>
    <w:rsid w:val="00622D86"/>
    <w:rsid w:val="00624AC8"/>
    <w:rsid w:val="006262CF"/>
    <w:rsid w:val="00633812"/>
    <w:rsid w:val="00633C60"/>
    <w:rsid w:val="0064126D"/>
    <w:rsid w:val="0064157C"/>
    <w:rsid w:val="006451B8"/>
    <w:rsid w:val="00645722"/>
    <w:rsid w:val="00646905"/>
    <w:rsid w:val="00646CE5"/>
    <w:rsid w:val="006509C3"/>
    <w:rsid w:val="00652432"/>
    <w:rsid w:val="00652BD3"/>
    <w:rsid w:val="00657840"/>
    <w:rsid w:val="0066003C"/>
    <w:rsid w:val="0066041E"/>
    <w:rsid w:val="006619BB"/>
    <w:rsid w:val="00673CCC"/>
    <w:rsid w:val="00675C98"/>
    <w:rsid w:val="00676882"/>
    <w:rsid w:val="006839BC"/>
    <w:rsid w:val="00684A62"/>
    <w:rsid w:val="0069026B"/>
    <w:rsid w:val="006956EA"/>
    <w:rsid w:val="00696DCC"/>
    <w:rsid w:val="006A0D82"/>
    <w:rsid w:val="006A3A9F"/>
    <w:rsid w:val="006A490C"/>
    <w:rsid w:val="006A5881"/>
    <w:rsid w:val="006A766E"/>
    <w:rsid w:val="006B4F7D"/>
    <w:rsid w:val="006B549D"/>
    <w:rsid w:val="006B63B1"/>
    <w:rsid w:val="006C114C"/>
    <w:rsid w:val="006C22AD"/>
    <w:rsid w:val="006C3668"/>
    <w:rsid w:val="006C3864"/>
    <w:rsid w:val="006C3A1C"/>
    <w:rsid w:val="006C42F8"/>
    <w:rsid w:val="006C5383"/>
    <w:rsid w:val="006C5E72"/>
    <w:rsid w:val="006C7EB8"/>
    <w:rsid w:val="006D2AEC"/>
    <w:rsid w:val="006D438F"/>
    <w:rsid w:val="006D4B1C"/>
    <w:rsid w:val="006D4C8E"/>
    <w:rsid w:val="006D4CDC"/>
    <w:rsid w:val="006E19D1"/>
    <w:rsid w:val="006E1CBB"/>
    <w:rsid w:val="006E4B27"/>
    <w:rsid w:val="006E5E7E"/>
    <w:rsid w:val="006E6EF9"/>
    <w:rsid w:val="006F100B"/>
    <w:rsid w:val="006F239A"/>
    <w:rsid w:val="006F2C9D"/>
    <w:rsid w:val="006F4201"/>
    <w:rsid w:val="006F6B51"/>
    <w:rsid w:val="00704170"/>
    <w:rsid w:val="007048DB"/>
    <w:rsid w:val="0070637D"/>
    <w:rsid w:val="007071DD"/>
    <w:rsid w:val="0070771F"/>
    <w:rsid w:val="00712A14"/>
    <w:rsid w:val="00713208"/>
    <w:rsid w:val="00716C04"/>
    <w:rsid w:val="00717180"/>
    <w:rsid w:val="007179D2"/>
    <w:rsid w:val="00720750"/>
    <w:rsid w:val="0072549C"/>
    <w:rsid w:val="00725A80"/>
    <w:rsid w:val="00726E61"/>
    <w:rsid w:val="0073102A"/>
    <w:rsid w:val="00733970"/>
    <w:rsid w:val="007375FE"/>
    <w:rsid w:val="00740A74"/>
    <w:rsid w:val="0074148C"/>
    <w:rsid w:val="00741D0B"/>
    <w:rsid w:val="00754C58"/>
    <w:rsid w:val="0077436E"/>
    <w:rsid w:val="00776E78"/>
    <w:rsid w:val="0078138A"/>
    <w:rsid w:val="00783014"/>
    <w:rsid w:val="007834DC"/>
    <w:rsid w:val="00785AAB"/>
    <w:rsid w:val="00790768"/>
    <w:rsid w:val="007927CB"/>
    <w:rsid w:val="007959D8"/>
    <w:rsid w:val="0079630F"/>
    <w:rsid w:val="007A04C2"/>
    <w:rsid w:val="007A4188"/>
    <w:rsid w:val="007A4238"/>
    <w:rsid w:val="007A47D0"/>
    <w:rsid w:val="007A53BD"/>
    <w:rsid w:val="007A7045"/>
    <w:rsid w:val="007B146A"/>
    <w:rsid w:val="007B5310"/>
    <w:rsid w:val="007B57C9"/>
    <w:rsid w:val="007C0E7C"/>
    <w:rsid w:val="007C0EAA"/>
    <w:rsid w:val="007C19C3"/>
    <w:rsid w:val="007C44B2"/>
    <w:rsid w:val="007C54EE"/>
    <w:rsid w:val="007C6496"/>
    <w:rsid w:val="007C745E"/>
    <w:rsid w:val="007D0ABE"/>
    <w:rsid w:val="007E0E53"/>
    <w:rsid w:val="007E319A"/>
    <w:rsid w:val="007E356F"/>
    <w:rsid w:val="007E3F8C"/>
    <w:rsid w:val="007F2058"/>
    <w:rsid w:val="007F41A3"/>
    <w:rsid w:val="007F7685"/>
    <w:rsid w:val="0080011D"/>
    <w:rsid w:val="00800EA5"/>
    <w:rsid w:val="00801C01"/>
    <w:rsid w:val="008112CC"/>
    <w:rsid w:val="008130BB"/>
    <w:rsid w:val="00813D7D"/>
    <w:rsid w:val="008147C6"/>
    <w:rsid w:val="00817406"/>
    <w:rsid w:val="008208A7"/>
    <w:rsid w:val="008237FA"/>
    <w:rsid w:val="00825D37"/>
    <w:rsid w:val="00826D23"/>
    <w:rsid w:val="008369B0"/>
    <w:rsid w:val="008372D1"/>
    <w:rsid w:val="00845C1E"/>
    <w:rsid w:val="008548DD"/>
    <w:rsid w:val="00855DD2"/>
    <w:rsid w:val="0085732C"/>
    <w:rsid w:val="00857C91"/>
    <w:rsid w:val="00860B45"/>
    <w:rsid w:val="00861F68"/>
    <w:rsid w:val="00863860"/>
    <w:rsid w:val="008638B5"/>
    <w:rsid w:val="00866166"/>
    <w:rsid w:val="00866B47"/>
    <w:rsid w:val="008734DB"/>
    <w:rsid w:val="0087390B"/>
    <w:rsid w:val="00874035"/>
    <w:rsid w:val="008745A1"/>
    <w:rsid w:val="008768E9"/>
    <w:rsid w:val="0087751B"/>
    <w:rsid w:val="00881A32"/>
    <w:rsid w:val="00890995"/>
    <w:rsid w:val="008914FB"/>
    <w:rsid w:val="00892516"/>
    <w:rsid w:val="0089737A"/>
    <w:rsid w:val="00897E99"/>
    <w:rsid w:val="00897F60"/>
    <w:rsid w:val="008A4829"/>
    <w:rsid w:val="008B2384"/>
    <w:rsid w:val="008B38D6"/>
    <w:rsid w:val="008B4802"/>
    <w:rsid w:val="008B4EFB"/>
    <w:rsid w:val="008B545D"/>
    <w:rsid w:val="008B69E3"/>
    <w:rsid w:val="008C1FD1"/>
    <w:rsid w:val="008C24A8"/>
    <w:rsid w:val="008C35EF"/>
    <w:rsid w:val="008C3664"/>
    <w:rsid w:val="008C5996"/>
    <w:rsid w:val="008D3796"/>
    <w:rsid w:val="008D4FA9"/>
    <w:rsid w:val="008D5A11"/>
    <w:rsid w:val="008D5E23"/>
    <w:rsid w:val="008D77AF"/>
    <w:rsid w:val="008E6D59"/>
    <w:rsid w:val="008F30C7"/>
    <w:rsid w:val="008F4527"/>
    <w:rsid w:val="008F5D66"/>
    <w:rsid w:val="008F60D2"/>
    <w:rsid w:val="009028AA"/>
    <w:rsid w:val="00903E3F"/>
    <w:rsid w:val="009049C3"/>
    <w:rsid w:val="00904AB8"/>
    <w:rsid w:val="009057D9"/>
    <w:rsid w:val="0090774A"/>
    <w:rsid w:val="009079BD"/>
    <w:rsid w:val="00907C97"/>
    <w:rsid w:val="00910D07"/>
    <w:rsid w:val="009122EF"/>
    <w:rsid w:val="00914B2F"/>
    <w:rsid w:val="009150E6"/>
    <w:rsid w:val="00916290"/>
    <w:rsid w:val="00916F37"/>
    <w:rsid w:val="00917D9C"/>
    <w:rsid w:val="00917F89"/>
    <w:rsid w:val="00920775"/>
    <w:rsid w:val="00921C25"/>
    <w:rsid w:val="009223BE"/>
    <w:rsid w:val="0092499B"/>
    <w:rsid w:val="009255EE"/>
    <w:rsid w:val="00925603"/>
    <w:rsid w:val="00925F76"/>
    <w:rsid w:val="00925FCE"/>
    <w:rsid w:val="00932E89"/>
    <w:rsid w:val="0093359D"/>
    <w:rsid w:val="00933F2B"/>
    <w:rsid w:val="00942EEB"/>
    <w:rsid w:val="0094468E"/>
    <w:rsid w:val="00944B6E"/>
    <w:rsid w:val="00945261"/>
    <w:rsid w:val="009464D7"/>
    <w:rsid w:val="00947377"/>
    <w:rsid w:val="009506A5"/>
    <w:rsid w:val="00951452"/>
    <w:rsid w:val="009541CC"/>
    <w:rsid w:val="00956564"/>
    <w:rsid w:val="009567A6"/>
    <w:rsid w:val="00956D5A"/>
    <w:rsid w:val="00961473"/>
    <w:rsid w:val="00961B2C"/>
    <w:rsid w:val="00961DBB"/>
    <w:rsid w:val="00963D2B"/>
    <w:rsid w:val="009649D4"/>
    <w:rsid w:val="0096618E"/>
    <w:rsid w:val="009758AE"/>
    <w:rsid w:val="00981433"/>
    <w:rsid w:val="0098222F"/>
    <w:rsid w:val="0098244F"/>
    <w:rsid w:val="00983122"/>
    <w:rsid w:val="00985C07"/>
    <w:rsid w:val="00995B4F"/>
    <w:rsid w:val="00995FA3"/>
    <w:rsid w:val="00997582"/>
    <w:rsid w:val="009A22F8"/>
    <w:rsid w:val="009A2C21"/>
    <w:rsid w:val="009A3E58"/>
    <w:rsid w:val="009A5323"/>
    <w:rsid w:val="009A5F02"/>
    <w:rsid w:val="009A7AB1"/>
    <w:rsid w:val="009B3D16"/>
    <w:rsid w:val="009B424D"/>
    <w:rsid w:val="009B6408"/>
    <w:rsid w:val="009B70E6"/>
    <w:rsid w:val="009C6DAA"/>
    <w:rsid w:val="009D0E74"/>
    <w:rsid w:val="009D1A96"/>
    <w:rsid w:val="009D370B"/>
    <w:rsid w:val="009D3CE7"/>
    <w:rsid w:val="009D7EE0"/>
    <w:rsid w:val="009E2087"/>
    <w:rsid w:val="009E252B"/>
    <w:rsid w:val="009E3265"/>
    <w:rsid w:val="009E3353"/>
    <w:rsid w:val="009E446D"/>
    <w:rsid w:val="009E7C09"/>
    <w:rsid w:val="009F146D"/>
    <w:rsid w:val="009F1899"/>
    <w:rsid w:val="009F4F1E"/>
    <w:rsid w:val="009F5D6A"/>
    <w:rsid w:val="00A015E4"/>
    <w:rsid w:val="00A02690"/>
    <w:rsid w:val="00A075BC"/>
    <w:rsid w:val="00A11222"/>
    <w:rsid w:val="00A12C39"/>
    <w:rsid w:val="00A134FB"/>
    <w:rsid w:val="00A162FE"/>
    <w:rsid w:val="00A20802"/>
    <w:rsid w:val="00A25B4F"/>
    <w:rsid w:val="00A261B3"/>
    <w:rsid w:val="00A27E8B"/>
    <w:rsid w:val="00A311CF"/>
    <w:rsid w:val="00A41C2D"/>
    <w:rsid w:val="00A442BF"/>
    <w:rsid w:val="00A50BC1"/>
    <w:rsid w:val="00A517D0"/>
    <w:rsid w:val="00A51B96"/>
    <w:rsid w:val="00A53716"/>
    <w:rsid w:val="00A5629E"/>
    <w:rsid w:val="00A57FB5"/>
    <w:rsid w:val="00A60CA1"/>
    <w:rsid w:val="00A6433A"/>
    <w:rsid w:val="00A64832"/>
    <w:rsid w:val="00A65BCD"/>
    <w:rsid w:val="00A6760B"/>
    <w:rsid w:val="00A732DB"/>
    <w:rsid w:val="00A73E0B"/>
    <w:rsid w:val="00A75338"/>
    <w:rsid w:val="00A838D2"/>
    <w:rsid w:val="00A843B2"/>
    <w:rsid w:val="00A86F04"/>
    <w:rsid w:val="00A92C08"/>
    <w:rsid w:val="00A946C4"/>
    <w:rsid w:val="00A96E7D"/>
    <w:rsid w:val="00AA478E"/>
    <w:rsid w:val="00AB137D"/>
    <w:rsid w:val="00AC01F8"/>
    <w:rsid w:val="00AC059A"/>
    <w:rsid w:val="00AC3BE3"/>
    <w:rsid w:val="00AC41CF"/>
    <w:rsid w:val="00AC5A8A"/>
    <w:rsid w:val="00AC74DF"/>
    <w:rsid w:val="00AD0308"/>
    <w:rsid w:val="00AD377A"/>
    <w:rsid w:val="00AD67BB"/>
    <w:rsid w:val="00AE1CC1"/>
    <w:rsid w:val="00AE3EA4"/>
    <w:rsid w:val="00AE51FE"/>
    <w:rsid w:val="00AF1365"/>
    <w:rsid w:val="00AF1B02"/>
    <w:rsid w:val="00AF41E4"/>
    <w:rsid w:val="00AF4389"/>
    <w:rsid w:val="00AF568A"/>
    <w:rsid w:val="00AF60C1"/>
    <w:rsid w:val="00B05262"/>
    <w:rsid w:val="00B06A75"/>
    <w:rsid w:val="00B06BC3"/>
    <w:rsid w:val="00B13940"/>
    <w:rsid w:val="00B15A0F"/>
    <w:rsid w:val="00B17FB2"/>
    <w:rsid w:val="00B20236"/>
    <w:rsid w:val="00B20937"/>
    <w:rsid w:val="00B220A0"/>
    <w:rsid w:val="00B22B64"/>
    <w:rsid w:val="00B22D72"/>
    <w:rsid w:val="00B22FEA"/>
    <w:rsid w:val="00B24321"/>
    <w:rsid w:val="00B30FEB"/>
    <w:rsid w:val="00B311BA"/>
    <w:rsid w:val="00B35B47"/>
    <w:rsid w:val="00B40AA3"/>
    <w:rsid w:val="00B411C5"/>
    <w:rsid w:val="00B43AF9"/>
    <w:rsid w:val="00B44478"/>
    <w:rsid w:val="00B4609C"/>
    <w:rsid w:val="00B508DA"/>
    <w:rsid w:val="00B526CC"/>
    <w:rsid w:val="00B538BA"/>
    <w:rsid w:val="00B6002C"/>
    <w:rsid w:val="00B620EE"/>
    <w:rsid w:val="00B67A93"/>
    <w:rsid w:val="00B717FF"/>
    <w:rsid w:val="00B742F1"/>
    <w:rsid w:val="00B80FB4"/>
    <w:rsid w:val="00B85366"/>
    <w:rsid w:val="00B87F60"/>
    <w:rsid w:val="00B9079B"/>
    <w:rsid w:val="00B93B5E"/>
    <w:rsid w:val="00B93D3D"/>
    <w:rsid w:val="00B96341"/>
    <w:rsid w:val="00BA471F"/>
    <w:rsid w:val="00BB5013"/>
    <w:rsid w:val="00BB528E"/>
    <w:rsid w:val="00BB615A"/>
    <w:rsid w:val="00BB78CD"/>
    <w:rsid w:val="00BC11EC"/>
    <w:rsid w:val="00BC2600"/>
    <w:rsid w:val="00BC2CD8"/>
    <w:rsid w:val="00BC36F0"/>
    <w:rsid w:val="00BC3E99"/>
    <w:rsid w:val="00BC4FA7"/>
    <w:rsid w:val="00BC5E30"/>
    <w:rsid w:val="00BD00ED"/>
    <w:rsid w:val="00BD02C5"/>
    <w:rsid w:val="00BD068D"/>
    <w:rsid w:val="00BE0D9A"/>
    <w:rsid w:val="00BE1A50"/>
    <w:rsid w:val="00BE2F0D"/>
    <w:rsid w:val="00BE5E2E"/>
    <w:rsid w:val="00BE7E49"/>
    <w:rsid w:val="00BF0BD5"/>
    <w:rsid w:val="00BF0D35"/>
    <w:rsid w:val="00BF55F8"/>
    <w:rsid w:val="00C04E9F"/>
    <w:rsid w:val="00C051FD"/>
    <w:rsid w:val="00C15FD2"/>
    <w:rsid w:val="00C1744F"/>
    <w:rsid w:val="00C20C7D"/>
    <w:rsid w:val="00C20DEF"/>
    <w:rsid w:val="00C23D94"/>
    <w:rsid w:val="00C24B25"/>
    <w:rsid w:val="00C24E89"/>
    <w:rsid w:val="00C32C2F"/>
    <w:rsid w:val="00C3738A"/>
    <w:rsid w:val="00C40859"/>
    <w:rsid w:val="00C4315A"/>
    <w:rsid w:val="00C43F5E"/>
    <w:rsid w:val="00C44074"/>
    <w:rsid w:val="00C4651F"/>
    <w:rsid w:val="00C51D0B"/>
    <w:rsid w:val="00C52207"/>
    <w:rsid w:val="00C52A50"/>
    <w:rsid w:val="00C55AFF"/>
    <w:rsid w:val="00C61628"/>
    <w:rsid w:val="00C642D4"/>
    <w:rsid w:val="00C66AF6"/>
    <w:rsid w:val="00C730F4"/>
    <w:rsid w:val="00C74311"/>
    <w:rsid w:val="00C75BF3"/>
    <w:rsid w:val="00C80200"/>
    <w:rsid w:val="00C80E0A"/>
    <w:rsid w:val="00C8195C"/>
    <w:rsid w:val="00C8270B"/>
    <w:rsid w:val="00C841A9"/>
    <w:rsid w:val="00C847AF"/>
    <w:rsid w:val="00C8728F"/>
    <w:rsid w:val="00C91D48"/>
    <w:rsid w:val="00C97FBC"/>
    <w:rsid w:val="00CA06C8"/>
    <w:rsid w:val="00CA0B7E"/>
    <w:rsid w:val="00CA37B6"/>
    <w:rsid w:val="00CA4C28"/>
    <w:rsid w:val="00CA4E33"/>
    <w:rsid w:val="00CA5598"/>
    <w:rsid w:val="00CA5EF8"/>
    <w:rsid w:val="00CB28A3"/>
    <w:rsid w:val="00CB73EC"/>
    <w:rsid w:val="00CC00A0"/>
    <w:rsid w:val="00CC0FED"/>
    <w:rsid w:val="00CC3C34"/>
    <w:rsid w:val="00CC5455"/>
    <w:rsid w:val="00CC6C06"/>
    <w:rsid w:val="00CD1526"/>
    <w:rsid w:val="00CD1546"/>
    <w:rsid w:val="00CD2807"/>
    <w:rsid w:val="00CD3F66"/>
    <w:rsid w:val="00CD5509"/>
    <w:rsid w:val="00CD593F"/>
    <w:rsid w:val="00CE0215"/>
    <w:rsid w:val="00CE1EB0"/>
    <w:rsid w:val="00CE3167"/>
    <w:rsid w:val="00CE3DF2"/>
    <w:rsid w:val="00CF04D5"/>
    <w:rsid w:val="00CF0C0F"/>
    <w:rsid w:val="00CF1690"/>
    <w:rsid w:val="00CF1F2A"/>
    <w:rsid w:val="00CF5CE3"/>
    <w:rsid w:val="00CF7412"/>
    <w:rsid w:val="00D014E1"/>
    <w:rsid w:val="00D030F8"/>
    <w:rsid w:val="00D077B7"/>
    <w:rsid w:val="00D20297"/>
    <w:rsid w:val="00D21487"/>
    <w:rsid w:val="00D21E43"/>
    <w:rsid w:val="00D21E6B"/>
    <w:rsid w:val="00D2336A"/>
    <w:rsid w:val="00D23634"/>
    <w:rsid w:val="00D32D24"/>
    <w:rsid w:val="00D34551"/>
    <w:rsid w:val="00D368A8"/>
    <w:rsid w:val="00D36D27"/>
    <w:rsid w:val="00D41664"/>
    <w:rsid w:val="00D45238"/>
    <w:rsid w:val="00D4569D"/>
    <w:rsid w:val="00D457D6"/>
    <w:rsid w:val="00D5395A"/>
    <w:rsid w:val="00D55013"/>
    <w:rsid w:val="00D63BF7"/>
    <w:rsid w:val="00D64CE2"/>
    <w:rsid w:val="00D661D4"/>
    <w:rsid w:val="00D702E1"/>
    <w:rsid w:val="00D719B9"/>
    <w:rsid w:val="00D7270F"/>
    <w:rsid w:val="00D7596A"/>
    <w:rsid w:val="00D7751B"/>
    <w:rsid w:val="00D815DC"/>
    <w:rsid w:val="00D822B5"/>
    <w:rsid w:val="00D83D3C"/>
    <w:rsid w:val="00D84451"/>
    <w:rsid w:val="00D85669"/>
    <w:rsid w:val="00D85C95"/>
    <w:rsid w:val="00D867AE"/>
    <w:rsid w:val="00D87BBB"/>
    <w:rsid w:val="00D87C87"/>
    <w:rsid w:val="00D921C4"/>
    <w:rsid w:val="00D9296A"/>
    <w:rsid w:val="00D933AD"/>
    <w:rsid w:val="00D93C23"/>
    <w:rsid w:val="00D95638"/>
    <w:rsid w:val="00D9584C"/>
    <w:rsid w:val="00D97180"/>
    <w:rsid w:val="00D97C79"/>
    <w:rsid w:val="00DA14D9"/>
    <w:rsid w:val="00DA7588"/>
    <w:rsid w:val="00DB13AD"/>
    <w:rsid w:val="00DB23F9"/>
    <w:rsid w:val="00DB58BE"/>
    <w:rsid w:val="00DB602E"/>
    <w:rsid w:val="00DB6176"/>
    <w:rsid w:val="00DB6AA0"/>
    <w:rsid w:val="00DB7C3A"/>
    <w:rsid w:val="00DC0E8A"/>
    <w:rsid w:val="00DD14EE"/>
    <w:rsid w:val="00DD32AB"/>
    <w:rsid w:val="00DD5BF6"/>
    <w:rsid w:val="00DD64DC"/>
    <w:rsid w:val="00DE1865"/>
    <w:rsid w:val="00DE6CEF"/>
    <w:rsid w:val="00DF11C2"/>
    <w:rsid w:val="00DF2134"/>
    <w:rsid w:val="00DF4593"/>
    <w:rsid w:val="00DF64E0"/>
    <w:rsid w:val="00E06D6F"/>
    <w:rsid w:val="00E10D05"/>
    <w:rsid w:val="00E2223E"/>
    <w:rsid w:val="00E22D98"/>
    <w:rsid w:val="00E24623"/>
    <w:rsid w:val="00E252E3"/>
    <w:rsid w:val="00E25B1B"/>
    <w:rsid w:val="00E378A9"/>
    <w:rsid w:val="00E40505"/>
    <w:rsid w:val="00E42A41"/>
    <w:rsid w:val="00E45766"/>
    <w:rsid w:val="00E45AC5"/>
    <w:rsid w:val="00E567E5"/>
    <w:rsid w:val="00E6077F"/>
    <w:rsid w:val="00E64480"/>
    <w:rsid w:val="00E65807"/>
    <w:rsid w:val="00E66103"/>
    <w:rsid w:val="00E6708B"/>
    <w:rsid w:val="00E70361"/>
    <w:rsid w:val="00E73A8C"/>
    <w:rsid w:val="00E75050"/>
    <w:rsid w:val="00E75D5E"/>
    <w:rsid w:val="00E76F42"/>
    <w:rsid w:val="00E77D6D"/>
    <w:rsid w:val="00E8242F"/>
    <w:rsid w:val="00E915E6"/>
    <w:rsid w:val="00E96B98"/>
    <w:rsid w:val="00EA3E11"/>
    <w:rsid w:val="00EA6EB3"/>
    <w:rsid w:val="00EB4A8E"/>
    <w:rsid w:val="00EB5EF3"/>
    <w:rsid w:val="00EB62F7"/>
    <w:rsid w:val="00EB664D"/>
    <w:rsid w:val="00EB695D"/>
    <w:rsid w:val="00EB7C6D"/>
    <w:rsid w:val="00EC38F3"/>
    <w:rsid w:val="00EC4241"/>
    <w:rsid w:val="00ED0404"/>
    <w:rsid w:val="00ED1407"/>
    <w:rsid w:val="00ED1CEB"/>
    <w:rsid w:val="00ED39CE"/>
    <w:rsid w:val="00ED4134"/>
    <w:rsid w:val="00ED7A9F"/>
    <w:rsid w:val="00EE05F1"/>
    <w:rsid w:val="00EE1B0F"/>
    <w:rsid w:val="00EE1E5A"/>
    <w:rsid w:val="00EE3226"/>
    <w:rsid w:val="00EE471A"/>
    <w:rsid w:val="00EE5492"/>
    <w:rsid w:val="00EE583A"/>
    <w:rsid w:val="00EF060B"/>
    <w:rsid w:val="00EF0A00"/>
    <w:rsid w:val="00EF7395"/>
    <w:rsid w:val="00F0183C"/>
    <w:rsid w:val="00F0286F"/>
    <w:rsid w:val="00F0301B"/>
    <w:rsid w:val="00F0379D"/>
    <w:rsid w:val="00F03C79"/>
    <w:rsid w:val="00F07BD5"/>
    <w:rsid w:val="00F122D6"/>
    <w:rsid w:val="00F147EA"/>
    <w:rsid w:val="00F15BF4"/>
    <w:rsid w:val="00F171E0"/>
    <w:rsid w:val="00F17940"/>
    <w:rsid w:val="00F17DC0"/>
    <w:rsid w:val="00F2046C"/>
    <w:rsid w:val="00F20647"/>
    <w:rsid w:val="00F207FC"/>
    <w:rsid w:val="00F274DB"/>
    <w:rsid w:val="00F31392"/>
    <w:rsid w:val="00F332B2"/>
    <w:rsid w:val="00F348B5"/>
    <w:rsid w:val="00F3652B"/>
    <w:rsid w:val="00F36D95"/>
    <w:rsid w:val="00F377B9"/>
    <w:rsid w:val="00F45442"/>
    <w:rsid w:val="00F5145E"/>
    <w:rsid w:val="00F554DB"/>
    <w:rsid w:val="00F558EA"/>
    <w:rsid w:val="00F5681C"/>
    <w:rsid w:val="00F6045D"/>
    <w:rsid w:val="00F613CB"/>
    <w:rsid w:val="00F61F79"/>
    <w:rsid w:val="00F651DD"/>
    <w:rsid w:val="00F656A4"/>
    <w:rsid w:val="00F65DAF"/>
    <w:rsid w:val="00F6665E"/>
    <w:rsid w:val="00F7075F"/>
    <w:rsid w:val="00F71D76"/>
    <w:rsid w:val="00F8349F"/>
    <w:rsid w:val="00F83FB7"/>
    <w:rsid w:val="00F85935"/>
    <w:rsid w:val="00F85D29"/>
    <w:rsid w:val="00F969D3"/>
    <w:rsid w:val="00F9789E"/>
    <w:rsid w:val="00FA190E"/>
    <w:rsid w:val="00FA429D"/>
    <w:rsid w:val="00FA54D8"/>
    <w:rsid w:val="00FB30EF"/>
    <w:rsid w:val="00FB460E"/>
    <w:rsid w:val="00FC1521"/>
    <w:rsid w:val="00FC4FB7"/>
    <w:rsid w:val="00FC60BE"/>
    <w:rsid w:val="00FC65E5"/>
    <w:rsid w:val="00FC6998"/>
    <w:rsid w:val="00FC6F62"/>
    <w:rsid w:val="00FD1EE0"/>
    <w:rsid w:val="00FD357B"/>
    <w:rsid w:val="00FD38FC"/>
    <w:rsid w:val="00FD6119"/>
    <w:rsid w:val="00FD688E"/>
    <w:rsid w:val="00FD7C0C"/>
    <w:rsid w:val="00FE045C"/>
    <w:rsid w:val="00FE0C52"/>
    <w:rsid w:val="00FE1692"/>
    <w:rsid w:val="00FE3069"/>
    <w:rsid w:val="00FE3B13"/>
    <w:rsid w:val="00FF0566"/>
    <w:rsid w:val="00FF15F5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footer" w:uiPriority="3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D014E1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D014E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D014E1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3D4D7D" w:themeColor="background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3D4D7D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D014E1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3D4D7D" w:themeColor="background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D014E1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3D4D7D" w:themeColor="background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D014E1"/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D014E1"/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D014E1"/>
    <w:rPr>
      <w:i/>
      <w:color w:val="3D4D7D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3D4D7D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D014E1"/>
    <w:rPr>
      <w:rFonts w:ascii="Calibri" w:eastAsiaTheme="majorEastAsia" w:hAnsi="Calibri" w:cstheme="majorBidi"/>
      <w:color w:val="3D4D7D" w:themeColor="background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D014E1"/>
    <w:rPr>
      <w:rFonts w:asciiTheme="majorHAnsi" w:hAnsiTheme="majorHAnsi"/>
      <w:color w:val="3D4D7D" w:themeColor="background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D014E1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3D4D7D" w:themeColor="background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D014E1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3D4D7D" w:themeColor="background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D014E1"/>
    <w:pPr>
      <w:keepNext/>
      <w:keepLines/>
      <w:spacing w:before="360" w:after="120"/>
    </w:pPr>
    <w:rPr>
      <w:b/>
      <w:bCs/>
      <w:color w:val="3D4D7D" w:themeColor="background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3D4D7D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9778B4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9778B4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9778B4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9778B4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F1873D" w:themeColor="accent3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  <w:insideH w:val="single" w:sz="4" w:space="0" w:color="F1873D" w:themeColor="accent3"/>
        <w:insideV w:val="single" w:sz="4" w:space="0" w:color="F1873D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F1873D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9778B4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FCC648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78B4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873D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3D4D7D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9778B4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9778B4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9778B4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3D4D7D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3D4D7D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12"/>
      </w:numPr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  <w:style w:type="paragraph" w:customStyle="1" w:styleId="Default">
    <w:name w:val="Default"/>
    <w:rsid w:val="00CD3F6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1">
    <w:name w:val="A0_1"/>
    <w:uiPriority w:val="99"/>
    <w:rsid w:val="00A57FB5"/>
    <w:rPr>
      <w:rFonts w:cs="AvantGarde"/>
      <w:color w:val="FFFFFF"/>
      <w:sz w:val="70"/>
      <w:szCs w:val="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0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header" w:uiPriority="99"/>
    <w:lsdException w:name="footer" w:uiPriority="39"/>
    <w:lsdException w:name="caption" w:uiPriority="13" w:qFormat="1"/>
    <w:lsdException w:name="table of figures" w:semiHidden="0" w:uiPriority="99" w:unhideWhenUsed="0"/>
    <w:lsdException w:name="List Bullet" w:uiPriority="7" w:qFormat="1"/>
    <w:lsdException w:name="List Number" w:qFormat="1"/>
    <w:lsdException w:name="List Bullet 2" w:uiPriority="8" w:qFormat="1"/>
    <w:lsdException w:name="List Bullet 3" w:uiPriority="9" w:qFormat="1"/>
    <w:lsdException w:name="List Number 2" w:qFormat="1"/>
    <w:lsdException w:name="List Number 3" w:qFormat="1"/>
    <w:lsdException w:name="Title" w:semiHidden="0" w:unhideWhenUsed="0" w:qFormat="1"/>
    <w:lsdException w:name="Default Paragraph Font" w:uiPriority="1"/>
    <w:lsdException w:name="Body Text" w:uiPriority="5" w:qFormat="1"/>
    <w:lsdException w:name="List Continue" w:qFormat="1"/>
    <w:lsdException w:name="List Continue 2" w:qFormat="1"/>
    <w:lsdException w:name="Subtitle" w:semiHidden="0" w:unhideWhenUsed="0" w:qFormat="1"/>
    <w:lsdException w:name="Hyperlink" w:uiPriority="99"/>
    <w:lsdException w:name="Strong" w:unhideWhenUsed="0" w:qFormat="1"/>
    <w:lsdException w:name="Emphasis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9" w:unhideWhenUsed="0"/>
    <w:lsdException w:name="Quote" w:semiHidden="0" w:unhideWhenUsed="0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uiPriority w:val="39"/>
    <w:rsid w:val="0089737A"/>
  </w:style>
  <w:style w:type="paragraph" w:styleId="Heading1">
    <w:name w:val="heading 1"/>
    <w:basedOn w:val="Normal"/>
    <w:next w:val="BodyText"/>
    <w:link w:val="Heading1Char"/>
    <w:uiPriority w:val="1"/>
    <w:qFormat/>
    <w:rsid w:val="00D014E1"/>
    <w:pPr>
      <w:keepNext/>
      <w:keepLines/>
      <w:numPr>
        <w:numId w:val="10"/>
      </w:numPr>
      <w:tabs>
        <w:tab w:val="right" w:pos="1418"/>
        <w:tab w:val="right" w:pos="1701"/>
        <w:tab w:val="right" w:pos="1985"/>
      </w:tabs>
      <w:spacing w:before="360" w:after="180"/>
      <w:outlineLvl w:val="0"/>
    </w:pPr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paragraph" w:styleId="Heading2">
    <w:name w:val="heading 2"/>
    <w:basedOn w:val="Normal"/>
    <w:next w:val="BodyText"/>
    <w:link w:val="Heading2Char"/>
    <w:uiPriority w:val="2"/>
    <w:qFormat/>
    <w:rsid w:val="00D014E1"/>
    <w:pPr>
      <w:keepNext/>
      <w:keepLines/>
      <w:numPr>
        <w:ilvl w:val="1"/>
        <w:numId w:val="10"/>
      </w:numPr>
      <w:tabs>
        <w:tab w:val="left" w:pos="1418"/>
        <w:tab w:val="left" w:pos="1701"/>
        <w:tab w:val="left" w:pos="1985"/>
      </w:tabs>
      <w:spacing w:before="240" w:after="120"/>
      <w:outlineLvl w:val="1"/>
    </w:pPr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D014E1"/>
    <w:pPr>
      <w:keepNext/>
      <w:keepLines/>
      <w:numPr>
        <w:ilvl w:val="2"/>
        <w:numId w:val="10"/>
      </w:numPr>
      <w:tabs>
        <w:tab w:val="left" w:pos="1418"/>
        <w:tab w:val="left" w:pos="1701"/>
        <w:tab w:val="left" w:pos="1985"/>
      </w:tabs>
      <w:spacing w:before="470" w:after="227"/>
      <w:outlineLvl w:val="2"/>
    </w:pPr>
    <w:rPr>
      <w:i/>
      <w:color w:val="3D4D7D" w:themeColor="background2"/>
      <w:sz w:val="24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CA06C8"/>
    <w:pPr>
      <w:keepNext/>
      <w:keepLines/>
      <w:tabs>
        <w:tab w:val="left" w:pos="1418"/>
        <w:tab w:val="left" w:pos="1701"/>
        <w:tab w:val="left" w:pos="1985"/>
      </w:tabs>
      <w:spacing w:before="227" w:after="113"/>
      <w:outlineLvl w:val="3"/>
    </w:pPr>
    <w:rPr>
      <w:rFonts w:eastAsiaTheme="majorEastAsia" w:cstheme="majorBidi"/>
      <w:bCs/>
      <w:i/>
      <w:iCs/>
      <w:color w:val="3D4D7D" w:themeColor="background2"/>
      <w:sz w:val="24"/>
    </w:rPr>
  </w:style>
  <w:style w:type="paragraph" w:styleId="Heading5">
    <w:name w:val="heading 5"/>
    <w:basedOn w:val="Normal"/>
    <w:next w:val="BodyText"/>
    <w:link w:val="Heading5Char"/>
    <w:uiPriority w:val="39"/>
    <w:rsid w:val="00B620EE"/>
    <w:pPr>
      <w:keepNext/>
      <w:keepLines/>
      <w:spacing w:before="180" w:after="60"/>
      <w:outlineLvl w:val="4"/>
    </w:pPr>
    <w:rPr>
      <w:rFonts w:asciiTheme="majorHAnsi" w:eastAsiaTheme="majorEastAsia" w:hAnsiTheme="majorHAnsi" w:cstheme="majorBidi"/>
      <w:i/>
      <w:color w:val="636366"/>
      <w:sz w:val="24"/>
    </w:rPr>
  </w:style>
  <w:style w:type="paragraph" w:styleId="Heading6">
    <w:name w:val="heading 6"/>
    <w:basedOn w:val="Normal"/>
    <w:next w:val="BodyText"/>
    <w:link w:val="Heading6Char"/>
    <w:uiPriority w:val="39"/>
    <w:rsid w:val="00B620EE"/>
    <w:pPr>
      <w:keepNext/>
      <w:keepLines/>
      <w:spacing w:before="280" w:after="240"/>
      <w:outlineLvl w:val="5"/>
    </w:pPr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paragraph" w:styleId="Heading7">
    <w:name w:val="heading 7"/>
    <w:basedOn w:val="Normal"/>
    <w:next w:val="Normal"/>
    <w:link w:val="Heading7Char"/>
    <w:semiHidden/>
    <w:rsid w:val="00961DBB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ttachment Title"/>
    <w:basedOn w:val="Normal"/>
    <w:next w:val="BodyText"/>
    <w:link w:val="Heading8Char"/>
    <w:uiPriority w:val="31"/>
    <w:qFormat/>
    <w:rsid w:val="00D014E1"/>
    <w:pPr>
      <w:keepNext/>
      <w:keepLines/>
      <w:numPr>
        <w:numId w:val="1"/>
      </w:numPr>
      <w:tabs>
        <w:tab w:val="left" w:pos="4536"/>
      </w:tabs>
      <w:spacing w:after="240"/>
      <w:outlineLvl w:val="7"/>
    </w:pPr>
    <w:rPr>
      <w:rFonts w:ascii="Calibri" w:eastAsiaTheme="majorEastAsia" w:hAnsi="Calibri" w:cstheme="majorBidi"/>
      <w:color w:val="3D4D7D" w:themeColor="background2"/>
      <w:sz w:val="30"/>
    </w:rPr>
  </w:style>
  <w:style w:type="paragraph" w:styleId="Heading9">
    <w:name w:val="heading 9"/>
    <w:aliases w:val="Attachment Heading 1"/>
    <w:basedOn w:val="Normal"/>
    <w:next w:val="BodyText"/>
    <w:link w:val="Heading9Char"/>
    <w:uiPriority w:val="32"/>
    <w:qFormat/>
    <w:rsid w:val="00D014E1"/>
    <w:pPr>
      <w:keepNext/>
      <w:keepLines/>
      <w:numPr>
        <w:ilvl w:val="1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  <w:outlineLvl w:val="8"/>
    </w:pPr>
    <w:rPr>
      <w:rFonts w:asciiTheme="majorHAnsi" w:hAnsiTheme="majorHAnsi"/>
      <w:color w:val="3D4D7D" w:themeColor="background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13"/>
    <w:rsid w:val="007834DC"/>
    <w:pPr>
      <w:tabs>
        <w:tab w:val="left" w:pos="425"/>
      </w:tabs>
      <w:spacing w:before="50" w:line="260" w:lineRule="exact"/>
      <w:ind w:left="425" w:hanging="425"/>
    </w:pPr>
    <w:rPr>
      <w:kern w:val="16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89737A"/>
    <w:rPr>
      <w:kern w:val="16"/>
      <w:sz w:val="18"/>
    </w:rPr>
  </w:style>
  <w:style w:type="character" w:styleId="FootnoteReference">
    <w:name w:val="footnote reference"/>
    <w:basedOn w:val="DefaultParagraphFont"/>
    <w:uiPriority w:val="39"/>
    <w:rsid w:val="00961DBB"/>
    <w:rPr>
      <w:rFonts w:asciiTheme="minorHAnsi" w:hAnsiTheme="minorHAnsi"/>
      <w:color w:val="auto"/>
      <w:vertAlign w:val="superscript"/>
    </w:rPr>
  </w:style>
  <w:style w:type="paragraph" w:styleId="BodyText">
    <w:name w:val="Body Text"/>
    <w:basedOn w:val="Normal"/>
    <w:link w:val="BodyTextChar"/>
    <w:uiPriority w:val="5"/>
    <w:qFormat/>
    <w:rsid w:val="009B70E6"/>
    <w:pPr>
      <w:spacing w:before="120" w:after="120"/>
    </w:pPr>
    <w:rPr>
      <w:rFonts w:cs="Times New Roman"/>
      <w:spacing w:val="-1"/>
    </w:rPr>
  </w:style>
  <w:style w:type="character" w:customStyle="1" w:styleId="BodyTextChar">
    <w:name w:val="Body Text Char"/>
    <w:basedOn w:val="DefaultParagraphFont"/>
    <w:link w:val="BodyText"/>
    <w:uiPriority w:val="5"/>
    <w:rsid w:val="009B70E6"/>
    <w:rPr>
      <w:rFonts w:cs="Times New Roman"/>
      <w:spacing w:val="-1"/>
    </w:rPr>
  </w:style>
  <w:style w:type="paragraph" w:customStyle="1" w:styleId="BodyText17ptAbove">
    <w:name w:val="Body Text 17pt Above"/>
    <w:basedOn w:val="BodyText"/>
    <w:next w:val="BodyText"/>
    <w:uiPriority w:val="6"/>
    <w:qFormat/>
    <w:rsid w:val="00CA4C28"/>
    <w:pPr>
      <w:spacing w:before="340"/>
    </w:pPr>
  </w:style>
  <w:style w:type="character" w:customStyle="1" w:styleId="Heading1Char">
    <w:name w:val="Heading 1 Char"/>
    <w:basedOn w:val="DefaultParagraphFont"/>
    <w:link w:val="Heading1"/>
    <w:uiPriority w:val="1"/>
    <w:rsid w:val="00D014E1"/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D014E1"/>
    <w:rPr>
      <w:rFonts w:ascii="Calibri" w:hAnsi="Calibri"/>
      <w:b/>
      <w:bCs/>
      <w:iCs/>
      <w:color w:val="3D4D7D" w:themeColor="background2"/>
      <w:kern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D014E1"/>
    <w:rPr>
      <w:i/>
      <w:color w:val="3D4D7D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C41CF"/>
    <w:rPr>
      <w:rFonts w:eastAsiaTheme="majorEastAsia" w:cstheme="majorBidi"/>
      <w:bCs/>
      <w:i/>
      <w:iCs/>
      <w:color w:val="3D4D7D" w:themeColor="background2"/>
      <w:sz w:val="24"/>
    </w:rPr>
  </w:style>
  <w:style w:type="character" w:customStyle="1" w:styleId="Heading5Char">
    <w:name w:val="Heading 5 Char"/>
    <w:basedOn w:val="DefaultParagraphFont"/>
    <w:link w:val="Heading5"/>
    <w:uiPriority w:val="39"/>
    <w:rsid w:val="00AC41CF"/>
    <w:rPr>
      <w:rFonts w:asciiTheme="majorHAnsi" w:eastAsiaTheme="majorEastAsia" w:hAnsiTheme="majorHAnsi" w:cstheme="majorBidi"/>
      <w:i/>
      <w:color w:val="636366"/>
      <w:sz w:val="24"/>
    </w:rPr>
  </w:style>
  <w:style w:type="character" w:customStyle="1" w:styleId="Heading6Char">
    <w:name w:val="Heading 6 Char"/>
    <w:basedOn w:val="DefaultParagraphFont"/>
    <w:link w:val="Heading6"/>
    <w:uiPriority w:val="39"/>
    <w:rsid w:val="00AC41CF"/>
    <w:rPr>
      <w:rFonts w:asciiTheme="majorHAnsi" w:eastAsiaTheme="majorEastAsia" w:hAnsiTheme="majorHAnsi" w:cstheme="majorBidi"/>
      <w:i/>
      <w:iCs/>
      <w:color w:val="9778B4" w:themeColor="text2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0E266E"/>
    <w:rPr>
      <w:rFonts w:asciiTheme="majorHAnsi" w:eastAsiaTheme="majorEastAsia" w:hAnsiTheme="majorHAnsi" w:cstheme="majorBidi"/>
      <w:b/>
      <w:iCs/>
      <w:color w:val="FFFFFF"/>
    </w:rPr>
  </w:style>
  <w:style w:type="character" w:customStyle="1" w:styleId="Heading8Char">
    <w:name w:val="Heading 8 Char"/>
    <w:aliases w:val="Attachment Title Char"/>
    <w:basedOn w:val="DefaultParagraphFont"/>
    <w:link w:val="Heading8"/>
    <w:uiPriority w:val="31"/>
    <w:rsid w:val="00D014E1"/>
    <w:rPr>
      <w:rFonts w:ascii="Calibri" w:eastAsiaTheme="majorEastAsia" w:hAnsi="Calibri" w:cstheme="majorBidi"/>
      <w:color w:val="3D4D7D" w:themeColor="background2"/>
      <w:sz w:val="30"/>
    </w:rPr>
  </w:style>
  <w:style w:type="character" w:customStyle="1" w:styleId="Heading9Char">
    <w:name w:val="Heading 9 Char"/>
    <w:aliases w:val="Attachment Heading 1 Char"/>
    <w:basedOn w:val="DefaultParagraphFont"/>
    <w:link w:val="Heading9"/>
    <w:uiPriority w:val="32"/>
    <w:rsid w:val="00D014E1"/>
    <w:rPr>
      <w:rFonts w:asciiTheme="majorHAnsi" w:hAnsiTheme="majorHAnsi"/>
      <w:color w:val="3D4D7D" w:themeColor="background2"/>
      <w:sz w:val="28"/>
    </w:rPr>
  </w:style>
  <w:style w:type="paragraph" w:customStyle="1" w:styleId="AttachmentHeading2">
    <w:name w:val="Attachment Heading 2"/>
    <w:basedOn w:val="Normal"/>
    <w:next w:val="BodyText"/>
    <w:uiPriority w:val="33"/>
    <w:qFormat/>
    <w:rsid w:val="00D014E1"/>
    <w:pPr>
      <w:keepNext/>
      <w:keepLines/>
      <w:numPr>
        <w:ilvl w:val="2"/>
        <w:numId w:val="1"/>
      </w:numPr>
      <w:tabs>
        <w:tab w:val="left" w:pos="1559"/>
        <w:tab w:val="left" w:pos="1843"/>
        <w:tab w:val="left" w:pos="2126"/>
        <w:tab w:val="left" w:pos="2410"/>
      </w:tabs>
      <w:spacing w:before="470" w:after="227"/>
    </w:pPr>
    <w:rPr>
      <w:rFonts w:asciiTheme="majorHAnsi" w:hAnsiTheme="majorHAnsi"/>
      <w:color w:val="3D4D7D" w:themeColor="background2"/>
      <w:sz w:val="28"/>
    </w:rPr>
  </w:style>
  <w:style w:type="paragraph" w:customStyle="1" w:styleId="AttachmentHeading3">
    <w:name w:val="Attachment Heading 3"/>
    <w:basedOn w:val="Normal"/>
    <w:next w:val="BodyText"/>
    <w:uiPriority w:val="34"/>
    <w:qFormat/>
    <w:rsid w:val="00D014E1"/>
    <w:pPr>
      <w:keepNext/>
      <w:keepLines/>
      <w:numPr>
        <w:ilvl w:val="3"/>
        <w:numId w:val="1"/>
      </w:numPr>
      <w:tabs>
        <w:tab w:val="left" w:pos="1559"/>
        <w:tab w:val="left" w:pos="1843"/>
        <w:tab w:val="left" w:pos="2126"/>
        <w:tab w:val="left" w:pos="2410"/>
        <w:tab w:val="left" w:pos="6804"/>
      </w:tabs>
      <w:spacing w:before="227" w:after="113"/>
    </w:pPr>
    <w:rPr>
      <w:b/>
      <w:color w:val="3D4D7D" w:themeColor="background2"/>
    </w:rPr>
  </w:style>
  <w:style w:type="character" w:customStyle="1" w:styleId="Bold">
    <w:name w:val="Bold"/>
    <w:uiPriority w:val="39"/>
    <w:rsid w:val="00961DBB"/>
    <w:rPr>
      <w:b/>
    </w:rPr>
  </w:style>
  <w:style w:type="character" w:customStyle="1" w:styleId="BoldAndItalics">
    <w:name w:val="Bold And Italics"/>
    <w:uiPriority w:val="39"/>
    <w:rsid w:val="00961DBB"/>
    <w:rPr>
      <w:b/>
      <w:i/>
    </w:rPr>
  </w:style>
  <w:style w:type="paragraph" w:styleId="Caption">
    <w:name w:val="caption"/>
    <w:basedOn w:val="Normal"/>
    <w:next w:val="BodyText"/>
    <w:uiPriority w:val="13"/>
    <w:qFormat/>
    <w:rsid w:val="00D014E1"/>
    <w:pPr>
      <w:keepNext/>
      <w:keepLines/>
      <w:spacing w:before="360" w:after="120"/>
    </w:pPr>
    <w:rPr>
      <w:b/>
      <w:bCs/>
      <w:color w:val="3D4D7D" w:themeColor="background2"/>
      <w:spacing w:val="-4"/>
    </w:rPr>
  </w:style>
  <w:style w:type="paragraph" w:styleId="Footer">
    <w:name w:val="footer"/>
    <w:basedOn w:val="Normal"/>
    <w:link w:val="FooterChar"/>
    <w:uiPriority w:val="39"/>
    <w:rsid w:val="0046444F"/>
    <w:pPr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39"/>
    <w:rsid w:val="00AC41CF"/>
    <w:rPr>
      <w:b/>
    </w:rPr>
  </w:style>
  <w:style w:type="paragraph" w:customStyle="1" w:styleId="FooterLeft">
    <w:name w:val="Footer Left"/>
    <w:basedOn w:val="Footer"/>
    <w:uiPriority w:val="39"/>
    <w:rsid w:val="00961DBB"/>
    <w:pPr>
      <w:framePr w:wrap="around" w:vAnchor="page" w:hAnchor="margin" w:yAlign="bottom"/>
      <w:spacing w:before="180" w:after="120"/>
      <w:ind w:left="397"/>
    </w:pPr>
    <w:rPr>
      <w:spacing w:val="-2"/>
    </w:rPr>
  </w:style>
  <w:style w:type="paragraph" w:customStyle="1" w:styleId="FooterRight">
    <w:name w:val="Footer Right"/>
    <w:basedOn w:val="FooterLeft"/>
    <w:next w:val="Footer"/>
    <w:uiPriority w:val="39"/>
    <w:unhideWhenUsed/>
    <w:rsid w:val="00961DBB"/>
    <w:pPr>
      <w:framePr w:wrap="around" w:xAlign="right"/>
      <w:ind w:right="397"/>
      <w:jc w:val="right"/>
    </w:pPr>
  </w:style>
  <w:style w:type="paragraph" w:customStyle="1" w:styleId="FooterRightPageNumber">
    <w:name w:val="Footer Right Page Number"/>
    <w:basedOn w:val="Normal"/>
    <w:uiPriority w:val="39"/>
    <w:rsid w:val="00E915E6"/>
    <w:pPr>
      <w:spacing w:before="180" w:after="120" w:line="240" w:lineRule="auto"/>
      <w:jc w:val="right"/>
    </w:pPr>
    <w:rPr>
      <w:b/>
      <w:noProof/>
      <w:color w:val="3D4D7D" w:themeColor="background2"/>
    </w:rPr>
  </w:style>
  <w:style w:type="paragraph" w:customStyle="1" w:styleId="FooterLeftPageNumber">
    <w:name w:val="Footer Left Page Number"/>
    <w:basedOn w:val="Footer"/>
    <w:uiPriority w:val="39"/>
    <w:rsid w:val="00961DBB"/>
    <w:pPr>
      <w:framePr w:wrap="around" w:vAnchor="page" w:hAnchor="margin" w:yAlign="bottom"/>
      <w:spacing w:before="180" w:after="120"/>
      <w:ind w:right="57"/>
    </w:pPr>
  </w:style>
  <w:style w:type="paragraph" w:customStyle="1" w:styleId="FootnoteSeparator">
    <w:name w:val="Footnote Separator"/>
    <w:basedOn w:val="Normal"/>
    <w:uiPriority w:val="39"/>
    <w:unhideWhenUsed/>
    <w:rsid w:val="00961DBB"/>
    <w:pPr>
      <w:pBdr>
        <w:top w:val="single" w:sz="2" w:space="0" w:color="000000" w:themeColor="text1"/>
      </w:pBdr>
      <w:spacing w:before="120" w:line="120" w:lineRule="exact"/>
    </w:pPr>
    <w:rPr>
      <w:sz w:val="14"/>
      <w:szCs w:val="16"/>
    </w:rPr>
  </w:style>
  <w:style w:type="paragraph" w:styleId="Header">
    <w:name w:val="header"/>
    <w:basedOn w:val="Normal"/>
    <w:link w:val="HeaderChar"/>
    <w:uiPriority w:val="99"/>
    <w:rsid w:val="0046444F"/>
    <w:pPr>
      <w:spacing w:before="240" w:after="1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4F"/>
  </w:style>
  <w:style w:type="paragraph" w:customStyle="1" w:styleId="HighlightText">
    <w:name w:val="Highlight Text"/>
    <w:basedOn w:val="Normal"/>
    <w:uiPriority w:val="39"/>
    <w:rsid w:val="00961DBB"/>
    <w:pPr>
      <w:spacing w:before="120" w:after="420"/>
    </w:pPr>
    <w:rPr>
      <w:i/>
      <w:color w:val="9778B4" w:themeColor="text2"/>
      <w:spacing w:val="-1"/>
    </w:rPr>
  </w:style>
  <w:style w:type="paragraph" w:customStyle="1" w:styleId="Introduction">
    <w:name w:val="Introduction"/>
    <w:basedOn w:val="Normal"/>
    <w:next w:val="BodyText"/>
    <w:uiPriority w:val="39"/>
    <w:rsid w:val="00961DBB"/>
    <w:pPr>
      <w:spacing w:after="180" w:line="360" w:lineRule="atLeast"/>
    </w:pPr>
    <w:rPr>
      <w:color w:val="9778B4" w:themeColor="text2"/>
      <w:spacing w:val="-2"/>
      <w:sz w:val="30"/>
    </w:rPr>
  </w:style>
  <w:style w:type="character" w:customStyle="1" w:styleId="Italics">
    <w:name w:val="Italics"/>
    <w:uiPriority w:val="39"/>
    <w:rsid w:val="00961DBB"/>
    <w:rPr>
      <w:i/>
    </w:rPr>
  </w:style>
  <w:style w:type="paragraph" w:styleId="ListBullet">
    <w:name w:val="List Bullet"/>
    <w:basedOn w:val="Normal"/>
    <w:uiPriority w:val="7"/>
    <w:qFormat/>
    <w:rsid w:val="005467E2"/>
    <w:pPr>
      <w:keepLines/>
      <w:numPr>
        <w:numId w:val="2"/>
      </w:numPr>
      <w:spacing w:before="120" w:after="120"/>
    </w:pPr>
    <w:rPr>
      <w:spacing w:val="-1"/>
    </w:rPr>
  </w:style>
  <w:style w:type="paragraph" w:styleId="ListBullet2">
    <w:name w:val="List Bullet 2"/>
    <w:basedOn w:val="ListBullet"/>
    <w:uiPriority w:val="8"/>
    <w:qFormat/>
    <w:rsid w:val="00857C91"/>
    <w:pPr>
      <w:numPr>
        <w:ilvl w:val="1"/>
      </w:numPr>
    </w:pPr>
  </w:style>
  <w:style w:type="paragraph" w:styleId="ListBullet3">
    <w:name w:val="List Bullet 3"/>
    <w:basedOn w:val="ListBullet2"/>
    <w:uiPriority w:val="9"/>
    <w:qFormat/>
    <w:rsid w:val="00857C91"/>
    <w:pPr>
      <w:numPr>
        <w:ilvl w:val="2"/>
      </w:numPr>
    </w:pPr>
  </w:style>
  <w:style w:type="paragraph" w:styleId="ListContinue">
    <w:name w:val="List Continue"/>
    <w:basedOn w:val="Normal"/>
    <w:semiHidden/>
    <w:qFormat/>
    <w:rsid w:val="00961DBB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961DBB"/>
    <w:pPr>
      <w:spacing w:before="220" w:after="220"/>
      <w:ind w:left="680"/>
    </w:pPr>
  </w:style>
  <w:style w:type="paragraph" w:styleId="ListNumber">
    <w:name w:val="List Number"/>
    <w:basedOn w:val="Normal"/>
    <w:uiPriority w:val="10"/>
    <w:qFormat/>
    <w:rsid w:val="00476133"/>
    <w:pPr>
      <w:numPr>
        <w:numId w:val="3"/>
      </w:numPr>
      <w:spacing w:before="120" w:after="120"/>
    </w:pPr>
    <w:rPr>
      <w:spacing w:val="-1"/>
    </w:rPr>
  </w:style>
  <w:style w:type="paragraph" w:styleId="ListNumber2">
    <w:name w:val="List Number 2"/>
    <w:basedOn w:val="Normal"/>
    <w:uiPriority w:val="11"/>
    <w:qFormat/>
    <w:rsid w:val="00476133"/>
    <w:pPr>
      <w:numPr>
        <w:ilvl w:val="1"/>
        <w:numId w:val="3"/>
      </w:numPr>
      <w:spacing w:before="120" w:after="120"/>
      <w:ind w:left="908" w:hanging="454"/>
    </w:pPr>
    <w:rPr>
      <w:spacing w:val="-1"/>
    </w:rPr>
  </w:style>
  <w:style w:type="paragraph" w:styleId="ListNumber3">
    <w:name w:val="List Number 3"/>
    <w:basedOn w:val="Normal"/>
    <w:uiPriority w:val="12"/>
    <w:qFormat/>
    <w:rsid w:val="00476133"/>
    <w:pPr>
      <w:numPr>
        <w:ilvl w:val="2"/>
        <w:numId w:val="3"/>
      </w:numPr>
      <w:spacing w:before="120" w:after="120"/>
    </w:pPr>
    <w:rPr>
      <w:spacing w:val="-1"/>
    </w:rPr>
  </w:style>
  <w:style w:type="character" w:customStyle="1" w:styleId="MySubscript">
    <w:name w:val="MySubscript"/>
    <w:uiPriority w:val="99"/>
    <w:rsid w:val="00961DBB"/>
    <w:rPr>
      <w:vertAlign w:val="subscript"/>
    </w:rPr>
  </w:style>
  <w:style w:type="character" w:customStyle="1" w:styleId="MySubscriptItalics">
    <w:name w:val="MySubscript&amp;Italics"/>
    <w:uiPriority w:val="99"/>
    <w:rsid w:val="00961DBB"/>
    <w:rPr>
      <w:i/>
      <w:vertAlign w:val="subscript"/>
    </w:rPr>
  </w:style>
  <w:style w:type="character" w:customStyle="1" w:styleId="MySuperscript">
    <w:name w:val="MySuperscript"/>
    <w:uiPriority w:val="99"/>
    <w:rsid w:val="00961DBB"/>
    <w:rPr>
      <w:vertAlign w:val="superscript"/>
    </w:rPr>
  </w:style>
  <w:style w:type="character" w:customStyle="1" w:styleId="MySuperscriptItalics">
    <w:name w:val="MySuperscript&amp;Italics"/>
    <w:uiPriority w:val="99"/>
    <w:rsid w:val="00961DBB"/>
    <w:rPr>
      <w:i/>
      <w:vertAlign w:val="superscript"/>
    </w:rPr>
  </w:style>
  <w:style w:type="paragraph" w:styleId="NoSpacing">
    <w:name w:val="No Spacing"/>
    <w:next w:val="BodyText"/>
    <w:uiPriority w:val="39"/>
    <w:rsid w:val="00961DBB"/>
    <w:pPr>
      <w:spacing w:line="240" w:lineRule="auto"/>
    </w:pPr>
    <w:rPr>
      <w:rFonts w:eastAsia="Times New Roman" w:cs="Arial"/>
      <w:lang w:eastAsia="en-AU"/>
    </w:rPr>
  </w:style>
  <w:style w:type="paragraph" w:customStyle="1" w:styleId="OverviewBodyText">
    <w:name w:val="Overview Body Text"/>
    <w:basedOn w:val="Normal"/>
    <w:uiPriority w:val="39"/>
    <w:rsid w:val="00512226"/>
    <w:pPr>
      <w:spacing w:after="113"/>
    </w:pPr>
  </w:style>
  <w:style w:type="paragraph" w:customStyle="1" w:styleId="OverviewHeading2">
    <w:name w:val="Overview Heading 2"/>
    <w:basedOn w:val="Normal"/>
    <w:next w:val="OverviewBodyText"/>
    <w:uiPriority w:val="39"/>
    <w:rsid w:val="00512226"/>
    <w:pPr>
      <w:keepNext/>
      <w:keepLines/>
      <w:spacing w:before="470" w:after="227"/>
    </w:pPr>
    <w:rPr>
      <w:rFonts w:asciiTheme="majorHAnsi" w:hAnsiTheme="majorHAnsi"/>
      <w:color w:val="9778B4" w:themeColor="text2"/>
      <w:sz w:val="32"/>
    </w:rPr>
  </w:style>
  <w:style w:type="paragraph" w:customStyle="1" w:styleId="OverviewHeading3">
    <w:name w:val="Overview Heading 3"/>
    <w:basedOn w:val="OverviewHeading2"/>
    <w:next w:val="OverviewBodyText"/>
    <w:uiPriority w:val="39"/>
    <w:rsid w:val="00512226"/>
    <w:rPr>
      <w:sz w:val="28"/>
    </w:rPr>
  </w:style>
  <w:style w:type="character" w:styleId="PageNumber">
    <w:name w:val="page number"/>
    <w:basedOn w:val="DefaultParagraphFont"/>
    <w:semiHidden/>
    <w:rsid w:val="00961DBB"/>
    <w:rPr>
      <w:rFonts w:ascii="Arial" w:hAnsi="Arial"/>
      <w:b/>
      <w:color w:val="auto"/>
      <w:sz w:val="16"/>
    </w:rPr>
  </w:style>
  <w:style w:type="paragraph" w:customStyle="1" w:styleId="PageNumberOdd">
    <w:name w:val="Page Number Odd"/>
    <w:semiHidden/>
    <w:rsid w:val="00961DBB"/>
    <w:pPr>
      <w:ind w:right="57"/>
      <w:jc w:val="right"/>
    </w:pPr>
    <w:rPr>
      <w:rFonts w:eastAsia="Times New Roman" w:cs="Arial"/>
      <w:b/>
      <w:color w:val="9778B4" w:themeColor="text2"/>
      <w:sz w:val="14"/>
      <w:szCs w:val="28"/>
      <w:lang w:eastAsia="en-AU"/>
    </w:rPr>
  </w:style>
  <w:style w:type="paragraph" w:customStyle="1" w:styleId="PageNumberEven">
    <w:name w:val="Page Number Even"/>
    <w:basedOn w:val="PageNumberOdd"/>
    <w:semiHidden/>
    <w:rsid w:val="00961DBB"/>
    <w:pPr>
      <w:framePr w:hSpace="181" w:wrap="around" w:vAnchor="page" w:hAnchor="page" w:yAlign="bottom"/>
      <w:jc w:val="left"/>
    </w:pPr>
  </w:style>
  <w:style w:type="character" w:styleId="PlaceholderText">
    <w:name w:val="Placeholder Text"/>
    <w:basedOn w:val="DefaultParagraphFont"/>
    <w:uiPriority w:val="39"/>
    <w:rsid w:val="00961DBB"/>
    <w:rPr>
      <w:color w:val="808080"/>
    </w:rPr>
  </w:style>
  <w:style w:type="paragraph" w:customStyle="1" w:styleId="PullOutBoxBodyText">
    <w:name w:val="Pull Out Box Body Text"/>
    <w:basedOn w:val="Normal"/>
    <w:link w:val="PullOutBoxBodyTextChar"/>
    <w:uiPriority w:val="24"/>
    <w:rsid w:val="00476133"/>
    <w:pPr>
      <w:spacing w:before="120" w:after="120"/>
      <w:ind w:left="57" w:right="57"/>
    </w:pPr>
    <w:rPr>
      <w:spacing w:val="-1"/>
    </w:rPr>
  </w:style>
  <w:style w:type="paragraph" w:customStyle="1" w:styleId="PullOutBoxBullet">
    <w:name w:val="Pull Out Box Bullet"/>
    <w:basedOn w:val="PullOutBoxBodyText"/>
    <w:uiPriority w:val="25"/>
    <w:rsid w:val="00476133"/>
    <w:pPr>
      <w:numPr>
        <w:numId w:val="4"/>
      </w:numPr>
      <w:ind w:left="397"/>
    </w:pPr>
  </w:style>
  <w:style w:type="paragraph" w:customStyle="1" w:styleId="PullOutBoxBullet2">
    <w:name w:val="Pull Out Box Bullet 2"/>
    <w:basedOn w:val="PullOutBoxBodyText"/>
    <w:uiPriority w:val="26"/>
    <w:rsid w:val="008112CC"/>
    <w:pPr>
      <w:numPr>
        <w:ilvl w:val="1"/>
        <w:numId w:val="4"/>
      </w:numPr>
      <w:ind w:left="737"/>
    </w:pPr>
  </w:style>
  <w:style w:type="paragraph" w:customStyle="1" w:styleId="PullOutBoxBullet3">
    <w:name w:val="Pull Out Box Bullet 3"/>
    <w:basedOn w:val="PullOutBoxBodyText"/>
    <w:uiPriority w:val="27"/>
    <w:rsid w:val="00476133"/>
    <w:pPr>
      <w:numPr>
        <w:ilvl w:val="2"/>
        <w:numId w:val="4"/>
      </w:numPr>
      <w:ind w:left="1077"/>
    </w:pPr>
  </w:style>
  <w:style w:type="paragraph" w:customStyle="1" w:styleId="PullOutBoxHeading">
    <w:name w:val="Pull Out Box Heading"/>
    <w:basedOn w:val="PullOutBoxBodyText"/>
    <w:link w:val="PullOutBoxHeadingChar"/>
    <w:uiPriority w:val="23"/>
    <w:rsid w:val="00476133"/>
    <w:pPr>
      <w:keepNext/>
      <w:keepLines/>
    </w:pPr>
    <w:rPr>
      <w:b/>
    </w:rPr>
  </w:style>
  <w:style w:type="paragraph" w:customStyle="1" w:styleId="PullOutBoxNumber">
    <w:name w:val="Pull Out Box Number"/>
    <w:basedOn w:val="PullOutBoxBodyText"/>
    <w:uiPriority w:val="28"/>
    <w:rsid w:val="00476133"/>
    <w:pPr>
      <w:numPr>
        <w:numId w:val="5"/>
      </w:numPr>
      <w:ind w:left="397"/>
    </w:pPr>
  </w:style>
  <w:style w:type="paragraph" w:customStyle="1" w:styleId="PullOutBoxNumber2">
    <w:name w:val="Pull Out Box Number 2"/>
    <w:basedOn w:val="PullOutBoxBodyText"/>
    <w:uiPriority w:val="29"/>
    <w:rsid w:val="008112CC"/>
    <w:pPr>
      <w:numPr>
        <w:ilvl w:val="1"/>
        <w:numId w:val="5"/>
      </w:numPr>
      <w:ind w:left="737"/>
    </w:pPr>
  </w:style>
  <w:style w:type="paragraph" w:customStyle="1" w:styleId="PullOutBoxNumber3">
    <w:name w:val="Pull Out Box Number 3"/>
    <w:basedOn w:val="PullOutBoxBodyText"/>
    <w:uiPriority w:val="30"/>
    <w:rsid w:val="008112CC"/>
    <w:pPr>
      <w:numPr>
        <w:ilvl w:val="2"/>
        <w:numId w:val="5"/>
      </w:numPr>
      <w:ind w:left="1077"/>
    </w:pPr>
  </w:style>
  <w:style w:type="table" w:customStyle="1" w:styleId="PullOutBoxTable">
    <w:name w:val="Pull Out Box Table"/>
    <w:basedOn w:val="TableNormal"/>
    <w:uiPriority w:val="99"/>
    <w:rsid w:val="00961DBB"/>
    <w:pPr>
      <w:spacing w:line="240" w:lineRule="auto"/>
    </w:pPr>
    <w:rPr>
      <w:rFonts w:eastAsia="Times New Roman" w:cs="Arial"/>
      <w:lang w:eastAsia="en-AU"/>
    </w:rPr>
    <w:tblPr>
      <w:tblBorders>
        <w:top w:val="single" w:sz="4" w:space="0" w:color="F1873D" w:themeColor="accent3"/>
        <w:left w:val="single" w:sz="4" w:space="0" w:color="F1873D" w:themeColor="accent3"/>
        <w:bottom w:val="single" w:sz="4" w:space="0" w:color="F1873D" w:themeColor="accent3"/>
        <w:right w:val="single" w:sz="4" w:space="0" w:color="F1873D" w:themeColor="accent3"/>
        <w:insideH w:val="single" w:sz="4" w:space="0" w:color="F1873D" w:themeColor="accent3"/>
        <w:insideV w:val="single" w:sz="4" w:space="0" w:color="F1873D" w:themeColor="accent3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F1873D" w:themeFill="accent3"/>
    </w:tcPr>
  </w:style>
  <w:style w:type="paragraph" w:styleId="Quote">
    <w:name w:val="Quote"/>
    <w:basedOn w:val="Normal"/>
    <w:link w:val="QuoteChar"/>
    <w:uiPriority w:val="39"/>
    <w:rsid w:val="00961DBB"/>
    <w:pPr>
      <w:tabs>
        <w:tab w:val="left" w:pos="1134"/>
      </w:tabs>
      <w:spacing w:before="240" w:after="24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39"/>
    <w:rsid w:val="00AC41CF"/>
    <w:rPr>
      <w:i/>
      <w:iCs/>
    </w:rPr>
  </w:style>
  <w:style w:type="paragraph" w:customStyle="1" w:styleId="QuoteBullet">
    <w:name w:val="Quote Bullet"/>
    <w:basedOn w:val="Quote"/>
    <w:uiPriority w:val="39"/>
    <w:rsid w:val="00961DBB"/>
    <w:pPr>
      <w:numPr>
        <w:numId w:val="6"/>
      </w:numPr>
    </w:pPr>
  </w:style>
  <w:style w:type="paragraph" w:customStyle="1" w:styleId="QuoteBullet2">
    <w:name w:val="Quote Bullet 2"/>
    <w:basedOn w:val="Quote"/>
    <w:uiPriority w:val="39"/>
    <w:rsid w:val="00961DBB"/>
    <w:pPr>
      <w:numPr>
        <w:ilvl w:val="1"/>
        <w:numId w:val="6"/>
      </w:numPr>
      <w:tabs>
        <w:tab w:val="clear" w:pos="1134"/>
      </w:tabs>
    </w:pPr>
  </w:style>
  <w:style w:type="paragraph" w:customStyle="1" w:styleId="SectionHeading">
    <w:name w:val="Section Heading"/>
    <w:basedOn w:val="Normal"/>
    <w:next w:val="BodyText"/>
    <w:uiPriority w:val="39"/>
    <w:rsid w:val="00E45766"/>
    <w:pPr>
      <w:keepLines/>
      <w:spacing w:before="4320" w:line="360" w:lineRule="auto"/>
      <w:ind w:left="1701"/>
      <w:jc w:val="right"/>
      <w:outlineLvl w:val="0"/>
    </w:pPr>
    <w:rPr>
      <w:rFonts w:asciiTheme="majorHAnsi" w:hAnsiTheme="majorHAnsi"/>
      <w:noProof/>
      <w:color w:val="9778B4" w:themeColor="text2"/>
      <w:sz w:val="50"/>
      <w:szCs w:val="40"/>
    </w:rPr>
  </w:style>
  <w:style w:type="character" w:customStyle="1" w:styleId="SectionSubtitle">
    <w:name w:val="Section Subtitle"/>
    <w:uiPriority w:val="39"/>
    <w:rsid w:val="00E45766"/>
    <w:rPr>
      <w:color w:val="FCC648" w:themeColor="accent4"/>
      <w:sz w:val="40"/>
    </w:rPr>
  </w:style>
  <w:style w:type="paragraph" w:styleId="Subtitle">
    <w:name w:val="Subtitle"/>
    <w:basedOn w:val="Normal"/>
    <w:next w:val="Normal"/>
    <w:link w:val="SubtitleChar"/>
    <w:uiPriority w:val="39"/>
    <w:rsid w:val="00961DBB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39"/>
    <w:rsid w:val="00AC41CF"/>
    <w:rPr>
      <w:rFonts w:asciiTheme="majorHAnsi" w:eastAsiaTheme="majorEastAsia" w:hAnsiTheme="majorHAnsi" w:cstheme="majorBidi"/>
      <w:iCs/>
      <w:spacing w:val="15"/>
    </w:rPr>
  </w:style>
  <w:style w:type="character" w:customStyle="1" w:styleId="Superscript">
    <w:name w:val="Superscript"/>
    <w:uiPriority w:val="39"/>
    <w:rsid w:val="00961DBB"/>
    <w:rPr>
      <w:vertAlign w:val="superscript"/>
    </w:rPr>
  </w:style>
  <w:style w:type="table" w:customStyle="1" w:styleId="TableAsPlaceholder">
    <w:name w:val="Table As Placeholder"/>
    <w:basedOn w:val="TableNormal"/>
    <w:uiPriority w:val="99"/>
    <w:qFormat/>
    <w:rsid w:val="00961DBB"/>
    <w:rPr>
      <w:rFonts w:eastAsia="Times New Roman" w:cs="Arial"/>
      <w:lang w:eastAsia="en-AU"/>
    </w:rPr>
    <w:tblPr>
      <w:tblCellMar>
        <w:left w:w="0" w:type="dxa"/>
        <w:right w:w="0" w:type="dxa"/>
      </w:tblCellMar>
    </w:tblPr>
  </w:style>
  <w:style w:type="paragraph" w:customStyle="1" w:styleId="TableFootnotes">
    <w:name w:val="Table Footnotes"/>
    <w:basedOn w:val="Normal"/>
    <w:uiPriority w:val="22"/>
    <w:qFormat/>
    <w:rsid w:val="009B70E6"/>
    <w:pPr>
      <w:keepLines/>
      <w:numPr>
        <w:numId w:val="7"/>
      </w:numPr>
      <w:spacing w:line="260" w:lineRule="atLeast"/>
    </w:pPr>
    <w:rPr>
      <w:sz w:val="20"/>
    </w:rPr>
  </w:style>
  <w:style w:type="table" w:styleId="TableGrid">
    <w:name w:val="Table Grid"/>
    <w:basedOn w:val="TableNormal"/>
    <w:rsid w:val="00F85D29"/>
    <w:pPr>
      <w:spacing w:before="70" w:after="70" w:line="260" w:lineRule="atLeast"/>
      <w:ind w:left="113" w:right="113"/>
    </w:pPr>
    <w:rPr>
      <w:rFonts w:eastAsia="Times New Roman" w:cs="Times New Roman"/>
      <w:sz w:val="20"/>
      <w:lang w:eastAsia="en-AU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spacing w:beforeLines="0" w:before="70" w:beforeAutospacing="0" w:afterLines="0" w:after="70" w:afterAutospacing="0" w:line="260" w:lineRule="atLeast"/>
        <w:ind w:leftChars="0" w:left="113" w:rightChars="0" w:right="113"/>
        <w:jc w:val="center"/>
      </w:pPr>
      <w:rPr>
        <w:rFonts w:asciiTheme="minorHAnsi" w:hAnsiTheme="minorHAnsi"/>
        <w:b w:val="0"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78B4" w:themeFill="text2"/>
      </w:tcPr>
    </w:tblStylePr>
    <w:tblStylePr w:type="lastRow">
      <w:rPr>
        <w:b/>
      </w:rPr>
    </w:tblStylePr>
    <w:tblStylePr w:type="firstCol">
      <w:pPr>
        <w:wordWrap/>
        <w:ind w:leftChars="0" w:left="113" w:rightChars="0" w:right="113"/>
        <w:jc w:val="left"/>
      </w:pPr>
      <w:rPr>
        <w:b w:val="0"/>
        <w:i w:val="0"/>
      </w:rPr>
    </w:tblStylePr>
    <w:tblStylePr w:type="lastCol">
      <w:pPr>
        <w:wordWrap/>
        <w:jc w:val="left"/>
      </w:p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1873D" w:themeFill="accent3"/>
      </w:tcPr>
    </w:tblStylePr>
    <w:tblStylePr w:type="nwCell">
      <w:pPr>
        <w:jc w:val="left"/>
      </w:pPr>
      <w:tblPr/>
      <w:tcPr>
        <w:vAlign w:val="top"/>
      </w:tcPr>
    </w:tblStylePr>
  </w:style>
  <w:style w:type="paragraph" w:customStyle="1" w:styleId="TableHeading">
    <w:name w:val="Table Heading"/>
    <w:basedOn w:val="Normal"/>
    <w:uiPriority w:val="14"/>
    <w:qFormat/>
    <w:rsid w:val="00476133"/>
    <w:pPr>
      <w:keepNext/>
      <w:keepLines/>
      <w:spacing w:before="70" w:after="70" w:line="260" w:lineRule="atLeast"/>
      <w:ind w:left="57" w:right="57"/>
    </w:pPr>
    <w:rPr>
      <w:rFonts w:ascii="Calibri" w:hAnsi="Calibri" w:cs="Times New Roman"/>
      <w:b/>
      <w:sz w:val="20"/>
    </w:rPr>
  </w:style>
  <w:style w:type="paragraph" w:customStyle="1" w:styleId="TableHeadingCentred">
    <w:name w:val="Table Heading Centred"/>
    <w:basedOn w:val="TableHeading"/>
    <w:uiPriority w:val="15"/>
    <w:qFormat/>
    <w:rsid w:val="005B0970"/>
    <w:pPr>
      <w:jc w:val="center"/>
    </w:pPr>
  </w:style>
  <w:style w:type="paragraph" w:customStyle="1" w:styleId="TableHeadingRight">
    <w:name w:val="Table Heading Right"/>
    <w:basedOn w:val="TableHeading"/>
    <w:uiPriority w:val="16"/>
    <w:qFormat/>
    <w:rsid w:val="00956D5A"/>
    <w:pPr>
      <w:jc w:val="right"/>
    </w:pPr>
  </w:style>
  <w:style w:type="paragraph" w:customStyle="1" w:styleId="Source">
    <w:name w:val="Source"/>
    <w:basedOn w:val="Normal"/>
    <w:next w:val="BodyText17ptAbove"/>
    <w:uiPriority w:val="39"/>
    <w:rsid w:val="00035ADE"/>
    <w:pPr>
      <w:spacing w:before="180" w:after="114"/>
      <w:contextualSpacing/>
    </w:pPr>
    <w:rPr>
      <w:rFonts w:cs="Times New Roman"/>
      <w:color w:val="3D4D7D" w:themeColor="background2"/>
      <w:sz w:val="20"/>
      <w:szCs w:val="14"/>
    </w:rPr>
  </w:style>
  <w:style w:type="paragraph" w:customStyle="1" w:styleId="TableText">
    <w:name w:val="Table Text"/>
    <w:basedOn w:val="Normal"/>
    <w:uiPriority w:val="17"/>
    <w:qFormat/>
    <w:rsid w:val="005B0970"/>
    <w:pPr>
      <w:spacing w:before="70" w:after="70" w:line="260" w:lineRule="atLeast"/>
      <w:ind w:left="57" w:right="57"/>
    </w:pPr>
    <w:rPr>
      <w:rFonts w:ascii="Calibri" w:hAnsi="Calibri" w:cs="Times New Roman"/>
      <w:sz w:val="20"/>
    </w:rPr>
  </w:style>
  <w:style w:type="paragraph" w:customStyle="1" w:styleId="TableTextBold">
    <w:name w:val="Table Text Bold"/>
    <w:basedOn w:val="TableText"/>
    <w:semiHidden/>
    <w:qFormat/>
    <w:rsid w:val="00961DBB"/>
    <w:rPr>
      <w:b/>
    </w:rPr>
  </w:style>
  <w:style w:type="paragraph" w:customStyle="1" w:styleId="TableTextBullet">
    <w:name w:val="Table Text Bullet"/>
    <w:basedOn w:val="TableText"/>
    <w:uiPriority w:val="39"/>
    <w:rsid w:val="00961DBB"/>
    <w:pPr>
      <w:numPr>
        <w:numId w:val="8"/>
      </w:numPr>
    </w:pPr>
  </w:style>
  <w:style w:type="paragraph" w:customStyle="1" w:styleId="TableTextBullet2">
    <w:name w:val="Table Text Bullet 2"/>
    <w:basedOn w:val="TableTextBullet"/>
    <w:uiPriority w:val="39"/>
    <w:rsid w:val="00961DBB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uiPriority w:val="39"/>
    <w:rsid w:val="00961DBB"/>
    <w:pPr>
      <w:numPr>
        <w:ilvl w:val="2"/>
      </w:numPr>
    </w:pPr>
    <w:rPr>
      <w:bCs w:val="0"/>
    </w:rPr>
  </w:style>
  <w:style w:type="paragraph" w:customStyle="1" w:styleId="TableTextNumber">
    <w:name w:val="Table Text Number"/>
    <w:basedOn w:val="TableText"/>
    <w:uiPriority w:val="39"/>
    <w:rsid w:val="00961DBB"/>
    <w:pPr>
      <w:numPr>
        <w:numId w:val="9"/>
      </w:numPr>
    </w:pPr>
  </w:style>
  <w:style w:type="paragraph" w:customStyle="1" w:styleId="TableTextNumber2">
    <w:name w:val="Table Text Number 2"/>
    <w:basedOn w:val="TableTextNumber"/>
    <w:uiPriority w:val="39"/>
    <w:rsid w:val="00961DBB"/>
    <w:pPr>
      <w:numPr>
        <w:ilvl w:val="1"/>
      </w:numPr>
      <w:tabs>
        <w:tab w:val="clear" w:pos="709"/>
        <w:tab w:val="num" w:pos="680"/>
      </w:tabs>
      <w:ind w:left="680"/>
    </w:pPr>
  </w:style>
  <w:style w:type="paragraph" w:customStyle="1" w:styleId="TableTextNumber3">
    <w:name w:val="Table Text Number 3"/>
    <w:basedOn w:val="TableTextNumber2"/>
    <w:uiPriority w:val="39"/>
    <w:rsid w:val="00961DBB"/>
    <w:pPr>
      <w:numPr>
        <w:ilvl w:val="2"/>
      </w:numPr>
    </w:pPr>
  </w:style>
  <w:style w:type="paragraph" w:customStyle="1" w:styleId="TableTextRight">
    <w:name w:val="Table Text Right"/>
    <w:basedOn w:val="TableText"/>
    <w:uiPriority w:val="19"/>
    <w:qFormat/>
    <w:rsid w:val="00961DBB"/>
    <w:pPr>
      <w:jc w:val="right"/>
    </w:pPr>
  </w:style>
  <w:style w:type="paragraph" w:customStyle="1" w:styleId="TableofContents2">
    <w:name w:val="TableofContents2"/>
    <w:basedOn w:val="Normal"/>
    <w:semiHidden/>
    <w:rsid w:val="00CA0B7E"/>
    <w:pPr>
      <w:keepNext/>
      <w:spacing w:after="113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uiPriority w:val="39"/>
    <w:rsid w:val="00817406"/>
    <w:pPr>
      <w:spacing w:before="480" w:after="340" w:line="240" w:lineRule="auto"/>
    </w:pPr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character" w:customStyle="1" w:styleId="TitleChar">
    <w:name w:val="Title Char"/>
    <w:basedOn w:val="DefaultParagraphFont"/>
    <w:link w:val="Title"/>
    <w:uiPriority w:val="39"/>
    <w:rsid w:val="00AC41CF"/>
    <w:rPr>
      <w:rFonts w:asciiTheme="majorHAnsi" w:eastAsiaTheme="majorEastAsia" w:hAnsiTheme="majorHAnsi" w:cstheme="majorBidi"/>
      <w:color w:val="9778B4" w:themeColor="text2"/>
      <w:spacing w:val="-2"/>
      <w:sz w:val="32"/>
      <w:szCs w:val="50"/>
    </w:rPr>
  </w:style>
  <w:style w:type="paragraph" w:customStyle="1" w:styleId="Title2">
    <w:name w:val="Title 2"/>
    <w:basedOn w:val="Normal"/>
    <w:link w:val="Title2Char"/>
    <w:uiPriority w:val="39"/>
    <w:rsid w:val="00C8728F"/>
    <w:pPr>
      <w:spacing w:after="250"/>
      <w:ind w:left="397"/>
      <w:jc w:val="right"/>
    </w:pPr>
    <w:rPr>
      <w:rFonts w:asciiTheme="majorHAnsi" w:hAnsiTheme="majorHAnsi"/>
      <w:color w:val="FFFFFF"/>
      <w:spacing w:val="-2"/>
      <w:sz w:val="32"/>
    </w:rPr>
  </w:style>
  <w:style w:type="character" w:customStyle="1" w:styleId="Title2Char">
    <w:name w:val="Title 2 Char"/>
    <w:basedOn w:val="DefaultParagraphFont"/>
    <w:link w:val="Title2"/>
    <w:uiPriority w:val="39"/>
    <w:rsid w:val="00AC41CF"/>
    <w:rPr>
      <w:rFonts w:asciiTheme="majorHAnsi" w:hAnsiTheme="majorHAnsi"/>
      <w:color w:val="FFFFFF"/>
      <w:spacing w:val="-2"/>
      <w:sz w:val="32"/>
    </w:rPr>
  </w:style>
  <w:style w:type="paragraph" w:customStyle="1" w:styleId="Title3">
    <w:name w:val="Title 3"/>
    <w:basedOn w:val="Title2"/>
    <w:uiPriority w:val="39"/>
    <w:rsid w:val="00195228"/>
    <w:pPr>
      <w:framePr w:wrap="auto" w:vAnchor="page" w:hAnchor="margin" w:y="5779"/>
    </w:pPr>
    <w:rPr>
      <w:rFonts w:eastAsia="Times New Roman" w:cs="Arial"/>
      <w:i/>
      <w:spacing w:val="8"/>
      <w:lang w:eastAsia="en-AU"/>
    </w:rPr>
  </w:style>
  <w:style w:type="paragraph" w:styleId="TOC1">
    <w:name w:val="toc 1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right="851"/>
    </w:pPr>
    <w:rPr>
      <w:b/>
      <w:noProof/>
      <w:color w:val="9778B4" w:themeColor="text2"/>
    </w:rPr>
  </w:style>
  <w:style w:type="paragraph" w:styleId="TOC2">
    <w:name w:val="toc 2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454" w:right="851"/>
    </w:pPr>
    <w:rPr>
      <w:noProof/>
      <w:szCs w:val="28"/>
    </w:rPr>
  </w:style>
  <w:style w:type="paragraph" w:styleId="TOC3">
    <w:name w:val="toc 3"/>
    <w:basedOn w:val="Normal"/>
    <w:next w:val="Normal"/>
    <w:uiPriority w:val="39"/>
    <w:rsid w:val="001B2C65"/>
    <w:pPr>
      <w:tabs>
        <w:tab w:val="right" w:leader="underscore" w:pos="8164"/>
      </w:tabs>
      <w:spacing w:after="227"/>
      <w:ind w:left="907" w:right="851"/>
    </w:pPr>
    <w:rPr>
      <w:rFonts w:eastAsiaTheme="minorEastAsia"/>
      <w:noProof/>
    </w:rPr>
  </w:style>
  <w:style w:type="paragraph" w:styleId="TOC4">
    <w:name w:val="toc 4"/>
    <w:basedOn w:val="Normal"/>
    <w:uiPriority w:val="39"/>
    <w:rsid w:val="006C5E72"/>
    <w:pPr>
      <w:tabs>
        <w:tab w:val="right" w:leader="underscore" w:pos="8165"/>
      </w:tabs>
      <w:spacing w:after="80"/>
      <w:ind w:right="851"/>
    </w:pPr>
    <w:rPr>
      <w:noProof/>
    </w:rPr>
  </w:style>
  <w:style w:type="paragraph" w:styleId="TOC5">
    <w:name w:val="toc 5"/>
    <w:basedOn w:val="Normal"/>
    <w:next w:val="Normal"/>
    <w:autoRedefine/>
    <w:uiPriority w:val="39"/>
    <w:rsid w:val="0096618E"/>
    <w:pPr>
      <w:tabs>
        <w:tab w:val="right" w:leader="underscore" w:pos="8165"/>
      </w:tabs>
      <w:spacing w:after="227"/>
      <w:ind w:right="851"/>
    </w:pPr>
    <w:rPr>
      <w:b/>
      <w:color w:val="9778B4" w:themeColor="text2"/>
    </w:rPr>
  </w:style>
  <w:style w:type="paragraph" w:styleId="TOC6">
    <w:name w:val="toc 6"/>
    <w:basedOn w:val="Normal"/>
    <w:next w:val="Normal"/>
    <w:autoRedefine/>
    <w:semiHidden/>
    <w:rsid w:val="00961DB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961DBB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961DBB"/>
    <w:pPr>
      <w:tabs>
        <w:tab w:val="right" w:leader="dot" w:pos="9582"/>
      </w:tabs>
      <w:spacing w:after="227"/>
      <w:ind w:right="907"/>
    </w:pPr>
    <w:rPr>
      <w:color w:val="9778B4" w:themeColor="text2"/>
    </w:rPr>
  </w:style>
  <w:style w:type="paragraph" w:styleId="TOCHeading">
    <w:name w:val="TOC Heading"/>
    <w:basedOn w:val="Normal"/>
    <w:uiPriority w:val="39"/>
    <w:rsid w:val="00733970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before="480" w:after="340" w:line="240" w:lineRule="auto"/>
    </w:pPr>
    <w:rPr>
      <w:rFonts w:asciiTheme="majorHAnsi" w:hAnsiTheme="majorHAnsi"/>
      <w:color w:val="9778B4" w:themeColor="text2"/>
      <w:sz w:val="40"/>
      <w:szCs w:val="40"/>
    </w:rPr>
  </w:style>
  <w:style w:type="paragraph" w:customStyle="1" w:styleId="TOFHeading">
    <w:name w:val="TOF Heading"/>
    <w:basedOn w:val="Normal"/>
    <w:uiPriority w:val="39"/>
    <w:rsid w:val="00961DBB"/>
    <w:pPr>
      <w:keepNext/>
      <w:tabs>
        <w:tab w:val="left" w:pos="2268"/>
      </w:tabs>
      <w:spacing w:before="300" w:after="120"/>
    </w:pPr>
    <w:rPr>
      <w:color w:val="9778B4" w:themeColor="text2"/>
      <w:sz w:val="28"/>
      <w:szCs w:val="32"/>
    </w:rPr>
  </w:style>
  <w:style w:type="paragraph" w:customStyle="1" w:styleId="xDisclaimerHeading">
    <w:name w:val="xDisclaimer Heading"/>
    <w:basedOn w:val="Normal"/>
    <w:link w:val="xDisclaimerHeadingChar"/>
    <w:uiPriority w:val="39"/>
    <w:rsid w:val="00961DBB"/>
    <w:pPr>
      <w:framePr w:hSpace="181" w:wrap="around" w:hAnchor="margin" w:y="4310"/>
      <w:spacing w:before="170" w:after="57" w:line="280" w:lineRule="atLeast"/>
      <w:suppressOverlap/>
    </w:pPr>
    <w:rPr>
      <w:b/>
    </w:rPr>
  </w:style>
  <w:style w:type="character" w:customStyle="1" w:styleId="xDisclaimerHeadingChar">
    <w:name w:val="xDisclaimer Heading Char"/>
    <w:basedOn w:val="DefaultParagraphFont"/>
    <w:link w:val="xDisclaimerHeading"/>
    <w:uiPriority w:val="39"/>
    <w:rsid w:val="00AC41CF"/>
    <w:rPr>
      <w:b/>
    </w:rPr>
  </w:style>
  <w:style w:type="paragraph" w:customStyle="1" w:styleId="xDisclaimerText">
    <w:name w:val="xDisclaimer Text"/>
    <w:basedOn w:val="Normal"/>
    <w:uiPriority w:val="39"/>
    <w:rsid w:val="00961DBB"/>
    <w:pPr>
      <w:spacing w:after="57" w:line="302" w:lineRule="atLeast"/>
    </w:pPr>
    <w:rPr>
      <w:rFonts w:cs="Times New Roman"/>
    </w:rPr>
  </w:style>
  <w:style w:type="paragraph" w:customStyle="1" w:styleId="xDisclaimerText2">
    <w:name w:val="xDisclaimer Text 2"/>
    <w:basedOn w:val="xDisclaimerHeading"/>
    <w:uiPriority w:val="39"/>
    <w:rsid w:val="00961DBB"/>
    <w:pPr>
      <w:framePr w:wrap="around"/>
      <w:spacing w:before="0" w:after="170" w:line="302" w:lineRule="atLeast"/>
    </w:pPr>
    <w:rPr>
      <w:b w:val="0"/>
    </w:rPr>
  </w:style>
  <w:style w:type="paragraph" w:customStyle="1" w:styleId="xDisclaimertext3">
    <w:name w:val="xDisclaimer text 3"/>
    <w:basedOn w:val="xDisclaimerText"/>
    <w:uiPriority w:val="39"/>
    <w:rsid w:val="00961DBB"/>
    <w:pPr>
      <w:spacing w:before="170" w:after="170"/>
    </w:pPr>
  </w:style>
  <w:style w:type="paragraph" w:customStyle="1" w:styleId="xInlineShape">
    <w:name w:val="xInlineShape"/>
    <w:basedOn w:val="Normal"/>
    <w:next w:val="BodyText"/>
    <w:uiPriority w:val="39"/>
    <w:rsid w:val="009A3E58"/>
    <w:pPr>
      <w:keepNext/>
      <w:spacing w:before="300" w:after="120" w:line="240" w:lineRule="auto"/>
    </w:pPr>
  </w:style>
  <w:style w:type="paragraph" w:customStyle="1" w:styleId="xStatus">
    <w:name w:val="xStatus"/>
    <w:basedOn w:val="Normal"/>
    <w:semiHidden/>
    <w:rsid w:val="0094468E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1400" w:lineRule="exact"/>
      <w:jc w:val="center"/>
    </w:pPr>
    <w:rPr>
      <w:caps/>
      <w:color w:val="EAEAEA"/>
      <w:spacing w:val="40"/>
      <w:sz w:val="140"/>
    </w:rPr>
  </w:style>
  <w:style w:type="paragraph" w:customStyle="1" w:styleId="xDisclaimerHeadingwithxDisclaimerText">
    <w:name w:val="xDisclaimer Heading (with xDisclaimer Text)"/>
    <w:basedOn w:val="xDisclaimerHeading"/>
    <w:link w:val="xDisclaimerHeadingwithxDisclaimerTextChar"/>
    <w:uiPriority w:val="39"/>
    <w:rsid w:val="00961DBB"/>
    <w:pPr>
      <w:framePr w:wrap="around"/>
    </w:pPr>
  </w:style>
  <w:style w:type="character" w:customStyle="1" w:styleId="xDisclaimerHeadingwithxDisclaimerTextChar">
    <w:name w:val="xDisclaimer Heading (with xDisclaimer Text) Char"/>
    <w:basedOn w:val="xDisclaimerHeadingChar"/>
    <w:link w:val="xDisclaimerHeadingwithxDisclaimerText"/>
    <w:uiPriority w:val="39"/>
    <w:rsid w:val="00AC41CF"/>
    <w:rPr>
      <w:b/>
    </w:rPr>
  </w:style>
  <w:style w:type="character" w:styleId="Hyperlink">
    <w:name w:val="Hyperlink"/>
    <w:basedOn w:val="DefaultParagraphFont"/>
    <w:uiPriority w:val="99"/>
    <w:unhideWhenUsed/>
    <w:rsid w:val="00903E3F"/>
    <w:rPr>
      <w:color w:val="auto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03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266E"/>
    <w:rPr>
      <w:rFonts w:ascii="Tahoma" w:hAnsi="Tahoma" w:cs="Tahoma"/>
      <w:sz w:val="16"/>
      <w:szCs w:val="16"/>
    </w:rPr>
  </w:style>
  <w:style w:type="paragraph" w:customStyle="1" w:styleId="CaptionBefore12pt">
    <w:name w:val="Caption + Before: 12pt"/>
    <w:basedOn w:val="Caption"/>
    <w:uiPriority w:val="39"/>
    <w:rsid w:val="00FD6119"/>
    <w:pPr>
      <w:spacing w:before="240"/>
    </w:pPr>
  </w:style>
  <w:style w:type="paragraph" w:customStyle="1" w:styleId="xBackPageWebAddress">
    <w:name w:val="xBack Page Web Address"/>
    <w:basedOn w:val="Normal"/>
    <w:uiPriority w:val="39"/>
    <w:rsid w:val="00F31392"/>
    <w:pPr>
      <w:spacing w:before="140" w:line="240" w:lineRule="atLeast"/>
    </w:pPr>
    <w:rPr>
      <w:rFonts w:asciiTheme="majorHAnsi" w:hAnsiTheme="majorHAnsi"/>
      <w:color w:val="FFFFFF"/>
      <w:spacing w:val="-6"/>
      <w:sz w:val="40"/>
      <w:szCs w:val="36"/>
    </w:rPr>
  </w:style>
  <w:style w:type="paragraph" w:customStyle="1" w:styleId="Heading1NoNumbering">
    <w:name w:val="Heading 1 No Numbering"/>
    <w:basedOn w:val="Heading1"/>
    <w:uiPriority w:val="39"/>
    <w:rsid w:val="00A12C39"/>
    <w:pPr>
      <w:numPr>
        <w:numId w:val="0"/>
      </w:numPr>
    </w:pPr>
  </w:style>
  <w:style w:type="paragraph" w:styleId="TableofFigures">
    <w:name w:val="table of figures"/>
    <w:basedOn w:val="Normal"/>
    <w:next w:val="Normal"/>
    <w:uiPriority w:val="39"/>
    <w:rsid w:val="00D64CE2"/>
    <w:pPr>
      <w:tabs>
        <w:tab w:val="right" w:leader="underscore" w:pos="8165"/>
      </w:tabs>
      <w:spacing w:after="80"/>
      <w:ind w:right="851"/>
    </w:pPr>
  </w:style>
  <w:style w:type="paragraph" w:customStyle="1" w:styleId="SectionHeadingNoTOC">
    <w:name w:val="Section Heading No TOC"/>
    <w:basedOn w:val="SectionHeading"/>
    <w:uiPriority w:val="39"/>
    <w:rsid w:val="00E45766"/>
  </w:style>
  <w:style w:type="paragraph" w:customStyle="1" w:styleId="TableTextCentred">
    <w:name w:val="Table Text Centred"/>
    <w:basedOn w:val="TableText"/>
    <w:qFormat/>
    <w:rsid w:val="00AE1CC1"/>
    <w:pPr>
      <w:jc w:val="center"/>
    </w:pPr>
    <w:rPr>
      <w:rFonts w:eastAsia="Times New Roman"/>
      <w:lang w:eastAsia="en-AU"/>
    </w:rPr>
  </w:style>
  <w:style w:type="paragraph" w:customStyle="1" w:styleId="FooterRightPageNumberLS">
    <w:name w:val="Footer Right Page Number LS"/>
    <w:basedOn w:val="Normal"/>
    <w:uiPriority w:val="39"/>
    <w:rsid w:val="004E0E49"/>
    <w:pPr>
      <w:framePr w:wrap="auto" w:hAnchor="text" w:x="1"/>
      <w:spacing w:before="180" w:after="120" w:line="240" w:lineRule="auto"/>
      <w:ind w:right="283"/>
      <w:jc w:val="right"/>
    </w:pPr>
    <w:rPr>
      <w:rFonts w:eastAsia="Times New Roman" w:cs="Arial"/>
      <w:b/>
      <w:noProof/>
      <w:color w:val="3D4D7D" w:themeColor="background2"/>
      <w:lang w:eastAsia="en-AU"/>
    </w:rPr>
  </w:style>
  <w:style w:type="character" w:customStyle="1" w:styleId="MyBoldItalicsUnderline">
    <w:name w:val="MyBoldItalicsUnderline"/>
    <w:uiPriority w:val="99"/>
    <w:rsid w:val="000E266E"/>
    <w:rPr>
      <w:b/>
      <w:i/>
      <w:u w:val="single"/>
      <w:vertAlign w:val="baseline"/>
    </w:rPr>
  </w:style>
  <w:style w:type="character" w:customStyle="1" w:styleId="MyBoldUnderline">
    <w:name w:val="MyBoldUnderline"/>
    <w:uiPriority w:val="99"/>
    <w:rsid w:val="000E266E"/>
    <w:rPr>
      <w:b/>
      <w:i/>
      <w:u w:val="single"/>
      <w:vertAlign w:val="baseline"/>
    </w:rPr>
  </w:style>
  <w:style w:type="character" w:customStyle="1" w:styleId="MyItalicsUnderline">
    <w:name w:val="MyItalicsUnderline"/>
    <w:uiPriority w:val="99"/>
    <w:rsid w:val="000E266E"/>
    <w:rPr>
      <w:b/>
      <w:i/>
      <w:u w:val="single"/>
      <w:vertAlign w:val="baseline"/>
    </w:rPr>
  </w:style>
  <w:style w:type="character" w:customStyle="1" w:styleId="MyUnderline">
    <w:name w:val="MyUnderline"/>
    <w:uiPriority w:val="99"/>
    <w:rsid w:val="000E266E"/>
    <w:rPr>
      <w:b w:val="0"/>
      <w:i w:val="0"/>
      <w:u w:val="single"/>
      <w:vertAlign w:val="baseline"/>
    </w:rPr>
  </w:style>
  <w:style w:type="paragraph" w:customStyle="1" w:styleId="PBOheader">
    <w:name w:val="PBO header"/>
    <w:basedOn w:val="Header"/>
    <w:uiPriority w:val="39"/>
    <w:rsid w:val="0046444F"/>
    <w:pPr>
      <w:spacing w:before="1320" w:after="114"/>
      <w:ind w:left="6521"/>
    </w:pPr>
    <w:rPr>
      <w:rFonts w:ascii="Arial" w:hAnsi="Arial" w:cs="Arial"/>
      <w:b/>
      <w:sz w:val="18"/>
      <w:szCs w:val="18"/>
    </w:rPr>
  </w:style>
  <w:style w:type="paragraph" w:customStyle="1" w:styleId="Letterfooter">
    <w:name w:val="Letter footer"/>
    <w:basedOn w:val="Footer"/>
    <w:uiPriority w:val="39"/>
    <w:rsid w:val="0046444F"/>
    <w:pPr>
      <w:tabs>
        <w:tab w:val="center" w:pos="4513"/>
        <w:tab w:val="right" w:pos="9026"/>
      </w:tabs>
      <w:spacing w:after="113"/>
      <w:ind w:right="-618" w:hanging="709"/>
      <w:jc w:val="center"/>
    </w:pPr>
    <w:rPr>
      <w:rFonts w:ascii="Arial" w:hAnsi="Arial" w:cs="Arial"/>
      <w:b w:val="0"/>
      <w:sz w:val="17"/>
      <w:szCs w:val="17"/>
    </w:rPr>
  </w:style>
  <w:style w:type="table" w:styleId="LightGrid-Accent6">
    <w:name w:val="Light Grid Accent 6"/>
    <w:basedOn w:val="TableNormal"/>
    <w:uiPriority w:val="62"/>
    <w:rsid w:val="00441A6D"/>
    <w:pPr>
      <w:spacing w:line="240" w:lineRule="auto"/>
    </w:pPr>
    <w:tblPr>
      <w:tblStyleRowBandSize w:val="1"/>
      <w:tblStyleColBandSize w:val="1"/>
      <w:tblBorders>
        <w:top w:val="single" w:sz="8" w:space="0" w:color="788183" w:themeColor="accent6"/>
        <w:left w:val="single" w:sz="8" w:space="0" w:color="788183" w:themeColor="accent6"/>
        <w:bottom w:val="single" w:sz="8" w:space="0" w:color="788183" w:themeColor="accent6"/>
        <w:right w:val="single" w:sz="8" w:space="0" w:color="788183" w:themeColor="accent6"/>
        <w:insideH w:val="single" w:sz="8" w:space="0" w:color="788183" w:themeColor="accent6"/>
        <w:insideV w:val="single" w:sz="8" w:space="0" w:color="78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1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H w:val="nil"/>
          <w:insideV w:val="single" w:sz="8" w:space="0" w:color="788183" w:themeColor="accent6"/>
        </w:tcBorders>
      </w:tcPr>
    </w:tblStylePr>
    <w:tblStylePr w:type="firstCol">
      <w:rPr>
        <w:rFonts w:asciiTheme="majorHAnsi" w:eastAsiaTheme="majorEastAsia" w:hAnsiTheme="majorHAnsi" w:cstheme="majorBidi"/>
        <w:b w:val="0"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</w:tcPr>
    </w:tblStylePr>
    <w:tblStylePr w:type="band1Vert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</w:tcBorders>
        <w:shd w:val="clear" w:color="auto" w:fill="DDDFE0" w:themeFill="accent6" w:themeFillTint="3F"/>
      </w:tcPr>
    </w:tblStylePr>
    <w:tblStylePr w:type="band1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  <w:shd w:val="clear" w:color="auto" w:fill="DDDFE0" w:themeFill="accent6" w:themeFillTint="3F"/>
      </w:tcPr>
    </w:tblStylePr>
    <w:tblStylePr w:type="band2Horz">
      <w:tblPr/>
      <w:tcPr>
        <w:tcBorders>
          <w:top w:val="single" w:sz="8" w:space="0" w:color="788183" w:themeColor="accent6"/>
          <w:left w:val="single" w:sz="8" w:space="0" w:color="788183" w:themeColor="accent6"/>
          <w:bottom w:val="single" w:sz="8" w:space="0" w:color="788183" w:themeColor="accent6"/>
          <w:right w:val="single" w:sz="8" w:space="0" w:color="788183" w:themeColor="accent6"/>
          <w:insideV w:val="single" w:sz="8" w:space="0" w:color="788183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8112CC"/>
    <w:pPr>
      <w:spacing w:line="240" w:lineRule="auto"/>
    </w:pPr>
    <w:tblPr>
      <w:tblStyleRowBandSize w:val="1"/>
      <w:tblStyleColBandSize w:val="1"/>
      <w:tblBorders>
        <w:top w:val="single" w:sz="8" w:space="0" w:color="F1873D" w:themeColor="accent3"/>
        <w:left w:val="single" w:sz="8" w:space="0" w:color="F1873D" w:themeColor="accent3"/>
        <w:bottom w:val="single" w:sz="8" w:space="0" w:color="F1873D" w:themeColor="accent3"/>
        <w:right w:val="single" w:sz="8" w:space="0" w:color="F1873D" w:themeColor="accent3"/>
        <w:insideH w:val="single" w:sz="8" w:space="0" w:color="F1873D" w:themeColor="accent3"/>
        <w:insideV w:val="single" w:sz="8" w:space="0" w:color="F187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1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H w:val="nil"/>
          <w:insideV w:val="single" w:sz="8" w:space="0" w:color="F187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</w:tcPr>
    </w:tblStylePr>
    <w:tblStylePr w:type="band1Vert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</w:tcBorders>
        <w:shd w:val="clear" w:color="auto" w:fill="FBE1CE" w:themeFill="accent3" w:themeFillTint="3F"/>
      </w:tcPr>
    </w:tblStylePr>
    <w:tblStylePr w:type="band1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  <w:shd w:val="clear" w:color="auto" w:fill="FBE1CE" w:themeFill="accent3" w:themeFillTint="3F"/>
      </w:tcPr>
    </w:tblStylePr>
    <w:tblStylePr w:type="band2Horz">
      <w:tblPr/>
      <w:tcPr>
        <w:tcBorders>
          <w:top w:val="single" w:sz="8" w:space="0" w:color="F1873D" w:themeColor="accent3"/>
          <w:left w:val="single" w:sz="8" w:space="0" w:color="F1873D" w:themeColor="accent3"/>
          <w:bottom w:val="single" w:sz="8" w:space="0" w:color="F1873D" w:themeColor="accent3"/>
          <w:right w:val="single" w:sz="8" w:space="0" w:color="F1873D" w:themeColor="accent3"/>
          <w:insideV w:val="single" w:sz="8" w:space="0" w:color="F1873D" w:themeColor="accent3"/>
        </w:tcBorders>
      </w:tcPr>
    </w:tblStylePr>
  </w:style>
  <w:style w:type="paragraph" w:customStyle="1" w:styleId="Lettertext">
    <w:name w:val="Letter text"/>
    <w:basedOn w:val="BodyText"/>
    <w:qFormat/>
    <w:rsid w:val="00B96341"/>
    <w:pPr>
      <w:spacing w:before="240" w:after="0"/>
    </w:pPr>
    <w:rPr>
      <w:rFonts w:ascii="Calibri" w:hAnsi="Calibri"/>
      <w:spacing w:val="0"/>
    </w:rPr>
  </w:style>
  <w:style w:type="paragraph" w:customStyle="1" w:styleId="TableTextRightItalic">
    <w:name w:val="Table Text Right Italic"/>
    <w:basedOn w:val="TableTextRight"/>
    <w:uiPriority w:val="21"/>
    <w:qFormat/>
    <w:rsid w:val="00120A75"/>
    <w:rPr>
      <w:i/>
    </w:rPr>
  </w:style>
  <w:style w:type="character" w:styleId="FollowedHyperlink">
    <w:name w:val="FollowedHyperlink"/>
    <w:basedOn w:val="DefaultParagraphFont"/>
    <w:semiHidden/>
    <w:unhideWhenUsed/>
    <w:rsid w:val="003B47BC"/>
    <w:rPr>
      <w:color w:val="3D4D7D" w:themeColor="followedHyperlink"/>
      <w:u w:val="single"/>
    </w:rPr>
  </w:style>
  <w:style w:type="paragraph" w:customStyle="1" w:styleId="TableTextRightBold">
    <w:name w:val="Table Text Right Bold"/>
    <w:basedOn w:val="TableTextRight"/>
    <w:uiPriority w:val="20"/>
    <w:qFormat/>
    <w:rsid w:val="00066D54"/>
    <w:rPr>
      <w:b/>
    </w:rPr>
  </w:style>
  <w:style w:type="paragraph" w:styleId="Bibliography">
    <w:name w:val="Bibliography"/>
    <w:basedOn w:val="Normal"/>
    <w:next w:val="Normal"/>
    <w:uiPriority w:val="39"/>
    <w:unhideWhenUsed/>
    <w:rsid w:val="00DF2134"/>
  </w:style>
  <w:style w:type="paragraph" w:customStyle="1" w:styleId="Heading1spacebefore">
    <w:name w:val="Heading 1 space before"/>
    <w:basedOn w:val="Heading1"/>
    <w:link w:val="Heading1spacebeforeChar"/>
    <w:uiPriority w:val="39"/>
    <w:qFormat/>
    <w:rsid w:val="00482F63"/>
    <w:pPr>
      <w:spacing w:before="720"/>
    </w:pPr>
  </w:style>
  <w:style w:type="character" w:customStyle="1" w:styleId="Heading1spacebeforeChar">
    <w:name w:val="Heading 1 space before Char"/>
    <w:basedOn w:val="Heading1Char"/>
    <w:link w:val="Heading1spacebefore"/>
    <w:uiPriority w:val="39"/>
    <w:rsid w:val="00482F63"/>
    <w:rPr>
      <w:rFonts w:ascii="Calibri" w:hAnsi="Calibri"/>
      <w:bCs/>
      <w:color w:val="3D4D7D" w:themeColor="background2"/>
      <w:spacing w:val="-6"/>
      <w:kern w:val="32"/>
      <w:sz w:val="30"/>
      <w:szCs w:val="32"/>
    </w:rPr>
  </w:style>
  <w:style w:type="character" w:styleId="CommentReference">
    <w:name w:val="annotation reference"/>
    <w:basedOn w:val="DefaultParagraphFont"/>
    <w:semiHidden/>
    <w:unhideWhenUsed/>
    <w:rsid w:val="00975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5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8AE"/>
    <w:rPr>
      <w:b/>
      <w:bCs/>
      <w:sz w:val="20"/>
      <w:szCs w:val="20"/>
    </w:rPr>
  </w:style>
  <w:style w:type="paragraph" w:styleId="ListParagraph">
    <w:name w:val="List Paragraph"/>
    <w:basedOn w:val="Normal"/>
    <w:uiPriority w:val="39"/>
    <w:rsid w:val="001C7F8D"/>
    <w:pPr>
      <w:ind w:left="720"/>
      <w:contextualSpacing/>
    </w:pPr>
  </w:style>
  <w:style w:type="paragraph" w:customStyle="1" w:styleId="Nameofproposal">
    <w:name w:val="Name of proposal"/>
    <w:basedOn w:val="PullOutBoxHeading"/>
    <w:link w:val="NameofproposalChar"/>
    <w:uiPriority w:val="39"/>
    <w:qFormat/>
    <w:rsid w:val="00210074"/>
    <w:pPr>
      <w:keepNext w:val="0"/>
      <w:keepLines w:val="0"/>
      <w:widowControl w:val="0"/>
      <w:spacing w:line="240" w:lineRule="auto"/>
      <w:ind w:left="0" w:right="0"/>
    </w:pPr>
    <w:rPr>
      <w:rFonts w:ascii="Calibri" w:hAnsi="Calibri"/>
    </w:rPr>
  </w:style>
  <w:style w:type="character" w:customStyle="1" w:styleId="PullOutBoxBodyTextChar">
    <w:name w:val="Pull Out Box Body Text Char"/>
    <w:basedOn w:val="DefaultParagraphFont"/>
    <w:link w:val="PullOutBoxBodyText"/>
    <w:uiPriority w:val="24"/>
    <w:rsid w:val="00210074"/>
    <w:rPr>
      <w:spacing w:val="-1"/>
    </w:rPr>
  </w:style>
  <w:style w:type="character" w:customStyle="1" w:styleId="PullOutBoxHeadingChar">
    <w:name w:val="Pull Out Box Heading Char"/>
    <w:basedOn w:val="PullOutBoxBodyTextChar"/>
    <w:link w:val="PullOutBoxHeading"/>
    <w:uiPriority w:val="23"/>
    <w:rsid w:val="00210074"/>
    <w:rPr>
      <w:b/>
      <w:spacing w:val="-1"/>
    </w:rPr>
  </w:style>
  <w:style w:type="character" w:customStyle="1" w:styleId="NameofproposalChar">
    <w:name w:val="Name of proposal Char"/>
    <w:basedOn w:val="PullOutBoxHeadingChar"/>
    <w:link w:val="Nameofproposal"/>
    <w:uiPriority w:val="39"/>
    <w:rsid w:val="00210074"/>
    <w:rPr>
      <w:rFonts w:ascii="Calibri" w:hAnsi="Calibri"/>
      <w:b/>
      <w:spacing w:val="-1"/>
    </w:rPr>
  </w:style>
  <w:style w:type="paragraph" w:styleId="Revision">
    <w:name w:val="Revision"/>
    <w:hidden/>
    <w:uiPriority w:val="99"/>
    <w:semiHidden/>
    <w:rsid w:val="00EE3226"/>
    <w:pPr>
      <w:spacing w:line="240" w:lineRule="auto"/>
    </w:pPr>
  </w:style>
  <w:style w:type="paragraph" w:customStyle="1" w:styleId="Letterbullet">
    <w:name w:val="Letter bullet"/>
    <w:basedOn w:val="Lettertext"/>
    <w:uiPriority w:val="1"/>
    <w:qFormat/>
    <w:rsid w:val="009D7EE0"/>
    <w:pPr>
      <w:numPr>
        <w:numId w:val="12"/>
      </w:numPr>
    </w:pPr>
    <w:rPr>
      <w:rFonts w:asciiTheme="minorHAnsi" w:hAnsiTheme="minorHAnsi"/>
    </w:rPr>
  </w:style>
  <w:style w:type="paragraph" w:customStyle="1" w:styleId="Footnotes">
    <w:name w:val="Footnotes"/>
    <w:basedOn w:val="FootnoteText"/>
    <w:link w:val="FootnotesChar"/>
    <w:uiPriority w:val="39"/>
    <w:qFormat/>
    <w:rsid w:val="00EE1B0F"/>
    <w:pPr>
      <w:ind w:left="113" w:hanging="113"/>
    </w:pPr>
  </w:style>
  <w:style w:type="character" w:customStyle="1" w:styleId="FootnotesChar">
    <w:name w:val="Footnotes Char"/>
    <w:basedOn w:val="FootnoteTextChar"/>
    <w:link w:val="Footnotes"/>
    <w:uiPriority w:val="39"/>
    <w:rsid w:val="00EE1B0F"/>
    <w:rPr>
      <w:kern w:val="16"/>
      <w:sz w:val="18"/>
    </w:rPr>
  </w:style>
  <w:style w:type="paragraph" w:customStyle="1" w:styleId="Default">
    <w:name w:val="Default"/>
    <w:rsid w:val="00CD3F6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1">
    <w:name w:val="A0_1"/>
    <w:uiPriority w:val="99"/>
    <w:rsid w:val="00A57FB5"/>
    <w:rPr>
      <w:rFonts w:cs="AvantGarde"/>
      <w:color w:val="FFFFFF"/>
      <w:sz w:val="70"/>
      <w:szCs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clei.gov.au/sites/default/files/19468_aclei_-_annual_report_2018-19-accessible.pdf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re\Templates\1.%20PR,%20IR\PRR%20-%20costing%20(acting%20PBOr).dotm" TargetMode="External"/></Relationships>
</file>

<file path=word/theme/theme1.xml><?xml version="1.0" encoding="utf-8"?>
<a:theme xmlns:a="http://schemas.openxmlformats.org/drawingml/2006/main" name="Office Theme">
  <a:themeElements>
    <a:clrScheme name="PBO colours">
      <a:dk1>
        <a:srgbClr val="000000"/>
      </a:dk1>
      <a:lt1>
        <a:srgbClr val="FFFFFF"/>
      </a:lt1>
      <a:dk2>
        <a:srgbClr val="9778B4"/>
      </a:dk2>
      <a:lt2>
        <a:srgbClr val="3D4D7D"/>
      </a:lt2>
      <a:accent1>
        <a:srgbClr val="8D487F"/>
      </a:accent1>
      <a:accent2>
        <a:srgbClr val="C64E45"/>
      </a:accent2>
      <a:accent3>
        <a:srgbClr val="F1873D"/>
      </a:accent3>
      <a:accent4>
        <a:srgbClr val="FCC648"/>
      </a:accent4>
      <a:accent5>
        <a:srgbClr val="86BE57"/>
      </a:accent5>
      <a:accent6>
        <a:srgbClr val="788183"/>
      </a:accent6>
      <a:hlink>
        <a:srgbClr val="000000"/>
      </a:hlink>
      <a:folHlink>
        <a:srgbClr val="3D4D7D"/>
      </a:folHlink>
    </a:clrScheme>
    <a:fontScheme name="PBO v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Com17</b:Tag>
    <b:SourceType>Report</b:SourceType>
    <b:Guid>{5D22630B-20D5-45CA-BA98-CA8033D5E870}</b:Guid>
    <b:Author>
      <b:Author>
        <b:Corporate>Commonwealth of Australia</b:Corporate>
      </b:Author>
    </b:Author>
    <b:Title>2017-18 Budget</b:Title>
    <b:Year>2017</b:Year>
    <b:Publisher>Commonwealth of Australia</b:Publisher>
    <b:City>Canberra</b:City>
    <b:RefOrder>1</b:RefOrder>
  </b:Source>
</b:Sources>
</file>

<file path=customXml/itemProps1.xml><?xml version="1.0" encoding="utf-8"?>
<ds:datastoreItem xmlns:ds="http://schemas.openxmlformats.org/officeDocument/2006/customXml" ds:itemID="{C7C1921A-882B-4F89-B686-1E50AA43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 - costing (acting PBOr).dotm</Template>
  <TotalTime>37</TotalTime>
  <Pages>7</Pages>
  <Words>1955</Words>
  <Characters>10931</Characters>
  <Application>Microsoft Office Word</Application>
  <DocSecurity>0</DocSecurity>
  <Lines>312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PBO@pbo.gov.au</dc:creator>
  <cp:lastModifiedBy>Young, Stephanie (PBO)</cp:lastModifiedBy>
  <cp:revision>6</cp:revision>
  <cp:lastPrinted>2020-10-13T04:17:00Z</cp:lastPrinted>
  <dcterms:created xsi:type="dcterms:W3CDTF">2020-10-14T21:48:00Z</dcterms:created>
  <dcterms:modified xsi:type="dcterms:W3CDTF">2020-10-15T05:39:00Z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tatus">
    <vt:lpwstr/>
  </property>
  <property fmtid="{D5CDD505-2E9C-101B-9397-08002B2CF9AE}" pid="3" name="xTOCH2">
    <vt:lpwstr>Y</vt:lpwstr>
  </property>
  <property fmtid="{D5CDD505-2E9C-101B-9397-08002B2CF9AE}" pid="4" name="xTOCH3">
    <vt:lpwstr>N</vt:lpwstr>
  </property>
  <property fmtid="{D5CDD505-2E9C-101B-9397-08002B2CF9AE}" pid="5" name="xTOCTable">
    <vt:lpwstr>H</vt:lpwstr>
  </property>
  <property fmtid="{D5CDD505-2E9C-101B-9397-08002B2CF9AE}" pid="6" name="xTOCFigure">
    <vt:lpwstr>H</vt:lpwstr>
  </property>
  <property fmtid="{D5CDD505-2E9C-101B-9397-08002B2CF9AE}" pid="7" name="xTOCApp">
    <vt:lpwstr>H</vt:lpwstr>
  </property>
  <property fmtid="{D5CDD505-2E9C-101B-9397-08002B2CF9AE}" pid="8" name="xNumberedBodyText">
    <vt:lpwstr>False</vt:lpwstr>
  </property>
  <property fmtid="{D5CDD505-2E9C-101B-9397-08002B2CF9AE}" pid="9" name="xCR">
    <vt:lpwstr>Heading</vt:lpwstr>
  </property>
  <property fmtid="{D5CDD505-2E9C-101B-9397-08002B2CF9AE}" pid="10" name="xHeadingsNumbered">
    <vt:lpwstr>0</vt:lpwstr>
  </property>
  <property fmtid="{D5CDD505-2E9C-101B-9397-08002B2CF9AE}" pid="11" name="xAppendixName">
    <vt:lpwstr>Attachment</vt:lpwstr>
  </property>
</Properties>
</file>