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78E" w:rsidP="002636AE" w:rsidRDefault="00AA478E" w14:paraId="7238E9B7" w14:textId="77777777">
      <w:pPr>
        <w:pStyle w:val="Heading1"/>
        <w:spacing w:before="0"/>
      </w:pPr>
      <w:r w:rsidRPr="008D4FA9">
        <w:t>Policy costing</w:t>
      </w:r>
    </w:p>
    <w:tbl>
      <w:tblPr>
        <w:tblStyle w:val="PBOTable2-11pt"/>
        <w:tblW w:w="4992" w:type="pct"/>
        <w:tblLook w:val="0620" w:firstRow="1" w:lastRow="0" w:firstColumn="0" w:lastColumn="0" w:noHBand="1" w:noVBand="1"/>
      </w:tblPr>
      <w:tblGrid>
        <w:gridCol w:w="3537"/>
        <w:gridCol w:w="2764"/>
        <w:gridCol w:w="2736"/>
      </w:tblGrid>
      <w:tr w:rsidRPr="004F5F28" w:rsidR="00AA478E" w:rsidTr="00D674A5" w14:paraId="00DD4B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:rsidRPr="004F5F28" w:rsidR="00AA478E" w:rsidP="002E0CD6" w:rsidRDefault="006F789A" w14:paraId="0C6B064C" w14:textId="4CEFA567">
            <w:pPr>
              <w:pStyle w:val="NameofProposal"/>
              <w:spacing w:before="120" w:line="260" w:lineRule="atLeast"/>
            </w:pPr>
            <w:r>
              <w:t>Government-owned affordable housing build</w:t>
            </w:r>
          </w:p>
        </w:tc>
      </w:tr>
      <w:tr w:rsidRPr="004F5F28" w:rsidR="00AA478E" w:rsidTr="00D674A5" w14:paraId="6107A326" w14:textId="77777777">
        <w:tc>
          <w:tcPr>
            <w:tcW w:w="1957" w:type="pct"/>
          </w:tcPr>
          <w:p w:rsidRPr="004F5F28" w:rsidR="00AA478E" w:rsidP="002E0CD6" w:rsidRDefault="00AA478E" w14:paraId="44B8A2C4" w14:textId="77777777">
            <w:pPr>
              <w:spacing w:before="120" w:line="260" w:lineRule="atLeast"/>
            </w:pPr>
            <w:r w:rsidRPr="004F5F28">
              <w:t>Person/party requesting the costing:</w:t>
            </w:r>
          </w:p>
        </w:tc>
        <w:tc>
          <w:tcPr>
            <w:tcW w:w="3043" w:type="pct"/>
            <w:gridSpan w:val="2"/>
          </w:tcPr>
          <w:p w:rsidRPr="004F5F28" w:rsidR="00AA478E" w:rsidP="002E0CD6" w:rsidRDefault="00F04A3A" w14:paraId="7A491716" w14:textId="256A9C7B">
            <w:pPr>
              <w:spacing w:before="120" w:line="260" w:lineRule="atLeast"/>
            </w:pPr>
            <w:sdt>
              <w:sdtPr>
                <w:alias w:val="Requestor"/>
                <w:tag w:val="Requestor"/>
                <w:id w:val="39022088"/>
                <w:placeholder>
                  <w:docPart w:val="0470F6EE97364BB29F9668CAC1046653"/>
                </w:placeholder>
                <w:dropDownList>
                  <w:listItem w:displayText="Mr Adam Bandt MP, Australian Greens" w:value="Mr Adam Bandt MP, Australian Greens"/>
                  <w:listItem w:displayText="Senator Mehreen Faruqi, Australian Greens" w:value="Senator Mehreen Faruqi, Australian Greens"/>
                  <w:listItem w:displayText="Senator David Shoebridge, Australian Greens" w:value="Senator David Shoebridge, Australian Greens"/>
                  <w:listItem w:displayText="Senator Penny Allman-Payne, Australian Greens" w:value="Senator Penny Allman-Payne, Australian Greens"/>
                  <w:listItem w:displayText="The Hon Jason Wood MP, Liberal Party of Australia" w:value="The Hon Jason Wood MP, Liberal Party of Australia"/>
                  <w:listItem w:displayText="Mr James Stevens MP, Liberal Party of Australia" w:value="Mr James Stevens MP, Liberal Party of Australia"/>
                  <w:listItem w:displayText="Senator Linda Reynolds CSC, Liberal Party of Australia" w:value="Senator Linda Reynolds CSC, Liberal Party of Australia"/>
                  <w:listItem w:displayText="The Hon David Coleman, Liberal Party of Australia" w:value="The Hon David Coleman, Liberal Party of Australia"/>
                  <w:listItem w:displayText="Senator Matt O'Sullivan, Liberal Party of Australia" w:value="Senator Matt O'Sullivan, Liberal Party of Australia"/>
                  <w:listItem w:displayText="The Hon Michael Sukkar MP, Liberal Party of Australia" w:value="The Hon Michael Sukkar MP, Liberal Party of Australia"/>
                  <w:listItem w:displayText="Mr Bert van Manen MP, Liberal National Party of Queensland" w:value="Mr Bert van Manen MP, Liberal National Party of Queensland"/>
                  <w:listItem w:displayText="Senator Jacqui Lambie, Jacqui Lambie Network" w:value="Senator Jacqui Lambie, Jacqui Lambie Network"/>
                  <w:listItem w:displayText="Ms Rebekha Sharkie MP, Member for Mayo" w:value="Ms Rebekha Sharkie MP, Member for Mayo"/>
                  <w:listItem w:displayText="Dr Helen Haines MP, Member for Indi" w:value="Dr Helen Haines MP, Member for Indi"/>
                  <w:listItem w:displayText="Ms Kate Chaney MP, Member for Curtin" w:value="Ms Kate Chaney MP, Member for Curtin"/>
                  <w:listItem w:displayText="Ms Dai Le MP, Member for Fowler" w:value="Ms Dai Le MP, Member for Fowler"/>
                  <w:listItem w:displayText="Senator David Pocock, Senator for the Australian Capital Territory" w:value="Senator David Pocock, Senator for the Australian Capital Territory"/>
                  <w:listItem w:displayText="Senator Ross Cadell, The Nationals" w:value="Senator Ross Cadell, The Nationals"/>
                  <w:listItem w:displayText="Senator the Hon Bridget McKenzie, The Nationals" w:value="Senator the Hon Bridget McKenzie, The Nationals"/>
                  <w:listItem w:displayText="Senator Malcolm Roberts, Pauline Hanson's One Nation" w:value="Senator Malcolm Roberts, Pauline Hanson's One Nation"/>
                </w:dropDownList>
              </w:sdtPr>
              <w:sdtEndPr/>
              <w:sdtContent>
                <w:r w:rsidR="006D0000">
                  <w:t>Mr Adam Bandt MP, Australian Greens</w:t>
                </w:r>
              </w:sdtContent>
            </w:sdt>
          </w:p>
        </w:tc>
      </w:tr>
      <w:tr w:rsidRPr="004F5F28" w:rsidR="00AA478E" w:rsidTr="00D674A5" w14:paraId="18560E85" w14:textId="77777777">
        <w:tc>
          <w:tcPr>
            <w:tcW w:w="1957" w:type="pct"/>
          </w:tcPr>
          <w:p w:rsidRPr="004F5F28" w:rsidR="00AA478E" w:rsidP="002E0CD6" w:rsidRDefault="00AA478E" w14:paraId="7D0AC1E4" w14:textId="77777777">
            <w:pPr>
              <w:spacing w:before="120" w:line="260" w:lineRule="atLeast"/>
            </w:pPr>
            <w:r w:rsidRPr="004F5F28">
              <w:t>Date costing completed:</w:t>
            </w:r>
          </w:p>
        </w:tc>
        <w:tc>
          <w:tcPr>
            <w:tcW w:w="3043" w:type="pct"/>
            <w:gridSpan w:val="2"/>
          </w:tcPr>
          <w:p w:rsidRPr="004F5F28" w:rsidR="00AA478E" w:rsidP="002E0CD6" w:rsidRDefault="006D0000" w14:paraId="20BD46E9" w14:textId="728A657D">
            <w:pPr>
              <w:spacing w:before="120" w:line="260" w:lineRule="atLeast"/>
            </w:pPr>
            <w:r>
              <w:t>10 March 2023</w:t>
            </w:r>
          </w:p>
        </w:tc>
      </w:tr>
      <w:tr w:rsidRPr="004F5F28" w:rsidR="00AA478E" w:rsidTr="00D674A5" w14:paraId="646AB6B1" w14:textId="77777777">
        <w:tc>
          <w:tcPr>
            <w:tcW w:w="1957" w:type="pct"/>
          </w:tcPr>
          <w:p w:rsidRPr="004F5F28" w:rsidR="00AA478E" w:rsidP="002E0CD6" w:rsidRDefault="00AA478E" w14:paraId="3877CECC" w14:textId="77777777">
            <w:pPr>
              <w:spacing w:before="120" w:line="260" w:lineRule="atLeast"/>
            </w:pPr>
            <w:r w:rsidRPr="004F5F28">
              <w:t>Expiry date of the costing:</w:t>
            </w:r>
          </w:p>
        </w:tc>
        <w:tc>
          <w:tcPr>
            <w:tcW w:w="3043" w:type="pct"/>
            <w:gridSpan w:val="2"/>
          </w:tcPr>
          <w:p w:rsidRPr="004F5F28" w:rsidR="00AA478E" w:rsidP="002E0CD6" w:rsidRDefault="00AA478E" w14:paraId="674530B6" w14:textId="77777777">
            <w:pPr>
              <w:spacing w:before="120" w:line="260" w:lineRule="atLeast"/>
            </w:pPr>
            <w:r w:rsidRPr="004F5F28">
              <w:t>Release of the next economic and fiscal outlook report.</w:t>
            </w:r>
          </w:p>
        </w:tc>
      </w:tr>
      <w:tr w:rsidRPr="004F5F28" w:rsidR="00AA478E" w:rsidTr="00D674A5" w14:paraId="58C66C5D" w14:textId="77777777">
        <w:tc>
          <w:tcPr>
            <w:tcW w:w="1957" w:type="pct"/>
            <w:vMerge w:val="restart"/>
          </w:tcPr>
          <w:p w:rsidRPr="004F5F28" w:rsidR="00AA478E" w:rsidP="002E0CD6" w:rsidRDefault="00AA478E" w14:paraId="6CEF98D0" w14:textId="77777777">
            <w:pPr>
              <w:spacing w:before="120" w:line="260" w:lineRule="atLeast"/>
            </w:pPr>
            <w:r w:rsidRPr="004F5F28">
              <w:t>Status at time of request:</w:t>
            </w:r>
          </w:p>
        </w:tc>
        <w:tc>
          <w:tcPr>
            <w:tcW w:w="3043" w:type="pct"/>
            <w:gridSpan w:val="2"/>
          </w:tcPr>
          <w:p w:rsidRPr="004F5F28" w:rsidR="00AA478E" w:rsidP="002E0CD6" w:rsidRDefault="00AA478E" w14:paraId="3EC64EB6" w14:textId="77777777">
            <w:pPr>
              <w:spacing w:before="120" w:line="260" w:lineRule="atLeast"/>
            </w:pPr>
            <w:r w:rsidRPr="004F5F28">
              <w:t>Submitted outside the caretaker period</w:t>
            </w:r>
          </w:p>
        </w:tc>
      </w:tr>
      <w:tr w:rsidRPr="004F5F28" w:rsidR="00AA478E" w:rsidTr="00D674A5" w14:paraId="54847F7C" w14:textId="77777777">
        <w:tc>
          <w:tcPr>
            <w:tcW w:w="1957" w:type="pct"/>
            <w:vMerge/>
          </w:tcPr>
          <w:p w:rsidRPr="004F5F28" w:rsidR="00AA478E" w:rsidP="002E0CD6" w:rsidRDefault="00AA478E" w14:paraId="4F381A3B" w14:textId="77777777">
            <w:pPr>
              <w:spacing w:before="120" w:line="260" w:lineRule="atLeast"/>
            </w:pPr>
          </w:p>
        </w:tc>
        <w:tc>
          <w:tcPr>
            <w:tcW w:w="1529" w:type="pct"/>
          </w:tcPr>
          <w:p w:rsidRPr="004F5F28" w:rsidR="00AA478E" w:rsidP="002E0CD6" w:rsidRDefault="00F04A3A" w14:paraId="3653193C" w14:textId="1D96E318">
            <w:pPr>
              <w:spacing w:before="120" w:line="260" w:lineRule="atLeas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B8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4F5F28" w:rsidR="00AA478E">
              <w:t xml:space="preserve"> </w:t>
            </w:r>
            <w:r w:rsidRPr="005E63F8" w:rsidR="00AA478E">
              <w:rPr>
                <w:strike/>
              </w:rPr>
              <w:t>Confidential</w:t>
            </w:r>
            <w:r w:rsidR="003C2C30">
              <w:t xml:space="preserve"> (Public release requested on </w:t>
            </w:r>
            <w:r w:rsidR="00966879">
              <w:t>17</w:t>
            </w:r>
            <w:r w:rsidR="00AA0EFD">
              <w:t> </w:t>
            </w:r>
            <w:r w:rsidR="00966879">
              <w:t>March 2023)</w:t>
            </w:r>
          </w:p>
        </w:tc>
        <w:tc>
          <w:tcPr>
            <w:tcW w:w="1514" w:type="pct"/>
          </w:tcPr>
          <w:p w:rsidRPr="004F5F28" w:rsidR="00AA478E" w:rsidP="002E0CD6" w:rsidRDefault="00F04A3A" w14:paraId="2CFBD76F" w14:textId="7C68BF79">
            <w:pPr>
              <w:spacing w:before="120" w:line="260" w:lineRule="atLeas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B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4F5F28" w:rsidR="00AA478E">
              <w:t xml:space="preserve"> Not confidential</w:t>
            </w:r>
          </w:p>
        </w:tc>
      </w:tr>
      <w:tr w:rsidRPr="004F5F28" w:rsidR="00AA478E" w:rsidTr="00D674A5" w14:paraId="61BDEDAB" w14:textId="77777777">
        <w:tc>
          <w:tcPr>
            <w:tcW w:w="5000" w:type="pct"/>
            <w:gridSpan w:val="3"/>
          </w:tcPr>
          <w:p w:rsidR="00AA478E" w:rsidP="002E0CD6" w:rsidRDefault="00AA478E" w14:paraId="7A1BA0CB" w14:textId="39FBB87F">
            <w:pPr>
              <w:spacing w:before="120" w:line="260" w:lineRule="atLeast"/>
            </w:pPr>
            <w:r w:rsidRPr="004F5F28">
              <w:t>Summary of proposal:</w:t>
            </w:r>
            <w:r w:rsidR="002E515E">
              <w:t xml:space="preserve"> </w:t>
            </w:r>
          </w:p>
          <w:p w:rsidR="004049CD" w:rsidP="00ED627D" w:rsidRDefault="005D61F1" w14:paraId="59763BC5" w14:textId="62C832E1">
            <w:pPr>
              <w:pStyle w:val="Bullet1"/>
            </w:pPr>
            <w:r>
              <w:t>Under t</w:t>
            </w:r>
            <w:r w:rsidR="00850EA0">
              <w:t>he proposal</w:t>
            </w:r>
            <w:r>
              <w:t xml:space="preserve">, </w:t>
            </w:r>
            <w:r w:rsidR="00487A99">
              <w:t xml:space="preserve">the </w:t>
            </w:r>
            <w:r w:rsidR="00661021">
              <w:t>Australian G</w:t>
            </w:r>
            <w:r w:rsidR="00487A99">
              <w:t xml:space="preserve">overnment </w:t>
            </w:r>
            <w:r>
              <w:t xml:space="preserve">would </w:t>
            </w:r>
            <w:r w:rsidR="006A1C06">
              <w:t>establish an Australian Government housing trust (the Trust)</w:t>
            </w:r>
            <w:r w:rsidR="00D401D0">
              <w:t xml:space="preserve"> outside the general government sector and </w:t>
            </w:r>
            <w:r w:rsidR="00EA28E5">
              <w:t xml:space="preserve">provide </w:t>
            </w:r>
            <w:r w:rsidR="00DF1ABD">
              <w:t xml:space="preserve">$5 billion </w:t>
            </w:r>
            <w:r w:rsidR="00420382">
              <w:t xml:space="preserve">equity </w:t>
            </w:r>
            <w:r w:rsidR="002B2EE2">
              <w:t xml:space="preserve">injection </w:t>
            </w:r>
            <w:r w:rsidR="00DF1ABD">
              <w:t xml:space="preserve">per year </w:t>
            </w:r>
            <w:r w:rsidR="009A2590">
              <w:t>(indexed by CPI)</w:t>
            </w:r>
            <w:r w:rsidR="00DF1ABD">
              <w:t xml:space="preserve"> </w:t>
            </w:r>
            <w:r>
              <w:t xml:space="preserve">into the Trust </w:t>
            </w:r>
            <w:r w:rsidR="008A26C8">
              <w:t xml:space="preserve">to </w:t>
            </w:r>
            <w:r w:rsidRPr="008A26C8" w:rsidR="008A26C8">
              <w:t>fund the construction of public and affordable housing</w:t>
            </w:r>
            <w:r w:rsidR="004049CD">
              <w:t>.</w:t>
            </w:r>
          </w:p>
          <w:p w:rsidR="005C0E99" w:rsidP="00816E92" w:rsidRDefault="00AB2A28" w14:paraId="4C02BA31" w14:textId="38E73DC9">
            <w:pPr>
              <w:pStyle w:val="Bullet1"/>
              <w:numPr>
                <w:ilvl w:val="0"/>
                <w:numId w:val="26"/>
              </w:numPr>
            </w:pPr>
            <w:r>
              <w:t xml:space="preserve">the </w:t>
            </w:r>
            <w:r w:rsidR="00D017C9">
              <w:t xml:space="preserve">$5 billion </w:t>
            </w:r>
            <w:r w:rsidR="005B214F">
              <w:t xml:space="preserve">equity </w:t>
            </w:r>
            <w:r w:rsidR="00D017C9">
              <w:t>f</w:t>
            </w:r>
            <w:r w:rsidR="00DF1ABD">
              <w:t xml:space="preserve">unding </w:t>
            </w:r>
            <w:r>
              <w:t xml:space="preserve">from the Australian Government </w:t>
            </w:r>
            <w:r w:rsidR="004049CD">
              <w:t xml:space="preserve">would be </w:t>
            </w:r>
            <w:r w:rsidR="00631378">
              <w:t xml:space="preserve">matched by </w:t>
            </w:r>
            <w:r w:rsidR="00DF1ABD">
              <w:t>the states</w:t>
            </w:r>
            <w:r w:rsidR="00BE71AF">
              <w:t xml:space="preserve"> and territories</w:t>
            </w:r>
            <w:r w:rsidR="00BB0BB7">
              <w:t xml:space="preserve">. </w:t>
            </w:r>
          </w:p>
          <w:p w:rsidR="004A2DB4" w:rsidP="005C0E99" w:rsidRDefault="00BB0BB7" w14:paraId="7A5C0B0A" w14:textId="63259761">
            <w:pPr>
              <w:pStyle w:val="Bullet1"/>
              <w:numPr>
                <w:ilvl w:val="0"/>
                <w:numId w:val="26"/>
              </w:numPr>
            </w:pPr>
            <w:r>
              <w:t xml:space="preserve">Ownership of all housing would be retained by </w:t>
            </w:r>
            <w:r w:rsidR="00DA5FB7">
              <w:t>the Trust</w:t>
            </w:r>
            <w:r w:rsidR="00487027">
              <w:t>, wit</w:t>
            </w:r>
            <w:r w:rsidR="00D023F0">
              <w:t>h</w:t>
            </w:r>
            <w:r w:rsidR="00487027">
              <w:t xml:space="preserve"> equity being equally split between the Australian Government and </w:t>
            </w:r>
            <w:r w:rsidR="00FE3FC1">
              <w:t xml:space="preserve">the </w:t>
            </w:r>
            <w:r w:rsidR="00487027">
              <w:t>state and territory governments.</w:t>
            </w:r>
          </w:p>
          <w:p w:rsidR="00554F3F" w:rsidP="00816E92" w:rsidRDefault="00554F3F" w14:paraId="41A1FF22" w14:textId="33884E05">
            <w:pPr>
              <w:pStyle w:val="Bullet1"/>
              <w:numPr>
                <w:ilvl w:val="0"/>
                <w:numId w:val="26"/>
              </w:numPr>
            </w:pPr>
            <w:r>
              <w:t>State and territory and local taxes such as stamp duty or land tax, would be waived.</w:t>
            </w:r>
          </w:p>
          <w:p w:rsidRPr="00ED627D" w:rsidR="00ED627D" w:rsidP="00816E92" w:rsidRDefault="00ED627D" w14:paraId="48C33EB0" w14:textId="44D7A320">
            <w:pPr>
              <w:pStyle w:val="Bullet1"/>
              <w:numPr>
                <w:ilvl w:val="0"/>
                <w:numId w:val="26"/>
              </w:numPr>
            </w:pPr>
            <w:r>
              <w:t xml:space="preserve">The </w:t>
            </w:r>
            <w:r w:rsidR="00DA5FB7">
              <w:t xml:space="preserve">Trust would be required to </w:t>
            </w:r>
            <w:r w:rsidR="00FC0A84">
              <w:t>keep cost</w:t>
            </w:r>
            <w:r w:rsidR="007565BA">
              <w:t>s</w:t>
            </w:r>
            <w:r w:rsidR="00FC0A84">
              <w:t xml:space="preserve"> of </w:t>
            </w:r>
            <w:r w:rsidR="00276606">
              <w:t xml:space="preserve">land and construction </w:t>
            </w:r>
            <w:r w:rsidR="007565BA">
              <w:t xml:space="preserve">consistent with </w:t>
            </w:r>
            <w:r w:rsidR="00EF0D1F">
              <w:t>costs reported in</w:t>
            </w:r>
            <w:r w:rsidR="007565BA">
              <w:t xml:space="preserve"> </w:t>
            </w:r>
            <w:hyperlink w:history="1" r:id="rId12">
              <w:r w:rsidRPr="00816E92" w:rsidR="002865C0">
                <w:rPr>
                  <w:rStyle w:val="Hyperlink"/>
                  <w:i/>
                  <w:iCs/>
                </w:rPr>
                <w:t>Social housing as infrastructure: an investment pathway</w:t>
              </w:r>
            </w:hyperlink>
            <w:r w:rsidR="00761BCD">
              <w:t xml:space="preserve"> by the </w:t>
            </w:r>
            <w:r w:rsidRPr="00851FEC" w:rsidR="00851FEC">
              <w:t>Australian Housing and Urban Research Institute</w:t>
            </w:r>
            <w:r w:rsidR="00417350">
              <w:t xml:space="preserve"> (</w:t>
            </w:r>
            <w:bookmarkStart w:name="_Hlk129266312" w:id="0"/>
            <w:r w:rsidR="00417350">
              <w:t>the AH</w:t>
            </w:r>
            <w:r w:rsidR="00516230">
              <w:t>URI report</w:t>
            </w:r>
            <w:bookmarkEnd w:id="0"/>
            <w:r w:rsidR="00516230">
              <w:t>)</w:t>
            </w:r>
            <w:r w:rsidR="006518DA">
              <w:t>, allowing for appropriate indexation</w:t>
            </w:r>
            <w:r w:rsidR="00EF0D1F">
              <w:t xml:space="preserve">. </w:t>
            </w:r>
          </w:p>
          <w:p w:rsidR="00D023F0" w:rsidP="001C1D40" w:rsidRDefault="00DC3EC5" w14:paraId="3B998401" w14:textId="1587F018">
            <w:pPr>
              <w:pStyle w:val="Bullet1"/>
            </w:pPr>
            <w:r>
              <w:t>Under this proposal, r</w:t>
            </w:r>
            <w:r w:rsidR="00BA28CD">
              <w:t>ent collected from eligible residents</w:t>
            </w:r>
            <w:r w:rsidR="000D1BC6">
              <w:t xml:space="preserve"> (less</w:t>
            </w:r>
            <w:r w:rsidR="00B03D63">
              <w:t xml:space="preserve"> maintenance and management costs)</w:t>
            </w:r>
            <w:r w:rsidR="00BA28CD">
              <w:t xml:space="preserve"> would be re-invested to construct more housing. </w:t>
            </w:r>
          </w:p>
          <w:p w:rsidR="0022341C" w:rsidP="00DF1ABD" w:rsidRDefault="005903E1" w14:paraId="3ED61544" w14:textId="07C7A6C4">
            <w:pPr>
              <w:spacing w:before="120" w:line="260" w:lineRule="atLeast"/>
            </w:pPr>
            <w:r>
              <w:t xml:space="preserve">The proposed housing profiles </w:t>
            </w:r>
            <w:r w:rsidR="00093A62">
              <w:t>split by dwelling type</w:t>
            </w:r>
            <w:r w:rsidR="0013191B">
              <w:t xml:space="preserve"> </w:t>
            </w:r>
            <w:r w:rsidR="00D149F1">
              <w:t>and resident</w:t>
            </w:r>
            <w:r>
              <w:t xml:space="preserve">s </w:t>
            </w:r>
            <w:r w:rsidR="00876B12">
              <w:t>are</w:t>
            </w:r>
            <w:r>
              <w:t xml:space="preserve"> </w:t>
            </w:r>
            <w:r w:rsidR="0013191B">
              <w:t>outlined below.</w:t>
            </w:r>
          </w:p>
          <w:p w:rsidRPr="001C1D40" w:rsidR="00B831B4" w:rsidP="00816E92" w:rsidRDefault="00DF1ABD" w14:paraId="6E274A7C" w14:textId="77777777">
            <w:pPr>
              <w:pStyle w:val="Bullet1"/>
              <w:numPr>
                <w:ilvl w:val="0"/>
                <w:numId w:val="24"/>
              </w:numPr>
              <w:ind w:left="641"/>
              <w:rPr>
                <w:b/>
                <w:bCs/>
              </w:rPr>
            </w:pPr>
            <w:r w:rsidRPr="001C1D40">
              <w:rPr>
                <w:b/>
              </w:rPr>
              <w:t xml:space="preserve">50% </w:t>
            </w:r>
            <w:r w:rsidRPr="001C1D40" w:rsidR="00093A62">
              <w:rPr>
                <w:b/>
                <w:bCs/>
              </w:rPr>
              <w:t xml:space="preserve">of homes constructed would be </w:t>
            </w:r>
            <w:r w:rsidRPr="001C1D40">
              <w:rPr>
                <w:b/>
              </w:rPr>
              <w:t>public housing</w:t>
            </w:r>
            <w:r w:rsidRPr="001C1D40" w:rsidR="00B831B4">
              <w:rPr>
                <w:b/>
                <w:bCs/>
              </w:rPr>
              <w:t>:</w:t>
            </w:r>
          </w:p>
          <w:p w:rsidR="00D023F0" w:rsidP="00816E92" w:rsidRDefault="00B831B4" w14:paraId="114AD086" w14:textId="788A7186">
            <w:pPr>
              <w:pStyle w:val="Bullet1"/>
              <w:numPr>
                <w:ilvl w:val="2"/>
                <w:numId w:val="28"/>
              </w:numPr>
            </w:pPr>
            <w:r>
              <w:t xml:space="preserve">The </w:t>
            </w:r>
            <w:r w:rsidR="00614B5E">
              <w:t>profile of</w:t>
            </w:r>
            <w:r w:rsidR="00DF1ABD">
              <w:t xml:space="preserve"> dwellings </w:t>
            </w:r>
            <w:r>
              <w:t xml:space="preserve">would be </w:t>
            </w:r>
            <w:proofErr w:type="gramStart"/>
            <w:r w:rsidR="00DF1ABD">
              <w:t>similar to</w:t>
            </w:r>
            <w:proofErr w:type="gramEnd"/>
            <w:r w:rsidR="00DF1ABD">
              <w:t xml:space="preserve"> existing state</w:t>
            </w:r>
            <w:r w:rsidR="00D023F0">
              <w:t xml:space="preserve"> and </w:t>
            </w:r>
            <w:r w:rsidR="00DF1ABD">
              <w:t>territory owned public housing</w:t>
            </w:r>
            <w:r w:rsidR="00D023F0">
              <w:t xml:space="preserve">. </w:t>
            </w:r>
          </w:p>
          <w:p w:rsidR="00AB09E0" w:rsidP="00816E92" w:rsidRDefault="005903E1" w14:paraId="7D709FAE" w14:textId="451F7674">
            <w:pPr>
              <w:pStyle w:val="Bullet2"/>
              <w:numPr>
                <w:ilvl w:val="2"/>
                <w:numId w:val="28"/>
              </w:numPr>
            </w:pPr>
            <w:r>
              <w:t xml:space="preserve">Residents eligible for public housing </w:t>
            </w:r>
            <w:r w:rsidR="002617C3">
              <w:t>would have a</w:t>
            </w:r>
            <w:r w:rsidR="00D21EAA">
              <w:t xml:space="preserve"> median</w:t>
            </w:r>
            <w:r w:rsidR="002617C3">
              <w:t xml:space="preserve"> household income in</w:t>
            </w:r>
            <w:r>
              <w:t xml:space="preserve"> </w:t>
            </w:r>
            <w:r w:rsidR="000413C7">
              <w:t>the</w:t>
            </w:r>
            <w:r>
              <w:t xml:space="preserve"> lowest quintile</w:t>
            </w:r>
            <w:r w:rsidR="000413C7">
              <w:t xml:space="preserve"> </w:t>
            </w:r>
            <w:r w:rsidRPr="000413C7" w:rsidR="000413C7">
              <w:t>or households with government payments as main source of income</w:t>
            </w:r>
            <w:r w:rsidR="00D21EAA">
              <w:t xml:space="preserve">. </w:t>
            </w:r>
          </w:p>
          <w:p w:rsidRPr="00093A62" w:rsidR="00ED2763" w:rsidP="00816E92" w:rsidRDefault="00ED2763" w14:paraId="05308AEC" w14:textId="1A5E3987">
            <w:pPr>
              <w:pStyle w:val="Bullet2"/>
              <w:numPr>
                <w:ilvl w:val="2"/>
                <w:numId w:val="28"/>
              </w:numPr>
            </w:pPr>
            <w:r>
              <w:t>Rent</w:t>
            </w:r>
            <w:r w:rsidR="00B95EB8">
              <w:t>s</w:t>
            </w:r>
            <w:r>
              <w:t xml:space="preserve"> would be set at 25% of median household income for</w:t>
            </w:r>
            <w:r w:rsidR="00B95EB8">
              <w:t xml:space="preserve"> eligible</w:t>
            </w:r>
            <w:r>
              <w:t xml:space="preserve"> residents</w:t>
            </w:r>
            <w:r w:rsidR="00B95EB8">
              <w:t>.</w:t>
            </w:r>
            <w:r>
              <w:t xml:space="preserve"> </w:t>
            </w:r>
          </w:p>
          <w:p w:rsidR="009D0D60" w:rsidP="00816E92" w:rsidRDefault="00DF1ABD" w14:paraId="24D0C2CB" w14:textId="77777777">
            <w:pPr>
              <w:pStyle w:val="Bullet1"/>
              <w:numPr>
                <w:ilvl w:val="0"/>
                <w:numId w:val="24"/>
              </w:numPr>
              <w:ind w:left="641"/>
            </w:pPr>
            <w:r w:rsidRPr="001C1D40">
              <w:rPr>
                <w:b/>
              </w:rPr>
              <w:t xml:space="preserve">50% </w:t>
            </w:r>
            <w:r w:rsidRPr="001C1D40" w:rsidR="00093A62">
              <w:rPr>
                <w:b/>
                <w:bCs/>
              </w:rPr>
              <w:t xml:space="preserve">of homes constructed would be </w:t>
            </w:r>
            <w:r w:rsidRPr="001C1D40">
              <w:rPr>
                <w:b/>
              </w:rPr>
              <w:t>affordable housing</w:t>
            </w:r>
            <w:r w:rsidR="009D0D60">
              <w:t xml:space="preserve">: </w:t>
            </w:r>
          </w:p>
          <w:p w:rsidR="00D21EAA" w:rsidP="00816E92" w:rsidRDefault="00D21EAA" w14:paraId="0111576A" w14:textId="09BCAA80">
            <w:pPr>
              <w:pStyle w:val="Bullet1"/>
              <w:numPr>
                <w:ilvl w:val="2"/>
                <w:numId w:val="27"/>
              </w:numPr>
            </w:pPr>
            <w:r>
              <w:lastRenderedPageBreak/>
              <w:t>Afford</w:t>
            </w:r>
            <w:r w:rsidR="003C6D26">
              <w:t>able</w:t>
            </w:r>
            <w:r>
              <w:t xml:space="preserve"> housing dwellings would be a mixture of 50% apartments, 25% semi-detached and 25% freestanding.</w:t>
            </w:r>
          </w:p>
          <w:p w:rsidR="00D21EAA" w:rsidP="00816E92" w:rsidRDefault="00D21EAA" w14:paraId="08D49BD8" w14:textId="0FC6D0EC">
            <w:pPr>
              <w:pStyle w:val="Bullet1"/>
              <w:numPr>
                <w:ilvl w:val="2"/>
                <w:numId w:val="27"/>
              </w:numPr>
            </w:pPr>
            <w:r>
              <w:t>Residents eligible for affordable housing would have a median household income in the second quintile</w:t>
            </w:r>
            <w:r w:rsidR="0028566F">
              <w:t xml:space="preserve">. </w:t>
            </w:r>
          </w:p>
          <w:p w:rsidR="00E13A21" w:rsidP="00816E92" w:rsidRDefault="00ED2763" w14:paraId="47478263" w14:textId="42E726EE">
            <w:pPr>
              <w:pStyle w:val="Bullet1"/>
              <w:numPr>
                <w:ilvl w:val="2"/>
                <w:numId w:val="27"/>
              </w:numPr>
            </w:pPr>
            <w:r>
              <w:t>Rent</w:t>
            </w:r>
            <w:r w:rsidR="00B95EB8">
              <w:t>s</w:t>
            </w:r>
            <w:r>
              <w:t xml:space="preserve"> would be set at 30% of median household income for </w:t>
            </w:r>
            <w:r w:rsidR="00B95EB8">
              <w:t xml:space="preserve">eligible </w:t>
            </w:r>
            <w:r>
              <w:t>residents</w:t>
            </w:r>
            <w:r w:rsidR="00B95EB8">
              <w:t>.</w:t>
            </w:r>
          </w:p>
          <w:p w:rsidRPr="001C1D40" w:rsidR="00B57F85" w:rsidP="000A16CC" w:rsidRDefault="00013325" w14:paraId="7F204D6C" w14:textId="24421C66">
            <w:pPr>
              <w:pStyle w:val="Bullet1"/>
            </w:pPr>
            <w:r>
              <w:t xml:space="preserve">The request also sought additional information related to the proposal: </w:t>
            </w:r>
          </w:p>
          <w:p w:rsidR="00583AD5" w:rsidP="001C1D40" w:rsidRDefault="00013325" w14:paraId="481EF586" w14:textId="074E0FC4">
            <w:pPr>
              <w:pStyle w:val="Bullet1"/>
              <w:numPr>
                <w:ilvl w:val="0"/>
                <w:numId w:val="25"/>
              </w:numPr>
              <w:spacing w:before="120"/>
            </w:pPr>
            <w:r>
              <w:t>The number of public and</w:t>
            </w:r>
            <w:r w:rsidRPr="00964FE2" w:rsidR="00964FE2">
              <w:t xml:space="preserve"> affordable homes constructed each year </w:t>
            </w:r>
            <w:r w:rsidR="000A16CC">
              <w:t>over the period to 20</w:t>
            </w:r>
            <w:r w:rsidR="001A389E">
              <w:t>32</w:t>
            </w:r>
            <w:r w:rsidR="000A16CC">
              <w:t>-33</w:t>
            </w:r>
            <w:r>
              <w:t>.</w:t>
            </w:r>
          </w:p>
          <w:p w:rsidR="00964FE2" w:rsidP="001C1D40" w:rsidRDefault="00013325" w14:paraId="27966E23" w14:textId="7368906A">
            <w:pPr>
              <w:pStyle w:val="Bullet1"/>
              <w:numPr>
                <w:ilvl w:val="0"/>
                <w:numId w:val="25"/>
              </w:numPr>
              <w:spacing w:before="120"/>
            </w:pPr>
            <w:r>
              <w:t xml:space="preserve">The number of additional </w:t>
            </w:r>
            <w:r w:rsidRPr="005A79B4" w:rsidR="005A79B4">
              <w:t xml:space="preserve">homes </w:t>
            </w:r>
            <w:r>
              <w:t>that could be</w:t>
            </w:r>
            <w:r w:rsidRPr="005A79B4" w:rsidR="005A79B4">
              <w:t xml:space="preserve"> constructed using rental returns</w:t>
            </w:r>
            <w:r w:rsidR="00E2604F">
              <w:t xml:space="preserve"> annually over the period to 20</w:t>
            </w:r>
            <w:r w:rsidR="001A389E">
              <w:t>32</w:t>
            </w:r>
            <w:r w:rsidR="00E2604F">
              <w:t>-33.</w:t>
            </w:r>
          </w:p>
          <w:p w:rsidR="005A79B4" w:rsidP="001C1D40" w:rsidRDefault="00B57F85" w14:paraId="7E8DA8EC" w14:textId="7B147F09">
            <w:pPr>
              <w:pStyle w:val="Bullet1"/>
              <w:numPr>
                <w:ilvl w:val="0"/>
                <w:numId w:val="25"/>
              </w:numPr>
              <w:spacing w:before="120"/>
            </w:pPr>
            <w:r>
              <w:t>The cumulative number of homes being constructed over the period to 20</w:t>
            </w:r>
            <w:r w:rsidR="001A389E">
              <w:t>32</w:t>
            </w:r>
            <w:r>
              <w:t>-33.</w:t>
            </w:r>
          </w:p>
          <w:p w:rsidR="002A2348" w:rsidP="001C1D40" w:rsidRDefault="00B57F85" w14:paraId="0AB1CBE7" w14:textId="13A5BF77">
            <w:pPr>
              <w:pStyle w:val="Bullet1"/>
              <w:numPr>
                <w:ilvl w:val="0"/>
                <w:numId w:val="25"/>
              </w:numPr>
              <w:spacing w:before="120"/>
            </w:pPr>
            <w:r>
              <w:t xml:space="preserve">The </w:t>
            </w:r>
            <w:r w:rsidR="007103F2">
              <w:t xml:space="preserve">total amount of </w:t>
            </w:r>
            <w:r w:rsidR="00644104">
              <w:t xml:space="preserve">rental returns from public and affordable housing </w:t>
            </w:r>
            <w:r w:rsidR="007103F2">
              <w:t>received each year over the period to 20</w:t>
            </w:r>
            <w:r w:rsidR="001A389E">
              <w:t>32</w:t>
            </w:r>
            <w:r w:rsidR="007103F2">
              <w:t xml:space="preserve">-33. </w:t>
            </w:r>
          </w:p>
          <w:p w:rsidRPr="00BE0B88" w:rsidR="00E61387" w:rsidP="004E1528" w:rsidRDefault="009A55F7" w14:paraId="3E190ABE" w14:textId="04870EE2">
            <w:pPr>
              <w:pStyle w:val="Bullet1"/>
            </w:pPr>
            <w:r>
              <w:t xml:space="preserve">The proposal is ongoing and would be in effect from 1 July 2023. </w:t>
            </w:r>
          </w:p>
        </w:tc>
      </w:tr>
    </w:tbl>
    <w:p w:rsidRPr="009B33D1" w:rsidR="00AA478E" w:rsidP="009B33D1" w:rsidRDefault="00AA478E" w14:paraId="4E53A05F" w14:textId="77777777">
      <w:pPr>
        <w:pStyle w:val="Heading2"/>
      </w:pPr>
      <w:r w:rsidRPr="009B33D1">
        <w:lastRenderedPageBreak/>
        <w:t>Costing overview</w:t>
      </w:r>
    </w:p>
    <w:p w:rsidRPr="00617691" w:rsidR="00617691" w:rsidP="00C000C6" w:rsidRDefault="00617691" w14:paraId="793C41E3" w14:textId="013C225F">
      <w:pPr>
        <w:rPr>
          <w:color w:val="auto"/>
        </w:rPr>
      </w:pPr>
      <w:r>
        <w:rPr>
          <w:color w:val="auto"/>
        </w:rPr>
        <w:t xml:space="preserve">The </w:t>
      </w:r>
      <w:r w:rsidR="00417184">
        <w:rPr>
          <w:color w:val="auto"/>
        </w:rPr>
        <w:t>proposal would be expected to decrease the fiscal ba</w:t>
      </w:r>
      <w:r w:rsidR="003C63F7">
        <w:rPr>
          <w:color w:val="auto"/>
        </w:rPr>
        <w:t xml:space="preserve">lance by </w:t>
      </w:r>
      <w:r w:rsidR="00593784">
        <w:rPr>
          <w:color w:val="auto"/>
        </w:rPr>
        <w:t xml:space="preserve">around </w:t>
      </w:r>
      <w:r w:rsidR="003C63F7">
        <w:rPr>
          <w:color w:val="auto"/>
        </w:rPr>
        <w:t>$</w:t>
      </w:r>
      <w:r w:rsidR="004B65E7">
        <w:rPr>
          <w:color w:val="auto"/>
        </w:rPr>
        <w:t>904</w:t>
      </w:r>
      <w:r w:rsidR="003C63F7">
        <w:rPr>
          <w:color w:val="auto"/>
        </w:rPr>
        <w:t xml:space="preserve"> million, the underlying cash balance by</w:t>
      </w:r>
      <w:r w:rsidR="00DF783A">
        <w:rPr>
          <w:color w:val="auto"/>
        </w:rPr>
        <w:t xml:space="preserve"> around</w:t>
      </w:r>
      <w:r w:rsidR="003C63F7">
        <w:rPr>
          <w:color w:val="auto"/>
        </w:rPr>
        <w:t xml:space="preserve"> $</w:t>
      </w:r>
      <w:r w:rsidR="00DF783A">
        <w:rPr>
          <w:color w:val="auto"/>
        </w:rPr>
        <w:t>8</w:t>
      </w:r>
      <w:r w:rsidR="00A70876">
        <w:rPr>
          <w:color w:val="auto"/>
        </w:rPr>
        <w:t>24</w:t>
      </w:r>
      <w:r w:rsidR="003C63F7">
        <w:rPr>
          <w:color w:val="auto"/>
        </w:rPr>
        <w:t xml:space="preserve"> million, and the headline cash balance by </w:t>
      </w:r>
      <w:r w:rsidR="00DF783A">
        <w:rPr>
          <w:color w:val="auto"/>
        </w:rPr>
        <w:t xml:space="preserve">around </w:t>
      </w:r>
      <w:r w:rsidR="003C63F7">
        <w:rPr>
          <w:color w:val="auto"/>
        </w:rPr>
        <w:t>$</w:t>
      </w:r>
      <w:r w:rsidR="00DF783A">
        <w:rPr>
          <w:color w:val="auto"/>
        </w:rPr>
        <w:t>16,3</w:t>
      </w:r>
      <w:r w:rsidR="00A70876">
        <w:rPr>
          <w:color w:val="auto"/>
        </w:rPr>
        <w:t>94</w:t>
      </w:r>
      <w:r w:rsidR="003C63F7">
        <w:rPr>
          <w:color w:val="auto"/>
        </w:rPr>
        <w:t xml:space="preserve"> million over the 2022-23 Budget forward estimates period.</w:t>
      </w:r>
      <w:r w:rsidR="00315164">
        <w:rPr>
          <w:color w:val="auto"/>
        </w:rPr>
        <w:t xml:space="preserve"> The </w:t>
      </w:r>
      <w:r w:rsidR="00BA613E">
        <w:rPr>
          <w:color w:val="auto"/>
        </w:rPr>
        <w:t>impacts on the</w:t>
      </w:r>
      <w:r w:rsidR="00315164">
        <w:rPr>
          <w:color w:val="auto"/>
        </w:rPr>
        <w:t xml:space="preserve"> fiscal and underlying cash balance</w:t>
      </w:r>
      <w:r w:rsidR="00423A91">
        <w:rPr>
          <w:color w:val="auto"/>
        </w:rPr>
        <w:t>s</w:t>
      </w:r>
      <w:r w:rsidR="00315164">
        <w:rPr>
          <w:color w:val="auto"/>
        </w:rPr>
        <w:t xml:space="preserve"> </w:t>
      </w:r>
      <w:r w:rsidR="00BA613E">
        <w:rPr>
          <w:color w:val="auto"/>
        </w:rPr>
        <w:t>mainly reflect</w:t>
      </w:r>
      <w:r w:rsidR="00D914DA">
        <w:rPr>
          <w:color w:val="auto"/>
        </w:rPr>
        <w:t xml:space="preserve"> increase</w:t>
      </w:r>
      <w:r w:rsidR="00093075">
        <w:rPr>
          <w:color w:val="auto"/>
        </w:rPr>
        <w:t>s</w:t>
      </w:r>
      <w:r w:rsidR="00D914DA">
        <w:rPr>
          <w:color w:val="auto"/>
        </w:rPr>
        <w:t xml:space="preserve"> in </w:t>
      </w:r>
      <w:r w:rsidR="00A61102">
        <w:rPr>
          <w:color w:val="auto"/>
        </w:rPr>
        <w:t>the</w:t>
      </w:r>
      <w:r w:rsidR="0032154A">
        <w:rPr>
          <w:color w:val="auto"/>
        </w:rPr>
        <w:t xml:space="preserve"> public debt interest (PDI) </w:t>
      </w:r>
      <w:r w:rsidR="00C24BBF">
        <w:rPr>
          <w:color w:val="auto"/>
        </w:rPr>
        <w:t>for</w:t>
      </w:r>
      <w:r w:rsidRPr="00C174F8" w:rsidR="00C174F8">
        <w:rPr>
          <w:color w:val="auto"/>
        </w:rPr>
        <w:t xml:space="preserve"> </w:t>
      </w:r>
      <w:r w:rsidR="00C174F8">
        <w:rPr>
          <w:color w:val="auto"/>
        </w:rPr>
        <w:t>the annual housing trust equity injection</w:t>
      </w:r>
      <w:r w:rsidR="00284010">
        <w:rPr>
          <w:color w:val="auto"/>
        </w:rPr>
        <w:t>s</w:t>
      </w:r>
      <w:r w:rsidR="001F3CD8">
        <w:rPr>
          <w:color w:val="auto"/>
        </w:rPr>
        <w:t xml:space="preserve"> and departmental expenses</w:t>
      </w:r>
      <w:r w:rsidR="00933E2A">
        <w:rPr>
          <w:color w:val="auto"/>
        </w:rPr>
        <w:t>. These</w:t>
      </w:r>
      <w:r w:rsidR="0068072C">
        <w:rPr>
          <w:color w:val="auto"/>
        </w:rPr>
        <w:t xml:space="preserve"> </w:t>
      </w:r>
      <w:r w:rsidR="0032154A">
        <w:rPr>
          <w:color w:val="auto"/>
        </w:rPr>
        <w:t>are</w:t>
      </w:r>
      <w:r w:rsidR="0068072C">
        <w:rPr>
          <w:color w:val="auto"/>
        </w:rPr>
        <w:t xml:space="preserve"> partially offset </w:t>
      </w:r>
      <w:r w:rsidR="0032154A">
        <w:rPr>
          <w:color w:val="auto"/>
        </w:rPr>
        <w:t>by</w:t>
      </w:r>
      <w:r w:rsidR="0068072C">
        <w:rPr>
          <w:color w:val="auto"/>
        </w:rPr>
        <w:t xml:space="preserve"> </w:t>
      </w:r>
      <w:r w:rsidR="00B81E4A">
        <w:rPr>
          <w:color w:val="auto"/>
        </w:rPr>
        <w:t>a decrease in</w:t>
      </w:r>
      <w:r w:rsidR="00D914DA">
        <w:rPr>
          <w:color w:val="auto"/>
        </w:rPr>
        <w:t xml:space="preserve"> administe</w:t>
      </w:r>
      <w:r w:rsidR="00B81E4A">
        <w:rPr>
          <w:color w:val="auto"/>
        </w:rPr>
        <w:t>red expenses</w:t>
      </w:r>
      <w:r w:rsidR="00CC533D">
        <w:rPr>
          <w:color w:val="auto"/>
        </w:rPr>
        <w:t xml:space="preserve"> </w:t>
      </w:r>
      <w:r w:rsidR="00DA4EAA">
        <w:rPr>
          <w:color w:val="auto"/>
        </w:rPr>
        <w:t xml:space="preserve">on </w:t>
      </w:r>
      <w:r w:rsidR="00D914DA">
        <w:rPr>
          <w:color w:val="auto"/>
        </w:rPr>
        <w:t xml:space="preserve">Commonwealth Rent Assistance </w:t>
      </w:r>
      <w:r w:rsidR="00E70DD7">
        <w:rPr>
          <w:color w:val="auto"/>
        </w:rPr>
        <w:t xml:space="preserve">(CRA) </w:t>
      </w:r>
      <w:r w:rsidR="00DA4EAA">
        <w:rPr>
          <w:color w:val="auto"/>
        </w:rPr>
        <w:t xml:space="preserve">as CRA </w:t>
      </w:r>
      <w:r w:rsidR="007B116D">
        <w:rPr>
          <w:color w:val="auto"/>
        </w:rPr>
        <w:t>recipients move into public housing</w:t>
      </w:r>
      <w:r w:rsidR="00A812E8">
        <w:rPr>
          <w:color w:val="auto"/>
        </w:rPr>
        <w:t xml:space="preserve"> dwellings</w:t>
      </w:r>
      <w:r w:rsidR="00245664">
        <w:rPr>
          <w:color w:val="auto"/>
        </w:rPr>
        <w:t xml:space="preserve"> </w:t>
      </w:r>
      <w:r w:rsidR="00E157EF">
        <w:rPr>
          <w:color w:val="auto"/>
        </w:rPr>
        <w:t>constructed under the proposal</w:t>
      </w:r>
      <w:r w:rsidR="007B116D">
        <w:rPr>
          <w:color w:val="auto"/>
        </w:rPr>
        <w:t xml:space="preserve">. </w:t>
      </w:r>
      <w:r w:rsidR="006878AC">
        <w:rPr>
          <w:color w:val="auto"/>
        </w:rPr>
        <w:t>The headline cas</w:t>
      </w:r>
      <w:r w:rsidR="00676B1F">
        <w:rPr>
          <w:color w:val="auto"/>
        </w:rPr>
        <w:t>h</w:t>
      </w:r>
      <w:r w:rsidR="006878AC">
        <w:rPr>
          <w:color w:val="auto"/>
        </w:rPr>
        <w:t xml:space="preserve"> balance </w:t>
      </w:r>
      <w:r w:rsidR="006A4B13">
        <w:rPr>
          <w:color w:val="auto"/>
        </w:rPr>
        <w:t>impact also reflect</w:t>
      </w:r>
      <w:r w:rsidR="0068274E">
        <w:rPr>
          <w:color w:val="auto"/>
        </w:rPr>
        <w:t>s</w:t>
      </w:r>
      <w:r w:rsidR="006A4B13">
        <w:rPr>
          <w:color w:val="auto"/>
        </w:rPr>
        <w:t xml:space="preserve"> the </w:t>
      </w:r>
      <w:r w:rsidR="003249D9">
        <w:rPr>
          <w:color w:val="auto"/>
        </w:rPr>
        <w:t>equity injections into the housing trust.</w:t>
      </w:r>
      <w:r w:rsidR="006354EF">
        <w:rPr>
          <w:color w:val="auto"/>
        </w:rPr>
        <w:t xml:space="preserve"> </w:t>
      </w:r>
    </w:p>
    <w:p w:rsidR="00C429B5" w:rsidP="00C429B5" w:rsidRDefault="00C429B5" w14:paraId="1F146EF3" w14:textId="51AEFD79">
      <w:pPr>
        <w:pStyle w:val="BodyText"/>
      </w:pPr>
      <w:r w:rsidRPr="00B71F69">
        <w:t xml:space="preserve">The proposal would have </w:t>
      </w:r>
      <w:bookmarkStart w:name="_Hlk84840179" w:id="1"/>
      <w:r w:rsidR="00207F43">
        <w:t>an ongoing</w:t>
      </w:r>
      <w:bookmarkEnd w:id="1"/>
      <w:r w:rsidR="00207F43">
        <w:t xml:space="preserve"> </w:t>
      </w:r>
      <w:r w:rsidRPr="00B71F69">
        <w:t>impact beyond the 202</w:t>
      </w:r>
      <w:r w:rsidR="005B78F1">
        <w:t>2</w:t>
      </w:r>
      <w:r w:rsidRPr="00B71F69">
        <w:t>-2</w:t>
      </w:r>
      <w:r w:rsidR="005B78F1">
        <w:t>3</w:t>
      </w:r>
      <w:r w:rsidR="004A7D4E">
        <w:t> </w:t>
      </w:r>
      <w:r w:rsidRPr="00B71F69">
        <w:t>Budget</w:t>
      </w:r>
      <w:r w:rsidRPr="00B71F69">
        <w:rPr>
          <w:i/>
          <w:iCs/>
        </w:rPr>
        <w:t xml:space="preserve"> </w:t>
      </w:r>
      <w:r w:rsidRPr="00B71F69">
        <w:t>forward estimates period. A breakdown of the financial implications</w:t>
      </w:r>
      <w:r>
        <w:t xml:space="preserve"> </w:t>
      </w:r>
      <w:r w:rsidRPr="00417184">
        <w:t>over</w:t>
      </w:r>
      <w:r w:rsidRPr="00B71F69">
        <w:t xml:space="preserve"> the period to 203</w:t>
      </w:r>
      <w:r w:rsidR="005B78F1">
        <w:t>2</w:t>
      </w:r>
      <w:r w:rsidRPr="00B71F69">
        <w:t>-3</w:t>
      </w:r>
      <w:r w:rsidR="005B78F1">
        <w:t>3</w:t>
      </w:r>
      <w:r w:rsidRPr="00B71F69">
        <w:t xml:space="preserve"> is provided at </w:t>
      </w:r>
      <w:r w:rsidRPr="00D862EC">
        <w:t>Attachment</w:t>
      </w:r>
      <w:r w:rsidR="00D6617D">
        <w:t> </w:t>
      </w:r>
      <w:r w:rsidRPr="00D862EC">
        <w:t>A</w:t>
      </w:r>
      <w:r w:rsidRPr="00B71F69">
        <w:t>.</w:t>
      </w:r>
      <w:r>
        <w:t xml:space="preserve"> </w:t>
      </w:r>
      <w:r w:rsidR="00A703E7">
        <w:t xml:space="preserve">Additional information related to </w:t>
      </w:r>
      <w:r w:rsidR="00C65C8C">
        <w:t>the proposal</w:t>
      </w:r>
      <w:r w:rsidR="00A703E7">
        <w:t xml:space="preserve"> </w:t>
      </w:r>
      <w:r w:rsidR="00676CBF">
        <w:t>is</w:t>
      </w:r>
      <w:r w:rsidR="00A703E7">
        <w:t xml:space="preserve"> provided </w:t>
      </w:r>
      <w:r w:rsidR="00477DAD">
        <w:t>at</w:t>
      </w:r>
      <w:r w:rsidR="00A703E7">
        <w:t xml:space="preserve"> Attachment B.</w:t>
      </w:r>
      <w:r>
        <w:t xml:space="preserve"> </w:t>
      </w:r>
    </w:p>
    <w:p w:rsidR="00A37D94" w:rsidP="00C429B5" w:rsidRDefault="00A37D94" w14:paraId="77087510" w14:textId="2C5F1C43">
      <w:pPr>
        <w:pStyle w:val="BodyText"/>
      </w:pPr>
      <w:r>
        <w:t>The financial im</w:t>
      </w:r>
      <w:r w:rsidR="00C95D54">
        <w:t xml:space="preserve">plications of the proposal are uncertain and highly sensitive to assumptions around </w:t>
      </w:r>
      <w:r w:rsidR="008F4F67">
        <w:t xml:space="preserve">negotiations with </w:t>
      </w:r>
      <w:r w:rsidR="009038F9">
        <w:t>s</w:t>
      </w:r>
      <w:r w:rsidR="008F4F67">
        <w:t xml:space="preserve">tate and </w:t>
      </w:r>
      <w:r w:rsidR="009038F9">
        <w:t>t</w:t>
      </w:r>
      <w:r w:rsidR="008F4F67">
        <w:t xml:space="preserve">erritory </w:t>
      </w:r>
      <w:r w:rsidR="00AF5653">
        <w:t xml:space="preserve">governments, </w:t>
      </w:r>
      <w:r w:rsidR="00C95D54">
        <w:t xml:space="preserve">the speed of </w:t>
      </w:r>
      <w:r w:rsidR="00B11073">
        <w:t>approvals</w:t>
      </w:r>
      <w:r w:rsidR="00C95D54">
        <w:t>, capacity within the construction industry, the cost of land and dwelling construction</w:t>
      </w:r>
      <w:r w:rsidR="00AE2039">
        <w:t xml:space="preserve">, the uptake by households of </w:t>
      </w:r>
      <w:r w:rsidR="00207CFF">
        <w:t xml:space="preserve">the dwellings </w:t>
      </w:r>
      <w:r w:rsidR="00AE2039">
        <w:t xml:space="preserve">delivered </w:t>
      </w:r>
      <w:r w:rsidR="00207CFF">
        <w:t>under the proposal</w:t>
      </w:r>
      <w:r w:rsidR="008F70BD">
        <w:t xml:space="preserve"> and annual operating costs.</w:t>
      </w:r>
    </w:p>
    <w:p w:rsidRPr="00A44B84" w:rsidR="00114138" w:rsidP="00114138" w:rsidRDefault="00114138" w14:paraId="21B46BAE" w14:textId="67480B5A">
      <w:r w:rsidRPr="00A44B84">
        <w:t xml:space="preserve">It is uncertain whether the Trust will be able to achieve </w:t>
      </w:r>
      <w:r w:rsidR="00417350">
        <w:t xml:space="preserve">land and construction costs consistent with the </w:t>
      </w:r>
      <w:r w:rsidRPr="00516230" w:rsidR="00516230">
        <w:t>AHURI report</w:t>
      </w:r>
      <w:r w:rsidRPr="00A44B84">
        <w:t>. There is potential the Trust would not be able to meet the</w:t>
      </w:r>
      <w:r w:rsidR="00417569">
        <w:t>se</w:t>
      </w:r>
      <w:r w:rsidRPr="00A44B84">
        <w:t xml:space="preserve"> specified </w:t>
      </w:r>
      <w:r w:rsidR="00FF1072">
        <w:t>costs</w:t>
      </w:r>
      <w:r w:rsidR="00BD16DE">
        <w:t>, in which case</w:t>
      </w:r>
      <w:r>
        <w:t xml:space="preserve"> the number of dwellings </w:t>
      </w:r>
      <w:r w:rsidR="000E29A3">
        <w:t xml:space="preserve">that </w:t>
      </w:r>
      <w:r w:rsidR="003E2402">
        <w:t xml:space="preserve">would </w:t>
      </w:r>
      <w:r w:rsidR="00281A57">
        <w:t xml:space="preserve">be </w:t>
      </w:r>
      <w:r>
        <w:t xml:space="preserve">constructed </w:t>
      </w:r>
      <w:r w:rsidR="00BD16DE">
        <w:t>and the associated savings from CRA</w:t>
      </w:r>
      <w:r w:rsidR="00EE27B7">
        <w:t xml:space="preserve"> </w:t>
      </w:r>
      <w:r w:rsidR="00CE5AC0">
        <w:t xml:space="preserve">would </w:t>
      </w:r>
      <w:r w:rsidR="00E52B74">
        <w:t>decrease</w:t>
      </w:r>
      <w:r w:rsidR="00495CF2">
        <w:t xml:space="preserve">, increasing the </w:t>
      </w:r>
      <w:r w:rsidR="00511CBD">
        <w:t xml:space="preserve">expected costs of this </w:t>
      </w:r>
      <w:r w:rsidR="00817A96">
        <w:t>proposal</w:t>
      </w:r>
      <w:r w:rsidRPr="00A44B84">
        <w:t xml:space="preserve">. </w:t>
      </w:r>
    </w:p>
    <w:p w:rsidR="001F6ECC" w:rsidP="00C429B5" w:rsidRDefault="001F6ECC" w14:paraId="5E17E234" w14:textId="5B5CD401">
      <w:pPr>
        <w:pStyle w:val="BodyText"/>
      </w:pPr>
      <w:r>
        <w:t>The impact of this proposal on property markets is highly uncertain and the Parliamentary Budget Office (PBO) has not made any assessment of flow-on impacts on property prices</w:t>
      </w:r>
      <w:r w:rsidR="00437869">
        <w:t xml:space="preserve">, rents or on the supply and demand of residential properties in this costing. Additionally, the PBO has not undertaken any analysis </w:t>
      </w:r>
      <w:r w:rsidR="00410389">
        <w:t xml:space="preserve">of if and how state and territory governments would contribute to the </w:t>
      </w:r>
      <w:r w:rsidR="00073E0C">
        <w:t>proposed policy</w:t>
      </w:r>
      <w:r w:rsidR="00410389">
        <w:t xml:space="preserve">. </w:t>
      </w:r>
      <w:proofErr w:type="gramStart"/>
      <w:r w:rsidR="00410389">
        <w:t>Past experience</w:t>
      </w:r>
      <w:proofErr w:type="gramEnd"/>
      <w:r w:rsidR="00410389">
        <w:t xml:space="preserve"> has shown that the Australian Government often has to make adjustments to policy to ensure </w:t>
      </w:r>
      <w:r w:rsidR="00583C65">
        <w:t>state and territory governments agree to participate.</w:t>
      </w:r>
      <w:r w:rsidR="00AF0FB1">
        <w:t xml:space="preserve"> There is a significant risk that the specified funding arrangements </w:t>
      </w:r>
      <w:r w:rsidR="003322FC">
        <w:t>between the Australian government and the state and territory governments</w:t>
      </w:r>
      <w:r w:rsidR="00AF0FB1">
        <w:t xml:space="preserve"> would not be </w:t>
      </w:r>
      <w:r w:rsidR="00136D1F">
        <w:t xml:space="preserve">agreed to </w:t>
      </w:r>
      <w:r w:rsidR="00C97A9E">
        <w:t>prior to the policy implementation date</w:t>
      </w:r>
      <w:r w:rsidR="00F34C76">
        <w:t>.</w:t>
      </w:r>
    </w:p>
    <w:p w:rsidR="00485108" w:rsidP="00816E92" w:rsidRDefault="00FD48A9" w14:paraId="5D95F3F0" w14:textId="2A2671FB">
      <w:pPr>
        <w:pStyle w:val="BodyText"/>
        <w:rPr>
          <w:b/>
          <w:iCs/>
          <w:color w:val="3D4D7D" w:themeColor="background2"/>
          <w:szCs w:val="18"/>
          <w:lang w:val="fr-FR"/>
        </w:rPr>
      </w:pPr>
      <w:r>
        <w:lastRenderedPageBreak/>
        <w:t xml:space="preserve">Consistent with </w:t>
      </w:r>
      <w:r w:rsidRPr="000E616F">
        <w:rPr>
          <w:i/>
          <w:iCs/>
        </w:rPr>
        <w:t>PBO Guidance 02/2015</w:t>
      </w:r>
      <w:r>
        <w:t>, public debt interest expense impacts have been included in this costing because the equity injections provided under this proposal involve financial asset transactions.</w:t>
      </w:r>
      <w:bookmarkStart w:name="_Hlk63779408" w:id="2"/>
    </w:p>
    <w:p w:rsidR="00EC71D9" w:rsidP="00EC71D9" w:rsidRDefault="00EC71D9" w14:paraId="4143ADD8" w14:textId="67AFC7EE">
      <w:pPr>
        <w:pStyle w:val="Caption"/>
        <w:rPr>
          <w:vertAlign w:val="superscript"/>
          <w:lang w:val="fr-FR"/>
        </w:rPr>
      </w:pPr>
      <w:r w:rsidRPr="00BD216D">
        <w:rPr>
          <w:lang w:val="fr-FR"/>
        </w:rPr>
        <w:t xml:space="preserve">Table </w:t>
      </w:r>
      <w:proofErr w:type="gramStart"/>
      <w:r>
        <w:rPr>
          <w:lang w:val="fr-FR"/>
        </w:rPr>
        <w:t>1</w:t>
      </w:r>
      <w:r w:rsidRPr="00BD216D">
        <w:rPr>
          <w:lang w:val="fr-FR"/>
        </w:rPr>
        <w:t>:</w:t>
      </w:r>
      <w:proofErr w:type="gramEnd"/>
      <w:r w:rsidRPr="00BD216D">
        <w:rPr>
          <w:lang w:val="fr-FR"/>
        </w:rPr>
        <w:t xml:space="preserve"> </w:t>
      </w:r>
      <w:r>
        <w:rPr>
          <w:noProof/>
        </w:rPr>
        <w:t>Government owned affordable housing build</w:t>
      </w:r>
      <w:r>
        <w:t xml:space="preserve"> – </w:t>
      </w:r>
      <w:r w:rsidRPr="00BD216D">
        <w:rPr>
          <w:lang w:val="fr-FR"/>
        </w:rPr>
        <w:t>Financial implications</w:t>
      </w:r>
      <w:r>
        <w:rPr>
          <w:lang w:val="fr-FR"/>
        </w:rPr>
        <w:t> </w:t>
      </w:r>
      <w:r w:rsidRPr="00BD216D">
        <w:rPr>
          <w:lang w:val="fr-FR"/>
        </w:rPr>
        <w:t>($m)</w:t>
      </w:r>
      <w:r>
        <w:rPr>
          <w:vertAlign w:val="superscript"/>
          <w:lang w:val="fr-FR"/>
        </w:rPr>
        <w:t>(a)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120"/>
        <w:gridCol w:w="1120"/>
        <w:gridCol w:w="1120"/>
      </w:tblGrid>
      <w:tr w:rsidRPr="00F3264B" w:rsidR="00F3264B" w:rsidTr="00F3264B" w14:paraId="55214314" w14:textId="77777777">
        <w:trPr>
          <w:trHeight w:val="529"/>
        </w:trPr>
        <w:tc>
          <w:tcPr>
            <w:tcW w:w="34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6D6ED75E" w14:textId="77777777">
            <w:pPr>
              <w:spacing w:before="0" w:after="0" w:line="240" w:lineRule="auto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504935D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2022-23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23A393A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2023-24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55656FD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2F80B86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F3264B" w:rsidR="00F3264B" w:rsidP="00F3264B" w:rsidRDefault="00F3264B" w14:paraId="782F998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  <w:t xml:space="preserve"> Total to </w:t>
            </w:r>
            <w:r w:rsidRPr="00F3264B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  <w:br/>
            </w:r>
            <w:r w:rsidRPr="00F3264B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  <w:t xml:space="preserve">2025-26 </w:t>
            </w:r>
          </w:p>
        </w:tc>
      </w:tr>
      <w:tr w:rsidRPr="00F3264B" w:rsidR="00927075" w:rsidTr="00484CC6" w14:paraId="1C738758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927075" w:rsidP="00927075" w:rsidRDefault="00927075" w14:paraId="78174648" w14:textId="77777777">
            <w:pPr>
              <w:spacing w:before="0" w:after="0" w:line="240" w:lineRule="auto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Fiscal balance</w:t>
            </w:r>
          </w:p>
        </w:tc>
        <w:tc>
          <w:tcPr>
            <w:tcW w:w="11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927075" w:rsidP="00927075" w:rsidRDefault="00927075" w14:paraId="2FF02734" w14:textId="19AE6C4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2B1CB0DC" w14:textId="0AD62A4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-137.0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06B9BFE4" w14:textId="551FDB4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-297.1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1F034ABF" w14:textId="422B05B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-470.0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5C574EB6" w14:textId="0786DA5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-904.1</w:t>
            </w:r>
          </w:p>
        </w:tc>
      </w:tr>
      <w:tr w:rsidRPr="00F3264B" w:rsidR="00927075" w:rsidTr="00484CC6" w14:paraId="0E8442AB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927075" w:rsidP="00927075" w:rsidRDefault="00927075" w14:paraId="171BEBAD" w14:textId="77777777">
            <w:pPr>
              <w:spacing w:before="0" w:after="0" w:line="240" w:lineRule="auto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Underlying cash balance</w:t>
            </w:r>
          </w:p>
        </w:tc>
        <w:tc>
          <w:tcPr>
            <w:tcW w:w="11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927075" w:rsidP="00927075" w:rsidRDefault="00927075" w14:paraId="252D01DF" w14:textId="13840A7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4AADA06D" w14:textId="5B729FB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-117.0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01F05C54" w14:textId="5766B34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-267.1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7D12B71D" w14:textId="19F7BB2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-440.0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927075" w:rsidP="00927075" w:rsidRDefault="00927075" w14:paraId="5207C102" w14:textId="4FD3884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-824.1</w:t>
            </w:r>
          </w:p>
        </w:tc>
      </w:tr>
      <w:tr w:rsidRPr="00F3264B" w:rsidR="003B0598" w:rsidTr="00484CC6" w14:paraId="5037DAAD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3B0598" w:rsidP="003B0598" w:rsidRDefault="003B0598" w14:paraId="02FE64E7" w14:textId="77777777">
            <w:pPr>
              <w:spacing w:before="0" w:after="0" w:line="240" w:lineRule="auto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 w:rsidRPr="00F3264B"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Headline cash balance</w:t>
            </w:r>
          </w:p>
        </w:tc>
        <w:tc>
          <w:tcPr>
            <w:tcW w:w="11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F3264B" w:rsidR="003B0598" w:rsidP="003B0598" w:rsidRDefault="003B0598" w14:paraId="7471B008" w14:textId="07C80F7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2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3B0598" w:rsidP="003B0598" w:rsidRDefault="003B0598" w14:paraId="487B1300" w14:textId="3BB3FE6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-5,117.0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3B0598" w:rsidP="003B0598" w:rsidRDefault="003B0598" w14:paraId="3494CDBA" w14:textId="0332BF2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-5,487.1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3B0598" w:rsidP="003B0598" w:rsidRDefault="003B0598" w14:paraId="4BA53388" w14:textId="4CDD2FC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-5,790.0</w:t>
            </w:r>
          </w:p>
        </w:tc>
        <w:tc>
          <w:tcPr>
            <w:tcW w:w="112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F3264B" w:rsidR="003B0598" w:rsidP="003B0598" w:rsidRDefault="003B0598" w14:paraId="1BB6D5E1" w14:textId="5C7F175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-16,394.1</w:t>
            </w:r>
          </w:p>
        </w:tc>
      </w:tr>
    </w:tbl>
    <w:p w:rsidR="00EC71D9" w:rsidP="001C1D40" w:rsidRDefault="00EC71D9" w14:paraId="797DEC30" w14:textId="77777777">
      <w:pPr>
        <w:pStyle w:val="PRRfootnote1"/>
        <w:keepNext w:val="0"/>
        <w:keepLines w:val="0"/>
      </w:pPr>
      <w:r w:rsidRPr="00A162FE">
        <w:t>(a)</w:t>
      </w:r>
      <w:r w:rsidRPr="00A162FE">
        <w:tab/>
      </w:r>
      <w:r w:rsidRPr="00A162FE">
        <w:t>A positive number represents an increase in the relevant budget balance; a negative number represents a decrease.</w:t>
      </w:r>
      <w:r w:rsidRPr="00426A22">
        <w:t xml:space="preserve"> </w:t>
      </w:r>
    </w:p>
    <w:p w:rsidR="00EC71D9" w:rsidP="008323A7" w:rsidRDefault="00EC71D9" w14:paraId="61D06D5E" w14:textId="77777777">
      <w:pPr>
        <w:pStyle w:val="PRRfootnote1"/>
        <w:keepNext w:val="0"/>
        <w:keepLines w:val="0"/>
        <w:numPr>
          <w:ilvl w:val="0"/>
          <w:numId w:val="23"/>
        </w:numPr>
        <w:ind w:left="284" w:hanging="284"/>
      </w:pPr>
      <w:r>
        <w:t>Indicates nil.</w:t>
      </w:r>
    </w:p>
    <w:p w:rsidRPr="00D014E1" w:rsidR="00FE3B13" w:rsidP="001C1D40" w:rsidRDefault="00FE3B13" w14:paraId="4ACD62A1" w14:textId="7A8BE0D2">
      <w:pPr>
        <w:pStyle w:val="Heading2"/>
        <w:keepNext w:val="0"/>
        <w:keepLines w:val="0"/>
      </w:pPr>
      <w:r w:rsidRPr="00D014E1">
        <w:t>Key assumptions</w:t>
      </w:r>
    </w:p>
    <w:p w:rsidRPr="00390075" w:rsidR="004D5A64" w:rsidP="00390075" w:rsidRDefault="001C7A03" w14:paraId="6D4EE28F" w14:textId="53C4D973">
      <w:r>
        <w:t xml:space="preserve">The </w:t>
      </w:r>
      <w:r w:rsidR="00D862EC">
        <w:t xml:space="preserve">PBO </w:t>
      </w:r>
      <w:r>
        <w:t>has made the following assumptions in costing this proposal.</w:t>
      </w:r>
    </w:p>
    <w:p w:rsidR="00962937" w:rsidP="00962937" w:rsidRDefault="00AE399F" w14:paraId="5E48CFC6" w14:textId="6F9363BA">
      <w:pPr>
        <w:pStyle w:val="Bullet1"/>
        <w:numPr>
          <w:ilvl w:val="0"/>
          <w:numId w:val="22"/>
        </w:numPr>
        <w:ind w:left="284" w:hanging="284"/>
      </w:pPr>
      <w:r>
        <w:t xml:space="preserve">The Trust </w:t>
      </w:r>
      <w:r w:rsidR="00EC3E4E">
        <w:t>would be</w:t>
      </w:r>
      <w:r>
        <w:t xml:space="preserve"> able to be established and </w:t>
      </w:r>
      <w:r w:rsidR="00C040AA">
        <w:t>s</w:t>
      </w:r>
      <w:r w:rsidR="00962937">
        <w:t>tate and territory government</w:t>
      </w:r>
      <w:r w:rsidR="008571E6">
        <w:t>s</w:t>
      </w:r>
      <w:r w:rsidR="00962937">
        <w:t xml:space="preserve"> </w:t>
      </w:r>
      <w:r w:rsidR="00196637">
        <w:t xml:space="preserve">would </w:t>
      </w:r>
      <w:r w:rsidR="00962937">
        <w:t xml:space="preserve">agree to match the </w:t>
      </w:r>
      <w:r w:rsidR="00C040AA">
        <w:t>Australian Government</w:t>
      </w:r>
      <w:r w:rsidR="00962937">
        <w:t xml:space="preserve">’s $5 billion equity </w:t>
      </w:r>
      <w:r w:rsidR="00C01549">
        <w:t xml:space="preserve">contribution </w:t>
      </w:r>
      <w:r w:rsidR="00962937">
        <w:t>per annum by 1 July 2023.</w:t>
      </w:r>
    </w:p>
    <w:p w:rsidR="00AB0768" w:rsidP="004E1528" w:rsidRDefault="00A069FC" w14:paraId="1A2B2C88" w14:textId="0908C4F5">
      <w:pPr>
        <w:pStyle w:val="Bullet1"/>
        <w:numPr>
          <w:ilvl w:val="0"/>
          <w:numId w:val="22"/>
        </w:numPr>
        <w:ind w:left="284" w:hanging="284"/>
      </w:pPr>
      <w:r>
        <w:t>The Trust would be able to achieve l</w:t>
      </w:r>
      <w:r w:rsidR="004A3101">
        <w:t xml:space="preserve">and and construction costs </w:t>
      </w:r>
      <w:r>
        <w:t xml:space="preserve">consistent with </w:t>
      </w:r>
      <w:r w:rsidR="003F3B2D">
        <w:t xml:space="preserve">the </w:t>
      </w:r>
      <w:r w:rsidR="00014492">
        <w:t>cost</w:t>
      </w:r>
      <w:r w:rsidR="003F3B2D">
        <w:t xml:space="preserve"> structure</w:t>
      </w:r>
      <w:r w:rsidR="00014492">
        <w:t xml:space="preserve"> reported in </w:t>
      </w:r>
      <w:r>
        <w:t>the AHURI report</w:t>
      </w:r>
      <w:r w:rsidR="00BD23C1">
        <w:t>.</w:t>
      </w:r>
    </w:p>
    <w:p w:rsidR="00932DA3" w:rsidP="001C1D40" w:rsidRDefault="00944BCA" w14:paraId="06E8F59A" w14:textId="70D2B4CB">
      <w:pPr>
        <w:pStyle w:val="Bullet2"/>
        <w:numPr>
          <w:ilvl w:val="1"/>
          <w:numId w:val="10"/>
        </w:numPr>
        <w:ind w:left="568"/>
      </w:pPr>
      <w:r>
        <w:t xml:space="preserve">The cost of construction would </w:t>
      </w:r>
      <w:r w:rsidR="00D85CBD">
        <w:t xml:space="preserve">grow </w:t>
      </w:r>
      <w:r w:rsidR="00932DA3">
        <w:t xml:space="preserve">over the medium term </w:t>
      </w:r>
      <w:r w:rsidR="00D85CBD">
        <w:t xml:space="preserve">in line with </w:t>
      </w:r>
      <w:r w:rsidR="00D6044B">
        <w:t xml:space="preserve">the </w:t>
      </w:r>
      <w:r w:rsidR="009577C9">
        <w:t xml:space="preserve">dwelling investment implicit price deflator </w:t>
      </w:r>
      <w:r w:rsidR="00932DA3">
        <w:t xml:space="preserve">projected by the Treasury </w:t>
      </w:r>
      <w:r w:rsidR="009577C9">
        <w:t xml:space="preserve">as </w:t>
      </w:r>
      <w:r w:rsidR="00932DA3">
        <w:t xml:space="preserve">at </w:t>
      </w:r>
      <w:r w:rsidR="009577C9">
        <w:t>the 2022-23 October Budget</w:t>
      </w:r>
      <w:r w:rsidR="00932DA3">
        <w:t>.</w:t>
      </w:r>
    </w:p>
    <w:p w:rsidR="00944BCA" w:rsidP="001C1D40" w:rsidRDefault="00932DA3" w14:paraId="07870148" w14:textId="59CAA487">
      <w:pPr>
        <w:pStyle w:val="Bullet2"/>
        <w:numPr>
          <w:ilvl w:val="1"/>
          <w:numId w:val="10"/>
        </w:numPr>
        <w:ind w:left="568"/>
      </w:pPr>
      <w:r>
        <w:t>T</w:t>
      </w:r>
      <w:r w:rsidR="001C109B">
        <w:t>he cos</w:t>
      </w:r>
      <w:r w:rsidR="00654B51">
        <w:t xml:space="preserve">ts of land acquisition would grow </w:t>
      </w:r>
      <w:r w:rsidR="00997AC3">
        <w:t xml:space="preserve">over the medium term </w:t>
      </w:r>
      <w:r>
        <w:t xml:space="preserve">in line with </w:t>
      </w:r>
      <w:r w:rsidR="00C9764E">
        <w:t xml:space="preserve">nominal GDP </w:t>
      </w:r>
      <w:r w:rsidR="005B0DD6">
        <w:t xml:space="preserve">as projected by the Treasury at </w:t>
      </w:r>
      <w:r w:rsidR="00654B51">
        <w:t>the 2022-23 October Budget</w:t>
      </w:r>
      <w:r w:rsidR="00944BCA">
        <w:t>.</w:t>
      </w:r>
    </w:p>
    <w:p w:rsidR="00F47A24" w:rsidP="00745DDB" w:rsidRDefault="00713D49" w14:paraId="1C1DADFE" w14:textId="66530802">
      <w:pPr>
        <w:pStyle w:val="Bullet1"/>
        <w:numPr>
          <w:ilvl w:val="0"/>
          <w:numId w:val="22"/>
        </w:numPr>
        <w:ind w:left="284" w:hanging="284"/>
      </w:pPr>
      <w:r w:rsidRPr="001A39A3">
        <w:t xml:space="preserve">There would be sufficient capacity within the building industry to construct </w:t>
      </w:r>
      <w:r w:rsidR="00AF3F1C">
        <w:t>dwellings up to the amount of the annual investment on an ongoing basis</w:t>
      </w:r>
      <w:r w:rsidRPr="000273E4" w:rsidR="00DE2ABD">
        <w:t xml:space="preserve">, noting </w:t>
      </w:r>
      <w:r w:rsidRPr="000273E4" w:rsidR="004A54A3">
        <w:t xml:space="preserve">factors </w:t>
      </w:r>
      <w:r w:rsidRPr="00F47A24" w:rsidR="00F47A24">
        <w:t>such as the 2032 Olympic games may affect this assumption.</w:t>
      </w:r>
    </w:p>
    <w:p w:rsidR="00E53590" w:rsidP="004E1528" w:rsidRDefault="00AD2BA6" w14:paraId="48012169" w14:textId="62751407">
      <w:pPr>
        <w:pStyle w:val="Bullet1"/>
        <w:numPr>
          <w:ilvl w:val="0"/>
          <w:numId w:val="22"/>
        </w:numPr>
        <w:ind w:left="284" w:hanging="284"/>
      </w:pPr>
      <w:r>
        <w:t>As a result of timing lags in construction, the first r</w:t>
      </w:r>
      <w:r w:rsidR="00E53590">
        <w:t>esidential tenancies would begin in 202</w:t>
      </w:r>
      <w:r>
        <w:t>5</w:t>
      </w:r>
      <w:r w:rsidR="00C36A6D">
        <w:t xml:space="preserve"> following construction commencements in 2023-24</w:t>
      </w:r>
      <w:r w:rsidR="00CB2754">
        <w:t>.</w:t>
      </w:r>
    </w:p>
    <w:p w:rsidR="000337F6" w:rsidP="004E1528" w:rsidRDefault="0045259E" w14:paraId="3CB64622" w14:textId="7F16BD69">
      <w:pPr>
        <w:pStyle w:val="Bullet2"/>
        <w:numPr>
          <w:ilvl w:val="1"/>
          <w:numId w:val="10"/>
        </w:numPr>
        <w:ind w:left="568"/>
      </w:pPr>
      <w:r>
        <w:t xml:space="preserve">This is </w:t>
      </w:r>
      <w:r w:rsidR="00131028">
        <w:t>informed</w:t>
      </w:r>
      <w:r w:rsidR="00D97013">
        <w:t xml:space="preserve"> by</w:t>
      </w:r>
      <w:r>
        <w:t xml:space="preserve"> data from the </w:t>
      </w:r>
      <w:r w:rsidR="000337F6">
        <w:t>Australian Bureau of Statistics</w:t>
      </w:r>
      <w:r>
        <w:t xml:space="preserve">, which </w:t>
      </w:r>
      <w:r w:rsidR="00066507">
        <w:t xml:space="preserve">indicate </w:t>
      </w:r>
      <w:r w:rsidR="004C7BF5">
        <w:t xml:space="preserve">construction lags of </w:t>
      </w:r>
      <w:r w:rsidR="00A20C6D">
        <w:t>18</w:t>
      </w:r>
      <w:r w:rsidR="00DA6C36">
        <w:t xml:space="preserve">, 24 and 36 months for </w:t>
      </w:r>
      <w:r w:rsidR="00A20C6D">
        <w:t>freestanding dwellings</w:t>
      </w:r>
      <w:r w:rsidR="00131028">
        <w:t xml:space="preserve">, </w:t>
      </w:r>
      <w:r w:rsidR="001C5BB1">
        <w:t>semi-detached dwellings</w:t>
      </w:r>
      <w:r w:rsidR="00131028">
        <w:t xml:space="preserve">, </w:t>
      </w:r>
      <w:r w:rsidR="001C5BB1">
        <w:t xml:space="preserve">and </w:t>
      </w:r>
      <w:r w:rsidR="007056F2">
        <w:t>apartments</w:t>
      </w:r>
      <w:r w:rsidR="00131028">
        <w:t>, respectively</w:t>
      </w:r>
      <w:r w:rsidR="007056F2">
        <w:t>.</w:t>
      </w:r>
    </w:p>
    <w:p w:rsidRPr="00C36A6D" w:rsidR="00E53590" w:rsidP="00745DDB" w:rsidRDefault="00E53590" w14:paraId="42B44B2C" w14:textId="56845137">
      <w:pPr>
        <w:pStyle w:val="Bullet1"/>
        <w:numPr>
          <w:ilvl w:val="0"/>
          <w:numId w:val="22"/>
        </w:numPr>
        <w:ind w:left="284" w:hanging="284"/>
      </w:pPr>
      <w:r w:rsidRPr="00C36A6D">
        <w:t>All residential tenancies would be filled over the span of the policy</w:t>
      </w:r>
      <w:r w:rsidR="001276DB">
        <w:t xml:space="preserve">, reflecting the </w:t>
      </w:r>
      <w:r w:rsidR="00AD1CE8">
        <w:t>current</w:t>
      </w:r>
      <w:r w:rsidR="001276DB">
        <w:t xml:space="preserve"> large unmet demand for social housing</w:t>
      </w:r>
      <w:r w:rsidRPr="00C36A6D">
        <w:t>.</w:t>
      </w:r>
    </w:p>
    <w:p w:rsidR="00985065" w:rsidP="004E1528" w:rsidRDefault="00985065" w14:paraId="33FDBE79" w14:textId="08653D74">
      <w:pPr>
        <w:pStyle w:val="Bullet1"/>
        <w:numPr>
          <w:ilvl w:val="0"/>
          <w:numId w:val="22"/>
        </w:numPr>
        <w:ind w:left="284" w:hanging="284"/>
      </w:pPr>
      <w:r>
        <w:t>Household income would grow in line with projections for average weekly earnings</w:t>
      </w:r>
      <w:r w:rsidR="007C6418">
        <w:t xml:space="preserve"> from the 2022</w:t>
      </w:r>
      <w:r w:rsidR="00906F06">
        <w:noBreakHyphen/>
      </w:r>
      <w:r w:rsidR="007C6418">
        <w:t>23 October Budget</w:t>
      </w:r>
      <w:r>
        <w:t>.</w:t>
      </w:r>
    </w:p>
    <w:p w:rsidRPr="00EC6AA7" w:rsidR="00F97C5F" w:rsidP="004E1528" w:rsidRDefault="00F97C5F" w14:paraId="5B9B885B" w14:textId="0216D938">
      <w:pPr>
        <w:pStyle w:val="Bullet1"/>
        <w:numPr>
          <w:ilvl w:val="0"/>
          <w:numId w:val="22"/>
        </w:numPr>
        <w:ind w:left="284" w:hanging="284"/>
      </w:pPr>
      <w:r w:rsidRPr="00EC6AA7">
        <w:t xml:space="preserve">Annual </w:t>
      </w:r>
      <w:r w:rsidRPr="00EC6AA7" w:rsidR="0065624A">
        <w:t xml:space="preserve">property repair costs </w:t>
      </w:r>
      <w:r w:rsidRPr="00EC6AA7" w:rsidR="007E7B0E">
        <w:t>once completed</w:t>
      </w:r>
      <w:r w:rsidRPr="00EC6AA7">
        <w:t xml:space="preserve"> would be around 1% of the estimated </w:t>
      </w:r>
      <w:r w:rsidRPr="00EC6AA7" w:rsidR="0065624A">
        <w:t>cost</w:t>
      </w:r>
      <w:r w:rsidRPr="00EC6AA7" w:rsidR="00331990">
        <w:t xml:space="preserve"> </w:t>
      </w:r>
      <w:r w:rsidRPr="00EC6AA7" w:rsidR="007E7B0E">
        <w:t>to construct</w:t>
      </w:r>
      <w:r w:rsidRPr="00EC6AA7" w:rsidR="00331990">
        <w:t xml:space="preserve"> </w:t>
      </w:r>
      <w:r w:rsidRPr="00EC6AA7" w:rsidR="007E7B0E">
        <w:t xml:space="preserve">each </w:t>
      </w:r>
      <w:r w:rsidRPr="00EC6AA7" w:rsidR="00331990">
        <w:t>dwelling</w:t>
      </w:r>
      <w:r w:rsidRPr="00EC6AA7" w:rsidR="0065624A">
        <w:t xml:space="preserve">, and property management fees would </w:t>
      </w:r>
      <w:r w:rsidRPr="00EC6AA7" w:rsidR="00E37A96">
        <w:t xml:space="preserve">represent a portion of rental income based on an average of </w:t>
      </w:r>
      <w:r w:rsidRPr="00EC6AA7" w:rsidR="007E7B0E">
        <w:t>fees in each Australian state.</w:t>
      </w:r>
    </w:p>
    <w:p w:rsidRPr="00EC6AA7" w:rsidR="00517094" w:rsidP="009F54E2" w:rsidRDefault="00847C70" w14:paraId="14438C6E" w14:textId="40AFB0EA">
      <w:pPr>
        <w:pStyle w:val="Bullet1"/>
        <w:numPr>
          <w:ilvl w:val="0"/>
          <w:numId w:val="22"/>
        </w:numPr>
        <w:ind w:left="284" w:hanging="284"/>
      </w:pPr>
      <w:r>
        <w:t>A</w:t>
      </w:r>
      <w:r w:rsidR="00D61641">
        <w:t xml:space="preserve">ll households that </w:t>
      </w:r>
      <w:r w:rsidR="000A491B">
        <w:t xml:space="preserve">would move into the public housing dwellings constructed under this proposal </w:t>
      </w:r>
      <w:r w:rsidR="004A1939">
        <w:t xml:space="preserve">(around </w:t>
      </w:r>
      <w:r w:rsidR="007612A8">
        <w:t>117,000</w:t>
      </w:r>
      <w:r w:rsidR="004A1939">
        <w:t xml:space="preserve"> over 10 years to 2032-33) </w:t>
      </w:r>
      <w:r w:rsidR="000A491B">
        <w:t>would otherwise receive the CRA</w:t>
      </w:r>
      <w:r w:rsidR="002E4F0B">
        <w:t>.</w:t>
      </w:r>
      <w:r w:rsidR="000A491B">
        <w:t xml:space="preserve"> </w:t>
      </w:r>
    </w:p>
    <w:p w:rsidRPr="00EC6AA7" w:rsidR="00F03677" w:rsidP="009F54E2" w:rsidRDefault="00F03677" w14:paraId="56186C11" w14:textId="2F83E542">
      <w:pPr>
        <w:pStyle w:val="Bullet2"/>
        <w:numPr>
          <w:ilvl w:val="1"/>
          <w:numId w:val="10"/>
        </w:numPr>
        <w:ind w:left="568"/>
      </w:pPr>
      <w:r>
        <w:t xml:space="preserve">They are households </w:t>
      </w:r>
      <w:r w:rsidR="00A926B0">
        <w:t>i</w:t>
      </w:r>
      <w:r w:rsidRPr="00F03677">
        <w:t xml:space="preserve">n the lowest </w:t>
      </w:r>
      <w:r w:rsidR="00A926B0">
        <w:t xml:space="preserve">income </w:t>
      </w:r>
      <w:r w:rsidRPr="00F03677">
        <w:t xml:space="preserve">quintile or with government payments as </w:t>
      </w:r>
      <w:r w:rsidR="006C2BC9">
        <w:t xml:space="preserve">their </w:t>
      </w:r>
      <w:r w:rsidRPr="00F03677">
        <w:t>main source of income</w:t>
      </w:r>
      <w:r w:rsidR="00EB6D9D">
        <w:t>.</w:t>
      </w:r>
    </w:p>
    <w:p w:rsidRPr="00EC6AA7" w:rsidR="00EB6D9D" w:rsidP="009F54E2" w:rsidRDefault="00EC5E55" w14:paraId="47F33B04" w14:textId="31B6D47A">
      <w:pPr>
        <w:pStyle w:val="Bullet2"/>
        <w:numPr>
          <w:ilvl w:val="1"/>
          <w:numId w:val="10"/>
        </w:numPr>
        <w:ind w:left="568"/>
      </w:pPr>
      <w:r>
        <w:lastRenderedPageBreak/>
        <w:t>This compares with around</w:t>
      </w:r>
      <w:r w:rsidRPr="001550DF" w:rsidR="001550DF">
        <w:t xml:space="preserve"> 1.5 million individuals or </w:t>
      </w:r>
      <w:r w:rsidR="00B40E69">
        <w:t>households</w:t>
      </w:r>
      <w:r w:rsidRPr="001550DF" w:rsidR="001550DF">
        <w:t xml:space="preserve"> </w:t>
      </w:r>
      <w:r>
        <w:t>receiving the</w:t>
      </w:r>
      <w:r w:rsidRPr="001550DF" w:rsidR="001550DF">
        <w:t xml:space="preserve"> CRA</w:t>
      </w:r>
      <w:r>
        <w:t xml:space="preserve"> at the end of June 2021</w:t>
      </w:r>
      <w:r w:rsidR="001550DF">
        <w:t>.</w:t>
      </w:r>
    </w:p>
    <w:p w:rsidRPr="00CD5752" w:rsidR="00B22337" w:rsidP="004E1528" w:rsidRDefault="00B22337" w14:paraId="798F3D61" w14:textId="0789E386">
      <w:pPr>
        <w:pStyle w:val="Bullet1"/>
        <w:numPr>
          <w:ilvl w:val="0"/>
          <w:numId w:val="22"/>
        </w:numPr>
        <w:ind w:left="284" w:hanging="284"/>
      </w:pPr>
      <w:r>
        <w:t xml:space="preserve">The departmental staffing profile to deliver this proposal would reflect a service delivery profile </w:t>
      </w:r>
      <w:r w:rsidR="00C2091D">
        <w:t>akin to similar programs.</w:t>
      </w:r>
    </w:p>
    <w:p w:rsidRPr="00CD5752" w:rsidR="001F691D" w:rsidP="001C1D40" w:rsidRDefault="006A22BB" w14:paraId="3A388844" w14:textId="12E46457">
      <w:pPr>
        <w:pStyle w:val="Bullet2"/>
        <w:numPr>
          <w:ilvl w:val="1"/>
          <w:numId w:val="10"/>
        </w:numPr>
        <w:ind w:left="568"/>
      </w:pPr>
      <w:r>
        <w:t xml:space="preserve">In the first year of the proposal, departmental costs </w:t>
      </w:r>
      <w:r w:rsidR="003D434E">
        <w:t>would</w:t>
      </w:r>
      <w:r w:rsidR="00405699">
        <w:t xml:space="preserve"> </w:t>
      </w:r>
      <w:r w:rsidR="00884ED0">
        <w:t xml:space="preserve">be </w:t>
      </w:r>
      <w:r w:rsidR="00405699">
        <w:t>double</w:t>
      </w:r>
      <w:r w:rsidR="00567860">
        <w:t xml:space="preserve"> the ongoing </w:t>
      </w:r>
      <w:r w:rsidR="0008287A">
        <w:t xml:space="preserve">annual </w:t>
      </w:r>
      <w:r w:rsidR="00567860">
        <w:t>cost</w:t>
      </w:r>
      <w:r w:rsidR="0008287A">
        <w:t>s</w:t>
      </w:r>
      <w:r w:rsidR="00567860">
        <w:t>,</w:t>
      </w:r>
      <w:r w:rsidR="00405699">
        <w:t xml:space="preserve"> </w:t>
      </w:r>
      <w:r w:rsidR="00567860">
        <w:t>due to</w:t>
      </w:r>
      <w:r w:rsidR="00CE455A">
        <w:t xml:space="preserve"> start-up costs such as </w:t>
      </w:r>
      <w:r w:rsidR="00405699">
        <w:t>establish</w:t>
      </w:r>
      <w:r w:rsidR="00CE455A">
        <w:t>ing</w:t>
      </w:r>
      <w:r w:rsidR="00405699">
        <w:t xml:space="preserve"> </w:t>
      </w:r>
      <w:r w:rsidR="00B04F68">
        <w:t xml:space="preserve">staffing </w:t>
      </w:r>
      <w:r w:rsidR="00405699">
        <w:t>resources</w:t>
      </w:r>
      <w:r w:rsidR="00B04F68">
        <w:t>, program teams</w:t>
      </w:r>
      <w:r w:rsidR="008266E6">
        <w:t xml:space="preserve"> and</w:t>
      </w:r>
      <w:r w:rsidR="00CE455A">
        <w:t xml:space="preserve"> </w:t>
      </w:r>
      <w:r w:rsidR="00B04F68">
        <w:t>government engagement</w:t>
      </w:r>
      <w:r w:rsidR="00F41AA4">
        <w:t>.</w:t>
      </w:r>
    </w:p>
    <w:p w:rsidRPr="00D014E1" w:rsidR="00FE3B13" w:rsidP="009B33D1" w:rsidRDefault="00FE3B13" w14:paraId="3426A871" w14:textId="77777777">
      <w:pPr>
        <w:pStyle w:val="Heading2"/>
      </w:pPr>
      <w:r w:rsidRPr="00D014E1">
        <w:t>Methodology</w:t>
      </w:r>
    </w:p>
    <w:p w:rsidR="00A952CF" w:rsidP="00906BF7" w:rsidRDefault="00014577" w14:paraId="6843AAF3" w14:textId="741162D6">
      <w:r w:rsidRPr="00D516CD">
        <w:t>The</w:t>
      </w:r>
      <w:r>
        <w:t xml:space="preserve"> </w:t>
      </w:r>
      <w:r w:rsidR="005706CE">
        <w:t xml:space="preserve">administered expenses </w:t>
      </w:r>
      <w:r w:rsidR="00D516CD">
        <w:t xml:space="preserve">were </w:t>
      </w:r>
      <w:r w:rsidR="00A952CF">
        <w:t>estimated as follows:</w:t>
      </w:r>
    </w:p>
    <w:p w:rsidR="005467E2" w:rsidP="009B5333" w:rsidRDefault="00BF5450" w14:paraId="4A18BFF5" w14:textId="4A557DE3">
      <w:pPr>
        <w:pStyle w:val="Bullet1"/>
        <w:numPr>
          <w:ilvl w:val="0"/>
          <w:numId w:val="22"/>
        </w:numPr>
        <w:ind w:left="284" w:hanging="284"/>
      </w:pPr>
      <w:r>
        <w:t xml:space="preserve">The equity injection amount </w:t>
      </w:r>
      <w:r w:rsidR="00E00EFB">
        <w:t>was</w:t>
      </w:r>
      <w:r w:rsidR="00C604D6">
        <w:t xml:space="preserve"> set and</w:t>
      </w:r>
      <w:r w:rsidR="00E00EFB">
        <w:t xml:space="preserve"> </w:t>
      </w:r>
      <w:r w:rsidR="00342319">
        <w:t xml:space="preserve">indexed </w:t>
      </w:r>
      <w:r w:rsidR="00E00EFB">
        <w:t>as specified</w:t>
      </w:r>
      <w:r w:rsidR="00CF1C0F">
        <w:t xml:space="preserve"> in the proposal</w:t>
      </w:r>
      <w:r w:rsidR="00E06087">
        <w:t>.</w:t>
      </w:r>
    </w:p>
    <w:p w:rsidR="00A77FCE" w:rsidP="009B5333" w:rsidRDefault="001F2034" w14:paraId="01098862" w14:textId="6F2FC193">
      <w:pPr>
        <w:pStyle w:val="Bullet1"/>
        <w:numPr>
          <w:ilvl w:val="0"/>
          <w:numId w:val="22"/>
        </w:numPr>
        <w:ind w:left="284" w:hanging="284"/>
      </w:pPr>
      <w:r>
        <w:t xml:space="preserve">Average </w:t>
      </w:r>
      <w:r w:rsidR="006566C1">
        <w:t>l</w:t>
      </w:r>
      <w:r w:rsidR="00FE5833">
        <w:t xml:space="preserve">and and </w:t>
      </w:r>
      <w:r w:rsidR="00CB0AC3">
        <w:t xml:space="preserve">construction </w:t>
      </w:r>
      <w:r w:rsidR="0069292F">
        <w:t>costs</w:t>
      </w:r>
      <w:r w:rsidR="006566C1">
        <w:t xml:space="preserve"> per dwelling</w:t>
      </w:r>
      <w:r w:rsidR="0069292F">
        <w:t xml:space="preserve"> </w:t>
      </w:r>
      <w:r w:rsidR="00FE5833">
        <w:t xml:space="preserve">were estimated </w:t>
      </w:r>
      <w:r w:rsidR="005713B5">
        <w:t>based on the average cost</w:t>
      </w:r>
      <w:r w:rsidR="0072596B">
        <w:t xml:space="preserve"> for each dwelling type</w:t>
      </w:r>
      <w:r w:rsidR="006A6C23">
        <w:t xml:space="preserve"> in each geographic location</w:t>
      </w:r>
      <w:r w:rsidR="00B63356">
        <w:t xml:space="preserve"> from the AHURI report</w:t>
      </w:r>
      <w:r w:rsidR="00C67090">
        <w:t xml:space="preserve">, </w:t>
      </w:r>
      <w:proofErr w:type="gramStart"/>
      <w:r w:rsidR="00DE5B4B">
        <w:t>taking into account</w:t>
      </w:r>
      <w:proofErr w:type="gramEnd"/>
      <w:r w:rsidR="00DE5B4B">
        <w:t xml:space="preserve"> </w:t>
      </w:r>
      <w:r w:rsidR="0064418A">
        <w:t xml:space="preserve">construction </w:t>
      </w:r>
      <w:r w:rsidR="00DE5B4B">
        <w:t xml:space="preserve">timing lags reported by </w:t>
      </w:r>
      <w:r w:rsidR="00A93505">
        <w:t xml:space="preserve">the </w:t>
      </w:r>
      <w:r w:rsidR="00DE5B4B">
        <w:t>ABS</w:t>
      </w:r>
      <w:r w:rsidR="00A93505">
        <w:t xml:space="preserve"> and the </w:t>
      </w:r>
      <w:r w:rsidR="00CF536A">
        <w:t xml:space="preserve">relevant price inflation </w:t>
      </w:r>
      <w:r w:rsidR="008036B4">
        <w:t xml:space="preserve">over time </w:t>
      </w:r>
      <w:r w:rsidR="00CF536A">
        <w:t>projected by the Treasury</w:t>
      </w:r>
      <w:r w:rsidR="00834A63">
        <w:t>.</w:t>
      </w:r>
      <w:r w:rsidR="0069292F">
        <w:t xml:space="preserve"> </w:t>
      </w:r>
    </w:p>
    <w:p w:rsidR="006321B2" w:rsidP="009B5333" w:rsidRDefault="006938BB" w14:paraId="7505547A" w14:textId="408E46B5">
      <w:pPr>
        <w:pStyle w:val="Bullet1"/>
        <w:numPr>
          <w:ilvl w:val="0"/>
          <w:numId w:val="22"/>
        </w:numPr>
        <w:ind w:left="284" w:hanging="284"/>
      </w:pPr>
      <w:r>
        <w:t>The number of dwellings that would be constructed</w:t>
      </w:r>
      <w:r w:rsidR="001A532E">
        <w:t xml:space="preserve"> </w:t>
      </w:r>
      <w:r w:rsidR="001654FA">
        <w:t>(prio</w:t>
      </w:r>
      <w:r w:rsidR="00210624">
        <w:t>r</w:t>
      </w:r>
      <w:r w:rsidR="001654FA">
        <w:t xml:space="preserve"> to </w:t>
      </w:r>
      <w:r w:rsidR="001A532E">
        <w:t>reinvestment of rental return</w:t>
      </w:r>
      <w:r w:rsidR="0038083D">
        <w:t>s</w:t>
      </w:r>
      <w:r w:rsidR="001654FA">
        <w:t>)</w:t>
      </w:r>
      <w:r>
        <w:t xml:space="preserve"> </w:t>
      </w:r>
      <w:r w:rsidR="009E1823">
        <w:t xml:space="preserve">was estimated based on the equity injection amount and the </w:t>
      </w:r>
      <w:r w:rsidR="00FD475E">
        <w:t xml:space="preserve">estimated </w:t>
      </w:r>
      <w:r w:rsidR="0007341D">
        <w:t xml:space="preserve">average </w:t>
      </w:r>
      <w:r w:rsidR="003F5457">
        <w:t>l</w:t>
      </w:r>
      <w:r w:rsidR="0007341D">
        <w:t>and and construction costs</w:t>
      </w:r>
      <w:r w:rsidR="00FD475E">
        <w:t xml:space="preserve"> per dwelling</w:t>
      </w:r>
      <w:r w:rsidR="0038083D">
        <w:t xml:space="preserve">, with </w:t>
      </w:r>
      <w:r w:rsidR="000815C2">
        <w:t xml:space="preserve">dwelling composition </w:t>
      </w:r>
      <w:r w:rsidR="009D53D3">
        <w:t>for</w:t>
      </w:r>
      <w:r w:rsidR="006321B2">
        <w:t>:</w:t>
      </w:r>
    </w:p>
    <w:p w:rsidR="006321B2" w:rsidP="006321B2" w:rsidRDefault="000815C2" w14:paraId="2A978309" w14:textId="67F865B9">
      <w:pPr>
        <w:pStyle w:val="Bullet2"/>
        <w:numPr>
          <w:ilvl w:val="0"/>
          <w:numId w:val="33"/>
        </w:numPr>
      </w:pPr>
      <w:r>
        <w:t xml:space="preserve">the public housing based on the share of needed growth projected in the AHURI </w:t>
      </w:r>
      <w:proofErr w:type="gramStart"/>
      <w:r w:rsidR="00B412CE">
        <w:t>report</w:t>
      </w:r>
      <w:proofErr w:type="gramEnd"/>
    </w:p>
    <w:p w:rsidR="006938BB" w:rsidP="006321B2" w:rsidRDefault="00B412CE" w14:paraId="6D945A95" w14:textId="23628DB2">
      <w:pPr>
        <w:pStyle w:val="Bullet2"/>
        <w:numPr>
          <w:ilvl w:val="0"/>
          <w:numId w:val="33"/>
        </w:numPr>
      </w:pPr>
      <w:r>
        <w:t xml:space="preserve">the affordable housing composition as </w:t>
      </w:r>
      <w:r w:rsidR="009F7AF4">
        <w:t>per the specification.</w:t>
      </w:r>
    </w:p>
    <w:p w:rsidR="00FE12F9" w:rsidP="009B5333" w:rsidRDefault="00CB32C9" w14:paraId="066EFCE8" w14:textId="0F850C2A">
      <w:pPr>
        <w:pStyle w:val="Bullet1"/>
        <w:numPr>
          <w:ilvl w:val="0"/>
          <w:numId w:val="22"/>
        </w:numPr>
        <w:ind w:left="284" w:hanging="284"/>
      </w:pPr>
      <w:r>
        <w:t xml:space="preserve">Rental income </w:t>
      </w:r>
      <w:r w:rsidR="00F6088B">
        <w:t xml:space="preserve">to be reinvested was estimated by </w:t>
      </w:r>
      <w:r w:rsidR="00230CCD">
        <w:t xml:space="preserve">multiplying the </w:t>
      </w:r>
      <w:r w:rsidR="00905999">
        <w:t>e</w:t>
      </w:r>
      <w:r w:rsidR="009D45F8">
        <w:t xml:space="preserve">stimated number of dwellings constructed </w:t>
      </w:r>
      <w:r w:rsidR="00624D9A">
        <w:t>using the injected equity</w:t>
      </w:r>
      <w:r w:rsidR="00E01DB2">
        <w:t xml:space="preserve"> </w:t>
      </w:r>
      <w:r w:rsidR="00385FA0">
        <w:t>by the</w:t>
      </w:r>
      <w:r w:rsidR="000E1782">
        <w:t xml:space="preserve"> rent amount</w:t>
      </w:r>
      <w:r w:rsidR="00EC725C">
        <w:t>s</w:t>
      </w:r>
      <w:r w:rsidR="000E1782">
        <w:t xml:space="preserve"> </w:t>
      </w:r>
      <w:r w:rsidR="006A7B6B">
        <w:t xml:space="preserve">calculated as per </w:t>
      </w:r>
      <w:r w:rsidR="009F7AF4">
        <w:t xml:space="preserve">the </w:t>
      </w:r>
      <w:r w:rsidR="006A7B6B">
        <w:t>specification</w:t>
      </w:r>
      <w:r w:rsidR="00851584">
        <w:t>.</w:t>
      </w:r>
      <w:r w:rsidR="00F17A07">
        <w:t xml:space="preserve"> </w:t>
      </w:r>
      <w:r w:rsidR="007A5C7F">
        <w:t>P</w:t>
      </w:r>
      <w:r w:rsidR="00FA2242">
        <w:t>roperty repair costs and property management fees</w:t>
      </w:r>
      <w:r w:rsidR="007A5C7F">
        <w:t xml:space="preserve"> were also subtracted from the rental income</w:t>
      </w:r>
      <w:r w:rsidR="00851584">
        <w:t>.</w:t>
      </w:r>
      <w:r w:rsidR="00F17A07">
        <w:t xml:space="preserve"> </w:t>
      </w:r>
      <w:r w:rsidR="004378CC">
        <w:t>The number of dwellings from the reinvested rental income</w:t>
      </w:r>
      <w:r w:rsidR="004D2DBD">
        <w:t xml:space="preserve"> was then estimated using the same approach </w:t>
      </w:r>
      <w:r w:rsidR="00CC6945">
        <w:t>listed above</w:t>
      </w:r>
      <w:r w:rsidR="000C275A">
        <w:t>.</w:t>
      </w:r>
    </w:p>
    <w:p w:rsidR="00573EA3" w:rsidP="009B5333" w:rsidRDefault="009B5333" w14:paraId="20BF4ACC" w14:textId="6F84953B">
      <w:pPr>
        <w:pStyle w:val="Bullet1"/>
        <w:numPr>
          <w:ilvl w:val="0"/>
          <w:numId w:val="22"/>
        </w:numPr>
        <w:ind w:left="284" w:hanging="284"/>
      </w:pPr>
      <w:r>
        <w:t>S</w:t>
      </w:r>
      <w:r w:rsidR="00D378A7">
        <w:t xml:space="preserve">avings from reduced </w:t>
      </w:r>
      <w:r w:rsidR="00F0282F">
        <w:t>CRA</w:t>
      </w:r>
      <w:r w:rsidR="00D378A7">
        <w:t xml:space="preserve"> </w:t>
      </w:r>
      <w:r w:rsidRPr="00F17A07" w:rsidR="008E699F">
        <w:t>expenditure w</w:t>
      </w:r>
      <w:r w:rsidR="0071555F">
        <w:t>ere</w:t>
      </w:r>
      <w:r w:rsidRPr="00F17A07" w:rsidR="008E699F">
        <w:t xml:space="preserve"> estimated based on </w:t>
      </w:r>
      <w:r w:rsidRPr="00F17A07" w:rsidR="006A7B6B">
        <w:t xml:space="preserve">the </w:t>
      </w:r>
      <w:r w:rsidRPr="00F17A07" w:rsidR="008E699F">
        <w:t xml:space="preserve">average CRA payment published by </w:t>
      </w:r>
      <w:r w:rsidR="00A033EE">
        <w:t xml:space="preserve">the </w:t>
      </w:r>
      <w:r w:rsidRPr="00F17A07" w:rsidR="008E699F">
        <w:t>D</w:t>
      </w:r>
      <w:r w:rsidR="00A033EE">
        <w:t xml:space="preserve">epartment of </w:t>
      </w:r>
      <w:r w:rsidRPr="00F17A07" w:rsidR="008E699F">
        <w:t>S</w:t>
      </w:r>
      <w:r w:rsidR="00A033EE">
        <w:t xml:space="preserve">ocial </w:t>
      </w:r>
      <w:r w:rsidRPr="00F17A07" w:rsidR="008E699F">
        <w:t>S</w:t>
      </w:r>
      <w:r w:rsidR="00A033EE">
        <w:t>ervices</w:t>
      </w:r>
      <w:r w:rsidRPr="00F17A07" w:rsidR="008E699F">
        <w:t xml:space="preserve"> and </w:t>
      </w:r>
      <w:r w:rsidRPr="00F17A07" w:rsidR="0014418A">
        <w:t xml:space="preserve">the estimated </w:t>
      </w:r>
      <w:r w:rsidR="00F56CF4">
        <w:t xml:space="preserve">total </w:t>
      </w:r>
      <w:r w:rsidRPr="00F17A07" w:rsidR="0014418A">
        <w:t>number of dwellings constructed</w:t>
      </w:r>
      <w:r w:rsidR="00F17A07">
        <w:t xml:space="preserve"> (including the additional dwelling</w:t>
      </w:r>
      <w:r w:rsidR="00F56CF4">
        <w:t>s</w:t>
      </w:r>
      <w:r w:rsidR="00F17A07">
        <w:t xml:space="preserve"> constructed </w:t>
      </w:r>
      <w:r w:rsidR="005F0707">
        <w:t>from</w:t>
      </w:r>
      <w:r w:rsidR="00037F3E">
        <w:t xml:space="preserve"> the</w:t>
      </w:r>
      <w:r w:rsidR="00F17A07">
        <w:t xml:space="preserve"> rental income</w:t>
      </w:r>
      <w:r w:rsidR="00037F3E">
        <w:t xml:space="preserve"> reinvestment)</w:t>
      </w:r>
      <w:r w:rsidR="00AE4D10">
        <w:t>.</w:t>
      </w:r>
    </w:p>
    <w:p w:rsidR="005467E2" w:rsidP="001C7A03" w:rsidRDefault="00CA7FFE" w14:paraId="3288E9BB" w14:textId="5FB02E23">
      <w:pPr>
        <w:pStyle w:val="Bullet1"/>
      </w:pPr>
      <w:r>
        <w:t xml:space="preserve">The departmental expenses were estimated based on the </w:t>
      </w:r>
      <w:r w:rsidR="00F96993">
        <w:t>estimated workforce required to deliver the proposal.</w:t>
      </w:r>
    </w:p>
    <w:p w:rsidR="00014577" w:rsidP="00014577" w:rsidRDefault="00014577" w14:paraId="1E68A23B" w14:textId="697BE37B">
      <w:r>
        <w:t>Financial implications were rounded consistent with the PBO’s rounding rules as outlined on the PBO Costings and budget information webpage.</w:t>
      </w:r>
      <w:r>
        <w:rPr>
          <w:rStyle w:val="FootnoteReference"/>
        </w:rPr>
        <w:footnoteReference w:id="2"/>
      </w:r>
      <w:r w:rsidR="00E04FA5">
        <w:t xml:space="preserve"> </w:t>
      </w:r>
    </w:p>
    <w:p w:rsidR="007722FC" w:rsidP="00014577" w:rsidRDefault="007722FC" w14:paraId="058EAAD1" w14:textId="77777777"/>
    <w:p w:rsidR="007722FC" w:rsidP="00014577" w:rsidRDefault="007722FC" w14:paraId="102E8002" w14:textId="77777777"/>
    <w:p w:rsidR="007722FC" w:rsidP="00014577" w:rsidRDefault="007722FC" w14:paraId="709004F2" w14:textId="77777777"/>
    <w:p w:rsidR="007722FC" w:rsidP="00014577" w:rsidRDefault="007722FC" w14:paraId="081A4602" w14:textId="77777777"/>
    <w:p w:rsidR="007722FC" w:rsidP="00014577" w:rsidRDefault="007722FC" w14:paraId="5111850D" w14:textId="77777777"/>
    <w:p w:rsidR="007722FC" w:rsidP="00014577" w:rsidRDefault="007722FC" w14:paraId="1A3D9957" w14:textId="77777777"/>
    <w:p w:rsidRPr="00D014E1" w:rsidR="00FE3B13" w:rsidP="009B33D1" w:rsidRDefault="00FE3B13" w14:paraId="2F247372" w14:textId="77777777">
      <w:pPr>
        <w:pStyle w:val="Heading2"/>
      </w:pPr>
      <w:r w:rsidRPr="00D014E1">
        <w:lastRenderedPageBreak/>
        <w:t>Data sources</w:t>
      </w:r>
    </w:p>
    <w:p w:rsidR="005D1A01" w:rsidP="005D1A01" w:rsidRDefault="005D1A01" w14:paraId="37F66565" w14:textId="77777777">
      <w:r w:rsidRPr="000B7BCB">
        <w:t>The Department of Finance and the Treasury provided</w:t>
      </w:r>
      <w:r>
        <w:t xml:space="preserve"> </w:t>
      </w:r>
      <w:r w:rsidRPr="000B7BCB">
        <w:t>economic parameters as at</w:t>
      </w:r>
      <w:r>
        <w:t xml:space="preserve"> </w:t>
      </w:r>
      <w:r w:rsidRPr="000B7BCB">
        <w:t xml:space="preserve">the </w:t>
      </w:r>
      <w:r w:rsidRPr="003C6D36">
        <w:t>2022</w:t>
      </w:r>
      <w:r w:rsidRPr="003C6D36">
        <w:noBreakHyphen/>
        <w:t>23 October Budget</w:t>
      </w:r>
      <w:r w:rsidRPr="000B7BCB">
        <w:t>.</w:t>
      </w:r>
    </w:p>
    <w:p w:rsidRPr="00646C95" w:rsidR="009968AF" w:rsidP="009968AF" w:rsidRDefault="009968AF" w14:paraId="0AF49100" w14:textId="77777777">
      <w:pPr>
        <w:rPr>
          <w:color w:val="auto"/>
        </w:rPr>
      </w:pPr>
      <w:r>
        <w:rPr>
          <w:color w:val="auto"/>
        </w:rPr>
        <w:t xml:space="preserve">Australian Bureau of Statistics (2019) </w:t>
      </w:r>
      <w:hyperlink w:history="1" r:id="rId13">
        <w:r w:rsidRPr="00646C95">
          <w:rPr>
            <w:rStyle w:val="Hyperlink"/>
            <w:i/>
            <w:iCs/>
          </w:rPr>
          <w:t>Average dwelling completion times</w:t>
        </w:r>
      </w:hyperlink>
      <w:r>
        <w:t>, accessed 7 March 2023.</w:t>
      </w:r>
    </w:p>
    <w:p w:rsidR="00014577" w:rsidP="00906BF7" w:rsidRDefault="004A2552" w14:paraId="246DB73B" w14:textId="6C5D2FE1">
      <w:r>
        <w:rPr>
          <w:color w:val="auto"/>
        </w:rPr>
        <w:t xml:space="preserve">Australian Bureau of Statistics (2021) </w:t>
      </w:r>
      <w:hyperlink w:history="1" r:id="rId14">
        <w:r w:rsidRPr="00DA5B71" w:rsidR="007D3DDC">
          <w:rPr>
            <w:rStyle w:val="Hyperlink"/>
            <w:i/>
            <w:iCs/>
          </w:rPr>
          <w:t>Rent (weekly) dollar values (RNTD) | Australian Bureau of Statistics (abs.gov.au)</w:t>
        </w:r>
      </w:hyperlink>
      <w:r w:rsidR="003117AA">
        <w:t xml:space="preserve">, accessed </w:t>
      </w:r>
      <w:r w:rsidR="008F718F">
        <w:t>7 March 2023</w:t>
      </w:r>
      <w:r w:rsidR="001C6103">
        <w:t>.</w:t>
      </w:r>
    </w:p>
    <w:p w:rsidR="002D767F" w:rsidP="00906BF7" w:rsidRDefault="0028735E" w14:paraId="41EB0EA0" w14:textId="2B27E91E">
      <w:r>
        <w:t xml:space="preserve">Australian Bureau of Statistics (2022) </w:t>
      </w:r>
      <w:hyperlink w:history="1" r:id="rId15">
        <w:r w:rsidRPr="00684802">
          <w:rPr>
            <w:rStyle w:val="Hyperlink"/>
            <w:i/>
            <w:iCs/>
          </w:rPr>
          <w:t>Australian System of National Accounts</w:t>
        </w:r>
      </w:hyperlink>
      <w:r w:rsidRPr="00921081">
        <w:t>, accessed 7 March 2023.</w:t>
      </w:r>
    </w:p>
    <w:p w:rsidRPr="00684802" w:rsidR="008B6E04" w:rsidP="00906BF7" w:rsidRDefault="008B6E04" w14:paraId="7E1A072C" w14:textId="1D8D5DE9">
      <w:pPr>
        <w:rPr>
          <w:color w:val="auto"/>
        </w:rPr>
      </w:pPr>
      <w:r>
        <w:rPr>
          <w:color w:val="auto"/>
        </w:rPr>
        <w:t xml:space="preserve">Australian Bureau of Statistics (2022) </w:t>
      </w:r>
      <w:hyperlink w:history="1" r:id="rId16">
        <w:r>
          <w:rPr>
            <w:rStyle w:val="Hyperlink"/>
          </w:rPr>
          <w:t>Household Income and Wealth, Australia</w:t>
        </w:r>
      </w:hyperlink>
      <w:r>
        <w:t>, accessed 7 March 2023.</w:t>
      </w:r>
    </w:p>
    <w:p w:rsidR="00BF679E" w:rsidP="00906BF7" w:rsidRDefault="00923CC5" w14:paraId="5E5FD685" w14:textId="5BFE4DA7">
      <w:pPr>
        <w:rPr>
          <w:color w:val="auto"/>
        </w:rPr>
      </w:pPr>
      <w:r w:rsidRPr="00BF679E">
        <w:rPr>
          <w:color w:val="auto"/>
        </w:rPr>
        <w:t xml:space="preserve">Australian Housing and Urban Research Institute Limited </w:t>
      </w:r>
      <w:r w:rsidRPr="00BF679E" w:rsidR="00BF679E">
        <w:rPr>
          <w:color w:val="auto"/>
        </w:rPr>
        <w:t xml:space="preserve">(2018) </w:t>
      </w:r>
      <w:hyperlink w:history="1" r:id="rId17">
        <w:r w:rsidRPr="006E1720" w:rsidR="00BF679E">
          <w:rPr>
            <w:rStyle w:val="Hyperlink"/>
            <w:i/>
            <w:iCs/>
          </w:rPr>
          <w:t>Social housing as infrastructure: an investment pathway</w:t>
        </w:r>
      </w:hyperlink>
      <w:r w:rsidRPr="00BF679E" w:rsidR="00BF679E">
        <w:rPr>
          <w:color w:val="auto"/>
        </w:rPr>
        <w:t xml:space="preserve">, </w:t>
      </w:r>
      <w:r w:rsidR="006E1720">
        <w:rPr>
          <w:color w:val="auto"/>
        </w:rPr>
        <w:t>accessed 7 March 2023.</w:t>
      </w:r>
    </w:p>
    <w:p w:rsidR="00C83885" w:rsidP="00906BF7" w:rsidRDefault="00C83885" w14:paraId="7335FE9A" w14:textId="72DC4AF6">
      <w:r>
        <w:rPr>
          <w:color w:val="auto"/>
        </w:rPr>
        <w:t xml:space="preserve">Department of Social Services </w:t>
      </w:r>
      <w:r w:rsidR="00CB0C04">
        <w:rPr>
          <w:color w:val="auto"/>
        </w:rPr>
        <w:t xml:space="preserve">(2022) </w:t>
      </w:r>
      <w:hyperlink w:history="1" r:id="rId18">
        <w:r w:rsidRPr="00CB0C04" w:rsidR="00CB0C04">
          <w:rPr>
            <w:rStyle w:val="Hyperlink"/>
            <w:i/>
            <w:iCs/>
          </w:rPr>
          <w:t>Expanded DSS Demographics December 2022</w:t>
        </w:r>
      </w:hyperlink>
      <w:r w:rsidR="00CB0C04">
        <w:t>, accesse</w:t>
      </w:r>
      <w:r w:rsidR="00913EC0">
        <w:t>d</w:t>
      </w:r>
      <w:r w:rsidR="00CB0C04">
        <w:t xml:space="preserve"> </w:t>
      </w:r>
      <w:r w:rsidR="00913EC0">
        <w:t>7 March 2023.</w:t>
      </w:r>
    </w:p>
    <w:p w:rsidRPr="00E42C7A" w:rsidR="00E42C7A" w:rsidP="00906BF7" w:rsidRDefault="00E42C7A" w14:paraId="42F5B2B7" w14:textId="07E26AF8">
      <w:pPr>
        <w:rPr>
          <w:color w:val="auto"/>
        </w:rPr>
      </w:pPr>
      <w:r>
        <w:t xml:space="preserve">Department of Social Services (2023) </w:t>
      </w:r>
      <w:hyperlink w:history="1" r:id="rId19">
        <w:r w:rsidRPr="00E42C7A">
          <w:rPr>
            <w:rStyle w:val="Hyperlink"/>
            <w:i/>
            <w:iCs/>
          </w:rPr>
          <w:t>Commonwealth Rent Assistance | Department of Social Services, Australian Government (dss.gov.au)</w:t>
        </w:r>
      </w:hyperlink>
      <w:r>
        <w:t>, accessed 7 March 2023.</w:t>
      </w:r>
    </w:p>
    <w:p w:rsidR="00CC1BCA" w:rsidP="00906BF7" w:rsidRDefault="00CC1BCA" w14:paraId="28464929" w14:textId="1736F407">
      <w:pPr>
        <w:rPr>
          <w:color w:val="auto"/>
        </w:rPr>
      </w:pPr>
      <w:r>
        <w:rPr>
          <w:color w:val="auto"/>
        </w:rPr>
        <w:t>Which Real Estate Agent (2023)</w:t>
      </w:r>
      <w:r w:rsidR="005070E3">
        <w:rPr>
          <w:color w:val="auto"/>
        </w:rPr>
        <w:t xml:space="preserve"> </w:t>
      </w:r>
      <w:hyperlink w:history="1" r:id="rId20">
        <w:r w:rsidRPr="0004562A" w:rsidR="00231EB0">
          <w:rPr>
            <w:rStyle w:val="Hyperlink"/>
            <w:i/>
            <w:iCs/>
          </w:rPr>
          <w:t>Property Management Fees</w:t>
        </w:r>
      </w:hyperlink>
      <w:r w:rsidR="00231EB0">
        <w:t>, accessed 7 March 2023</w:t>
      </w:r>
      <w:r w:rsidR="0004562A">
        <w:t>.</w:t>
      </w:r>
    </w:p>
    <w:p w:rsidR="00087777" w:rsidP="005D2248" w:rsidRDefault="00087777" w14:paraId="4899037D" w14:textId="77777777"/>
    <w:p w:rsidRPr="00087777" w:rsidR="005D2248" w:rsidP="005D2248" w:rsidRDefault="005D2248" w14:paraId="3127A582" w14:textId="77777777">
      <w:pPr>
        <w:sectPr w:rsidRPr="00087777" w:rsidR="005D2248" w:rsidSect="007C4069"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39" w:code="9"/>
          <w:pgMar w:top="907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</w:p>
    <w:p w:rsidR="00087777" w:rsidP="00087777" w:rsidRDefault="00202DC7" w14:paraId="5905308F" w14:textId="5FB022BB">
      <w:pPr>
        <w:pStyle w:val="Heading8"/>
        <w:spacing w:before="240" w:after="120"/>
      </w:pPr>
      <w:r>
        <w:rPr>
          <w:noProof/>
        </w:rPr>
        <w:lastRenderedPageBreak/>
        <w:t>Government-owned affordable housing build</w:t>
      </w:r>
      <w:r w:rsidR="00087777">
        <w:t xml:space="preserve"> </w:t>
      </w:r>
      <w:r w:rsidR="00EA1AD9">
        <w:t>– financial implications</w:t>
      </w:r>
    </w:p>
    <w:bookmarkEnd w:id="2"/>
    <w:p w:rsidR="0085594B" w:rsidP="0085594B" w:rsidRDefault="0085594B" w14:paraId="74002984" w14:textId="7001D170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STYLEREF 8 \s </w:instrText>
      </w:r>
      <w:r>
        <w:rPr>
          <w:noProof/>
        </w:rPr>
        <w:fldChar w:fldCharType="separate"/>
      </w:r>
      <w:r>
        <w:rPr>
          <w:noProof/>
        </w:rPr>
        <w:t>A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AppendixTable\s 8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2D239A">
        <w:t xml:space="preserve">: </w:t>
      </w:r>
      <w:r w:rsidR="003E12D0">
        <w:rPr>
          <w:noProof/>
        </w:rPr>
        <w:t>Government-owned affordable housing build</w:t>
      </w:r>
      <w:r>
        <w:t xml:space="preserve"> –</w:t>
      </w:r>
      <w:r w:rsidR="003E12D0">
        <w:t xml:space="preserve"> </w:t>
      </w:r>
      <w:r>
        <w:t>Fiscal balance ($</w:t>
      </w:r>
      <w:proofErr w:type="gramStart"/>
      <w:r>
        <w:t>m)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a)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8D7D96" w:rsidR="008D7D96" w:rsidTr="008D7D96" w14:paraId="2A190FAD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66A67EC0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1C597CA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30107BB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036631C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028FAE0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5D131DA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416464F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4382EA9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106DA06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58AF868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60C9C81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380DA6F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7ECA592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8D7D96" w:rsidP="008D7D96" w:rsidRDefault="008D7D96" w14:paraId="33CBBCD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8D7D96" w:rsidR="008D7D96" w:rsidTr="008D7D96" w14:paraId="125CE111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1E7B2BD4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Expenses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764D1E8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0799424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1D90E68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5AE8941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2787434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0B2BCDD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2A85421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55447B8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3F433BA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1154B1E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7939361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22DD0E6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D3D8E9"/>
            <w:vAlign w:val="center"/>
            <w:hideMark/>
          </w:tcPr>
          <w:p w:rsidRPr="008D7D96" w:rsidR="008D7D96" w:rsidP="008D7D96" w:rsidRDefault="008D7D96" w14:paraId="157DB38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8D7D96" w:rsidR="008D7D96" w:rsidTr="008D7D96" w14:paraId="11EF3BF6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1033044C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8D7D96" w:rsidR="008D7D96" w:rsidP="008D7D96" w:rsidRDefault="008D7D96" w14:paraId="1038972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660B67D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5E9B978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121193A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475B281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0F1CF45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64D5564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675B20D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2E0752B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69FCE6F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263532D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61EC939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8D7D96" w:rsidP="008D7D96" w:rsidRDefault="008D7D96" w14:paraId="4BE7AD4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8D7D96" w:rsidR="00607E9E" w:rsidTr="00484CC6" w14:paraId="39A68ACC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21DC0491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Commonwealth rent assistance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8D7D96" w:rsidR="00607E9E" w:rsidP="00607E9E" w:rsidRDefault="00607E9E" w14:paraId="10A7EAFF" w14:textId="41903BD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8D7D96" w:rsidR="00607E9E" w:rsidP="00607E9E" w:rsidRDefault="00607E9E" w14:paraId="14EEF495" w14:textId="039F81F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2E29B798" w14:textId="7467E93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1175164B" w14:textId="516B5A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53E4E714" w14:textId="1E7A85F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0F81CE13" w14:textId="5D71019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01CB6049" w14:textId="5356903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72397887" w14:textId="3AE754B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288.7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21D1D31A" w14:textId="57A9B5F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099C40D3" w14:textId="24B5A0A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607E9E" w:rsidP="00607E9E" w:rsidRDefault="00607E9E" w14:paraId="4A6F90DB" w14:textId="66E06EF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3514EFDC" w14:textId="4B0F080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7F429DA4" w14:textId="1AB4A54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2,116.8</w:t>
            </w:r>
          </w:p>
        </w:tc>
      </w:tr>
      <w:tr w:rsidRPr="008D7D96" w:rsidR="00607E9E" w:rsidTr="00484CC6" w14:paraId="37391A55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45279571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1A9CE805" w14:textId="6C5C5C0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107DC4BD" w14:textId="0DC30EF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43F12D9F" w14:textId="1F35645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167017FD" w14:textId="5E58403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6554F59D" w14:textId="7AA559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075F646D" w14:textId="345608F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719C5BA6" w14:textId="63A38D7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1674D609" w14:textId="14776AA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288.7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1B43CBF2" w14:textId="44440AC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12F3D0FE" w14:textId="015F047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2EA55E17" w14:textId="3539E56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19176C94" w14:textId="09215F8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607E9E" w:rsidP="00607E9E" w:rsidRDefault="00607E9E" w14:paraId="32AD2389" w14:textId="605B9B1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2,116.8</w:t>
            </w:r>
          </w:p>
        </w:tc>
      </w:tr>
      <w:tr w:rsidRPr="008D7D96" w:rsidR="00607E9E" w:rsidTr="008D7D96" w14:paraId="14A162EB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24B4075F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8D7D96" w:rsidR="00607E9E" w:rsidP="00607E9E" w:rsidRDefault="00607E9E" w14:paraId="298B8ED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69F3CB4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48CB838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4282504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1C4E730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089FDF7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784B83E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040F57C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5BA7760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4268241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303C702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19A64E3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607E9E" w:rsidP="00607E9E" w:rsidRDefault="00607E9E" w14:paraId="1C12B47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8D7D96" w:rsidR="002D6423" w:rsidTr="00484CC6" w14:paraId="5AF309E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0E5C7B42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 costs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8D7D96" w:rsidR="002D6423" w:rsidP="002D6423" w:rsidRDefault="002D6423" w14:paraId="0CF15B10" w14:textId="7BBBCA9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223F1E40" w14:textId="1870489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6A7841E2" w14:textId="269CB98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228463A1" w14:textId="6585EAC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4BEED9E0" w14:textId="5D8D78E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25293DAB" w14:textId="1763821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3A2F940D" w14:textId="5F81ABB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4E4F82C6" w14:textId="0CA4F6F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5B58CDC7" w14:textId="2FA2AAF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78DB420D" w14:textId="0E855B5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0E81E91B" w14:textId="2D0CCB8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28D8785E" w14:textId="5EE8CE1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138E7389" w14:textId="243800B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8D7D96" w:rsidR="002D6423" w:rsidTr="00484CC6" w14:paraId="5035EFF8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38CF2F5E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7F59042F" w14:textId="29F7DAF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15027384" w14:textId="1380E9B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1A164CEC" w14:textId="5393CF6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6491B586" w14:textId="688870C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44EDD3EF" w14:textId="555BF56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72E85422" w14:textId="43E38D6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55F09429" w14:textId="0BB549D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0970D3D2" w14:textId="44DF972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487ADA7B" w14:textId="50B5796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2C1C8D8E" w14:textId="5CFFF30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5E6F5780" w14:textId="621C639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707CBE50" w14:textId="762542D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7C9DE3B7" w14:textId="0E82FC2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8D7D96" w:rsidR="002D6423" w:rsidTr="00484CC6" w14:paraId="617954F6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4043ED1D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– expenses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08EC3A38" w14:textId="724A06B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69823129" w14:textId="5210B60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42A4E24A" w14:textId="6624953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4A89F60B" w14:textId="247D5B4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29B0D093" w14:textId="7823E6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7F3E634D" w14:textId="144D79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17748141" w14:textId="7B3985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6B8F4CE3" w14:textId="68B20DC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73859C18" w14:textId="11C66A4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67C239D4" w14:textId="03E7CC0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405.4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213176A0" w14:textId="6E8A34A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01A08E3A" w14:textId="4711DE6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077D0018" w14:textId="138DEE1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1,906.7</w:t>
            </w:r>
          </w:p>
        </w:tc>
      </w:tr>
      <w:tr w:rsidRPr="008D7D96" w:rsidR="002D6423" w:rsidTr="00484CC6" w14:paraId="714F9BE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2D6423" w:rsidP="002D6423" w:rsidRDefault="002D6423" w14:paraId="06BD4836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(excluding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2D6423" w:rsidP="002D6423" w:rsidRDefault="002D6423" w14:paraId="2687EB87" w14:textId="46C0C59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7635E74" w14:textId="46F28AB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A2B5BC3" w14:textId="61C083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7C6C1696" w14:textId="317F74A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59AB7506" w14:textId="01AABBA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21B53CD3" w14:textId="0DEEBE9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0EB35BB" w14:textId="1B13033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1A7920ED" w14:textId="436F74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33F0DD58" w14:textId="25C408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3A684A1E" w14:textId="6C858CB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405.4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DF02FDF" w14:textId="5A74B1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12696916" w14:textId="49B95F1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70F13A1F" w14:textId="678202F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1,906.7</w:t>
            </w:r>
          </w:p>
        </w:tc>
      </w:tr>
      <w:tr w:rsidRPr="008D7D96" w:rsidR="002D6423" w:rsidTr="00484CC6" w14:paraId="7857DB5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8D7D96" w:rsidR="002D6423" w:rsidP="002D6423" w:rsidRDefault="002D6423" w14:paraId="161C5192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PDI impacts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8D7D96" w:rsidR="002D6423" w:rsidP="002D6423" w:rsidRDefault="002D6423" w14:paraId="57721C7D" w14:textId="0435B09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4FBBC811" w14:textId="01B8C97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71F71A27" w14:textId="2915F79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2FB32C2D" w14:textId="4AC7D3B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07B2844E" w14:textId="6F10FF7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-730.0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668A6286" w14:textId="7A268EF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-970.0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65F2A5BD" w14:textId="34468B4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-1,220.0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28CD358E" w14:textId="115A8AB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-1,500.0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638C3FA8" w14:textId="5987AF5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-1,790.0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1672FD48" w14:textId="455DC2C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8D7D96" w:rsidR="002D6423" w:rsidP="002D6423" w:rsidRDefault="002D6423" w14:paraId="546B6030" w14:textId="3905BB3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-2,450.0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3655F1A5" w14:textId="2BEBD09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-890.0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8D7D96" w:rsidR="002D6423" w:rsidP="002D6423" w:rsidRDefault="002D6423" w14:paraId="1A24297A" w14:textId="10AD559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-11,660.0</w:t>
            </w:r>
          </w:p>
        </w:tc>
      </w:tr>
      <w:tr w:rsidRPr="008D7D96" w:rsidR="002D6423" w:rsidTr="00484CC6" w14:paraId="6CC7A4F1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2D6423" w:rsidP="002D6423" w:rsidRDefault="002D6423" w14:paraId="5D85ED38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8D7D96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(including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8D7D96" w:rsidR="002D6423" w:rsidP="002D6423" w:rsidRDefault="002D6423" w14:paraId="75EA7719" w14:textId="4111239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3EE800A7" w14:textId="64B978E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656DE932" w14:textId="3A609AE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-297.1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4981DE6" w14:textId="272346F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-470.0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1ABFC843" w14:textId="0F67452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-645.7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A7285A9" w14:textId="07D4E2E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-826.7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267E7DA3" w14:textId="0D127E4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-1,014.9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5DA69680" w14:textId="198458D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-1,230.7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5AE8A6DB" w14:textId="0552110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-1,453.8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2A561127" w14:textId="3863B48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-1,704.6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2DCC6BB" w14:textId="64114C0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-1,972.8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2AC0CB4D" w14:textId="069D753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-904.1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8D7D96" w:rsidR="002D6423" w:rsidP="002D6423" w:rsidRDefault="002D6423" w14:paraId="41441ADF" w14:textId="61A78BC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-9,753.3</w:t>
            </w:r>
          </w:p>
        </w:tc>
      </w:tr>
    </w:tbl>
    <w:p w:rsidRPr="00CD1811" w:rsidR="0085594B" w:rsidP="0055507C" w:rsidRDefault="0055507C" w14:paraId="1D94E355" w14:textId="576E62D7">
      <w:pPr>
        <w:pStyle w:val="PRRfootnote2"/>
      </w:pPr>
      <w:r w:rsidRPr="00CD1811">
        <w:t>(a)</w:t>
      </w:r>
      <w:r w:rsidRPr="00CD1811">
        <w:tab/>
      </w:r>
      <w:r w:rsidRPr="00816E26">
        <w:t>A</w:t>
      </w:r>
      <w:r w:rsidRPr="00CD1811" w:rsidR="0085594B">
        <w:t xml:space="preserve"> positive number for the fiscal balance indicates an increase in revenue or a decrease in expenses or net capital investment in accrual terms. A negative number for the fiscal balance indicates a decrease in revenue or an increase in expenses or net capital investment in accrual terms.  </w:t>
      </w:r>
    </w:p>
    <w:p w:rsidR="0085594B" w:rsidP="0085594B" w:rsidRDefault="0085594B" w14:paraId="3680A50E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824771" w:rsidP="00A84647" w:rsidRDefault="00824771" w14:paraId="6C9B4C98" w14:textId="6F651551">
      <w:pPr>
        <w:rPr>
          <w:color w:val="FF0000"/>
        </w:rPr>
      </w:pPr>
    </w:p>
    <w:p w:rsidR="0039307E" w:rsidP="00A84647" w:rsidRDefault="0039307E" w14:paraId="0F51FCA3" w14:textId="77777777">
      <w:pPr>
        <w:rPr>
          <w:color w:val="FF0000"/>
        </w:rPr>
      </w:pPr>
    </w:p>
    <w:p w:rsidR="0039307E" w:rsidP="00A84647" w:rsidRDefault="0039307E" w14:paraId="55EBD110" w14:textId="77777777">
      <w:pPr>
        <w:rPr>
          <w:color w:val="FF0000"/>
        </w:rPr>
      </w:pPr>
    </w:p>
    <w:p w:rsidR="00A07549" w:rsidP="00A84647" w:rsidRDefault="00A07549" w14:paraId="58E6693A" w14:textId="77777777">
      <w:pPr>
        <w:rPr>
          <w:color w:val="FF0000"/>
        </w:rPr>
      </w:pPr>
    </w:p>
    <w:p w:rsidR="00A07549" w:rsidP="00A84647" w:rsidRDefault="00A07549" w14:paraId="4F67DE91" w14:textId="77777777">
      <w:pPr>
        <w:rPr>
          <w:color w:val="FF0000"/>
        </w:rPr>
      </w:pPr>
    </w:p>
    <w:p w:rsidR="0039307E" w:rsidP="00A84647" w:rsidRDefault="0039307E" w14:paraId="3942D4A6" w14:textId="77777777">
      <w:pPr>
        <w:rPr>
          <w:color w:val="FF0000"/>
        </w:rPr>
      </w:pPr>
    </w:p>
    <w:p w:rsidR="00D33AD1" w:rsidP="00D33AD1" w:rsidRDefault="00D33AD1" w14:paraId="0841DA14" w14:textId="23AB3E1F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lastRenderedPageBreak/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STYLEREF 8 \s </w:instrText>
      </w:r>
      <w:r>
        <w:rPr>
          <w:noProof/>
        </w:rPr>
        <w:fldChar w:fldCharType="separate"/>
      </w:r>
      <w:r>
        <w:rPr>
          <w:noProof/>
        </w:rPr>
        <w:t>A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AppendixTable\s 8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2D239A">
        <w:t xml:space="preserve">: </w:t>
      </w:r>
      <w:r w:rsidR="0039307E">
        <w:rPr>
          <w:noProof/>
        </w:rPr>
        <w:t>Government-owned affordable housing build</w:t>
      </w:r>
      <w:r>
        <w:t xml:space="preserve"> –</w:t>
      </w:r>
      <w:r w:rsidR="0039307E">
        <w:t xml:space="preserve"> </w:t>
      </w:r>
      <w:r>
        <w:t>Underlying cash balance ($</w:t>
      </w:r>
      <w:proofErr w:type="gramStart"/>
      <w:r>
        <w:t>m)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a)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4377BE" w:rsidR="004377BE" w:rsidTr="004377BE" w14:paraId="4878649B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511501D7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2DF471D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15C1268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2DF0749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7CB6AE3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07470FA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4C30948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7EBF83A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142A210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2F425D3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1FFEE5F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10CA010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3096A63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4377BE" w:rsidP="004377BE" w:rsidRDefault="004377BE" w14:paraId="1E734DB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4377BE" w:rsidR="004377BE" w:rsidTr="004377BE" w14:paraId="5A5D2677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4DB857F6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Payments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3413676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6773085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4313488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55D2E80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171BD46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21AFF29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75FA8B2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27B86FF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69AD389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3561DAF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061A203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3352490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D3D8E9"/>
            <w:vAlign w:val="center"/>
            <w:hideMark/>
          </w:tcPr>
          <w:p w:rsidRPr="004377BE" w:rsidR="004377BE" w:rsidP="004377BE" w:rsidRDefault="004377BE" w14:paraId="76C7643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4377BE" w:rsidR="004377BE" w:rsidTr="004377BE" w14:paraId="21E4D158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429986F6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4377BE" w:rsidR="004377BE" w:rsidP="004377BE" w:rsidRDefault="004377BE" w14:paraId="16DB5C2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786AA39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2E1217B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0724B51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2644765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2B7BF36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4D3527B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0B421A1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01EE853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3679920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70E40AD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77807A9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4377BE" w:rsidP="004377BE" w:rsidRDefault="004377BE" w14:paraId="16ED1FA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4377BE" w:rsidR="008A6903" w:rsidTr="00484CC6" w14:paraId="451701FC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623FD7DC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Commonwealth rent assistance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4377BE" w:rsidR="008A6903" w:rsidP="008A6903" w:rsidRDefault="008A6903" w14:paraId="46490A48" w14:textId="7686D94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4377BE" w:rsidR="008A6903" w:rsidP="008A6903" w:rsidRDefault="008A6903" w14:paraId="7B1C538E" w14:textId="68188B8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08BE61E7" w14:textId="23CAFA1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0ABEA361" w14:textId="3CE9CF1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4E8E6627" w14:textId="70BAE47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47F1BC8F" w14:textId="4CDCC3F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1FDBA45A" w14:textId="4C57917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483CC179" w14:textId="5674197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288.7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5DD7224F" w14:textId="3F01832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214C2B5C" w14:textId="3812683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8A6903" w:rsidP="008A6903" w:rsidRDefault="008A6903" w14:paraId="0228292A" w14:textId="353493B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59BFE156" w14:textId="3D12D05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3134791C" w14:textId="15D011D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2,116.8</w:t>
            </w:r>
          </w:p>
        </w:tc>
      </w:tr>
      <w:tr w:rsidRPr="004377BE" w:rsidR="008A6903" w:rsidTr="00484CC6" w14:paraId="64CAF06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1EB40015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7A73EFCE" w14:textId="218D807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4CC3AB4B" w14:textId="0168D4F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098F4706" w14:textId="6A495CB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58A45E6F" w14:textId="1B75C83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34C7BD70" w14:textId="108FD97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6DBB47DA" w14:textId="7996E6D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44C0720D" w14:textId="2D220DC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25E4404E" w14:textId="0E76B4E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288.7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4083B32C" w14:textId="7B06CB3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177D79BA" w14:textId="4EAE2FB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43B386C6" w14:textId="0B69E87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5946283B" w14:textId="7906B9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8A6903" w:rsidP="008A6903" w:rsidRDefault="008A6903" w14:paraId="73823227" w14:textId="1205436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2,116.8</w:t>
            </w:r>
          </w:p>
        </w:tc>
      </w:tr>
      <w:tr w:rsidRPr="004377BE" w:rsidR="008A6903" w:rsidTr="004377BE" w14:paraId="002DFA6E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5874E74C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4377BE" w:rsidR="008A6903" w:rsidP="008A6903" w:rsidRDefault="008A6903" w14:paraId="17DA269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2706B8A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47E7DEE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255F08C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49E0915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473552C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63B6A79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714918C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1C47CBC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0962651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1ECD199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3D5BA7D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8A6903" w:rsidP="008A6903" w:rsidRDefault="008A6903" w14:paraId="004207B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4377BE" w:rsidR="00B854AA" w:rsidTr="00484CC6" w14:paraId="695D2CA8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7EECFB5E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 costs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4377BE" w:rsidR="00B854AA" w:rsidP="00B854AA" w:rsidRDefault="00B854AA" w14:paraId="64743035" w14:textId="297EEC2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586A4B20" w14:textId="400A8D1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0D0FDB8" w14:textId="6FD3AD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6CA22F51" w14:textId="26A2DC0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24FE2E77" w14:textId="50E019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464949CC" w14:textId="4030513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4A0E44A" w14:textId="18A78E9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2B62A1CF" w14:textId="6F16A6E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1E63B26" w14:textId="530EAB0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7877D613" w14:textId="74C4697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285C9CBA" w14:textId="2E0FA57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03F565DD" w14:textId="294CBEE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8517E0A" w14:textId="0044352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4377BE" w:rsidR="00B854AA" w:rsidTr="00484CC6" w14:paraId="0739F502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36871FF1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78E14481" w14:textId="7B1BFA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50DEE8A" w14:textId="53B7EA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328510B4" w14:textId="51AAB42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35DEAAE0" w14:textId="1CCDBA4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3A4E12EA" w14:textId="1B70BAB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6038760B" w14:textId="4EB7044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115786F" w14:textId="5E2BC17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5FBA1E80" w14:textId="4FA958A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02310F29" w14:textId="2EBBE76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2F1F58A2" w14:textId="79A8116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6098164B" w14:textId="3FAFCFB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459C2B1D" w14:textId="56BF932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132ED8A5" w14:textId="0E7C9DC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4377BE" w:rsidR="00B854AA" w:rsidTr="00484CC6" w14:paraId="5936D824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5578F0A4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– payments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1BB4B625" w14:textId="7845FD7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EBC78DD" w14:textId="5DBCA82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1F75A4CF" w14:textId="298B3B4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F4049AD" w14:textId="5D6EEB1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60575FB1" w14:textId="033D9D5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12FEEE3B" w14:textId="6DC9A6C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59061A9C" w14:textId="6C0F5B5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5A37AFF5" w14:textId="2430C52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25662951" w14:textId="7E07E57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5B4BBDB3" w14:textId="0FFC16C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405.4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03B95B7D" w14:textId="55036C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78F78D9E" w14:textId="7F54DD5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4C00E3FA" w14:textId="75BBB89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1,906.7</w:t>
            </w:r>
          </w:p>
        </w:tc>
      </w:tr>
      <w:tr w:rsidRPr="004377BE" w:rsidR="00B854AA" w:rsidTr="00484CC6" w14:paraId="145FA920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B854AA" w:rsidP="00B854AA" w:rsidRDefault="00B854AA" w14:paraId="280ED39E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(excluding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B854AA" w:rsidP="00B854AA" w:rsidRDefault="00B854AA" w14:paraId="5BD91582" w14:textId="3ECB710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21B1683" w14:textId="3DA5EB1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543B63D9" w14:textId="2139015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057267E2" w14:textId="22F61A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1107F9BC" w14:textId="56548F6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7A045059" w14:textId="050DECC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128B693C" w14:textId="0240AAD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0950E2DD" w14:textId="05E7B8B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7F1BF75F" w14:textId="25A591C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6EEDF577" w14:textId="5BD58B1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405.4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9EEBD1C" w14:textId="2A4506B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16D99DC9" w14:textId="351EB20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586EDDB" w14:textId="75A0AEC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1,906.7</w:t>
            </w:r>
          </w:p>
        </w:tc>
      </w:tr>
      <w:tr w:rsidRPr="004377BE" w:rsidR="00B854AA" w:rsidTr="00484CC6" w14:paraId="17B54E5F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4377BE" w:rsidR="00B854AA" w:rsidP="00B854AA" w:rsidRDefault="00B854AA" w14:paraId="34E7FDCD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PDI impacts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4377BE" w:rsidR="00B854AA" w:rsidP="00B854AA" w:rsidRDefault="00B854AA" w14:paraId="43007EC2" w14:textId="5BA47BE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50BB7CA" w14:textId="305EDCC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-80.0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2D9675A9" w14:textId="4248336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-260.0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02C8D7E" w14:textId="66E9CFD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-470.0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483CDDFC" w14:textId="32D72C8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-690.0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621CE3C3" w14:textId="03D3B3C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-920.0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095AA88E" w14:textId="6BA3808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-1,180.0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7600F499" w14:textId="7A86823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-1,450.0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1DB48772" w14:textId="153EB42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-1,740.0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31BCEF9D" w14:textId="21910D5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-2,060.0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4377BE" w:rsidR="00B854AA" w:rsidP="00B854AA" w:rsidRDefault="00B854AA" w14:paraId="384133A6" w14:textId="54BA652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-2,390.0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38674A70" w14:textId="0DC858A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-810.0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4377BE" w:rsidR="00B854AA" w:rsidP="00B854AA" w:rsidRDefault="00B854AA" w14:paraId="6D9F6A13" w14:textId="59FCAD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-11,240.0</w:t>
            </w:r>
          </w:p>
        </w:tc>
      </w:tr>
      <w:tr w:rsidRPr="004377BE" w:rsidR="00B854AA" w:rsidTr="00484CC6" w14:paraId="0D6DE385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B854AA" w:rsidP="00B854AA" w:rsidRDefault="00B854AA" w14:paraId="218C428B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4377BE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(including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4377BE" w:rsidR="00B854AA" w:rsidP="00B854AA" w:rsidRDefault="00B854AA" w14:paraId="1CE19289" w14:textId="454052A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14BF428D" w14:textId="4D97A90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-117.0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0868D838" w14:textId="4E3CB34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-267.1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93B8A47" w14:textId="09B7ACE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-440.0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C348688" w14:textId="6670CD2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-605.7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4619E6D9" w14:textId="107BCDC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-776.7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6AB9EBB2" w14:textId="7891248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-974.9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7993F5D6" w14:textId="733235F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-1,180.7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3C4AFB58" w14:textId="684D1B1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-1,403.8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23992853" w14:textId="71165EB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-1,654.6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45ACCB53" w14:textId="023D306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-1,912.8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1100FA75" w14:textId="0076E50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-824.1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4377BE" w:rsidR="00B854AA" w:rsidP="00B854AA" w:rsidRDefault="00B854AA" w14:paraId="6D952308" w14:textId="6C3C9F1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-9,333.3</w:t>
            </w:r>
          </w:p>
        </w:tc>
      </w:tr>
    </w:tbl>
    <w:p w:rsidRPr="00CD1811" w:rsidR="00D33AD1" w:rsidP="0055507C" w:rsidRDefault="0055507C" w14:paraId="0273AFC5" w14:textId="54468BEC">
      <w:pPr>
        <w:pStyle w:val="PRRfootnote2"/>
      </w:pPr>
      <w:r w:rsidRPr="00CD1811">
        <w:t>(a)</w:t>
      </w:r>
      <w:r w:rsidRPr="00CD1811">
        <w:tab/>
      </w:r>
      <w:r w:rsidRPr="00816E26">
        <w:t>A</w:t>
      </w:r>
      <w:r w:rsidRPr="00816E26" w:rsidR="00D33AD1">
        <w:t xml:space="preserve"> positive number for the underlying cash balance indicates an increase in receipts or a decrease in payments or net capital investment in cash terms. A negative number for the underlying cash balance indicates a decrease in receipts or an increase in payments or net capital investment in cash terms</w:t>
      </w:r>
      <w:r w:rsidRPr="00CD1811" w:rsidR="00D33AD1">
        <w:t xml:space="preserve">.  </w:t>
      </w:r>
    </w:p>
    <w:p w:rsidR="00D33AD1" w:rsidP="00D33AD1" w:rsidRDefault="00D33AD1" w14:paraId="1DB6A6D9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85594B" w:rsidP="00A84647" w:rsidRDefault="0085594B" w14:paraId="5295F4CC" w14:textId="77777777">
      <w:pPr>
        <w:rPr>
          <w:color w:val="FF0000"/>
        </w:rPr>
      </w:pPr>
    </w:p>
    <w:p w:rsidR="00C67ED1" w:rsidP="00A84647" w:rsidRDefault="00C67ED1" w14:paraId="5F458C38" w14:textId="77777777">
      <w:pPr>
        <w:rPr>
          <w:color w:val="FF0000"/>
        </w:rPr>
      </w:pPr>
    </w:p>
    <w:p w:rsidR="00C67ED1" w:rsidP="00A84647" w:rsidRDefault="00C67ED1" w14:paraId="59C14690" w14:textId="77777777">
      <w:pPr>
        <w:rPr>
          <w:color w:val="FF0000"/>
        </w:rPr>
      </w:pPr>
    </w:p>
    <w:p w:rsidR="00C67ED1" w:rsidP="00A84647" w:rsidRDefault="00C67ED1" w14:paraId="5A6A4D59" w14:textId="77777777">
      <w:pPr>
        <w:rPr>
          <w:color w:val="FF0000"/>
        </w:rPr>
      </w:pPr>
    </w:p>
    <w:p w:rsidR="00C67ED1" w:rsidP="00A84647" w:rsidRDefault="00C67ED1" w14:paraId="69D5E8C9" w14:textId="77777777">
      <w:pPr>
        <w:rPr>
          <w:color w:val="FF0000"/>
        </w:rPr>
      </w:pPr>
    </w:p>
    <w:p w:rsidR="00C67ED1" w:rsidP="00A84647" w:rsidRDefault="00C67ED1" w14:paraId="77977A70" w14:textId="77777777">
      <w:pPr>
        <w:rPr>
          <w:color w:val="FF0000"/>
        </w:rPr>
      </w:pPr>
    </w:p>
    <w:p w:rsidR="00C67ED1" w:rsidP="00A84647" w:rsidRDefault="00C67ED1" w14:paraId="1A1352E3" w14:textId="77777777">
      <w:pPr>
        <w:rPr>
          <w:color w:val="FF0000"/>
        </w:rPr>
      </w:pPr>
    </w:p>
    <w:p w:rsidR="00C67ED1" w:rsidP="00A84647" w:rsidRDefault="00C67ED1" w14:paraId="0EAB5E96" w14:textId="77777777">
      <w:pPr>
        <w:rPr>
          <w:color w:val="FF0000"/>
        </w:rPr>
      </w:pPr>
    </w:p>
    <w:p w:rsidR="003E12D0" w:rsidP="003E12D0" w:rsidRDefault="003E12D0" w14:paraId="5F0B9FBF" w14:textId="271A74EB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lastRenderedPageBreak/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STYLEREF 8 \s </w:instrText>
      </w:r>
      <w:r>
        <w:rPr>
          <w:noProof/>
        </w:rPr>
        <w:fldChar w:fldCharType="separate"/>
      </w:r>
      <w:r>
        <w:rPr>
          <w:noProof/>
        </w:rPr>
        <w:t>A</w:t>
      </w:r>
      <w:r>
        <w:rPr>
          <w:noProof/>
        </w:rPr>
        <w:fldChar w:fldCharType="end"/>
      </w:r>
      <w:r w:rsidR="00230AD4">
        <w:rPr>
          <w:noProof/>
        </w:rPr>
        <w:t>3</w:t>
      </w:r>
      <w:r w:rsidRPr="002D239A">
        <w:t xml:space="preserve">: </w:t>
      </w:r>
      <w:r w:rsidR="00230AD4">
        <w:rPr>
          <w:noProof/>
        </w:rPr>
        <w:t>Government-owned affordable housing build</w:t>
      </w:r>
      <w:r>
        <w:t xml:space="preserve"> –</w:t>
      </w:r>
      <w:r w:rsidR="00230AD4">
        <w:t xml:space="preserve"> </w:t>
      </w:r>
      <w:r>
        <w:t>Headline cash balance ($</w:t>
      </w:r>
      <w:proofErr w:type="gramStart"/>
      <w:r>
        <w:t>m)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a)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BC671A" w:rsidR="00BC671A" w:rsidTr="00BC671A" w14:paraId="45F5FB30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7E4A0927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794E061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414B9F6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0D2F1B8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6340774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3B2C486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2CE1F24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73177DD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6744170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3A33FA5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771818D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727F1C7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1174125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BC671A" w:rsidP="00BC671A" w:rsidRDefault="00BC671A" w14:paraId="2CF173D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to </w:t>
            </w: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br/>
            </w: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BC671A" w:rsidR="00BC671A" w:rsidTr="00BC671A" w14:paraId="478DCDB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08B2327D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Payments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374794E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5028B4F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44B441E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5250F54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06DEDE7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2F09591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14AC9E3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3D3EF81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33C0DFE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095A6E5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6D470B9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59957F5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D3D8E9"/>
            <w:vAlign w:val="center"/>
            <w:hideMark/>
          </w:tcPr>
          <w:p w:rsidRPr="00BC671A" w:rsidR="00BC671A" w:rsidP="00BC671A" w:rsidRDefault="00BC671A" w14:paraId="57432FC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BC671A" w:rsidR="00BC671A" w:rsidTr="00BC671A" w14:paraId="44F3EB00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26191A08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BC671A" w:rsidR="00BC671A" w:rsidP="00BC671A" w:rsidRDefault="00BC671A" w14:paraId="2C085BC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57B4D37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4F20E8E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3C939EA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0639C05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7093828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660310C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1EA7112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0A492EB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349171B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4AC3D6B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5610F98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BC671A" w:rsidP="00BC671A" w:rsidRDefault="00BC671A" w14:paraId="6441A21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BC671A" w:rsidR="008A79C7" w:rsidTr="00484CC6" w14:paraId="490B7950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8A79C7" w:rsidP="008A79C7" w:rsidRDefault="008A79C7" w14:paraId="5C8B4400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Commonwealth rent assistance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BC671A" w:rsidR="008A79C7" w:rsidP="008A79C7" w:rsidRDefault="008A79C7" w14:paraId="65BCAE81" w14:textId="0816BDC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127F8A65" w14:textId="3370C89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41ECFE03" w14:textId="424D369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3BD99135" w14:textId="2734648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24A4691C" w14:textId="2001337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2611C41" w14:textId="691FF3F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7285D595" w14:textId="09DFD44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135FAB85" w14:textId="6ADF77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288.7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843C07E" w14:textId="19F607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3A3C7DF0" w14:textId="624EFC9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3DB823B3" w14:textId="0B3D15F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8A79C7" w:rsidP="008A79C7" w:rsidRDefault="008A79C7" w14:paraId="5C3E56C1" w14:textId="5A4FBB8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8A79C7" w:rsidP="008A79C7" w:rsidRDefault="008A79C7" w14:paraId="5E9303F3" w14:textId="3FDB051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2,116.8</w:t>
            </w:r>
          </w:p>
        </w:tc>
      </w:tr>
      <w:tr w:rsidRPr="00BC671A" w:rsidR="008A79C7" w:rsidTr="00484CC6" w14:paraId="039CD8B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8A79C7" w:rsidP="008A79C7" w:rsidRDefault="008A79C7" w14:paraId="5839CB73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Housing trust - equity injection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BC671A" w:rsidR="008A79C7" w:rsidP="008A79C7" w:rsidRDefault="008A79C7" w14:paraId="3C3EEF5E" w14:textId="0CB8269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571B4E6" w14:textId="391F56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-5,000.0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0635CDE6" w14:textId="0244034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-5,220.0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928AB13" w14:textId="063F30B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-5,350.0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0837CC6D" w14:textId="413C6F2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-5,480.0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FAA20E0" w14:textId="46808B5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-5,610.0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1CBC22D2" w14:textId="4C6D656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-5,750.0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789085E9" w14:textId="1BD855D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-5,900.0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5B6E419D" w14:textId="5561299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-6,050.0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2FD81B8C" w14:textId="0B863B1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-6,200.0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8A79C7" w:rsidP="008A79C7" w:rsidRDefault="008A79C7" w14:paraId="10A598D6" w14:textId="379586A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-6,350.0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8A79C7" w:rsidP="008A79C7" w:rsidRDefault="008A79C7" w14:paraId="3BE50E74" w14:textId="7E5C397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-15,570.0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8A79C7" w:rsidP="008A79C7" w:rsidRDefault="008A79C7" w14:paraId="5D684145" w14:textId="33167BC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-56,910.0</w:t>
            </w:r>
          </w:p>
        </w:tc>
      </w:tr>
      <w:tr w:rsidRPr="00BC671A" w:rsidR="00FF55A9" w:rsidTr="00484CC6" w14:paraId="33D1F5DF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3331FC55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administered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1FAA104A" w14:textId="5791F85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5A3F9E54" w14:textId="009755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-5,000.0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55A9E63D" w14:textId="0243C3C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-5,208.4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71F29750" w14:textId="7CBA4C9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-5,301.2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02A3BA26" w14:textId="1218DF2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-5,376.7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5E28EE70" w14:textId="5F36933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-5,447.6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63502617" w14:textId="4BBB9FD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-5,525.7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14D22450" w14:textId="77EEFD2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-5,611.3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5CC7D060" w14:textId="26728E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-5,694.3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7891DF5E" w14:textId="13C023E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-5,775.0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0F3319F4" w14:textId="4D2EEC1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-5,853.0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36776269" w14:textId="1C24735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-15,509.6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FF55A9" w:rsidP="00FF55A9" w:rsidRDefault="00FF55A9" w14:paraId="1D071589" w14:textId="3D69BEE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-54,793.2</w:t>
            </w:r>
          </w:p>
        </w:tc>
      </w:tr>
      <w:tr w:rsidRPr="00BC671A" w:rsidR="00FF55A9" w:rsidTr="00BC671A" w14:paraId="02E68925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18D24255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auto"/>
            <w:vAlign w:val="center"/>
            <w:hideMark/>
          </w:tcPr>
          <w:p w:rsidRPr="00BC671A" w:rsidR="00FF55A9" w:rsidP="00FF55A9" w:rsidRDefault="00FF55A9" w14:paraId="554773F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3137E62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48862F5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5ED2815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4CB86F3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5A8FB34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55DD6EE7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2AF4720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7EC755C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403287F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6D96CC1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4D20ABD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FF55A9" w:rsidP="00FF55A9" w:rsidRDefault="00FF55A9" w14:paraId="796DC33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BC671A" w:rsidR="001E43A8" w:rsidTr="00484CC6" w14:paraId="74CB466E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61280F9B" w14:textId="77777777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Departmental costs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BC671A" w:rsidR="001E43A8" w:rsidP="001E43A8" w:rsidRDefault="001E43A8" w14:paraId="58EB8BDF" w14:textId="2A9B7A8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5F61BD55" w14:textId="05A922C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43A93F1E" w14:textId="44A7C25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4EE7488D" w14:textId="72D6AD0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19D71D38" w14:textId="30BA208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6C88B892" w14:textId="6F7E62C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541DA0F7" w14:textId="5E9FA18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0FB4FB2D" w14:textId="2D04144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2D149FDA" w14:textId="108BB58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0B453202" w14:textId="5ABFB09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789C38F6" w14:textId="06E5912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1C422516" w14:textId="2FFF57C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3095903D" w14:textId="71D6F40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BC671A" w:rsidR="001E43A8" w:rsidTr="00484CC6" w14:paraId="08AF40DF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3559D4BC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– departmental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524303FE" w14:textId="4B8E8EA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6FFCFCFD" w14:textId="5E5CE4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-37.0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57826E52" w14:textId="2CB4C7E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41CF15BB" w14:textId="2E659E4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40818DE3" w14:textId="0B757D2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452D06F8" w14:textId="354E40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6B713933" w14:textId="160B06A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71AC42F3" w14:textId="400AA86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789153FE" w14:textId="73EA732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7A5030E1" w14:textId="045121F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71702072" w14:textId="37910FE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7599A73A" w14:textId="531C88A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22B158FA" w14:textId="08B275A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-210.1</w:t>
            </w:r>
          </w:p>
        </w:tc>
      </w:tr>
      <w:tr w:rsidRPr="00BC671A" w:rsidR="001E43A8" w:rsidTr="00484CC6" w14:paraId="65FA51B0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46585A84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– payments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469559F0" w14:textId="12CA22C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6AA819D0" w14:textId="4158A0D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-5,037.0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4DF3214B" w14:textId="4953B9A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-5,227.1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03512732" w14:textId="2C06401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-5,320.0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5B5960AF" w14:textId="06D4A4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-5,395.7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0EDF0A46" w14:textId="26B55BD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-5,466.7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1D99CABE" w14:textId="16912A5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-5,544.9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30038E0D" w14:textId="5A11056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-5,630.7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136D56F3" w14:textId="5A09C93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-5,713.8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64AD7407" w14:textId="5104006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-5,794.6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6D4922E2" w14:textId="21903D1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-5,872.8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29CC18FC" w14:textId="0653D85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-15,584.1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15E75025" w14:textId="599FB34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-55,003.3</w:t>
            </w:r>
          </w:p>
        </w:tc>
      </w:tr>
      <w:tr w:rsidRPr="00BC671A" w:rsidR="001E43A8" w:rsidTr="00484CC6" w14:paraId="69F3F8F1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1E43A8" w:rsidP="001E43A8" w:rsidRDefault="001E43A8" w14:paraId="4F1CBA42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(excluding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1E43A8" w:rsidP="001E43A8" w:rsidRDefault="001E43A8" w14:paraId="1C225058" w14:textId="14DD286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B70F5B1" w14:textId="1A55790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-5,037.0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78E6A34" w14:textId="5EACDE8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-5,227.1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5D8D441A" w14:textId="28E14B3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-5,320.0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0F7A72EA" w14:textId="661042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-5,395.7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79729D6" w14:textId="18D2D13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-5,466.7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2D2CE4BD" w14:textId="6AB1A3E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-5,544.9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2E4FF303" w14:textId="3BE94B6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-5,630.7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4C2A9773" w14:textId="7FFE85A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-5,713.8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1900FD0F" w14:textId="0877DAE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-5,794.6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55F8D99A" w14:textId="79157D1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-5,872.8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46C0C8C7" w14:textId="23935DA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-15,584.1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CE36058" w14:textId="677D128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-55,003.3</w:t>
            </w:r>
          </w:p>
        </w:tc>
      </w:tr>
      <w:tr w:rsidRPr="00BC671A" w:rsidR="001E43A8" w:rsidTr="00484CC6" w14:paraId="7E5D0238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  <w:hideMark/>
          </w:tcPr>
          <w:p w:rsidRPr="00BC671A" w:rsidR="001E43A8" w:rsidP="001E43A8" w:rsidRDefault="001E43A8" w14:paraId="4FA221D2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PDI impacts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  <w:hideMark/>
          </w:tcPr>
          <w:p w:rsidRPr="00BC671A" w:rsidR="001E43A8" w:rsidP="001E43A8" w:rsidRDefault="001E43A8" w14:paraId="19F86130" w14:textId="07D8BF5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68B5377E" w14:textId="757A234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-80.0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0B1EBA70" w14:textId="69A85FF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-260.0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34E3101D" w14:textId="7B7571D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-470.0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05EDEF92" w14:textId="639D6EB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-690.0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140C6F03" w14:textId="29AE51D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-920.0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3C0B77B1" w14:textId="1F87087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-1,180.0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1EFBA495" w14:textId="1A5B8E4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-1,450.0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36E5B575" w14:textId="456DE84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-1,740.0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256F0E5D" w14:textId="2473AA6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-2,060.0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BC671A" w:rsidR="001E43A8" w:rsidP="001E43A8" w:rsidRDefault="001E43A8" w14:paraId="3086DCDA" w14:textId="045D126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-2,390.0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40D37395" w14:textId="0196C85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-810.0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FFFFFF"/>
            <w:vAlign w:val="center"/>
          </w:tcPr>
          <w:p w:rsidRPr="00BC671A" w:rsidR="001E43A8" w:rsidP="001E43A8" w:rsidRDefault="001E43A8" w14:paraId="0B05F38C" w14:textId="1091694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-11,240.0</w:t>
            </w:r>
          </w:p>
        </w:tc>
      </w:tr>
      <w:tr w:rsidRPr="00BC671A" w:rsidR="001E43A8" w:rsidTr="00484CC6" w14:paraId="699F1A5D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1E43A8" w:rsidP="001E43A8" w:rsidRDefault="001E43A8" w14:paraId="512B1FAB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BC671A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(including PDI)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  <w:hideMark/>
          </w:tcPr>
          <w:p w:rsidRPr="00BC671A" w:rsidR="001E43A8" w:rsidP="001E43A8" w:rsidRDefault="001E43A8" w14:paraId="7E6AD0BD" w14:textId="70561CF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2D6D8E5" w14:textId="3581C72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-5,117.0</w:t>
            </w:r>
          </w:p>
        </w:tc>
        <w:tc>
          <w:tcPr>
            <w:tcW w:w="8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74BBB4E" w14:textId="1662C21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-5,487.1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5F5D91AD" w14:textId="65BC0D4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-5,790.0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23AA7ABB" w14:textId="7A55FD0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-6,085.7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5E332C74" w14:textId="4FD839F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-6,386.7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6C3D33C8" w14:textId="3534F63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-6,724.9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02F8711A" w14:textId="4BD6D0B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-7,080.7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1017A639" w14:textId="0B118E1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-7,453.8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76509FE3" w14:textId="476700F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-7,854.6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0E12CDBD" w14:textId="559C203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-8,262.8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026B9252" w14:textId="0F2E77B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-16,394.1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788184" w:sz="4" w:space="0"/>
              <w:right w:val="single" w:color="788184" w:sz="4" w:space="0"/>
            </w:tcBorders>
            <w:shd w:val="clear" w:color="000000" w:fill="A7B2D4"/>
            <w:vAlign w:val="center"/>
          </w:tcPr>
          <w:p w:rsidRPr="00BC671A" w:rsidR="001E43A8" w:rsidP="001E43A8" w:rsidRDefault="001E43A8" w14:paraId="73D91247" w14:textId="04B445E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-66,243.3</w:t>
            </w:r>
          </w:p>
        </w:tc>
      </w:tr>
    </w:tbl>
    <w:p w:rsidRPr="00CD1811" w:rsidR="003E12D0" w:rsidP="003E12D0" w:rsidRDefault="003E12D0" w14:paraId="7B53B88D" w14:textId="1AEC7E5A">
      <w:pPr>
        <w:pStyle w:val="PRRfootnote2"/>
      </w:pPr>
      <w:r w:rsidRPr="00CD1811">
        <w:t>(a)</w:t>
      </w:r>
      <w:r w:rsidRPr="00CD1811">
        <w:tab/>
      </w:r>
      <w:r w:rsidRPr="00816E26">
        <w:t>A positive number for the headline cash balance indicates an increase in receipts or a decrease in payments or net capital investment in headline cash terms. A negative number for the headline cash balance indicates a decrease in receipts or an increase in payments or net capital investment in headline cash terms</w:t>
      </w:r>
      <w:r w:rsidRPr="00CD1811">
        <w:t xml:space="preserve">.  </w:t>
      </w:r>
    </w:p>
    <w:p w:rsidR="003E12D0" w:rsidP="003E12D0" w:rsidRDefault="003E12D0" w14:paraId="0D824A5F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3E12D0" w:rsidP="00A84647" w:rsidRDefault="003E12D0" w14:paraId="04098BD8" w14:textId="77777777">
      <w:pPr>
        <w:rPr>
          <w:color w:val="FF0000"/>
        </w:rPr>
      </w:pPr>
    </w:p>
    <w:p w:rsidR="00B71912" w:rsidP="004B52AF" w:rsidRDefault="00B71912" w14:paraId="7AA87859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308AE069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62C41F0C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6CA1906D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39F34B7A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387F5428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191D4FD0" w14:textId="77777777">
      <w:pPr>
        <w:spacing w:after="60" w:line="240" w:lineRule="auto"/>
        <w:rPr>
          <w:color w:val="FF0000"/>
        </w:rPr>
      </w:pPr>
    </w:p>
    <w:p w:rsidR="00B71912" w:rsidP="004B52AF" w:rsidRDefault="00B71912" w14:paraId="3FF6F013" w14:textId="77777777">
      <w:pPr>
        <w:spacing w:after="60" w:line="240" w:lineRule="auto"/>
        <w:rPr>
          <w:color w:val="FF0000"/>
        </w:rPr>
      </w:pPr>
    </w:p>
    <w:p w:rsidR="00B71912" w:rsidP="00B71912" w:rsidRDefault="00E449FE" w14:paraId="2DE2559C" w14:textId="03D2B926">
      <w:pPr>
        <w:pStyle w:val="Heading8"/>
        <w:spacing w:before="240" w:after="120"/>
        <w:rPr>
          <w:noProof/>
        </w:rPr>
      </w:pPr>
      <w:r>
        <w:rPr>
          <w:noProof/>
        </w:rPr>
        <w:lastRenderedPageBreak/>
        <w:t>Government owned affordable housing build – additional information</w:t>
      </w:r>
    </w:p>
    <w:p w:rsidRPr="00E27B7E" w:rsidR="00E27B7E" w:rsidP="0049607C" w:rsidRDefault="00E27B7E" w14:paraId="1CA517B7" w14:textId="39740F9C">
      <w:pPr>
        <w:pStyle w:val="Caption"/>
        <w:spacing w:before="120"/>
      </w:pPr>
      <w:r w:rsidRPr="002D239A">
        <w:t xml:space="preserve">Table </w:t>
      </w:r>
      <w:r w:rsidR="00BD6761">
        <w:rPr>
          <w:noProof/>
        </w:rPr>
        <w:t>B</w:t>
      </w:r>
      <w:r>
        <w:rPr>
          <w:noProof/>
        </w:rPr>
        <w:t>1</w:t>
      </w:r>
      <w:r w:rsidRPr="002D239A">
        <w:t xml:space="preserve">: </w:t>
      </w:r>
      <w:r w:rsidR="00BD6761">
        <w:t xml:space="preserve">Public and affordable dwellings constructed from </w:t>
      </w:r>
      <w:r w:rsidR="000B383A">
        <w:t>ongoing $5 billion investment</w:t>
      </w:r>
      <w:r w:rsidR="004122B1">
        <w:rPr>
          <w:vertAlign w:val="superscript"/>
        </w:rPr>
        <w:t>(a)</w:t>
      </w:r>
      <w:r w:rsidR="00332A8A">
        <w:t xml:space="preserve">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D21F2C" w:rsidR="00CE398E" w:rsidTr="004A5C33" w14:paraId="1384F7FA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516BBF50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2D97478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1FA04D0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63B8D65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4503DA0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3FCFA27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1B97C4D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2866FBE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11DB265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1F5B75E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12C720F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E398E" w:rsidP="00484CC6" w:rsidRDefault="00CE398E" w14:paraId="7C4996B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D21F2C" w:rsidR="00CE398E" w:rsidTr="002A2B0F" w14:paraId="556C1697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6F29E525" w14:textId="1623ABFE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Public housing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3548A68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3F29DDC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442D75A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1F08670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2064868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4B8AAC5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220316C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6B8E4DA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4D44D1D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6432C8F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auto" w:sz="4" w:space="0"/>
            </w:tcBorders>
            <w:shd w:val="clear" w:color="auto" w:fill="D3D8E9" w:themeFill="background2" w:themeFillTint="33"/>
            <w:vAlign w:val="center"/>
            <w:hideMark/>
          </w:tcPr>
          <w:p w:rsidRPr="00D21F2C" w:rsidR="00CE398E" w:rsidP="00484CC6" w:rsidRDefault="00CE398E" w14:paraId="0B55B8B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</w:tr>
      <w:tr w:rsidRPr="00D21F2C" w:rsidR="001C1D40" w:rsidTr="00D10292" w14:paraId="3D27BDB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C61ED3" w:rsidP="00C61ED3" w:rsidRDefault="00C61ED3" w14:paraId="2EAB8668" w14:textId="42AF3665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Apartments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05501EAC" w14:textId="28CA565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DB56C9F" w14:textId="6929B76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414FC2E" w14:textId="7E7036D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41B6A9F" w14:textId="31F51B0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AD61D8A" w14:textId="231A4FC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033837CA" w14:textId="437371A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EC0EF37" w14:textId="3EDB6D1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AA5D89D" w14:textId="02F4839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773E263" w14:textId="7968095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33C0EAA0" w14:textId="273B739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0AF5BCF1" w14:textId="2ECEA47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</w:tr>
      <w:tr w:rsidRPr="00D21F2C" w:rsidR="00620F59" w:rsidTr="00D10292" w14:paraId="5C5CECAC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C61ED3" w:rsidP="00C61ED3" w:rsidRDefault="00C61ED3" w14:paraId="62618D62" w14:textId="1C16EE3C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Low-rise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5379C8E2" w14:textId="4BC70AD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021C6F9B" w14:textId="4285CB0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7F23732" w14:textId="4887B0E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423C413F" w14:textId="5E59259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C9FF4B1" w14:textId="6C3C0EE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3F7AE5DE" w14:textId="0F7C44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8D15EFF" w14:textId="2B6BC71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43364550" w14:textId="6E50FBD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40DDE63" w14:textId="309B3B2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3194B03" w14:textId="013BB38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2C5FA422" w14:textId="6AD4582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840</w:t>
            </w:r>
          </w:p>
        </w:tc>
      </w:tr>
      <w:tr w:rsidRPr="00D21F2C" w:rsidR="00620F59" w:rsidTr="00D10292" w14:paraId="426308E9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C61ED3" w:rsidP="00C61ED3" w:rsidRDefault="00C61ED3" w14:paraId="008FC35C" w14:textId="1FA10F75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Attached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26464FDA" w14:textId="21E3D16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2723735" w14:textId="4CE4F1F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22BCEFDE" w14:textId="463144B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454AE067" w14:textId="1ADE4D1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48FB791" w14:textId="44A3E5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88221F2" w14:textId="5E14F0B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335D2CD0" w14:textId="3EFBFA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88CF09F" w14:textId="29A94E9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1F7BB0E" w14:textId="3B2C00C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47D00A3C" w14:textId="558DC87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13258D45" w14:textId="35D743C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</w:t>
            </w:r>
          </w:p>
        </w:tc>
      </w:tr>
      <w:tr w:rsidRPr="00D21F2C" w:rsidR="00620F59" w:rsidTr="00D10292" w14:paraId="01A6C3D2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C61ED3" w:rsidP="00C61ED3" w:rsidRDefault="00C61ED3" w14:paraId="11AB157D" w14:textId="7631EDF9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Freestanding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B6424A4" w14:textId="612B9A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BDE854F" w14:textId="4BE7118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22AD30E5" w14:textId="25EAE09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9398B25" w14:textId="50AC1DD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5F9BEEFE" w14:textId="59C0F38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7C2C7D55" w14:textId="5243D9F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51D117C5" w14:textId="2F6E319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5D89BE00" w14:textId="5ACFADB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084AF340" w14:textId="09A8479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3E628B48" w14:textId="598AD5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C61ED3" w:rsidP="00C61ED3" w:rsidRDefault="00C61ED3" w14:paraId="6586295D" w14:textId="08BF326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C1D4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</w:tr>
      <w:tr w:rsidRPr="00D21F2C" w:rsidR="00620F59" w:rsidTr="00D10292" w14:paraId="28005382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C61ED3" w:rsidP="00C61ED3" w:rsidRDefault="00C61ED3" w14:paraId="38A5611B" w14:textId="7E09A90D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public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C61ED3" w:rsidP="00C61ED3" w:rsidRDefault="00C61ED3" w14:paraId="3B8B23EC" w14:textId="7B463F3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C61ED3" w:rsidP="00C61ED3" w:rsidRDefault="00C61ED3" w14:paraId="63EDE9C7" w14:textId="1F05D12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392E575A" w14:textId="7844A6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6,0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20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41D9EC4A" w14:textId="7CB339E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12,7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60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604AAF7E" w14:textId="02C1844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13,6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20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2C3B6218" w14:textId="54FC492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13,59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7D2F0D14" w14:textId="6D8FEB5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13,4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80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1115BAB8" w14:textId="454519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40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09A8E177" w14:textId="06E14E9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90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2EDE43AF" w14:textId="0C8FF32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13,0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40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03C2B" w:rsidR="00C61ED3" w:rsidP="00C61ED3" w:rsidRDefault="00C61ED3" w14:paraId="1FD765EB" w14:textId="096F2CC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12,8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90</w:t>
            </w:r>
            <w:r w:rsidRPr="00D03C2B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</w:t>
            </w:r>
          </w:p>
        </w:tc>
      </w:tr>
      <w:tr w:rsidRPr="00D21F2C" w:rsidR="00C61ED3" w14:paraId="2AF55F15" w14:textId="77777777">
        <w:trPr>
          <w:trHeight w:val="315"/>
        </w:trPr>
        <w:tc>
          <w:tcPr>
            <w:tcW w:w="12960" w:type="dxa"/>
            <w:gridSpan w:val="12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D3D8E9" w:themeFill="background2" w:themeFillTint="33"/>
            <w:vAlign w:val="center"/>
          </w:tcPr>
          <w:p w:rsidRPr="00D21F2C" w:rsidR="00C61ED3" w:rsidP="00C61ED3" w:rsidRDefault="00C61ED3" w14:paraId="7FEC6541" w14:textId="3B9EEEEF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315DCF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Affordable housing</w:t>
            </w:r>
          </w:p>
        </w:tc>
      </w:tr>
      <w:tr w:rsidRPr="00D21F2C" w:rsidR="002372FC" w:rsidTr="00673436" w14:paraId="3F316EA0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2372FC" w:rsidP="002372FC" w:rsidRDefault="002372FC" w14:paraId="7B81BDB0" w14:textId="650D29C5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Apartments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3B56F91B" w14:textId="3A80594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129F5781" w14:textId="6E66278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5ECA969" w14:textId="56CF6F5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632BE7CD" w14:textId="2148353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6688854" w14:textId="7682B26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6,580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1342C4BA" w14:textId="0E0DC39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6,820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381CE9E" w14:textId="2EB4FEB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6,820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5E03BF9" w14:textId="663E780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6697841" w14:textId="2E5AE98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6,700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37372351" w14:textId="4A87C26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6,620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59529BC3" w14:textId="0394BA0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6,550</w:t>
            </w:r>
          </w:p>
        </w:tc>
      </w:tr>
      <w:tr w:rsidRPr="00D21F2C" w:rsidR="002372FC" w:rsidTr="00673436" w14:paraId="56C8105A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2372FC" w:rsidP="002372FC" w:rsidRDefault="002372FC" w14:paraId="73EBDC9D" w14:textId="4508561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Low-rise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3A7B63E1" w14:textId="3F586E0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2AB3777F" w14:textId="65F45D3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41FC04ED" w14:textId="6638182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C55BE01" w14:textId="76CF526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1,650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0671844" w14:textId="53E9B4D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E1A8B66" w14:textId="4358873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B627F5B" w14:textId="23C91BB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CBC89D9" w14:textId="7EB117B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68013A4C" w14:textId="2532B1B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1226682E" w14:textId="70F4743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667755C5" w14:textId="28283A3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1,620</w:t>
            </w:r>
          </w:p>
        </w:tc>
      </w:tr>
      <w:tr w:rsidRPr="00D21F2C" w:rsidR="002372FC" w:rsidTr="00673436" w14:paraId="620B5A33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2372FC" w:rsidP="002372FC" w:rsidRDefault="002372FC" w14:paraId="3BA66BEC" w14:textId="6BDB7CEE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Attached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7A870915" w14:textId="53D0B31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29746E5B" w14:textId="4092502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2BA591F" w14:textId="1BEE24A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1F9DFB6" w14:textId="318FEE4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1,650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1A084739" w14:textId="3F0D6F1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4AA12428" w14:textId="7DA07F5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2F4F331" w14:textId="4D50FA8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A225E6B" w14:textId="46891FA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38CEA85" w14:textId="6600972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500D93E8" w14:textId="336BE04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33F00FD6" w14:textId="49B71BA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1,620</w:t>
            </w:r>
          </w:p>
        </w:tc>
      </w:tr>
      <w:tr w:rsidRPr="00D21F2C" w:rsidR="002372FC" w:rsidTr="00673436" w14:paraId="5EEBA4EC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D21F2C" w:rsidR="002372FC" w:rsidP="002372FC" w:rsidRDefault="002372FC" w14:paraId="04AAE1BB" w14:textId="5E54A8BA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Freestanding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2AA281A6" w14:textId="3C45604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372FC" w:rsidP="002372FC" w:rsidRDefault="002372FC" w14:paraId="3754986B" w14:textId="5D4856B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436815EA" w14:textId="2AE0BBD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B1D9212" w14:textId="087D059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08796AC6" w14:textId="5F78F36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3501E42E" w14:textId="253D631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3,380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249B7FAC" w14:textId="74B2767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3,350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C7D9D7B" w14:textId="779D0A9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3,310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7A0F7A21" w14:textId="77DA21A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3ECD4D55" w14:textId="7B68A70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372FC" w:rsidP="002372FC" w:rsidRDefault="002372FC" w14:paraId="651C8DC5" w14:textId="3E5FCCE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3,200</w:t>
            </w:r>
          </w:p>
        </w:tc>
      </w:tr>
      <w:tr w:rsidRPr="00D21F2C" w:rsidR="00816E92" w:rsidTr="00816E92" w14:paraId="2DE6326A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2372FC" w:rsidP="002372FC" w:rsidRDefault="002372FC" w14:paraId="2F905B19" w14:textId="01BB92B8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affordable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hideMark/>
          </w:tcPr>
          <w:p w:rsidRPr="00D21F2C" w:rsidR="002372FC" w:rsidP="002372FC" w:rsidRDefault="002372FC" w14:paraId="5003A2C0" w14:textId="1BCD5B0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2372FC" w:rsidP="002372FC" w:rsidRDefault="005501BA" w14:paraId="36878355" w14:textId="1044AA9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07C616B8" w14:textId="0FF013D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3,290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55624538" w14:textId="0836B6D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6,700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36064DE9" w14:textId="361025E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13,400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2AE7B1F2" w14:textId="2489D3D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13,610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15A263A3" w14:textId="56900A2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13,560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11D52C13" w14:textId="6EE1BB4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13,430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3A088FCC" w14:textId="64DB69F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13,290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7581561B" w14:textId="507CFF4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13,140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2372FC" w:rsidR="002372FC" w:rsidP="002372FC" w:rsidRDefault="002372FC" w14:paraId="7DD13135" w14:textId="6659F26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2372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12,990</w:t>
            </w:r>
          </w:p>
        </w:tc>
      </w:tr>
    </w:tbl>
    <w:p w:rsidRPr="00CD1811" w:rsidR="004122B1" w:rsidP="004122B1" w:rsidRDefault="004122B1" w14:paraId="4B273260" w14:textId="585A4337">
      <w:pPr>
        <w:pStyle w:val="PRRfootnote2"/>
      </w:pPr>
      <w:r w:rsidRPr="00CD1811">
        <w:t>(a)</w:t>
      </w:r>
      <w:r w:rsidRPr="00CD1811">
        <w:tab/>
      </w:r>
      <w:r w:rsidR="00121E10">
        <w:t xml:space="preserve">Public and affordable dwellings constructed includes </w:t>
      </w:r>
      <w:r w:rsidR="00D66748">
        <w:t>assumed matched funding contribution from the States.</w:t>
      </w:r>
    </w:p>
    <w:p w:rsidR="004122B1" w:rsidP="004122B1" w:rsidRDefault="004122B1" w14:paraId="39C47254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A22FF5" w:rsidP="0049607C" w:rsidRDefault="00A22FF5" w14:paraId="748B52FE" w14:textId="77777777">
      <w:pPr>
        <w:pStyle w:val="Caption"/>
        <w:spacing w:before="240"/>
      </w:pPr>
    </w:p>
    <w:p w:rsidRPr="00E27B7E" w:rsidR="000B383A" w:rsidP="0049607C" w:rsidRDefault="000B383A" w14:paraId="74A4B54F" w14:textId="24BDEEA9">
      <w:pPr>
        <w:pStyle w:val="Caption"/>
        <w:spacing w:before="240"/>
      </w:pPr>
      <w:r w:rsidRPr="002D239A">
        <w:t xml:space="preserve">Table </w:t>
      </w:r>
      <w:r>
        <w:rPr>
          <w:noProof/>
        </w:rPr>
        <w:t>B2</w:t>
      </w:r>
      <w:r w:rsidRPr="002D239A">
        <w:t xml:space="preserve">: </w:t>
      </w:r>
      <w:r w:rsidR="00323EDB">
        <w:t>Additional p</w:t>
      </w:r>
      <w:r>
        <w:t xml:space="preserve">ublic and affordable dwellings constructed from </w:t>
      </w:r>
      <w:r w:rsidR="00323EDB">
        <w:t xml:space="preserve">rental </w:t>
      </w:r>
      <w:proofErr w:type="gramStart"/>
      <w:r w:rsidR="00323EDB">
        <w:t>returns</w:t>
      </w:r>
      <w:proofErr w:type="gramEnd"/>
      <w:r w:rsidR="00332A8A">
        <w:t xml:space="preserve">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D21F2C" w:rsidR="002A0DDF" w:rsidTr="00484CC6" w14:paraId="0266E048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3FBDC27B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6DDAC6C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7D0938F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65DBC9E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3BDE73B9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600A45E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052812D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6D66D7B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1D6E174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2380585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0DC8B428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2A0DDF" w:rsidP="00484CC6" w:rsidRDefault="002A0DDF" w14:paraId="67B413C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D21F2C" w:rsidR="00213B33" w:rsidTr="00D10292" w14:paraId="2F637CAE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213B33" w:rsidP="00213B33" w:rsidRDefault="00213B33" w14:paraId="5C456852" w14:textId="4FE58D51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Additional public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6DC0076D" w14:textId="1753AB4F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7AE9C12D" w14:textId="33E8944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74A4E0CB" w14:textId="20FA48F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7450B8EA" w14:textId="04214CEB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57D2DBDF" w14:textId="0C9094B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4F49E562" w14:textId="21A5CC9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60F1C59A" w14:textId="70A6280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36369F74" w14:textId="315A5B5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688FFE4E" w14:textId="69B755F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771BD604" w14:textId="2E8EE49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1,320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01EE55F0" w14:textId="6EB856E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1,630</w:t>
            </w:r>
          </w:p>
        </w:tc>
      </w:tr>
      <w:tr w:rsidRPr="00D21F2C" w:rsidR="00213B33" w:rsidTr="00D10292" w14:paraId="34801265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13B33" w:rsidP="00213B33" w:rsidRDefault="00213B33" w14:paraId="16B2E44D" w14:textId="67DB64FC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Additional affordable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67ED1438" w14:textId="65A8F70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0D2D95AB" w14:textId="1A8610F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28D37520" w14:textId="7EA2CD8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53410259" w14:textId="6A887B2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0003F33E" w14:textId="10EA92D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32973C02" w14:textId="12110B7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6EE5F231" w14:textId="32F2A72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068924D3" w14:textId="22028C5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56565472" w14:textId="56CE6F9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48F2702E" w14:textId="407F9A78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1,120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17C67B97" w14:textId="6EF4C7F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1,430</w:t>
            </w:r>
          </w:p>
        </w:tc>
      </w:tr>
      <w:tr w:rsidRPr="00D21F2C" w:rsidR="00213B33" w:rsidTr="00D10292" w14:paraId="1F4F6C39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213B33" w:rsidP="00213B33" w:rsidRDefault="00213B33" w14:paraId="1CF21A9B" w14:textId="4C01613C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187ABB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Total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 xml:space="preserve">additional </w:t>
            </w:r>
            <w:r w:rsidRPr="00187ABB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0EF36033" w14:textId="276E47C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29BE2BFB" w14:textId="4AA8F71D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213B33" w:rsidP="00213B33" w:rsidRDefault="00213B33" w14:paraId="7FA9F4CA" w14:textId="58F46F6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3620DF35" w14:textId="74F810AD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261FD331" w14:textId="6BA4A96B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2DF5B799" w14:textId="27045DBE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46913648" w14:textId="6D8CFCD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4BDC4FDB" w14:textId="216606D6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5DF06D62" w14:textId="6BA0B3D0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1,850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6BA126DC" w14:textId="62ADDE6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213B33" w:rsidP="00213B33" w:rsidRDefault="00213B33" w14:paraId="205CB318" w14:textId="3B5BDA4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3,060</w:t>
            </w:r>
          </w:p>
        </w:tc>
      </w:tr>
    </w:tbl>
    <w:p w:rsidR="005B4116" w:rsidP="005B4116" w:rsidRDefault="005B4116" w14:paraId="34D435F3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B71912" w:rsidP="004B52AF" w:rsidRDefault="00B71912" w14:paraId="741289E8" w14:textId="26C9CCC9">
      <w:pPr>
        <w:spacing w:after="60" w:line="240" w:lineRule="auto"/>
        <w:rPr>
          <w:color w:val="FF0000"/>
        </w:rPr>
      </w:pPr>
    </w:p>
    <w:p w:rsidR="0076253D" w:rsidP="004B52AF" w:rsidRDefault="0076253D" w14:paraId="14342F77" w14:textId="77777777">
      <w:pPr>
        <w:spacing w:after="60" w:line="240" w:lineRule="auto"/>
        <w:rPr>
          <w:color w:val="FF0000"/>
        </w:rPr>
      </w:pPr>
    </w:p>
    <w:p w:rsidR="0076253D" w:rsidP="006350EF" w:rsidRDefault="00E45C4E" w14:paraId="0400D4D3" w14:textId="4F665287">
      <w:pPr>
        <w:pStyle w:val="Caption"/>
        <w:spacing w:before="240"/>
        <w:rPr>
          <w:color w:val="FF0000"/>
        </w:rPr>
      </w:pPr>
      <w:r w:rsidRPr="002D239A">
        <w:lastRenderedPageBreak/>
        <w:t xml:space="preserve">Table </w:t>
      </w:r>
      <w:r>
        <w:rPr>
          <w:noProof/>
        </w:rPr>
        <w:t>B3</w:t>
      </w:r>
      <w:r w:rsidRPr="002D239A">
        <w:t xml:space="preserve">: </w:t>
      </w:r>
      <w:r>
        <w:t>Cumulative total public and affordable dwellings</w:t>
      </w:r>
      <w:r w:rsidR="005060E3">
        <w:t xml:space="preserve"> constructed</w:t>
      </w:r>
      <w:r w:rsidR="00DF6AA3">
        <w:rPr>
          <w:vertAlign w:val="superscript"/>
        </w:rPr>
        <w:t>(a)</w:t>
      </w:r>
      <w:r w:rsidR="00332A8A">
        <w:t xml:space="preserve"> </w:t>
      </w:r>
    </w:p>
    <w:tbl>
      <w:tblPr>
        <w:tblW w:w="13840" w:type="dxa"/>
        <w:tblLook w:val="04A0" w:firstRow="1" w:lastRow="0" w:firstColumn="1" w:lastColumn="0" w:noHBand="0" w:noVBand="1"/>
      </w:tblPr>
      <w:tblGrid>
        <w:gridCol w:w="3245"/>
        <w:gridCol w:w="875"/>
        <w:gridCol w:w="875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953"/>
      </w:tblGrid>
      <w:tr w:rsidRPr="00D21F2C" w:rsidR="006350EF" w:rsidTr="006350EF" w14:paraId="0171D1D8" w14:textId="15C299C9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50546724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5105B5D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631D797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7CCA39F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751FF56D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6617584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28A345A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1AB3328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67A5C38C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5D4BCAA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3FA9EE4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6350EF" w:rsidP="00484CC6" w:rsidRDefault="006350EF" w14:paraId="7527584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</w:tcPr>
          <w:p w:rsidRPr="00D21F2C" w:rsidR="006350EF" w:rsidP="006350EF" w:rsidRDefault="00A22C3B" w14:paraId="65926CBD" w14:textId="571FCAD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Cumulative t</w:t>
            </w:r>
            <w:r w:rsidR="006350EF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otal</w:t>
            </w:r>
          </w:p>
        </w:tc>
      </w:tr>
      <w:tr w:rsidRPr="00D21F2C" w:rsidR="00FC11D3" w:rsidTr="00D10292" w14:paraId="033E5464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B37F3C" w:rsidR="00FC11D3" w:rsidP="00FC11D3" w:rsidRDefault="00FC11D3" w14:paraId="24A85856" w14:textId="437231CA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37F3C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public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69519310" w14:textId="0E5DF6E5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7983B303" w14:textId="71FD125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4C777100" w14:textId="72E5E627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6,020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1D36F108" w14:textId="78BB59B4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12,780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5FC98630" w14:textId="466D5230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512DC7D0" w14:textId="6AF6E8C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13,790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64575160" w14:textId="1D4C34D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13,920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04D9AF6A" w14:textId="0F93F85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14,070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2E2B1953" w14:textId="3AAB1273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14,210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4677583F" w14:textId="4FEF8E62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14,360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6B815395" w14:textId="34361FD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14,520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5B706E24" w14:textId="1B6F6314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117,360</w:t>
            </w:r>
          </w:p>
        </w:tc>
      </w:tr>
      <w:tr w:rsidRPr="00D21F2C" w:rsidR="00FC11D3" w:rsidTr="00D10292" w14:paraId="0C5F3250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B37F3C" w:rsidR="00FC11D3" w:rsidP="00FC11D3" w:rsidRDefault="00FC11D3" w14:paraId="0AF79F81" w14:textId="23DD936B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B37F3C"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Total affordable housing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58AEC51E" w14:textId="26CC34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43CD0503" w14:textId="2A0825F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2B461A42" w14:textId="1B38BB0D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3B6A2B78" w14:textId="6A6CB1D2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6,710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73127E19" w14:textId="66EEA5CB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13,440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277C6751" w14:textId="6C5B5B26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13,740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6A9446FF" w14:textId="07C4AB0F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13,850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557483CB" w14:textId="1EE3017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13,960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71F0F6CF" w14:textId="05BB1F3A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14,120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44394AE6" w14:textId="76A99902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14,260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64FB4261" w14:textId="635FD09E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14,420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="00FC11D3" w:rsidP="00FC11D3" w:rsidRDefault="00FC11D3" w14:paraId="162E6180" w14:textId="6DD33701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107,790</w:t>
            </w:r>
          </w:p>
        </w:tc>
      </w:tr>
      <w:tr w:rsidRPr="00D21F2C" w:rsidR="00FC11D3" w:rsidTr="00D10292" w14:paraId="4C7040A1" w14:textId="5B6F6746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Pr="006350EF" w:rsidR="00FC11D3" w:rsidP="00FC11D3" w:rsidRDefault="00FC11D3" w14:paraId="2EF7E7D8" w14:textId="3BA7047B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6350EF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Dwellings constructed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FC11D3" w:rsidP="00FC11D3" w:rsidRDefault="00FC11D3" w14:paraId="7786169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FC11D3" w:rsidP="00FC11D3" w:rsidRDefault="00FC11D3" w14:paraId="6E1CB55B" w14:textId="71E2FB7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-</w:t>
            </w:r>
            <w:r w:rsidRPr="00171B93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FC11D3" w:rsidP="00FC11D3" w:rsidRDefault="00FC11D3" w14:paraId="5E66477D" w14:textId="19C185C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14D161C0" w14:textId="22F9BB2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3F9FC656" w14:textId="7C23F051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6F88A4EF" w14:textId="19A44DFF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682C60E7" w14:textId="04982249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098E7655" w14:textId="26455F09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395E4A62" w14:textId="5648ADC1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71587195" w14:textId="00DB5FD8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FC11D3" w:rsidP="00FC11D3" w:rsidRDefault="00FC11D3" w14:paraId="690A551E" w14:textId="63A6BA4B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6255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171B93" w:rsidR="00FC11D3" w:rsidP="00FC11D3" w:rsidRDefault="00FC11D3" w14:paraId="5BD9CA36" w14:textId="28D0C3D7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225,150</w:t>
            </w:r>
          </w:p>
        </w:tc>
      </w:tr>
    </w:tbl>
    <w:p w:rsidRPr="00CD1811" w:rsidR="00DF6AA3" w:rsidP="00DF6AA3" w:rsidRDefault="00DF6AA3" w14:paraId="7F4F92AF" w14:textId="633252D3">
      <w:pPr>
        <w:pStyle w:val="PRRfootnote2"/>
      </w:pPr>
      <w:r w:rsidRPr="00CD1811">
        <w:t>(a)</w:t>
      </w:r>
      <w:r w:rsidRPr="00CD1811">
        <w:tab/>
      </w:r>
      <w:r>
        <w:t xml:space="preserve">Includes public and affordable dwellings constructed from initial annual $5 billion indexed investment, </w:t>
      </w:r>
      <w:r w:rsidR="00F43DD5">
        <w:t>and dwellings constructed from rental returns.</w:t>
      </w:r>
    </w:p>
    <w:p w:rsidR="00DF6AA3" w:rsidP="00DF6AA3" w:rsidRDefault="00DF6AA3" w14:paraId="2ABB38FD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="0076253D" w:rsidP="004B52AF" w:rsidRDefault="0076253D" w14:paraId="20E639CE" w14:textId="77777777">
      <w:pPr>
        <w:spacing w:after="60" w:line="240" w:lineRule="auto"/>
        <w:rPr>
          <w:color w:val="FF0000"/>
        </w:rPr>
      </w:pPr>
    </w:p>
    <w:p w:rsidR="00A22FF5" w:rsidP="004B52AF" w:rsidRDefault="00A22FF5" w14:paraId="500A7D8B" w14:textId="77777777">
      <w:pPr>
        <w:spacing w:after="60" w:line="240" w:lineRule="auto"/>
        <w:rPr>
          <w:color w:val="FF0000"/>
        </w:rPr>
      </w:pPr>
    </w:p>
    <w:p w:rsidR="003E1CA0" w:rsidP="003E1CA0" w:rsidRDefault="003E1CA0" w14:paraId="1E51EEE2" w14:textId="7B9A31ED">
      <w:pPr>
        <w:pStyle w:val="Caption"/>
        <w:spacing w:before="240"/>
      </w:pPr>
      <w:r w:rsidRPr="002D239A">
        <w:t xml:space="preserve">Table </w:t>
      </w:r>
      <w:r>
        <w:rPr>
          <w:noProof/>
        </w:rPr>
        <w:t>B4</w:t>
      </w:r>
      <w:r w:rsidRPr="002D239A">
        <w:t xml:space="preserve">: </w:t>
      </w:r>
      <w:r w:rsidR="00A04B1B">
        <w:t>Yearly rental returns from the public and affordable housing stock</w:t>
      </w:r>
      <w:r w:rsidR="00383A7A">
        <w:t xml:space="preserve"> ($</w:t>
      </w:r>
      <w:proofErr w:type="gramStart"/>
      <w:r w:rsidR="00383A7A">
        <w:t>m)</w:t>
      </w:r>
      <w:r w:rsidR="00F43DD5">
        <w:rPr>
          <w:vertAlign w:val="superscript"/>
        </w:rPr>
        <w:t>(</w:t>
      </w:r>
      <w:proofErr w:type="gramEnd"/>
      <w:r w:rsidR="00F43DD5">
        <w:rPr>
          <w:vertAlign w:val="superscript"/>
        </w:rPr>
        <w:t>a)</w:t>
      </w:r>
      <w:r w:rsidR="00D20A8E">
        <w:t xml:space="preserve">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32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Pr="00D21F2C" w:rsidR="00013805" w:rsidTr="00484CC6" w14:paraId="2E9AF9C7" w14:textId="77777777">
        <w:trPr>
          <w:trHeight w:val="529"/>
        </w:trPr>
        <w:tc>
          <w:tcPr>
            <w:tcW w:w="32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7BDBED3C" w14:textId="77777777">
            <w:pPr>
              <w:spacing w:before="0"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3F290863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2433A5E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6C6FF331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1DD1971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0C9D08D2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 xml:space="preserve"> 2026-27 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7F68291E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2027-28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59FE5304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2028-29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0CC3A8AF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2029-30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492AE81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2030-31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0E167BC5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2031-32</w:t>
            </w:r>
          </w:p>
        </w:tc>
        <w:tc>
          <w:tcPr>
            <w:tcW w:w="880" w:type="dxa"/>
            <w:tcBorders>
              <w:top w:val="single" w:color="788184" w:sz="4" w:space="0"/>
              <w:left w:val="nil"/>
              <w:bottom w:val="single" w:color="788184" w:sz="4" w:space="0"/>
              <w:right w:val="single" w:color="788184" w:sz="4" w:space="0"/>
            </w:tcBorders>
            <w:shd w:val="clear" w:color="auto" w:fill="A7B2D4" w:themeFill="background2" w:themeFillTint="66"/>
            <w:vAlign w:val="center"/>
            <w:hideMark/>
          </w:tcPr>
          <w:p w:rsidRPr="00D21F2C" w:rsidR="00CB4B4C" w:rsidP="00484CC6" w:rsidRDefault="00CB4B4C" w14:paraId="0F96FE00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</w:pPr>
            <w:r w:rsidRPr="00D21F2C">
              <w:rPr>
                <w:rFonts w:ascii="Calibri" w:hAnsi="Calibri" w:eastAsia="Times New Roman" w:cs="Calibri"/>
                <w:color w:val="000000"/>
                <w:spacing w:val="0"/>
                <w:sz w:val="16"/>
                <w:szCs w:val="16"/>
                <w:lang w:eastAsia="en-AU"/>
              </w:rPr>
              <w:t>2032-33</w:t>
            </w:r>
          </w:p>
        </w:tc>
      </w:tr>
      <w:tr w:rsidRPr="00D21F2C" w:rsidR="005D1566" w:rsidTr="00E449FE" w14:paraId="574ABF18" w14:textId="77777777">
        <w:trPr>
          <w:trHeight w:val="315"/>
        </w:trPr>
        <w:tc>
          <w:tcPr>
            <w:tcW w:w="3280" w:type="dxa"/>
            <w:tcBorders>
              <w:top w:val="nil"/>
              <w:left w:val="single" w:color="788184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  <w:hideMark/>
          </w:tcPr>
          <w:p w:rsidRPr="00D21F2C" w:rsidR="00077648" w:rsidP="00077648" w:rsidRDefault="00077648" w14:paraId="0A6D0E7A" w14:textId="05BBB7A8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Public housing rental returns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14D1273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36DAABC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7DFD6EC6" w14:textId="64B1808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21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7E8F8E92" w14:textId="2BF098B1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645D85ED" w14:textId="6D29479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192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72E7BDEB" w14:textId="3DA75DF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305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3F6DE4FF" w14:textId="596442C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426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75F6D197" w14:textId="23530C8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558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18D38E96" w14:textId="317FD0C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700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0711C65F" w14:textId="57E0389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854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4FF3CEA0" w14:textId="5617765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1,020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</w:p>
        </w:tc>
      </w:tr>
      <w:tr w:rsidRPr="00D21F2C" w:rsidR="005D1566" w:rsidTr="00E449FE" w14:paraId="75F0B394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077648" w:rsidP="00077648" w:rsidRDefault="00077648" w14:paraId="6991D5EE" w14:textId="7EC8458D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Affordable housing rental returns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1AC8FFFA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2C10DE9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1E38B069" w14:textId="3AC238C9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29</w:t>
            </w:r>
            <w:r w:rsidRPr="009C3C5C" w:rsidR="00744CE8">
              <w:rPr>
                <w:rFonts w:ascii="Calibri" w:hAnsi="Calibri" w:cs="Calibri"/>
                <w:color w:val="000000"/>
                <w:sz w:val="16"/>
                <w:szCs w:val="16"/>
              </w:rPr>
              <w:t>.9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7FD46649" w14:textId="5964DAFA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124</w:t>
            </w:r>
            <w:r w:rsidRPr="009C3C5C" w:rsidR="00744CE8">
              <w:rPr>
                <w:rFonts w:ascii="Calibri" w:hAnsi="Calibri" w:cs="Calibri"/>
                <w:color w:val="000000"/>
                <w:sz w:val="16"/>
                <w:szCs w:val="16"/>
              </w:rPr>
              <w:t>.2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1264FCED" w14:textId="0E373DF0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322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4747D40F" w14:textId="7F6FEC34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604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299F13A0" w14:textId="1832BEA6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909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56C0A23D" w14:textId="3DC4F59E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1,238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371CD215" w14:textId="2918B73C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1,595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67B433E3" w14:textId="5EBDEAE3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1,980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077648" w:rsidP="00077648" w:rsidRDefault="00077648" w14:paraId="07377784" w14:textId="0975E802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2,396</w:t>
            </w:r>
            <w:r w:rsidRPr="009C3C5C" w:rsidR="0090282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C3C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 </w:t>
            </w:r>
          </w:p>
        </w:tc>
      </w:tr>
      <w:tr w:rsidRPr="00D21F2C" w:rsidR="005D1566" w:rsidTr="00E449FE" w14:paraId="13DB609B" w14:textId="77777777">
        <w:trPr>
          <w:trHeight w:val="315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88184" w:sz="4" w:space="0"/>
            </w:tcBorders>
            <w:shd w:val="clear" w:color="auto" w:fill="FFFFFF" w:themeFill="background1"/>
            <w:vAlign w:val="center"/>
          </w:tcPr>
          <w:p w:rsidR="008F0434" w:rsidP="008F0434" w:rsidRDefault="008F0434" w14:paraId="2E26308C" w14:textId="086060FA">
            <w:pPr>
              <w:spacing w:before="0"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pacing w:val="0"/>
                <w:sz w:val="16"/>
                <w:szCs w:val="16"/>
                <w:lang w:eastAsia="en-AU"/>
              </w:rPr>
              <w:t>Total rental returns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8F0434" w:rsidP="008F0434" w:rsidRDefault="008F0434" w14:paraId="0A214766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8F0434" w:rsidP="008F0434" w:rsidRDefault="008F0434" w14:paraId="39BCD40B" w14:textId="7777777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D21F2C" w:rsidR="008F0434" w:rsidP="008F0434" w:rsidRDefault="008F0434" w14:paraId="1C1F887C" w14:textId="152606B7">
            <w:pPr>
              <w:spacing w:before="0"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pacing w:val="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51.2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00C3B266" w14:textId="073DDDB9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214.3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6E9FB31E" w14:textId="322385A4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514.8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7FA76B59" w14:textId="79ED92C2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909.5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013805" w:rsidR="008F0434" w:rsidP="00013805" w:rsidRDefault="00013805" w14:paraId="54CE3ED3" w14:textId="793DB7C7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1,336.1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074D0A7C" w14:textId="1B728DC3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1,797</w:t>
            </w:r>
            <w:r w:rsidR="0001380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3197E4C1" w14:textId="336D3E8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2,295</w:t>
            </w:r>
            <w:r w:rsidR="0001380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2B2F9250" w14:textId="477FE465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2,835</w:t>
            </w:r>
            <w:r w:rsidR="0001380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80" w:type="dxa"/>
            <w:tcBorders>
              <w:top w:val="single" w:color="788184" w:sz="4" w:space="0"/>
              <w:left w:val="single" w:color="788184" w:sz="4" w:space="0"/>
              <w:bottom w:val="single" w:color="788184" w:sz="4" w:space="0"/>
              <w:right w:val="single" w:color="788184" w:sz="4" w:space="0"/>
            </w:tcBorders>
            <w:shd w:val="clear" w:color="auto" w:fill="auto"/>
            <w:vAlign w:val="center"/>
          </w:tcPr>
          <w:p w:rsidRPr="00652369" w:rsidR="008F0434" w:rsidP="008F0434" w:rsidRDefault="008F0434" w14:paraId="5B0CC481" w14:textId="5478E31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3,417</w:t>
            </w:r>
            <w:r w:rsidR="0001380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</w:tr>
    </w:tbl>
    <w:p w:rsidRPr="00CD1811" w:rsidR="00F43DD5" w:rsidP="00F43DD5" w:rsidRDefault="00F43DD5" w14:paraId="2D53FC15" w14:textId="33EE03BC">
      <w:pPr>
        <w:pStyle w:val="PRRfootnote2"/>
      </w:pPr>
      <w:r w:rsidRPr="00CD1811">
        <w:t>(a)</w:t>
      </w:r>
      <w:r w:rsidRPr="00CD1811">
        <w:tab/>
      </w:r>
      <w:r>
        <w:t xml:space="preserve">Yearly rental returns are </w:t>
      </w:r>
      <w:r w:rsidR="00E43E59">
        <w:t xml:space="preserve">total rental returns before </w:t>
      </w:r>
      <w:r w:rsidR="00A22FF5">
        <w:t>property management and repair fees are deducted.</w:t>
      </w:r>
    </w:p>
    <w:p w:rsidR="00F43DD5" w:rsidP="00F43DD5" w:rsidRDefault="00F43DD5" w14:paraId="09FA8D92" w14:textId="77777777">
      <w:pPr>
        <w:pStyle w:val="PRRfootnote2"/>
        <w:numPr>
          <w:ilvl w:val="0"/>
          <w:numId w:val="23"/>
        </w:numPr>
        <w:ind w:left="284" w:hanging="284"/>
      </w:pPr>
      <w:r w:rsidRPr="00CD1811">
        <w:t>Indicates nil.</w:t>
      </w:r>
    </w:p>
    <w:p w:rsidRPr="00A04B1B" w:rsidR="00A04B1B" w:rsidP="00A04B1B" w:rsidRDefault="00A04B1B" w14:paraId="64391E66" w14:textId="77777777"/>
    <w:p w:rsidR="0076253D" w:rsidP="004B52AF" w:rsidRDefault="0076253D" w14:paraId="07A98876" w14:textId="77777777">
      <w:pPr>
        <w:spacing w:after="60" w:line="240" w:lineRule="auto"/>
        <w:rPr>
          <w:color w:val="FF0000"/>
        </w:rPr>
      </w:pPr>
    </w:p>
    <w:p w:rsidR="0076253D" w:rsidP="004B52AF" w:rsidRDefault="0076253D" w14:paraId="79733FFC" w14:textId="77777777">
      <w:pPr>
        <w:spacing w:after="60" w:line="240" w:lineRule="auto"/>
        <w:rPr>
          <w:color w:val="FF0000"/>
        </w:rPr>
      </w:pPr>
    </w:p>
    <w:sectPr w:rsidR="0076253D" w:rsidSect="00617691">
      <w:footerReference w:type="default" r:id="rId25"/>
      <w:pgSz w:w="16839" w:h="11907" w:orient="landscape" w:code="9"/>
      <w:pgMar w:top="992" w:right="907" w:bottom="992" w:left="1134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5CE" w:rsidP="00A20802" w:rsidRDefault="007A45CE" w14:paraId="5A1F213B" w14:textId="77777777">
      <w:r>
        <w:separator/>
      </w:r>
    </w:p>
    <w:p w:rsidR="007A45CE" w:rsidRDefault="007A45CE" w14:paraId="774AA7E7" w14:textId="77777777"/>
    <w:p w:rsidR="007A45CE" w:rsidRDefault="007A45CE" w14:paraId="06183019" w14:textId="77777777"/>
  </w:endnote>
  <w:endnote w:type="continuationSeparator" w:id="0">
    <w:p w:rsidR="007A45CE" w:rsidP="00A20802" w:rsidRDefault="007A45CE" w14:paraId="5627919A" w14:textId="77777777">
      <w:r>
        <w:continuationSeparator/>
      </w:r>
    </w:p>
    <w:p w:rsidR="007A45CE" w:rsidRDefault="007A45CE" w14:paraId="4709A75F" w14:textId="77777777"/>
    <w:p w:rsidR="007A45CE" w:rsidRDefault="007A45CE" w14:paraId="5866CCF7" w14:textId="77777777"/>
  </w:endnote>
  <w:endnote w:type="continuationNotice" w:id="1">
    <w:p w:rsidR="007A45CE" w:rsidRDefault="007A45CE" w14:paraId="6409EB97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4B52AF" w:rsidR="00C44D85" w:rsidP="00F91A0D" w:rsidRDefault="004313FA" w14:paraId="0B142EEC" w14:textId="5B4AFE30">
    <w:pPr>
      <w:pStyle w:val="Footer"/>
      <w:tabs>
        <w:tab w:val="clear" w:pos="4513"/>
        <w:tab w:val="center" w:pos="4535"/>
        <w:tab w:val="right" w:pos="9071"/>
      </w:tabs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31C3122" wp14:editId="50F1A8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8" name="Text Box 38" descr="{&quot;HashCode&quot;:-41494354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D385A" w:rsidR="004313FA" w:rsidP="003D385A" w:rsidRDefault="003D385A" w14:paraId="30BB3821" w14:textId="6D09E9A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3D385A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0894DD37">
            <v:shapetype id="_x0000_t202" coordsize="21600,21600" o:spt="202" path="m,l,21600r21600,l21600,xe" w14:anchorId="631C3122">
              <v:stroke joinstyle="miter"/>
              <v:path gradientshapeok="t" o:connecttype="rect"/>
            </v:shapetype>
            <v:shape id="Text Box 38" style="position:absolute;margin-left:0;margin-top:0;width:612pt;height:36.5pt;z-index:25165824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>
              <v:textbox inset=",0,,0">
                <w:txbxContent>
                  <w:p w:rsidRPr="003D385A" w:rsidR="004313FA" w:rsidP="003D385A" w:rsidRDefault="003D385A" w14:paraId="55FEDF4A" w14:textId="6D09E9A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3D385A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0371"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6238FC8A" wp14:editId="17027B7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2" name="Text Box 12" descr="{&quot;HashCode&quot;:-41494354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D385A" w:rsidR="00A50371" w:rsidP="003D385A" w:rsidRDefault="003D385A" w14:paraId="26CF9BA1" w14:textId="23942C0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D385A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75C4448D">
            <v:shape id="Text Box 12" style="position:absolute;margin-left:0;margin-top:0;width:612pt;height:36.5pt;z-index:25165824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w14:anchorId="6238FC8A">
              <v:textbox inset=",0,,0">
                <w:txbxContent>
                  <w:p w:rsidRPr="003D385A" w:rsidR="00A50371" w:rsidP="003D385A" w:rsidRDefault="003D385A" w14:paraId="00CB8524" w14:textId="23942C0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D385A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49F"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60729C7" wp14:editId="06EE30B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41494354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4749F" w:rsidR="00B4749F" w:rsidP="00B4749F" w:rsidRDefault="00B4749F" w14:paraId="3D23FD21" w14:textId="5C1D8D7D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4749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7D5E7492">
            <v:shape id="Text Box 6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Primary&quot;,&quot;Section&quot;:2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w14:anchorId="060729C7">
              <v:textbox inset=",0,,0">
                <w:txbxContent>
                  <w:p w:rsidRPr="00B4749F" w:rsidR="00B4749F" w:rsidP="00B4749F" w:rsidRDefault="00B4749F" w14:paraId="0BFA27DC" w14:textId="5C1D8D7D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4749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2E15"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A75E09" wp14:editId="76C5900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5" name="Text Box 5" descr="{&quot;HashCode&quot;:-41494354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F2CCE" w:rsidR="00AC2E15" w:rsidP="003F2CCE" w:rsidRDefault="003F2CCE" w14:paraId="77E1D2C7" w14:textId="5FBB8F3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F2CC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5D686803">
            <v:shape id="Text Box 5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Primary&quot;,&quot;Section&quot;:2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w14:anchorId="01A75E09">
              <v:textbox inset=",0,,0">
                <w:txbxContent>
                  <w:p w:rsidRPr="003F2CCE" w:rsidR="00AC2E15" w:rsidP="003F2CCE" w:rsidRDefault="003F2CCE" w14:paraId="0BF94412" w14:textId="5FBB8F3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F2CC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0D">
      <w:rPr>
        <w:rStyle w:val="FooterChar"/>
        <w:b/>
        <w:bCs/>
        <w:sz w:val="22"/>
      </w:rPr>
      <w:tab/>
    </w:r>
    <w:r w:rsidR="00F91A0D">
      <w:rPr>
        <w:rStyle w:val="FooterChar"/>
        <w:b/>
        <w:bCs/>
        <w:sz w:val="22"/>
      </w:rPr>
      <w:tab/>
    </w:r>
    <w:r w:rsidRPr="007C4069" w:rsidR="003A34E7">
      <w:rPr>
        <w:rStyle w:val="FooterChar"/>
        <w:b/>
        <w:bCs/>
        <w:sz w:val="22"/>
      </w:rPr>
      <w:t xml:space="preserve">Page </w:t>
    </w:r>
    <w:r w:rsidRPr="007C4069" w:rsidR="003A34E7">
      <w:rPr>
        <w:rStyle w:val="FooterChar"/>
        <w:b/>
        <w:bCs/>
        <w:sz w:val="22"/>
      </w:rPr>
      <w:fldChar w:fldCharType="begin"/>
    </w:r>
    <w:r w:rsidRPr="007C4069" w:rsidR="003A34E7">
      <w:rPr>
        <w:rStyle w:val="FooterChar"/>
        <w:b/>
        <w:bCs/>
        <w:sz w:val="22"/>
      </w:rPr>
      <w:instrText xml:space="preserve"> PAGE  \* Arabic  \* MERGEFORMAT </w:instrText>
    </w:r>
    <w:r w:rsidRPr="007C4069" w:rsidR="003A34E7">
      <w:rPr>
        <w:rStyle w:val="FooterChar"/>
        <w:b/>
        <w:bCs/>
        <w:sz w:val="22"/>
      </w:rPr>
      <w:fldChar w:fldCharType="separate"/>
    </w:r>
    <w:r w:rsidR="00DB2819">
      <w:rPr>
        <w:rStyle w:val="FooterChar"/>
        <w:b/>
        <w:bCs/>
        <w:noProof/>
        <w:sz w:val="22"/>
      </w:rPr>
      <w:t>3</w:t>
    </w:r>
    <w:r w:rsidRPr="007C4069" w:rsidR="003A34E7">
      <w:rPr>
        <w:rStyle w:val="FooterChar"/>
        <w:b/>
        <w:bCs/>
        <w:sz w:val="22"/>
      </w:rPr>
      <w:fldChar w:fldCharType="end"/>
    </w:r>
    <w:r w:rsidRPr="007C4069" w:rsidR="003A34E7">
      <w:rPr>
        <w:rStyle w:val="FooterChar"/>
        <w:b/>
        <w:bCs/>
        <w:sz w:val="22"/>
      </w:rPr>
      <w:t xml:space="preserve"> of</w:t>
    </w:r>
    <w:r w:rsidR="004B52AF">
      <w:rPr>
        <w:rStyle w:val="FooterChar"/>
        <w:b/>
        <w:bCs/>
        <w:sz w:val="22"/>
      </w:rPr>
      <w:t xml:space="preserve"> </w:t>
    </w:r>
    <w:r w:rsidR="00F04A3A">
      <w:rPr>
        <w:rStyle w:val="FooterChar"/>
        <w:b/>
        <w:bCs/>
        <w:sz w:val="22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2E1EA9" w:rsidR="00F91A0D" w:rsidP="00F91A0D" w:rsidRDefault="004313FA" w14:paraId="2EC3D12B" w14:textId="4238C51D">
    <w:pPr>
      <w:pStyle w:val="Footer"/>
      <w:rPr>
        <w:b/>
        <w:color w:val="auto"/>
        <w:sz w:val="20"/>
        <w:szCs w:val="20"/>
      </w:rPr>
    </w:pPr>
    <w:r>
      <w:rPr>
        <w:rFonts w:ascii="Calibri" w:hAnsi="Calibri" w:cs="Arial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7B3791A3" wp14:editId="1C6D29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9" name="Text Box 39" descr="{&quot;HashCode&quot;:-41494354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D385A" w:rsidR="004313FA" w:rsidP="003D385A" w:rsidRDefault="003D385A" w14:paraId="5CD9AB7C" w14:textId="692AFBB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3D385A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103C6004">
            <v:shapetype id="_x0000_t202" coordsize="21600,21600" o:spt="202" path="m,l,21600r21600,l21600,xe" w14:anchorId="7B3791A3">
              <v:stroke joinstyle="miter"/>
              <v:path gradientshapeok="t" o:connecttype="rect"/>
            </v:shapetype>
            <v:shape id="Text Box 39" style="position:absolute;margin-left:0;margin-top:0;width:612pt;height:36.5pt;z-index:25165824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FirstPage&quot;,&quot;Section&quot;:1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Exr&#10;448WAgAALQQAAA4AAAAAAAAAAAAAAAAALgIAAGRycy9lMm9Eb2MueG1sUEsBAi0AFAAGAAgAAAAh&#10;AL4fCrfaAAAABQEAAA8AAAAAAAAAAAAAAAAAcAQAAGRycy9kb3ducmV2LnhtbFBLBQYAAAAABAAE&#10;APMAAAB3BQAAAAA=&#10;">
              <v:textbox inset=",0,,0">
                <w:txbxContent>
                  <w:p w:rsidRPr="003D385A" w:rsidR="004313FA" w:rsidP="003D385A" w:rsidRDefault="003D385A" w14:paraId="2A236F6B" w14:textId="692AFBB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3D385A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0371">
      <w:rPr>
        <w:rFonts w:ascii="Calibri" w:hAnsi="Calibri" w:cs="Arial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D6CD579" wp14:editId="16F81D1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414943542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361CD" w:rsidR="00A50371" w:rsidP="002361CD" w:rsidRDefault="002361CD" w14:paraId="10429D5A" w14:textId="6708D63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361C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381CA989">
            <v:shape id="Text Box 13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FirstPage&quot;,&quot;Section&quot;:2,&quot;Top&quot;:0.0,&quot;Left&quot;:0.0}" o:spid="_x0000_s1033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jm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0m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wZxY5hgCAAAtBAAADgAAAAAAAAAAAAAAAAAuAgAAZHJzL2Uyb0RvYy54bWxQSwECLQAUAAYACAAA&#10;ACEAvh8Kt9oAAAAFAQAADwAAAAAAAAAAAAAAAAByBAAAZHJzL2Rvd25yZXYueG1sUEsFBgAAAAAE&#10;AAQA8wAAAHkFAAAAAA==&#10;" w14:anchorId="5D6CD579">
              <v:textbox inset=",0,,0">
                <w:txbxContent>
                  <w:p w:rsidRPr="002361CD" w:rsidR="00A50371" w:rsidP="002361CD" w:rsidRDefault="002361CD" w14:paraId="19983DBB" w14:textId="6708D63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361C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49F">
      <w:rPr>
        <w:rFonts w:ascii="Calibri" w:hAnsi="Calibri" w:cs="Arial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0664CCF" wp14:editId="659C1B4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Text Box 9" descr="{&quot;HashCode&quot;:-414943542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4749F" w:rsidR="00B4749F" w:rsidP="00B4749F" w:rsidRDefault="00B4749F" w14:paraId="447B4BCB" w14:textId="18096D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4749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639B42A5">
            <v:shape id="Text Box 9" style="position:absolute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FirstPage&quot;,&quot;Section&quot;:2,&quot;Top&quot;:0.0,&quot;Left&quot;:0.0}" o:spid="_x0000_s1034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fa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vz3tsYHqQOshDMx7J5cNzbAS&#10;PjwLJKppbJJveKJDG6BecLQ4qwF//c0f84kBinLWkXRK7n/uBCrOzHdL3HwZT6dRa+lCBr71bk5e&#10;u2vvgVQ5ph/EyWTG3GBOpkZoX0ndi9iNQsJK6llyGfB0uQ+DlOn/kGqxSGmkKyfCyq6djMUjnhHb&#10;l/5VoDsSEIi6RzjJSxTveBhyByYWuwC6SSRFhAc8j8CTJhN3x/8niv7tPWVd/vL5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MnsN9oZAgAALQQAAA4AAAAAAAAAAAAAAAAALgIAAGRycy9lMm9Eb2MueG1sUEsBAi0AFAAGAAgA&#10;AAAhAL4fCrfaAAAABQEAAA8AAAAAAAAAAAAAAAAAcwQAAGRycy9kb3ducmV2LnhtbFBLBQYAAAAA&#10;BAAEAPMAAAB6BQAAAAA=&#10;" w14:anchorId="20664CCF">
              <v:textbox inset=",0,,0">
                <w:txbxContent>
                  <w:p w:rsidRPr="00B4749F" w:rsidR="00B4749F" w:rsidP="00B4749F" w:rsidRDefault="00B4749F" w14:paraId="7D3F3EE7" w14:textId="18096D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4749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2EC">
      <w:rPr>
        <w:rFonts w:ascii="Calibri" w:hAnsi="Calibri" w:cs="Arial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A84F805" wp14:editId="5C5428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414943542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F2CCE" w:rsidR="00D862EC" w:rsidP="003F2CCE" w:rsidRDefault="003F2CCE" w14:paraId="59B3B728" w14:textId="6303C13D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F2CC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0E6A0E54">
            <v:shape id="Text Box 1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FirstPage&quot;,&quot;Section&quot;:2,&quot;Top&quot;:0.0,&quot;Left&quot;:0.0}" o:spid="_x0000_s1035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EQbjLMZAgAALQQAAA4AAAAAAAAAAAAAAAAALgIAAGRycy9lMm9Eb2MueG1sUEsBAi0AFAAGAAgA&#10;AAAhAL4fCrfaAAAABQEAAA8AAAAAAAAAAAAAAAAAcwQAAGRycy9kb3ducmV2LnhtbFBLBQYAAAAA&#10;BAAEAPMAAAB6BQAAAAA=&#10;" w14:anchorId="6A84F805">
              <v:textbox inset=",0,,0">
                <w:txbxContent>
                  <w:p w:rsidRPr="003F2CCE" w:rsidR="00D862EC" w:rsidP="003F2CCE" w:rsidRDefault="003F2CCE" w14:paraId="4AB80159" w14:textId="6303C13D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F2CC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E1EA9" w:rsidR="00F91A0D">
      <w:rPr>
        <w:rStyle w:val="FooterChar"/>
        <w:rFonts w:ascii="Calibri" w:hAnsi="Calibri" w:cs="Arial"/>
        <w:b/>
        <w:color w:val="auto"/>
        <w:sz w:val="20"/>
        <w:szCs w:val="20"/>
      </w:rPr>
      <w:t>PBO reference PR</w:t>
    </w:r>
    <w:r w:rsidR="00D862EC">
      <w:rPr>
        <w:rStyle w:val="FooterChar"/>
        <w:rFonts w:ascii="Calibri" w:hAnsi="Calibri" w:cs="Arial"/>
        <w:b/>
        <w:color w:val="auto"/>
        <w:sz w:val="20"/>
        <w:szCs w:val="20"/>
      </w:rPr>
      <w:t>-202</w:t>
    </w:r>
    <w:r w:rsidR="006D0000">
      <w:rPr>
        <w:rStyle w:val="FooterChar"/>
        <w:rFonts w:ascii="Calibri" w:hAnsi="Calibri" w:cs="Arial"/>
        <w:b/>
        <w:color w:val="auto"/>
        <w:sz w:val="20"/>
        <w:szCs w:val="20"/>
      </w:rPr>
      <w:t>3-159</w:t>
    </w:r>
    <w:r w:rsidRPr="002E1EA9" w:rsidR="00F91A0D">
      <w:rPr>
        <w:rStyle w:val="FooterChar"/>
        <w:rFonts w:ascii="Calibri" w:hAnsi="Calibri" w:cs="Arial"/>
        <w:b/>
        <w:color w:val="auto"/>
        <w:sz w:val="20"/>
        <w:szCs w:val="20"/>
      </w:rPr>
      <w:tab/>
    </w:r>
    <w:r w:rsidRPr="002E1EA9" w:rsidR="00F91A0D">
      <w:rPr>
        <w:rStyle w:val="FooterChar"/>
        <w:rFonts w:ascii="Calibri" w:hAnsi="Calibri" w:cs="Arial"/>
        <w:b/>
        <w:color w:val="auto"/>
        <w:sz w:val="20"/>
        <w:szCs w:val="20"/>
      </w:rPr>
      <w:tab/>
    </w:r>
    <w:r w:rsidRPr="002E1EA9" w:rsidR="00F91A0D">
      <w:rPr>
        <w:rStyle w:val="FooterChar"/>
        <w:b/>
        <w:color w:val="auto"/>
        <w:sz w:val="20"/>
        <w:szCs w:val="20"/>
      </w:rPr>
      <w:t xml:space="preserve">Page </w:t>
    </w:r>
    <w:r w:rsidRPr="002E1EA9" w:rsidR="00F91A0D">
      <w:rPr>
        <w:rStyle w:val="FooterChar"/>
        <w:b/>
        <w:color w:val="auto"/>
        <w:sz w:val="20"/>
        <w:szCs w:val="20"/>
      </w:rPr>
      <w:fldChar w:fldCharType="begin"/>
    </w:r>
    <w:r w:rsidRPr="002E1EA9" w:rsidR="00F91A0D">
      <w:rPr>
        <w:rStyle w:val="FooterChar"/>
        <w:b/>
        <w:color w:val="auto"/>
        <w:sz w:val="20"/>
        <w:szCs w:val="20"/>
      </w:rPr>
      <w:instrText xml:space="preserve"> PAGE  \* Arabic  \* MERGEFORMAT </w:instrText>
    </w:r>
    <w:r w:rsidRPr="002E1EA9" w:rsidR="00F91A0D">
      <w:rPr>
        <w:rStyle w:val="FooterChar"/>
        <w:b/>
        <w:color w:val="auto"/>
        <w:sz w:val="20"/>
        <w:szCs w:val="20"/>
      </w:rPr>
      <w:fldChar w:fldCharType="separate"/>
    </w:r>
    <w:r w:rsidRPr="002E1EA9" w:rsidR="00DB2819">
      <w:rPr>
        <w:rStyle w:val="FooterChar"/>
        <w:b/>
        <w:noProof/>
        <w:color w:val="auto"/>
        <w:sz w:val="20"/>
        <w:szCs w:val="20"/>
      </w:rPr>
      <w:t>1</w:t>
    </w:r>
    <w:r w:rsidRPr="002E1EA9" w:rsidR="00F91A0D">
      <w:rPr>
        <w:rStyle w:val="FooterChar"/>
        <w:b/>
        <w:color w:val="auto"/>
        <w:sz w:val="20"/>
        <w:szCs w:val="20"/>
      </w:rPr>
      <w:fldChar w:fldCharType="end"/>
    </w:r>
    <w:r w:rsidRPr="002E1EA9" w:rsidR="00F91A0D">
      <w:rPr>
        <w:rStyle w:val="FooterChar"/>
        <w:b/>
        <w:color w:val="auto"/>
        <w:sz w:val="20"/>
        <w:szCs w:val="20"/>
      </w:rPr>
      <w:t xml:space="preserve"> of </w:t>
    </w:r>
    <w:r w:rsidR="00F04A3A">
      <w:rPr>
        <w:rStyle w:val="FooterChar"/>
        <w:b/>
        <w:bCs/>
        <w:color w:val="auto"/>
        <w:sz w:val="20"/>
        <w:szCs w:val="20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9A2406" w:rsidP="00484CC6" w:rsidRDefault="00AC2E15" w14:paraId="032FBC7F" w14:textId="7CE1B312">
    <w:pPr>
      <w:pStyle w:val="Footer"/>
      <w:tabs>
        <w:tab w:val="right" w:pos="9071"/>
      </w:tabs>
      <w:ind w:right="-228"/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4A7227" wp14:editId="1434487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Text Box 7" descr="{&quot;HashCode&quot;:-414943542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0043F" w:rsidR="00AC2E15" w:rsidP="003F2CCE" w:rsidRDefault="003F2CCE" w14:paraId="65E52AE4" w14:textId="26101003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50043F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35F3065D">
            <v:shapetype id="_x0000_t202" coordsize="21600,21600" o:spt="202" path="m,l,21600r21600,l21600,xe" w14:anchorId="4E4A7227">
              <v:stroke joinstyle="miter"/>
              <v:path gradientshapeok="t" o:connecttype="rect"/>
            </v:shapetype>
            <v:shape id="Text Box 7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414943542,&quot;Height&quot;:9999999.0,&quot;Width&quot;:9999999.0,&quot;Placement&quot;:&quot;Footer&quot;,&quot;Index&quot;:&quot;Primary&quot;,&quot;Section&quot;:3,&quot;Top&quot;:0.0,&quot;Left&quot;:0.0}" o:spid="_x0000_s103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">
              <v:textbox inset=",0,,0">
                <w:txbxContent>
                  <w:p w:rsidRPr="0050043F" w:rsidR="00AC2E15" w:rsidP="003F2CCE" w:rsidRDefault="003F2CCE" w14:paraId="14FB6478" w14:textId="26101003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50043F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="00617691">
      <w:rPr>
        <w:rStyle w:val="FooterChar"/>
        <w:b/>
        <w:bCs/>
        <w:sz w:val="22"/>
      </w:rPr>
      <w:tab/>
    </w:r>
    <w:r w:rsidRPr="007C4069" w:rsidR="00617691">
      <w:rPr>
        <w:rStyle w:val="FooterChar"/>
        <w:b/>
        <w:bCs/>
        <w:sz w:val="22"/>
      </w:rPr>
      <w:t xml:space="preserve">Page </w:t>
    </w:r>
    <w:r w:rsidRPr="007C4069" w:rsidR="00617691">
      <w:rPr>
        <w:rStyle w:val="FooterChar"/>
        <w:b/>
        <w:bCs/>
        <w:sz w:val="22"/>
      </w:rPr>
      <w:fldChar w:fldCharType="begin"/>
    </w:r>
    <w:r w:rsidRPr="007C4069" w:rsidR="00617691">
      <w:rPr>
        <w:rStyle w:val="FooterChar"/>
        <w:b/>
        <w:bCs/>
        <w:sz w:val="22"/>
      </w:rPr>
      <w:instrText xml:space="preserve"> PAGE  \* Arabic  \* MERGEFORMAT </w:instrText>
    </w:r>
    <w:r w:rsidRPr="007C4069" w:rsidR="00617691">
      <w:rPr>
        <w:rStyle w:val="FooterChar"/>
        <w:b/>
        <w:bCs/>
        <w:sz w:val="22"/>
      </w:rPr>
      <w:fldChar w:fldCharType="separate"/>
    </w:r>
    <w:r w:rsidR="00617691">
      <w:rPr>
        <w:rStyle w:val="FooterChar"/>
        <w:b/>
        <w:bCs/>
        <w:noProof/>
        <w:sz w:val="22"/>
      </w:rPr>
      <w:t>3</w:t>
    </w:r>
    <w:r w:rsidRPr="007C4069" w:rsidR="00617691">
      <w:rPr>
        <w:rStyle w:val="FooterChar"/>
        <w:b/>
        <w:bCs/>
        <w:sz w:val="22"/>
      </w:rPr>
      <w:fldChar w:fldCharType="end"/>
    </w:r>
    <w:r w:rsidRPr="007C4069" w:rsidR="00617691">
      <w:rPr>
        <w:rStyle w:val="FooterChar"/>
        <w:b/>
        <w:bCs/>
        <w:sz w:val="22"/>
      </w:rPr>
      <w:t xml:space="preserve"> of</w:t>
    </w:r>
    <w:r w:rsidR="00617691">
      <w:rPr>
        <w:rStyle w:val="FooterChar"/>
        <w:b/>
        <w:bCs/>
        <w:sz w:val="22"/>
      </w:rPr>
      <w:t xml:space="preserve"> </w:t>
    </w:r>
    <w:r w:rsidR="003D385A">
      <w:rPr>
        <w:rStyle w:val="FooterChar"/>
        <w:b/>
        <w:bCs/>
        <w:sz w:val="2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557A7" w:rsidR="007A45CE" w:rsidP="008D5A11" w:rsidRDefault="007A45CE" w14:paraId="3D7C9E94" w14:textId="77777777">
      <w:pPr>
        <w:pBdr>
          <w:top w:val="single" w:color="auto" w:sz="4" w:space="1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7A45CE" w:rsidP="00A20802" w:rsidRDefault="007A45CE" w14:paraId="553FEFA4" w14:textId="77777777">
      <w:r>
        <w:continuationSeparator/>
      </w:r>
    </w:p>
    <w:p w:rsidR="007A45CE" w:rsidRDefault="007A45CE" w14:paraId="10D94A9C" w14:textId="77777777"/>
    <w:p w:rsidR="007A45CE" w:rsidRDefault="007A45CE" w14:paraId="7B1008F4" w14:textId="77777777"/>
  </w:footnote>
  <w:footnote w:type="continuationNotice" w:id="1">
    <w:p w:rsidR="007A45CE" w:rsidRDefault="007A45CE" w14:paraId="417AB157" w14:textId="77777777">
      <w:pPr>
        <w:spacing w:before="0" w:after="0" w:line="240" w:lineRule="auto"/>
      </w:pPr>
    </w:p>
  </w:footnote>
  <w:footnote w:id="2">
    <w:p w:rsidRPr="007D78D6" w:rsidR="00014577" w:rsidP="00014577" w:rsidRDefault="00014577" w14:paraId="34F25E1D" w14:textId="77777777">
      <w:pPr>
        <w:spacing w:before="60"/>
        <w:rPr>
          <w:sz w:val="14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07551F">
          <w:rPr>
            <w:rStyle w:val="Hyperlink"/>
            <w:sz w:val="14"/>
            <w:szCs w:val="16"/>
          </w:rPr>
          <w:t>https://www.aph.gov.au/About_Parliament/Parliamentary_Departments/Parliamentary_Budget_Office/Costings_and_budget_information</w:t>
        </w:r>
      </w:hyperlink>
      <w:r w:rsidRPr="0007551F">
        <w:rPr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361CD" w:rsidRDefault="004313FA" w14:paraId="35ABAB8B" w14:textId="54047A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4AEF24BC" wp14:editId="2D40113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0" name="Text Box 40" descr="{&quot;HashCode&quot;:-43908111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0043F" w:rsidR="004313FA" w:rsidP="004313FA" w:rsidRDefault="004313FA" w14:paraId="73B5F834" w14:textId="7C25A38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50043F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62B8FB54">
            <v:shapetype id="_x0000_t202" coordsize="21600,21600" o:spt="202" path="m,l,21600r21600,l21600,xe" w14:anchorId="4AEF24BC">
              <v:stroke joinstyle="miter"/>
              <v:path gradientshapeok="t" o:connecttype="rect"/>
            </v:shapetype>
            <v:shape id="Text Box 40" style="position:absolute;margin-left:0;margin-top:0;width:612pt;height:36.5pt;z-index:251658249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alt="{&quot;HashCode&quot;:-439081111,&quot;Height&quot;:9999999.0,&quot;Width&quot;:9999999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>
              <v:textbox inset=",0,,0">
                <w:txbxContent>
                  <w:p w:rsidRPr="0050043F" w:rsidR="004313FA" w:rsidP="004313FA" w:rsidRDefault="004313FA" w14:paraId="74CC57DE" w14:textId="7C25A38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50043F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50043F" w:rsidR="00C975E8" w:rsidP="00C975E8" w:rsidRDefault="004313FA" w14:paraId="0B323986" w14:textId="082BDB6C">
    <w:pPr>
      <w:spacing w:before="0" w:after="0"/>
      <w:jc w:val="center"/>
      <w:rPr>
        <w:rFonts w:ascii="Calibri" w:hAnsi="Calibri" w:cs="Calibri"/>
        <w:strike/>
        <w:color w:val="FF0000"/>
        <w:sz w:val="20"/>
      </w:rPr>
    </w:pPr>
    <w:r w:rsidRPr="0050043F">
      <w:rPr>
        <w:rFonts w:ascii="Calibri" w:hAnsi="Calibri" w:cs="Calibri"/>
        <w:strike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158D63B4" wp14:editId="7CA5F4B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1" name="Text Box 41" descr="{&quot;HashCode&quot;:-439081111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313FA" w:rsidR="0050043F" w:rsidP="0050043F" w:rsidRDefault="0050043F" w14:paraId="424A38F0" w14:textId="2F9F256B">
                          <w:pPr>
                            <w:spacing w:before="0" w:after="0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66018553">
            <v:shapetype id="_x0000_t202" coordsize="21600,21600" o:spt="202" path="m,l,21600r21600,l21600,xe" w14:anchorId="158D63B4">
              <v:stroke joinstyle="miter"/>
              <v:path gradientshapeok="t" o:connecttype="rect"/>
            </v:shapetype>
            <v:shape id="Text Box 41" style="position:absolute;left:0;text-align:left;margin-left:0;margin-top:0;width:612pt;height:36.5pt;z-index:25165825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alt="{&quot;HashCode&quot;:-439081111,&quot;Height&quot;:9999999.0,&quot;Width&quot;:9999999.0,&quot;Placement&quot;:&quot;Header&quot;,&quot;Index&quot;:&quot;FirstPage&quot;,&quot;Section&quot;:1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>
              <v:textbox inset=",0,,0">
                <w:txbxContent>
                  <w:p w:rsidRPr="004313FA" w:rsidR="0050043F" w:rsidP="0050043F" w:rsidRDefault="0050043F" w14:paraId="672A6659" w14:textId="2F9F256B">
                    <w:pPr>
                      <w:spacing w:before="0" w:after="0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0043F" w:rsidR="00C975E8">
      <w:rPr>
        <w:rFonts w:ascii="Calibri" w:hAnsi="Calibri" w:cs="Calibri"/>
        <w:strike/>
        <w:color w:val="FF0000"/>
        <w:sz w:val="20"/>
      </w:rPr>
      <w:t>OFFICIAL: Sensitive</w:t>
    </w:r>
  </w:p>
  <w:p w:rsidR="00C44D85" w:rsidP="00F91A0D" w:rsidRDefault="002636AE" w14:paraId="20D573A4" w14:textId="77777777">
    <w:pPr>
      <w:pStyle w:val="Header"/>
      <w:spacing w:before="400" w:after="680"/>
    </w:pPr>
    <w:r>
      <w:rPr>
        <w:noProof/>
        <w:lang w:eastAsia="en-AU"/>
      </w:rPr>
      <w:drawing>
        <wp:inline distT="0" distB="0" distL="0" distR="0" wp14:anchorId="04701457" wp14:editId="5AC8F5A7">
          <wp:extent cx="1880382" cy="576000"/>
          <wp:effectExtent l="0" t="0" r="5715" b="0"/>
          <wp:docPr id="16" name="Picture 16" descr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arliamentary Budget Offi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6D"/>
    <w:multiLevelType w:val="multilevel"/>
    <w:tmpl w:val="B0064A26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68B37FE"/>
    <w:multiLevelType w:val="multilevel"/>
    <w:tmpl w:val="2CA8A22A"/>
    <w:name w:val="Bullets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hint="default" w:ascii="Calibri" w:hAnsi="Calibri"/>
        <w:b w:val="0"/>
        <w:i w:val="0"/>
        <w:color w:val="auto"/>
        <w:position w:val="0"/>
        <w:sz w:val="22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hint="default" w:ascii="Calibri" w:hAnsi="Calibri"/>
        <w:b w:val="0"/>
        <w:i w:val="0"/>
        <w:color w:val="auto"/>
        <w:position w:val="0"/>
        <w:sz w:val="22"/>
      </w:rPr>
    </w:lvl>
    <w:lvl w:ilvl="2">
      <w:start w:val="1"/>
      <w:numFmt w:val="bullet"/>
      <w:lvlText w:val=""/>
      <w:lvlJc w:val="left"/>
      <w:pPr>
        <w:tabs>
          <w:tab w:val="num" w:pos="1361"/>
        </w:tabs>
        <w:ind w:left="1361" w:hanging="454"/>
      </w:pPr>
      <w:rPr>
        <w:rFonts w:hint="default" w:ascii="Wingdings" w:hAnsi="Wingdings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 w15:restartNumberingAfterBreak="0">
    <w:nsid w:val="0D745448"/>
    <w:multiLevelType w:val="multilevel"/>
    <w:tmpl w:val="B9B27878"/>
    <w:name w:val="PBO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3" w15:restartNumberingAfterBreak="0">
    <w:nsid w:val="0DF118F3"/>
    <w:multiLevelType w:val="hybridMultilevel"/>
    <w:tmpl w:val="0BC4D812"/>
    <w:lvl w:ilvl="0" w:tplc="1AB634D8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724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0E645256"/>
    <w:multiLevelType w:val="multilevel"/>
    <w:tmpl w:val="75FCCD40"/>
    <w:styleLink w:val="AttachementsNumbered"/>
    <w:lvl w:ilvl="0">
      <w:start w:val="1"/>
      <w:numFmt w:val="upperLetter"/>
      <w:pStyle w:val="Heading8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C41F3F"/>
    <w:multiLevelType w:val="hybridMultilevel"/>
    <w:tmpl w:val="F9AE2B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2522AD"/>
    <w:multiLevelType w:val="hybridMultilevel"/>
    <w:tmpl w:val="EBE670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9778B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9778B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hint="default" w:ascii="Symbol" w:hAnsi="Symbol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hint="default" w:ascii="Symbol" w:hAnsi="Symbol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hint="default" w:ascii="Symbol" w:hAnsi="Symbol"/>
        <w:position w:val="2"/>
        <w:sz w:val="20"/>
        <w:szCs w:val="20"/>
      </w:rPr>
    </w:lvl>
  </w:abstractNum>
  <w:abstractNum w:abstractNumId="9" w15:restartNumberingAfterBreak="0">
    <w:nsid w:val="15E92E39"/>
    <w:multiLevelType w:val="multilevel"/>
    <w:tmpl w:val="6C6E19E4"/>
    <w:styleLink w:val="NormalNumberedParas"/>
    <w:lvl w:ilvl="0">
      <w:start w:val="1"/>
      <w:numFmt w:val="decimal"/>
      <w:pStyle w:val="NormalNumbered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4A695C"/>
    <w:multiLevelType w:val="multilevel"/>
    <w:tmpl w:val="9710D28A"/>
    <w:name w:val="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hint="default" w:ascii="Calibri" w:hAnsi="Calibri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hint="default" w:ascii="Times New Roman" w:hAnsi="Times New Roman" w:cs="Times New Roman"/>
        <w:b w:val="0"/>
        <w:i w:val="0"/>
        <w:color w:val="auto"/>
        <w:sz w:val="20"/>
        <w:szCs w:val="18"/>
      </w:rPr>
    </w:lvl>
    <w:lvl w:ilvl="2">
      <w:start w:val="1"/>
      <w:numFmt w:val="bullet"/>
      <w:lvlText w:val=""/>
      <w:lvlJc w:val="left"/>
      <w:pPr>
        <w:tabs>
          <w:tab w:val="num" w:pos="624"/>
        </w:tabs>
        <w:ind w:left="624" w:hanging="170"/>
      </w:pPr>
      <w:rPr>
        <w:rFonts w:hint="default" w:ascii="Wingdings" w:hAnsi="Wingdings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1" w15:restartNumberingAfterBreak="0">
    <w:nsid w:val="19F1618D"/>
    <w:multiLevelType w:val="multilevel"/>
    <w:tmpl w:val="DB9A36FA"/>
    <w:styleLink w:val="List1Numbered"/>
    <w:lvl w:ilvl="0">
      <w:start w:val="1"/>
      <w:numFmt w:val="decimal"/>
      <w:pStyle w:val="List1Numbered1"/>
      <w:lvlText w:val="%1."/>
      <w:lvlJc w:val="left"/>
      <w:pPr>
        <w:ind w:left="851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1135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D514BC"/>
    <w:multiLevelType w:val="hybridMultilevel"/>
    <w:tmpl w:val="C10EEC9C"/>
    <w:lvl w:ilvl="0" w:tplc="71BE18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0F2CCE"/>
    <w:multiLevelType w:val="multilevel"/>
    <w:tmpl w:val="DB9A36FA"/>
    <w:numStyleLink w:val="List1Numbered"/>
  </w:abstractNum>
  <w:abstractNum w:abstractNumId="16" w15:restartNumberingAfterBreak="0">
    <w:nsid w:val="2C72580B"/>
    <w:multiLevelType w:val="multilevel"/>
    <w:tmpl w:val="A1605A0E"/>
    <w:name w:val="PullOutNumbering"/>
    <w:lvl w:ilvl="0">
      <w:start w:val="1"/>
      <w:numFmt w:val="decimal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677F8"/>
    <w:multiLevelType w:val="hybridMultilevel"/>
    <w:tmpl w:val="14F42B0A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1AB634D8">
      <w:start w:val="1"/>
      <w:numFmt w:val="bullet"/>
      <w:lvlText w:val=""/>
      <w:lvlJc w:val="left"/>
      <w:pPr>
        <w:ind w:left="1724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6CB5"/>
    <w:multiLevelType w:val="multilevel"/>
    <w:tmpl w:val="BEA69D4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8723AD4"/>
    <w:multiLevelType w:val="multilevel"/>
    <w:tmpl w:val="CC2400A2"/>
    <w:name w:val="PullOutBullets"/>
    <w:lvl w:ilvl="0">
      <w:start w:val="1"/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hint="default" w:ascii="Calibri" w:hAnsi="Calibri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hint="default" w:ascii="Calibri" w:hAnsi="Calibri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304"/>
        </w:tabs>
        <w:ind w:left="1304" w:hanging="340"/>
      </w:pPr>
      <w:rPr>
        <w:rFonts w:hint="default" w:ascii="Wingdings" w:hAnsi="Wingdings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91A6322"/>
    <w:multiLevelType w:val="multilevel"/>
    <w:tmpl w:val="F5B0E266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EE22FBA"/>
    <w:multiLevelType w:val="hybridMultilevel"/>
    <w:tmpl w:val="5B0C32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396E59"/>
    <w:multiLevelType w:val="multilevel"/>
    <w:tmpl w:val="4624390C"/>
    <w:styleLink w:val="Boxed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hint="default" w:ascii="Arial" w:hAnsi="Arial"/>
        <w:color w:val="9778B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hint="default" w:ascii="Arial" w:hAnsi="Arial"/>
        <w:color w:val="9778B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B34C1"/>
    <w:multiLevelType w:val="multilevel"/>
    <w:tmpl w:val="B0064A26"/>
    <w:numStyleLink w:val="DefaultBullets"/>
  </w:abstractNum>
  <w:abstractNum w:abstractNumId="26" w15:restartNumberingAfterBreak="0">
    <w:nsid w:val="483F501A"/>
    <w:multiLevelType w:val="multilevel"/>
    <w:tmpl w:val="75FCCD40"/>
    <w:numStyleLink w:val="AttachementsNumbered"/>
  </w:abstractNum>
  <w:abstractNum w:abstractNumId="27" w15:restartNumberingAfterBreak="0">
    <w:nsid w:val="4A793F1C"/>
    <w:multiLevelType w:val="hybridMultilevel"/>
    <w:tmpl w:val="B42212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0540A9"/>
    <w:multiLevelType w:val="multilevel"/>
    <w:tmpl w:val="1A6297E2"/>
    <w:lvl w:ilvl="0">
      <w:start w:val="1"/>
      <w:numFmt w:val="upperLetter"/>
      <w:lvlRestart w:val="0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31" w15:restartNumberingAfterBreak="0">
    <w:nsid w:val="65262A39"/>
    <w:multiLevelType w:val="hybridMultilevel"/>
    <w:tmpl w:val="8AC2DF44"/>
    <w:lvl w:ilvl="0" w:tplc="F886F750">
      <w:start w:val="1"/>
      <w:numFmt w:val="bullet"/>
      <w:pStyle w:val="Bullet3"/>
      <w:lvlText w:val=""/>
      <w:lvlJc w:val="left"/>
      <w:pPr>
        <w:ind w:left="927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 w15:restartNumberingAfterBreak="0">
    <w:nsid w:val="6D1D40AC"/>
    <w:multiLevelType w:val="multilevel"/>
    <w:tmpl w:val="D18C6390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250B03"/>
    <w:multiLevelType w:val="multilevel"/>
    <w:tmpl w:val="5796740A"/>
    <w:name w:val="QuoteBullets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color w:val="auto"/>
        <w:sz w:val="18"/>
      </w:rPr>
    </w:lvl>
    <w:lvl w:ilvl="1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hint="default" w:ascii="Calibri" w:hAnsi="Calibri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hint="default" w:ascii="Calibri" w:hAnsi="Calibri"/>
        <w:color w:val="9778B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hint="default" w:ascii="Symbol" w:hAnsi="Symbol"/>
      </w:rPr>
    </w:lvl>
  </w:abstractNum>
  <w:abstractNum w:abstractNumId="34" w15:restartNumberingAfterBreak="0">
    <w:nsid w:val="738A4D83"/>
    <w:multiLevelType w:val="multilevel"/>
    <w:tmpl w:val="B0064A26"/>
    <w:styleLink w:val="DefaultBullets"/>
    <w:lvl w:ilvl="0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»"/>
      <w:lvlJc w:val="left"/>
      <w:pPr>
        <w:ind w:left="1419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35" w15:restartNumberingAfterBreak="0">
    <w:nsid w:val="74257580"/>
    <w:multiLevelType w:val="hybridMultilevel"/>
    <w:tmpl w:val="026AFE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9B26E9"/>
    <w:multiLevelType w:val="multilevel"/>
    <w:tmpl w:val="DCD2EBC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7839021E"/>
    <w:multiLevelType w:val="multilevel"/>
    <w:tmpl w:val="C186E662"/>
    <w:name w:val="ListNumbering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005670988">
    <w:abstractNumId w:val="28"/>
  </w:num>
  <w:num w:numId="2" w16cid:durableId="934553114">
    <w:abstractNumId w:val="4"/>
  </w:num>
  <w:num w:numId="3" w16cid:durableId="1086926638">
    <w:abstractNumId w:val="23"/>
  </w:num>
  <w:num w:numId="4" w16cid:durableId="218327147">
    <w:abstractNumId w:val="34"/>
  </w:num>
  <w:num w:numId="5" w16cid:durableId="1614484092">
    <w:abstractNumId w:val="11"/>
  </w:num>
  <w:num w:numId="6" w16cid:durableId="304162077">
    <w:abstractNumId w:val="9"/>
  </w:num>
  <w:num w:numId="7" w16cid:durableId="1292325537">
    <w:abstractNumId w:val="29"/>
  </w:num>
  <w:num w:numId="8" w16cid:durableId="753938754">
    <w:abstractNumId w:val="28"/>
  </w:num>
  <w:num w:numId="9" w16cid:durableId="488982839">
    <w:abstractNumId w:val="23"/>
  </w:num>
  <w:num w:numId="10" w16cid:durableId="1131480151">
    <w:abstractNumId w:val="25"/>
  </w:num>
  <w:num w:numId="11" w16cid:durableId="96758592">
    <w:abstractNumId w:val="12"/>
  </w:num>
  <w:num w:numId="12" w16cid:durableId="1918586685">
    <w:abstractNumId w:val="26"/>
  </w:num>
  <w:num w:numId="13" w16cid:durableId="1180850040">
    <w:abstractNumId w:val="30"/>
  </w:num>
  <w:num w:numId="14" w16cid:durableId="1253512116">
    <w:abstractNumId w:val="7"/>
  </w:num>
  <w:num w:numId="15" w16cid:durableId="1071855454">
    <w:abstractNumId w:val="15"/>
  </w:num>
  <w:num w:numId="16" w16cid:durableId="873662161">
    <w:abstractNumId w:val="9"/>
  </w:num>
  <w:num w:numId="17" w16cid:durableId="130369967">
    <w:abstractNumId w:val="29"/>
  </w:num>
  <w:num w:numId="18" w16cid:durableId="1534609760">
    <w:abstractNumId w:val="18"/>
  </w:num>
  <w:num w:numId="19" w16cid:durableId="878930699">
    <w:abstractNumId w:val="14"/>
  </w:num>
  <w:num w:numId="20" w16cid:durableId="766116047">
    <w:abstractNumId w:val="31"/>
  </w:num>
  <w:num w:numId="21" w16cid:durableId="1471436559">
    <w:abstractNumId w:val="8"/>
  </w:num>
  <w:num w:numId="22" w16cid:durableId="1063719223">
    <w:abstractNumId w:val="17"/>
  </w:num>
  <w:num w:numId="23" w16cid:durableId="341978478">
    <w:abstractNumId w:val="13"/>
  </w:num>
  <w:num w:numId="24" w16cid:durableId="567231661">
    <w:abstractNumId w:val="0"/>
  </w:num>
  <w:num w:numId="25" w16cid:durableId="1552380907">
    <w:abstractNumId w:val="36"/>
  </w:num>
  <w:num w:numId="26" w16cid:durableId="335962427">
    <w:abstractNumId w:val="22"/>
  </w:num>
  <w:num w:numId="27" w16cid:durableId="1806242540">
    <w:abstractNumId w:val="21"/>
  </w:num>
  <w:num w:numId="28" w16cid:durableId="247278319">
    <w:abstractNumId w:val="19"/>
  </w:num>
  <w:num w:numId="29" w16cid:durableId="240263224">
    <w:abstractNumId w:val="6"/>
  </w:num>
  <w:num w:numId="30" w16cid:durableId="964240011">
    <w:abstractNumId w:val="35"/>
  </w:num>
  <w:num w:numId="31" w16cid:durableId="1674338352">
    <w:abstractNumId w:val="27"/>
  </w:num>
  <w:num w:numId="32" w16cid:durableId="1372919653">
    <w:abstractNumId w:val="5"/>
  </w:num>
  <w:num w:numId="33" w16cid:durableId="2118140514">
    <w:abstractNumId w:val="3"/>
  </w:num>
  <w:numIdMacAtCleanup w:val="2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3F2CCE"/>
    <w:rsid w:val="0000071C"/>
    <w:rsid w:val="00000EC3"/>
    <w:rsid w:val="0000165B"/>
    <w:rsid w:val="00002F7E"/>
    <w:rsid w:val="0000322C"/>
    <w:rsid w:val="00003CDD"/>
    <w:rsid w:val="00003D1E"/>
    <w:rsid w:val="000061EA"/>
    <w:rsid w:val="00006A64"/>
    <w:rsid w:val="000071A7"/>
    <w:rsid w:val="000100AC"/>
    <w:rsid w:val="0001071D"/>
    <w:rsid w:val="0001081B"/>
    <w:rsid w:val="000111D3"/>
    <w:rsid w:val="00011E34"/>
    <w:rsid w:val="00012209"/>
    <w:rsid w:val="0001294F"/>
    <w:rsid w:val="00013325"/>
    <w:rsid w:val="00013620"/>
    <w:rsid w:val="00013805"/>
    <w:rsid w:val="0001406F"/>
    <w:rsid w:val="00014362"/>
    <w:rsid w:val="00014492"/>
    <w:rsid w:val="00014577"/>
    <w:rsid w:val="000155D9"/>
    <w:rsid w:val="000155F0"/>
    <w:rsid w:val="00015E04"/>
    <w:rsid w:val="00015F6E"/>
    <w:rsid w:val="000168A7"/>
    <w:rsid w:val="00016D53"/>
    <w:rsid w:val="00016DB0"/>
    <w:rsid w:val="00017236"/>
    <w:rsid w:val="00020D01"/>
    <w:rsid w:val="0002159A"/>
    <w:rsid w:val="00023A2C"/>
    <w:rsid w:val="00025713"/>
    <w:rsid w:val="000265CA"/>
    <w:rsid w:val="00026E2C"/>
    <w:rsid w:val="0002704F"/>
    <w:rsid w:val="000273E4"/>
    <w:rsid w:val="00027507"/>
    <w:rsid w:val="000278D0"/>
    <w:rsid w:val="00027E62"/>
    <w:rsid w:val="000307C8"/>
    <w:rsid w:val="00030F73"/>
    <w:rsid w:val="000311C9"/>
    <w:rsid w:val="00031D78"/>
    <w:rsid w:val="00031F93"/>
    <w:rsid w:val="00033326"/>
    <w:rsid w:val="000337F6"/>
    <w:rsid w:val="00033FDF"/>
    <w:rsid w:val="00034E4E"/>
    <w:rsid w:val="00035A1C"/>
    <w:rsid w:val="00035ADE"/>
    <w:rsid w:val="00035BEB"/>
    <w:rsid w:val="00036464"/>
    <w:rsid w:val="00037C9F"/>
    <w:rsid w:val="00037F3E"/>
    <w:rsid w:val="000413C7"/>
    <w:rsid w:val="0004200F"/>
    <w:rsid w:val="0004224B"/>
    <w:rsid w:val="00043953"/>
    <w:rsid w:val="0004397E"/>
    <w:rsid w:val="00043B24"/>
    <w:rsid w:val="00044286"/>
    <w:rsid w:val="00044710"/>
    <w:rsid w:val="0004481C"/>
    <w:rsid w:val="00044D4D"/>
    <w:rsid w:val="0004562A"/>
    <w:rsid w:val="000461F3"/>
    <w:rsid w:val="00046226"/>
    <w:rsid w:val="000505FB"/>
    <w:rsid w:val="00050DD9"/>
    <w:rsid w:val="00051E38"/>
    <w:rsid w:val="00052054"/>
    <w:rsid w:val="0005299F"/>
    <w:rsid w:val="0005330D"/>
    <w:rsid w:val="00053DF7"/>
    <w:rsid w:val="000557A7"/>
    <w:rsid w:val="00055805"/>
    <w:rsid w:val="00055D84"/>
    <w:rsid w:val="00056CB3"/>
    <w:rsid w:val="00056F91"/>
    <w:rsid w:val="0005793B"/>
    <w:rsid w:val="00061758"/>
    <w:rsid w:val="00062DB1"/>
    <w:rsid w:val="00062FF9"/>
    <w:rsid w:val="00063461"/>
    <w:rsid w:val="00065125"/>
    <w:rsid w:val="00065751"/>
    <w:rsid w:val="000657C2"/>
    <w:rsid w:val="000658AB"/>
    <w:rsid w:val="00066507"/>
    <w:rsid w:val="00066A50"/>
    <w:rsid w:val="00066D54"/>
    <w:rsid w:val="00066D65"/>
    <w:rsid w:val="00067A28"/>
    <w:rsid w:val="00071A14"/>
    <w:rsid w:val="0007260F"/>
    <w:rsid w:val="00072DA6"/>
    <w:rsid w:val="0007341D"/>
    <w:rsid w:val="000737F3"/>
    <w:rsid w:val="000739CB"/>
    <w:rsid w:val="00073C89"/>
    <w:rsid w:val="00073E0C"/>
    <w:rsid w:val="0007488E"/>
    <w:rsid w:val="00075193"/>
    <w:rsid w:val="00075D20"/>
    <w:rsid w:val="00077648"/>
    <w:rsid w:val="000805D5"/>
    <w:rsid w:val="00080C95"/>
    <w:rsid w:val="00080CAE"/>
    <w:rsid w:val="0008103B"/>
    <w:rsid w:val="000815C2"/>
    <w:rsid w:val="00082447"/>
    <w:rsid w:val="00082558"/>
    <w:rsid w:val="0008287A"/>
    <w:rsid w:val="00082A5B"/>
    <w:rsid w:val="000830F6"/>
    <w:rsid w:val="000838E4"/>
    <w:rsid w:val="00084572"/>
    <w:rsid w:val="00085F97"/>
    <w:rsid w:val="00087777"/>
    <w:rsid w:val="000879B1"/>
    <w:rsid w:val="0009236E"/>
    <w:rsid w:val="000928B7"/>
    <w:rsid w:val="00092A33"/>
    <w:rsid w:val="00092D4E"/>
    <w:rsid w:val="00093075"/>
    <w:rsid w:val="00093A62"/>
    <w:rsid w:val="00094689"/>
    <w:rsid w:val="00095C36"/>
    <w:rsid w:val="000973D3"/>
    <w:rsid w:val="000973F9"/>
    <w:rsid w:val="00097A23"/>
    <w:rsid w:val="000A032E"/>
    <w:rsid w:val="000A0848"/>
    <w:rsid w:val="000A0ABB"/>
    <w:rsid w:val="000A13CB"/>
    <w:rsid w:val="000A16CC"/>
    <w:rsid w:val="000A1758"/>
    <w:rsid w:val="000A1CB5"/>
    <w:rsid w:val="000A2B2F"/>
    <w:rsid w:val="000A2FEC"/>
    <w:rsid w:val="000A348F"/>
    <w:rsid w:val="000A3D22"/>
    <w:rsid w:val="000A491B"/>
    <w:rsid w:val="000A4FEE"/>
    <w:rsid w:val="000A5E2E"/>
    <w:rsid w:val="000A74CA"/>
    <w:rsid w:val="000A7A31"/>
    <w:rsid w:val="000B15CE"/>
    <w:rsid w:val="000B1B0C"/>
    <w:rsid w:val="000B2ED8"/>
    <w:rsid w:val="000B383A"/>
    <w:rsid w:val="000B4345"/>
    <w:rsid w:val="000B4EC7"/>
    <w:rsid w:val="000B50DF"/>
    <w:rsid w:val="000B5900"/>
    <w:rsid w:val="000B60AE"/>
    <w:rsid w:val="000B6509"/>
    <w:rsid w:val="000B6942"/>
    <w:rsid w:val="000B6D00"/>
    <w:rsid w:val="000B70EC"/>
    <w:rsid w:val="000C0418"/>
    <w:rsid w:val="000C09FA"/>
    <w:rsid w:val="000C0EE1"/>
    <w:rsid w:val="000C1AB0"/>
    <w:rsid w:val="000C275A"/>
    <w:rsid w:val="000C37A9"/>
    <w:rsid w:val="000C5336"/>
    <w:rsid w:val="000C59B1"/>
    <w:rsid w:val="000C5C24"/>
    <w:rsid w:val="000C6728"/>
    <w:rsid w:val="000C702E"/>
    <w:rsid w:val="000D15E9"/>
    <w:rsid w:val="000D1BC6"/>
    <w:rsid w:val="000D22EC"/>
    <w:rsid w:val="000D2606"/>
    <w:rsid w:val="000D2D99"/>
    <w:rsid w:val="000D3182"/>
    <w:rsid w:val="000D3228"/>
    <w:rsid w:val="000D45C4"/>
    <w:rsid w:val="000D46B3"/>
    <w:rsid w:val="000D4AAC"/>
    <w:rsid w:val="000D51A3"/>
    <w:rsid w:val="000E1090"/>
    <w:rsid w:val="000E13D4"/>
    <w:rsid w:val="000E1782"/>
    <w:rsid w:val="000E1863"/>
    <w:rsid w:val="000E18F3"/>
    <w:rsid w:val="000E19AC"/>
    <w:rsid w:val="000E2197"/>
    <w:rsid w:val="000E24DA"/>
    <w:rsid w:val="000E266E"/>
    <w:rsid w:val="000E29A3"/>
    <w:rsid w:val="000E29CD"/>
    <w:rsid w:val="000E40BF"/>
    <w:rsid w:val="000E4C7B"/>
    <w:rsid w:val="000E59DC"/>
    <w:rsid w:val="000E5FD9"/>
    <w:rsid w:val="000E616F"/>
    <w:rsid w:val="000E7723"/>
    <w:rsid w:val="000F1515"/>
    <w:rsid w:val="000F16B5"/>
    <w:rsid w:val="000F2F74"/>
    <w:rsid w:val="000F350D"/>
    <w:rsid w:val="000F40EB"/>
    <w:rsid w:val="000F431E"/>
    <w:rsid w:val="000F5149"/>
    <w:rsid w:val="000F532E"/>
    <w:rsid w:val="000F616E"/>
    <w:rsid w:val="000F71CF"/>
    <w:rsid w:val="000F7804"/>
    <w:rsid w:val="000F7D50"/>
    <w:rsid w:val="000F7E09"/>
    <w:rsid w:val="00101242"/>
    <w:rsid w:val="001015C4"/>
    <w:rsid w:val="00102C38"/>
    <w:rsid w:val="00102FF7"/>
    <w:rsid w:val="00104F42"/>
    <w:rsid w:val="00107AD8"/>
    <w:rsid w:val="0011019D"/>
    <w:rsid w:val="00110D43"/>
    <w:rsid w:val="0011292C"/>
    <w:rsid w:val="00113D8D"/>
    <w:rsid w:val="00114138"/>
    <w:rsid w:val="00114884"/>
    <w:rsid w:val="00114966"/>
    <w:rsid w:val="001159EA"/>
    <w:rsid w:val="00115E87"/>
    <w:rsid w:val="00117AD5"/>
    <w:rsid w:val="00120A75"/>
    <w:rsid w:val="001213B1"/>
    <w:rsid w:val="00121E10"/>
    <w:rsid w:val="001221F3"/>
    <w:rsid w:val="00122BD9"/>
    <w:rsid w:val="00122CC7"/>
    <w:rsid w:val="001234C9"/>
    <w:rsid w:val="00124209"/>
    <w:rsid w:val="00124F41"/>
    <w:rsid w:val="00125410"/>
    <w:rsid w:val="00126E0A"/>
    <w:rsid w:val="001276DB"/>
    <w:rsid w:val="0013011D"/>
    <w:rsid w:val="00130858"/>
    <w:rsid w:val="00131028"/>
    <w:rsid w:val="00131861"/>
    <w:rsid w:val="0013191B"/>
    <w:rsid w:val="001332E4"/>
    <w:rsid w:val="001337A7"/>
    <w:rsid w:val="00134BA9"/>
    <w:rsid w:val="0013512C"/>
    <w:rsid w:val="00135767"/>
    <w:rsid w:val="00136C26"/>
    <w:rsid w:val="00136D1F"/>
    <w:rsid w:val="001378DE"/>
    <w:rsid w:val="00137BEF"/>
    <w:rsid w:val="0014059F"/>
    <w:rsid w:val="00141551"/>
    <w:rsid w:val="001417CE"/>
    <w:rsid w:val="00141DC7"/>
    <w:rsid w:val="001420BA"/>
    <w:rsid w:val="00142F8C"/>
    <w:rsid w:val="00143EBA"/>
    <w:rsid w:val="0014418A"/>
    <w:rsid w:val="0014479F"/>
    <w:rsid w:val="0014505C"/>
    <w:rsid w:val="00146851"/>
    <w:rsid w:val="00146B30"/>
    <w:rsid w:val="00146EAD"/>
    <w:rsid w:val="0014787E"/>
    <w:rsid w:val="0015002D"/>
    <w:rsid w:val="00150FF1"/>
    <w:rsid w:val="0015146A"/>
    <w:rsid w:val="00151563"/>
    <w:rsid w:val="001517F1"/>
    <w:rsid w:val="00151937"/>
    <w:rsid w:val="00151972"/>
    <w:rsid w:val="00151A16"/>
    <w:rsid w:val="001523F5"/>
    <w:rsid w:val="001530F4"/>
    <w:rsid w:val="0015346B"/>
    <w:rsid w:val="00154016"/>
    <w:rsid w:val="001541BF"/>
    <w:rsid w:val="00154DC5"/>
    <w:rsid w:val="001550DF"/>
    <w:rsid w:val="00156AB1"/>
    <w:rsid w:val="00160C8D"/>
    <w:rsid w:val="001616E8"/>
    <w:rsid w:val="001629C0"/>
    <w:rsid w:val="0016339B"/>
    <w:rsid w:val="00163F5E"/>
    <w:rsid w:val="00165122"/>
    <w:rsid w:val="001654FA"/>
    <w:rsid w:val="00165854"/>
    <w:rsid w:val="00165BE9"/>
    <w:rsid w:val="00166078"/>
    <w:rsid w:val="0016698A"/>
    <w:rsid w:val="00166A15"/>
    <w:rsid w:val="00167A05"/>
    <w:rsid w:val="00170AC1"/>
    <w:rsid w:val="00170DC8"/>
    <w:rsid w:val="001711BC"/>
    <w:rsid w:val="0017179C"/>
    <w:rsid w:val="00171B93"/>
    <w:rsid w:val="001721D0"/>
    <w:rsid w:val="001738DB"/>
    <w:rsid w:val="001738F5"/>
    <w:rsid w:val="00173BC5"/>
    <w:rsid w:val="00173CBC"/>
    <w:rsid w:val="00173DFD"/>
    <w:rsid w:val="00174BAF"/>
    <w:rsid w:val="001751E0"/>
    <w:rsid w:val="00177613"/>
    <w:rsid w:val="00177CFA"/>
    <w:rsid w:val="00180FF9"/>
    <w:rsid w:val="0018232F"/>
    <w:rsid w:val="0018324A"/>
    <w:rsid w:val="001841BB"/>
    <w:rsid w:val="001844A3"/>
    <w:rsid w:val="00186246"/>
    <w:rsid w:val="00186791"/>
    <w:rsid w:val="00187303"/>
    <w:rsid w:val="001876DE"/>
    <w:rsid w:val="00187716"/>
    <w:rsid w:val="00187ABB"/>
    <w:rsid w:val="00190BE1"/>
    <w:rsid w:val="00191D93"/>
    <w:rsid w:val="0019204F"/>
    <w:rsid w:val="00192153"/>
    <w:rsid w:val="0019319A"/>
    <w:rsid w:val="00193ACB"/>
    <w:rsid w:val="00195228"/>
    <w:rsid w:val="00195696"/>
    <w:rsid w:val="00196532"/>
    <w:rsid w:val="00196637"/>
    <w:rsid w:val="001967B2"/>
    <w:rsid w:val="00197002"/>
    <w:rsid w:val="00197065"/>
    <w:rsid w:val="001979AC"/>
    <w:rsid w:val="00197B2F"/>
    <w:rsid w:val="001A0200"/>
    <w:rsid w:val="001A1EFC"/>
    <w:rsid w:val="001A25BC"/>
    <w:rsid w:val="001A381D"/>
    <w:rsid w:val="001A389E"/>
    <w:rsid w:val="001A39A3"/>
    <w:rsid w:val="001A48EF"/>
    <w:rsid w:val="001A49CC"/>
    <w:rsid w:val="001A532E"/>
    <w:rsid w:val="001A5553"/>
    <w:rsid w:val="001A716E"/>
    <w:rsid w:val="001A7B24"/>
    <w:rsid w:val="001B0B4C"/>
    <w:rsid w:val="001B18C6"/>
    <w:rsid w:val="001B2014"/>
    <w:rsid w:val="001B25FE"/>
    <w:rsid w:val="001B2C65"/>
    <w:rsid w:val="001B2DF8"/>
    <w:rsid w:val="001B3847"/>
    <w:rsid w:val="001B3BA2"/>
    <w:rsid w:val="001B4255"/>
    <w:rsid w:val="001B5C41"/>
    <w:rsid w:val="001B6F58"/>
    <w:rsid w:val="001B7058"/>
    <w:rsid w:val="001C109B"/>
    <w:rsid w:val="001C1D40"/>
    <w:rsid w:val="001C2CB1"/>
    <w:rsid w:val="001C3A4F"/>
    <w:rsid w:val="001C4121"/>
    <w:rsid w:val="001C48DE"/>
    <w:rsid w:val="001C5BB1"/>
    <w:rsid w:val="001C6103"/>
    <w:rsid w:val="001C6881"/>
    <w:rsid w:val="001C6ED4"/>
    <w:rsid w:val="001C75A2"/>
    <w:rsid w:val="001C7A03"/>
    <w:rsid w:val="001C7F8D"/>
    <w:rsid w:val="001D0BE4"/>
    <w:rsid w:val="001D1425"/>
    <w:rsid w:val="001D15CD"/>
    <w:rsid w:val="001D1817"/>
    <w:rsid w:val="001D202A"/>
    <w:rsid w:val="001D23CA"/>
    <w:rsid w:val="001D24D2"/>
    <w:rsid w:val="001D30C1"/>
    <w:rsid w:val="001D4F9A"/>
    <w:rsid w:val="001D5007"/>
    <w:rsid w:val="001D52E3"/>
    <w:rsid w:val="001D576F"/>
    <w:rsid w:val="001D590E"/>
    <w:rsid w:val="001D6F1B"/>
    <w:rsid w:val="001D7C29"/>
    <w:rsid w:val="001D7C9F"/>
    <w:rsid w:val="001E0475"/>
    <w:rsid w:val="001E2096"/>
    <w:rsid w:val="001E2B2D"/>
    <w:rsid w:val="001E3189"/>
    <w:rsid w:val="001E33C2"/>
    <w:rsid w:val="001E43A8"/>
    <w:rsid w:val="001E55FD"/>
    <w:rsid w:val="001E5BD5"/>
    <w:rsid w:val="001E6F66"/>
    <w:rsid w:val="001E708A"/>
    <w:rsid w:val="001E7233"/>
    <w:rsid w:val="001E7BA4"/>
    <w:rsid w:val="001E7F74"/>
    <w:rsid w:val="001F2034"/>
    <w:rsid w:val="001F2AAD"/>
    <w:rsid w:val="001F2C25"/>
    <w:rsid w:val="001F3CD8"/>
    <w:rsid w:val="001F3F23"/>
    <w:rsid w:val="001F57AF"/>
    <w:rsid w:val="001F5AA8"/>
    <w:rsid w:val="001F5C90"/>
    <w:rsid w:val="001F5CB3"/>
    <w:rsid w:val="001F691D"/>
    <w:rsid w:val="001F6ECC"/>
    <w:rsid w:val="001F767C"/>
    <w:rsid w:val="001F7B10"/>
    <w:rsid w:val="00201EAE"/>
    <w:rsid w:val="002024E3"/>
    <w:rsid w:val="00202CFC"/>
    <w:rsid w:val="00202DC7"/>
    <w:rsid w:val="00202E21"/>
    <w:rsid w:val="002034C4"/>
    <w:rsid w:val="00203856"/>
    <w:rsid w:val="00203A7B"/>
    <w:rsid w:val="00203E0E"/>
    <w:rsid w:val="002057EF"/>
    <w:rsid w:val="00205A8D"/>
    <w:rsid w:val="00205C6E"/>
    <w:rsid w:val="00205EDB"/>
    <w:rsid w:val="00207CFF"/>
    <w:rsid w:val="00207F43"/>
    <w:rsid w:val="00210074"/>
    <w:rsid w:val="00210507"/>
    <w:rsid w:val="00210624"/>
    <w:rsid w:val="00210FCF"/>
    <w:rsid w:val="00211BF7"/>
    <w:rsid w:val="00212305"/>
    <w:rsid w:val="00212658"/>
    <w:rsid w:val="00212C5C"/>
    <w:rsid w:val="00213B33"/>
    <w:rsid w:val="00214153"/>
    <w:rsid w:val="0021562A"/>
    <w:rsid w:val="002162A0"/>
    <w:rsid w:val="0021639F"/>
    <w:rsid w:val="002179B6"/>
    <w:rsid w:val="00222350"/>
    <w:rsid w:val="00222EFF"/>
    <w:rsid w:val="0022341C"/>
    <w:rsid w:val="002240D5"/>
    <w:rsid w:val="0022525C"/>
    <w:rsid w:val="00225CA4"/>
    <w:rsid w:val="00225D1D"/>
    <w:rsid w:val="00225E1E"/>
    <w:rsid w:val="002261A7"/>
    <w:rsid w:val="00226AEC"/>
    <w:rsid w:val="0023027C"/>
    <w:rsid w:val="0023077A"/>
    <w:rsid w:val="00230932"/>
    <w:rsid w:val="00230AD4"/>
    <w:rsid w:val="00230CCD"/>
    <w:rsid w:val="00231E86"/>
    <w:rsid w:val="00231EB0"/>
    <w:rsid w:val="00233774"/>
    <w:rsid w:val="00235326"/>
    <w:rsid w:val="00235C95"/>
    <w:rsid w:val="002361CD"/>
    <w:rsid w:val="002372FC"/>
    <w:rsid w:val="002434D4"/>
    <w:rsid w:val="00244028"/>
    <w:rsid w:val="0024426C"/>
    <w:rsid w:val="0024429D"/>
    <w:rsid w:val="00245664"/>
    <w:rsid w:val="00245748"/>
    <w:rsid w:val="00245C66"/>
    <w:rsid w:val="00246E30"/>
    <w:rsid w:val="00251602"/>
    <w:rsid w:val="0025197D"/>
    <w:rsid w:val="00251F51"/>
    <w:rsid w:val="002520AC"/>
    <w:rsid w:val="002526B6"/>
    <w:rsid w:val="00252763"/>
    <w:rsid w:val="00252BDC"/>
    <w:rsid w:val="00253DE7"/>
    <w:rsid w:val="002545F3"/>
    <w:rsid w:val="00254EB8"/>
    <w:rsid w:val="002559FB"/>
    <w:rsid w:val="00255AB7"/>
    <w:rsid w:val="0025726E"/>
    <w:rsid w:val="00257BC8"/>
    <w:rsid w:val="00260B56"/>
    <w:rsid w:val="002617C3"/>
    <w:rsid w:val="0026257E"/>
    <w:rsid w:val="002628EC"/>
    <w:rsid w:val="0026344F"/>
    <w:rsid w:val="00263603"/>
    <w:rsid w:val="002636AE"/>
    <w:rsid w:val="00263DFF"/>
    <w:rsid w:val="00264FF4"/>
    <w:rsid w:val="00265524"/>
    <w:rsid w:val="002662C5"/>
    <w:rsid w:val="00266338"/>
    <w:rsid w:val="00266A17"/>
    <w:rsid w:val="00266EDF"/>
    <w:rsid w:val="002676BA"/>
    <w:rsid w:val="00267A98"/>
    <w:rsid w:val="00267EC4"/>
    <w:rsid w:val="00270372"/>
    <w:rsid w:val="00270409"/>
    <w:rsid w:val="00271397"/>
    <w:rsid w:val="002718AB"/>
    <w:rsid w:val="0027243C"/>
    <w:rsid w:val="00274314"/>
    <w:rsid w:val="00274C55"/>
    <w:rsid w:val="00274C60"/>
    <w:rsid w:val="00274F8E"/>
    <w:rsid w:val="00275534"/>
    <w:rsid w:val="0027659D"/>
    <w:rsid w:val="00276606"/>
    <w:rsid w:val="00277075"/>
    <w:rsid w:val="002775D2"/>
    <w:rsid w:val="0028060B"/>
    <w:rsid w:val="00280D9A"/>
    <w:rsid w:val="00281A57"/>
    <w:rsid w:val="00281A7A"/>
    <w:rsid w:val="00281ADD"/>
    <w:rsid w:val="00281E10"/>
    <w:rsid w:val="00284010"/>
    <w:rsid w:val="0028476E"/>
    <w:rsid w:val="0028563E"/>
    <w:rsid w:val="0028566F"/>
    <w:rsid w:val="002865C0"/>
    <w:rsid w:val="00286F9F"/>
    <w:rsid w:val="0028735E"/>
    <w:rsid w:val="00287823"/>
    <w:rsid w:val="0028792D"/>
    <w:rsid w:val="00290458"/>
    <w:rsid w:val="0029180D"/>
    <w:rsid w:val="00291B2E"/>
    <w:rsid w:val="00293E0D"/>
    <w:rsid w:val="00293E80"/>
    <w:rsid w:val="002973B0"/>
    <w:rsid w:val="00297C14"/>
    <w:rsid w:val="002A0650"/>
    <w:rsid w:val="002A0DDF"/>
    <w:rsid w:val="002A220F"/>
    <w:rsid w:val="002A2348"/>
    <w:rsid w:val="002A2449"/>
    <w:rsid w:val="002A24F1"/>
    <w:rsid w:val="002A2B0F"/>
    <w:rsid w:val="002A33F4"/>
    <w:rsid w:val="002A43A0"/>
    <w:rsid w:val="002A47D3"/>
    <w:rsid w:val="002A5778"/>
    <w:rsid w:val="002A5C14"/>
    <w:rsid w:val="002A6993"/>
    <w:rsid w:val="002A6E3B"/>
    <w:rsid w:val="002A75EA"/>
    <w:rsid w:val="002B0685"/>
    <w:rsid w:val="002B18C3"/>
    <w:rsid w:val="002B1C24"/>
    <w:rsid w:val="002B1E84"/>
    <w:rsid w:val="002B2085"/>
    <w:rsid w:val="002B2C47"/>
    <w:rsid w:val="002B2EE2"/>
    <w:rsid w:val="002B3EC4"/>
    <w:rsid w:val="002B60BE"/>
    <w:rsid w:val="002B62B7"/>
    <w:rsid w:val="002B6D27"/>
    <w:rsid w:val="002B75B4"/>
    <w:rsid w:val="002C00C3"/>
    <w:rsid w:val="002C09B9"/>
    <w:rsid w:val="002C0C8E"/>
    <w:rsid w:val="002C37D5"/>
    <w:rsid w:val="002C46B2"/>
    <w:rsid w:val="002C4DA6"/>
    <w:rsid w:val="002C56B6"/>
    <w:rsid w:val="002C60A0"/>
    <w:rsid w:val="002D0BAB"/>
    <w:rsid w:val="002D18E1"/>
    <w:rsid w:val="002D239A"/>
    <w:rsid w:val="002D33E7"/>
    <w:rsid w:val="002D34DB"/>
    <w:rsid w:val="002D48BE"/>
    <w:rsid w:val="002D4B11"/>
    <w:rsid w:val="002D6423"/>
    <w:rsid w:val="002D767F"/>
    <w:rsid w:val="002D7775"/>
    <w:rsid w:val="002E0904"/>
    <w:rsid w:val="002E0CD6"/>
    <w:rsid w:val="002E1C96"/>
    <w:rsid w:val="002E1EA9"/>
    <w:rsid w:val="002E4CD8"/>
    <w:rsid w:val="002E4F0B"/>
    <w:rsid w:val="002E515E"/>
    <w:rsid w:val="002E5633"/>
    <w:rsid w:val="002E5CE6"/>
    <w:rsid w:val="002E6659"/>
    <w:rsid w:val="002E6FF4"/>
    <w:rsid w:val="002E7A91"/>
    <w:rsid w:val="002E7B1C"/>
    <w:rsid w:val="002F0ECB"/>
    <w:rsid w:val="002F0FC0"/>
    <w:rsid w:val="002F1452"/>
    <w:rsid w:val="002F1963"/>
    <w:rsid w:val="002F1B0D"/>
    <w:rsid w:val="002F1FE2"/>
    <w:rsid w:val="002F4299"/>
    <w:rsid w:val="002F4C06"/>
    <w:rsid w:val="002F5B6E"/>
    <w:rsid w:val="002F61B5"/>
    <w:rsid w:val="002F6A8A"/>
    <w:rsid w:val="002F712F"/>
    <w:rsid w:val="002F78A6"/>
    <w:rsid w:val="00300066"/>
    <w:rsid w:val="00300906"/>
    <w:rsid w:val="00300EFD"/>
    <w:rsid w:val="00301880"/>
    <w:rsid w:val="0030209B"/>
    <w:rsid w:val="00302CB6"/>
    <w:rsid w:val="003049B5"/>
    <w:rsid w:val="00304FEF"/>
    <w:rsid w:val="003067C7"/>
    <w:rsid w:val="00310CF4"/>
    <w:rsid w:val="00310DB2"/>
    <w:rsid w:val="003116DE"/>
    <w:rsid w:val="003117AA"/>
    <w:rsid w:val="003122E8"/>
    <w:rsid w:val="00312494"/>
    <w:rsid w:val="003127E4"/>
    <w:rsid w:val="00312C42"/>
    <w:rsid w:val="00313215"/>
    <w:rsid w:val="00313DA1"/>
    <w:rsid w:val="00313ED2"/>
    <w:rsid w:val="00314883"/>
    <w:rsid w:val="00314ED9"/>
    <w:rsid w:val="00315164"/>
    <w:rsid w:val="00315D7B"/>
    <w:rsid w:val="00315DCF"/>
    <w:rsid w:val="00316CEA"/>
    <w:rsid w:val="00317042"/>
    <w:rsid w:val="00317179"/>
    <w:rsid w:val="00317482"/>
    <w:rsid w:val="003174C3"/>
    <w:rsid w:val="00317585"/>
    <w:rsid w:val="0032154A"/>
    <w:rsid w:val="00321F18"/>
    <w:rsid w:val="003229EE"/>
    <w:rsid w:val="003230D5"/>
    <w:rsid w:val="00323EDB"/>
    <w:rsid w:val="00324863"/>
    <w:rsid w:val="003249D9"/>
    <w:rsid w:val="00325332"/>
    <w:rsid w:val="0032557A"/>
    <w:rsid w:val="00325BF1"/>
    <w:rsid w:val="0032604F"/>
    <w:rsid w:val="0032667D"/>
    <w:rsid w:val="00326E3E"/>
    <w:rsid w:val="003276E1"/>
    <w:rsid w:val="00330433"/>
    <w:rsid w:val="00330559"/>
    <w:rsid w:val="00330622"/>
    <w:rsid w:val="0033085E"/>
    <w:rsid w:val="00330F9F"/>
    <w:rsid w:val="003318BA"/>
    <w:rsid w:val="00331990"/>
    <w:rsid w:val="003322FC"/>
    <w:rsid w:val="0033266B"/>
    <w:rsid w:val="003326F7"/>
    <w:rsid w:val="00332A8A"/>
    <w:rsid w:val="00333B4E"/>
    <w:rsid w:val="00335435"/>
    <w:rsid w:val="003362B9"/>
    <w:rsid w:val="0033656B"/>
    <w:rsid w:val="0033705C"/>
    <w:rsid w:val="00337415"/>
    <w:rsid w:val="00337BDC"/>
    <w:rsid w:val="00337C04"/>
    <w:rsid w:val="003404D2"/>
    <w:rsid w:val="003405F5"/>
    <w:rsid w:val="00340778"/>
    <w:rsid w:val="003407B9"/>
    <w:rsid w:val="00342319"/>
    <w:rsid w:val="00343205"/>
    <w:rsid w:val="00343582"/>
    <w:rsid w:val="00343B43"/>
    <w:rsid w:val="00343DD3"/>
    <w:rsid w:val="00344D2C"/>
    <w:rsid w:val="00345269"/>
    <w:rsid w:val="003458CE"/>
    <w:rsid w:val="00345A57"/>
    <w:rsid w:val="00345D84"/>
    <w:rsid w:val="00346600"/>
    <w:rsid w:val="00346D90"/>
    <w:rsid w:val="00346F91"/>
    <w:rsid w:val="003507C3"/>
    <w:rsid w:val="00351F62"/>
    <w:rsid w:val="003520DA"/>
    <w:rsid w:val="003547AE"/>
    <w:rsid w:val="0035590F"/>
    <w:rsid w:val="00356087"/>
    <w:rsid w:val="003575B4"/>
    <w:rsid w:val="00357844"/>
    <w:rsid w:val="0035792C"/>
    <w:rsid w:val="003601F4"/>
    <w:rsid w:val="00360AAD"/>
    <w:rsid w:val="00361150"/>
    <w:rsid w:val="0036126D"/>
    <w:rsid w:val="00363609"/>
    <w:rsid w:val="003658FC"/>
    <w:rsid w:val="003671E2"/>
    <w:rsid w:val="00367620"/>
    <w:rsid w:val="00367A67"/>
    <w:rsid w:val="00367E61"/>
    <w:rsid w:val="00370320"/>
    <w:rsid w:val="00371344"/>
    <w:rsid w:val="003715F0"/>
    <w:rsid w:val="00371A6E"/>
    <w:rsid w:val="00371D72"/>
    <w:rsid w:val="003720E4"/>
    <w:rsid w:val="00372AE6"/>
    <w:rsid w:val="00373755"/>
    <w:rsid w:val="00374354"/>
    <w:rsid w:val="00374E86"/>
    <w:rsid w:val="00375F04"/>
    <w:rsid w:val="00376C3A"/>
    <w:rsid w:val="0038082C"/>
    <w:rsid w:val="0038083D"/>
    <w:rsid w:val="0038088A"/>
    <w:rsid w:val="003837E1"/>
    <w:rsid w:val="00383A7A"/>
    <w:rsid w:val="0038542D"/>
    <w:rsid w:val="0038584D"/>
    <w:rsid w:val="00385FA0"/>
    <w:rsid w:val="0038606B"/>
    <w:rsid w:val="003862F5"/>
    <w:rsid w:val="00387BB7"/>
    <w:rsid w:val="00390075"/>
    <w:rsid w:val="003907E3"/>
    <w:rsid w:val="00390A39"/>
    <w:rsid w:val="00390FBE"/>
    <w:rsid w:val="003912B4"/>
    <w:rsid w:val="00391CB4"/>
    <w:rsid w:val="00392456"/>
    <w:rsid w:val="0039257F"/>
    <w:rsid w:val="00392E0A"/>
    <w:rsid w:val="0039305C"/>
    <w:rsid w:val="0039307E"/>
    <w:rsid w:val="003931DE"/>
    <w:rsid w:val="00394E9E"/>
    <w:rsid w:val="003965E8"/>
    <w:rsid w:val="003966CD"/>
    <w:rsid w:val="00397696"/>
    <w:rsid w:val="003976C7"/>
    <w:rsid w:val="00397D1A"/>
    <w:rsid w:val="003A0B7B"/>
    <w:rsid w:val="003A163C"/>
    <w:rsid w:val="003A1932"/>
    <w:rsid w:val="003A219F"/>
    <w:rsid w:val="003A2B4E"/>
    <w:rsid w:val="003A2E2B"/>
    <w:rsid w:val="003A2FBB"/>
    <w:rsid w:val="003A31C2"/>
    <w:rsid w:val="003A34E7"/>
    <w:rsid w:val="003A353A"/>
    <w:rsid w:val="003A3799"/>
    <w:rsid w:val="003A4913"/>
    <w:rsid w:val="003A54A9"/>
    <w:rsid w:val="003A62A5"/>
    <w:rsid w:val="003A6358"/>
    <w:rsid w:val="003A7083"/>
    <w:rsid w:val="003B046F"/>
    <w:rsid w:val="003B047D"/>
    <w:rsid w:val="003B0598"/>
    <w:rsid w:val="003B0F5B"/>
    <w:rsid w:val="003B2191"/>
    <w:rsid w:val="003B2252"/>
    <w:rsid w:val="003B2CF2"/>
    <w:rsid w:val="003B3103"/>
    <w:rsid w:val="003B38B3"/>
    <w:rsid w:val="003B39B8"/>
    <w:rsid w:val="003B3A97"/>
    <w:rsid w:val="003B3AAD"/>
    <w:rsid w:val="003B3D44"/>
    <w:rsid w:val="003B47BC"/>
    <w:rsid w:val="003B5354"/>
    <w:rsid w:val="003B66AF"/>
    <w:rsid w:val="003B7085"/>
    <w:rsid w:val="003B754F"/>
    <w:rsid w:val="003C2540"/>
    <w:rsid w:val="003C2991"/>
    <w:rsid w:val="003C2C30"/>
    <w:rsid w:val="003C3DE1"/>
    <w:rsid w:val="003C414C"/>
    <w:rsid w:val="003C63F7"/>
    <w:rsid w:val="003C6BB5"/>
    <w:rsid w:val="003C6D26"/>
    <w:rsid w:val="003C6DE7"/>
    <w:rsid w:val="003C7CC2"/>
    <w:rsid w:val="003C7D80"/>
    <w:rsid w:val="003D1508"/>
    <w:rsid w:val="003D16FE"/>
    <w:rsid w:val="003D18DE"/>
    <w:rsid w:val="003D3379"/>
    <w:rsid w:val="003D3750"/>
    <w:rsid w:val="003D385A"/>
    <w:rsid w:val="003D40B5"/>
    <w:rsid w:val="003D434E"/>
    <w:rsid w:val="003D4AE7"/>
    <w:rsid w:val="003D50B6"/>
    <w:rsid w:val="003D661A"/>
    <w:rsid w:val="003D764B"/>
    <w:rsid w:val="003D7EB1"/>
    <w:rsid w:val="003E016A"/>
    <w:rsid w:val="003E0333"/>
    <w:rsid w:val="003E05DF"/>
    <w:rsid w:val="003E12D0"/>
    <w:rsid w:val="003E1562"/>
    <w:rsid w:val="003E1A3B"/>
    <w:rsid w:val="003E1CA0"/>
    <w:rsid w:val="003E1D45"/>
    <w:rsid w:val="003E2402"/>
    <w:rsid w:val="003E3616"/>
    <w:rsid w:val="003E41B2"/>
    <w:rsid w:val="003E4660"/>
    <w:rsid w:val="003E50F2"/>
    <w:rsid w:val="003E6085"/>
    <w:rsid w:val="003E627E"/>
    <w:rsid w:val="003E647F"/>
    <w:rsid w:val="003E6CA3"/>
    <w:rsid w:val="003E6DCF"/>
    <w:rsid w:val="003E73DA"/>
    <w:rsid w:val="003F0E71"/>
    <w:rsid w:val="003F1078"/>
    <w:rsid w:val="003F29B6"/>
    <w:rsid w:val="003F2CCE"/>
    <w:rsid w:val="003F3031"/>
    <w:rsid w:val="003F3B2D"/>
    <w:rsid w:val="003F3F2F"/>
    <w:rsid w:val="003F4C96"/>
    <w:rsid w:val="003F5457"/>
    <w:rsid w:val="00400755"/>
    <w:rsid w:val="00400A89"/>
    <w:rsid w:val="00400AAD"/>
    <w:rsid w:val="0040174A"/>
    <w:rsid w:val="00401AB7"/>
    <w:rsid w:val="00401C49"/>
    <w:rsid w:val="00404848"/>
    <w:rsid w:val="004049CD"/>
    <w:rsid w:val="00404CFE"/>
    <w:rsid w:val="00405699"/>
    <w:rsid w:val="00406002"/>
    <w:rsid w:val="00406AD3"/>
    <w:rsid w:val="00410137"/>
    <w:rsid w:val="00410389"/>
    <w:rsid w:val="0041039D"/>
    <w:rsid w:val="00410731"/>
    <w:rsid w:val="0041137F"/>
    <w:rsid w:val="004118FE"/>
    <w:rsid w:val="004122B1"/>
    <w:rsid w:val="004128D3"/>
    <w:rsid w:val="00412E42"/>
    <w:rsid w:val="00413A64"/>
    <w:rsid w:val="00413EC1"/>
    <w:rsid w:val="00414A13"/>
    <w:rsid w:val="0041559E"/>
    <w:rsid w:val="00415776"/>
    <w:rsid w:val="00415A29"/>
    <w:rsid w:val="00417184"/>
    <w:rsid w:val="00417350"/>
    <w:rsid w:val="00417569"/>
    <w:rsid w:val="00420382"/>
    <w:rsid w:val="0042112A"/>
    <w:rsid w:val="00423619"/>
    <w:rsid w:val="0042397B"/>
    <w:rsid w:val="00423A91"/>
    <w:rsid w:val="00423DC3"/>
    <w:rsid w:val="00424F2B"/>
    <w:rsid w:val="00425534"/>
    <w:rsid w:val="00425C05"/>
    <w:rsid w:val="00426356"/>
    <w:rsid w:val="00426929"/>
    <w:rsid w:val="00427C93"/>
    <w:rsid w:val="0043133C"/>
    <w:rsid w:val="004313FA"/>
    <w:rsid w:val="004314F0"/>
    <w:rsid w:val="004324F1"/>
    <w:rsid w:val="00433D11"/>
    <w:rsid w:val="004342B0"/>
    <w:rsid w:val="004343E7"/>
    <w:rsid w:val="00434722"/>
    <w:rsid w:val="00434BB3"/>
    <w:rsid w:val="00435183"/>
    <w:rsid w:val="00435F80"/>
    <w:rsid w:val="00436E5B"/>
    <w:rsid w:val="004377BE"/>
    <w:rsid w:val="00437869"/>
    <w:rsid w:val="004378CC"/>
    <w:rsid w:val="00437AAF"/>
    <w:rsid w:val="00437DB4"/>
    <w:rsid w:val="00440108"/>
    <w:rsid w:val="00440683"/>
    <w:rsid w:val="0044121D"/>
    <w:rsid w:val="004418A3"/>
    <w:rsid w:val="00441A6D"/>
    <w:rsid w:val="00441E0B"/>
    <w:rsid w:val="00441E0C"/>
    <w:rsid w:val="004422A7"/>
    <w:rsid w:val="00442C16"/>
    <w:rsid w:val="00443E3A"/>
    <w:rsid w:val="00444648"/>
    <w:rsid w:val="00445410"/>
    <w:rsid w:val="00445F48"/>
    <w:rsid w:val="00445F62"/>
    <w:rsid w:val="00446439"/>
    <w:rsid w:val="004464DE"/>
    <w:rsid w:val="00447439"/>
    <w:rsid w:val="004508B0"/>
    <w:rsid w:val="00450BDA"/>
    <w:rsid w:val="00451CBF"/>
    <w:rsid w:val="00452370"/>
    <w:rsid w:val="0045259E"/>
    <w:rsid w:val="00452ADB"/>
    <w:rsid w:val="00452C0E"/>
    <w:rsid w:val="00453A3E"/>
    <w:rsid w:val="00453BD3"/>
    <w:rsid w:val="0045452F"/>
    <w:rsid w:val="00454728"/>
    <w:rsid w:val="00455B02"/>
    <w:rsid w:val="0045646F"/>
    <w:rsid w:val="00457159"/>
    <w:rsid w:val="004572E9"/>
    <w:rsid w:val="0045766B"/>
    <w:rsid w:val="00457EA9"/>
    <w:rsid w:val="00457EAC"/>
    <w:rsid w:val="00460930"/>
    <w:rsid w:val="004618A2"/>
    <w:rsid w:val="00462CD9"/>
    <w:rsid w:val="00463E58"/>
    <w:rsid w:val="0046444F"/>
    <w:rsid w:val="00464FF9"/>
    <w:rsid w:val="004657B1"/>
    <w:rsid w:val="00467B95"/>
    <w:rsid w:val="004716E3"/>
    <w:rsid w:val="00471F99"/>
    <w:rsid w:val="00472502"/>
    <w:rsid w:val="00474241"/>
    <w:rsid w:val="00474471"/>
    <w:rsid w:val="00474503"/>
    <w:rsid w:val="00474BB7"/>
    <w:rsid w:val="00475CD7"/>
    <w:rsid w:val="00475F5A"/>
    <w:rsid w:val="00476133"/>
    <w:rsid w:val="00476521"/>
    <w:rsid w:val="00476800"/>
    <w:rsid w:val="00477841"/>
    <w:rsid w:val="00477AE7"/>
    <w:rsid w:val="00477DAD"/>
    <w:rsid w:val="004809D8"/>
    <w:rsid w:val="0048158B"/>
    <w:rsid w:val="004816D7"/>
    <w:rsid w:val="004820A7"/>
    <w:rsid w:val="0048215B"/>
    <w:rsid w:val="00482208"/>
    <w:rsid w:val="00482F63"/>
    <w:rsid w:val="0048342E"/>
    <w:rsid w:val="00483FD2"/>
    <w:rsid w:val="00484CC6"/>
    <w:rsid w:val="00484FE3"/>
    <w:rsid w:val="00485108"/>
    <w:rsid w:val="00485FEA"/>
    <w:rsid w:val="00487027"/>
    <w:rsid w:val="00487478"/>
    <w:rsid w:val="0048782D"/>
    <w:rsid w:val="0048797A"/>
    <w:rsid w:val="00487A99"/>
    <w:rsid w:val="00490640"/>
    <w:rsid w:val="00490873"/>
    <w:rsid w:val="00491703"/>
    <w:rsid w:val="00492074"/>
    <w:rsid w:val="00492F78"/>
    <w:rsid w:val="00493801"/>
    <w:rsid w:val="0049411B"/>
    <w:rsid w:val="00494774"/>
    <w:rsid w:val="00494893"/>
    <w:rsid w:val="00494DC1"/>
    <w:rsid w:val="00495CF2"/>
    <w:rsid w:val="0049607C"/>
    <w:rsid w:val="004967DC"/>
    <w:rsid w:val="004A083E"/>
    <w:rsid w:val="004A0C8A"/>
    <w:rsid w:val="004A1939"/>
    <w:rsid w:val="004A2552"/>
    <w:rsid w:val="004A2DB4"/>
    <w:rsid w:val="004A2E11"/>
    <w:rsid w:val="004A3101"/>
    <w:rsid w:val="004A3F56"/>
    <w:rsid w:val="004A454D"/>
    <w:rsid w:val="004A4BB2"/>
    <w:rsid w:val="004A4F1C"/>
    <w:rsid w:val="004A51A4"/>
    <w:rsid w:val="004A54A3"/>
    <w:rsid w:val="004A5C33"/>
    <w:rsid w:val="004A5E21"/>
    <w:rsid w:val="004A666A"/>
    <w:rsid w:val="004A6B3D"/>
    <w:rsid w:val="004A7D4E"/>
    <w:rsid w:val="004A7F75"/>
    <w:rsid w:val="004B0649"/>
    <w:rsid w:val="004B0666"/>
    <w:rsid w:val="004B0BD8"/>
    <w:rsid w:val="004B143F"/>
    <w:rsid w:val="004B2153"/>
    <w:rsid w:val="004B3022"/>
    <w:rsid w:val="004B3E70"/>
    <w:rsid w:val="004B49A0"/>
    <w:rsid w:val="004B52AF"/>
    <w:rsid w:val="004B65E7"/>
    <w:rsid w:val="004B6C2D"/>
    <w:rsid w:val="004B6CA0"/>
    <w:rsid w:val="004C054C"/>
    <w:rsid w:val="004C0DFC"/>
    <w:rsid w:val="004C17D5"/>
    <w:rsid w:val="004C1EA4"/>
    <w:rsid w:val="004C36C1"/>
    <w:rsid w:val="004C3BDA"/>
    <w:rsid w:val="004C58FA"/>
    <w:rsid w:val="004C60D2"/>
    <w:rsid w:val="004C6306"/>
    <w:rsid w:val="004C6F5E"/>
    <w:rsid w:val="004C7BF5"/>
    <w:rsid w:val="004C7E94"/>
    <w:rsid w:val="004D0396"/>
    <w:rsid w:val="004D0445"/>
    <w:rsid w:val="004D08EB"/>
    <w:rsid w:val="004D0DB5"/>
    <w:rsid w:val="004D2801"/>
    <w:rsid w:val="004D2B7C"/>
    <w:rsid w:val="004D2DBD"/>
    <w:rsid w:val="004D3793"/>
    <w:rsid w:val="004D4551"/>
    <w:rsid w:val="004D5493"/>
    <w:rsid w:val="004D57BB"/>
    <w:rsid w:val="004D5A64"/>
    <w:rsid w:val="004D6D6F"/>
    <w:rsid w:val="004D7A63"/>
    <w:rsid w:val="004D7CF8"/>
    <w:rsid w:val="004D7EDA"/>
    <w:rsid w:val="004E0E49"/>
    <w:rsid w:val="004E1528"/>
    <w:rsid w:val="004E197A"/>
    <w:rsid w:val="004E2070"/>
    <w:rsid w:val="004E22E8"/>
    <w:rsid w:val="004E24ED"/>
    <w:rsid w:val="004E28DF"/>
    <w:rsid w:val="004E2A5F"/>
    <w:rsid w:val="004E2FC0"/>
    <w:rsid w:val="004E467F"/>
    <w:rsid w:val="004E5154"/>
    <w:rsid w:val="004E5D52"/>
    <w:rsid w:val="004E5D64"/>
    <w:rsid w:val="004E7977"/>
    <w:rsid w:val="004F0573"/>
    <w:rsid w:val="004F07D7"/>
    <w:rsid w:val="004F0E44"/>
    <w:rsid w:val="004F1297"/>
    <w:rsid w:val="004F16DB"/>
    <w:rsid w:val="004F1AB0"/>
    <w:rsid w:val="004F4D7E"/>
    <w:rsid w:val="004F5B16"/>
    <w:rsid w:val="004F5D9D"/>
    <w:rsid w:val="004F5F28"/>
    <w:rsid w:val="004F6438"/>
    <w:rsid w:val="004F68E5"/>
    <w:rsid w:val="004F6AFB"/>
    <w:rsid w:val="004F7037"/>
    <w:rsid w:val="004F741B"/>
    <w:rsid w:val="004F7584"/>
    <w:rsid w:val="0050043F"/>
    <w:rsid w:val="00500F08"/>
    <w:rsid w:val="00501134"/>
    <w:rsid w:val="00501215"/>
    <w:rsid w:val="0050132A"/>
    <w:rsid w:val="0050184A"/>
    <w:rsid w:val="00503253"/>
    <w:rsid w:val="00503784"/>
    <w:rsid w:val="00503BB0"/>
    <w:rsid w:val="00503E03"/>
    <w:rsid w:val="00504846"/>
    <w:rsid w:val="00504A66"/>
    <w:rsid w:val="0050565C"/>
    <w:rsid w:val="005060E3"/>
    <w:rsid w:val="00506A64"/>
    <w:rsid w:val="005070E3"/>
    <w:rsid w:val="00507F8A"/>
    <w:rsid w:val="00511150"/>
    <w:rsid w:val="00511A02"/>
    <w:rsid w:val="00511CBD"/>
    <w:rsid w:val="00511F0B"/>
    <w:rsid w:val="00512226"/>
    <w:rsid w:val="00512B31"/>
    <w:rsid w:val="00514218"/>
    <w:rsid w:val="005147B9"/>
    <w:rsid w:val="005147C6"/>
    <w:rsid w:val="005159B1"/>
    <w:rsid w:val="00515DF5"/>
    <w:rsid w:val="00516230"/>
    <w:rsid w:val="00517094"/>
    <w:rsid w:val="005170CF"/>
    <w:rsid w:val="005207CE"/>
    <w:rsid w:val="00522502"/>
    <w:rsid w:val="00522530"/>
    <w:rsid w:val="00523F18"/>
    <w:rsid w:val="00524F5F"/>
    <w:rsid w:val="005255A1"/>
    <w:rsid w:val="00525825"/>
    <w:rsid w:val="0052641C"/>
    <w:rsid w:val="0052712B"/>
    <w:rsid w:val="00530879"/>
    <w:rsid w:val="005311C2"/>
    <w:rsid w:val="0053173A"/>
    <w:rsid w:val="0053176D"/>
    <w:rsid w:val="005319E9"/>
    <w:rsid w:val="005320F7"/>
    <w:rsid w:val="005338AC"/>
    <w:rsid w:val="0053449C"/>
    <w:rsid w:val="00534F03"/>
    <w:rsid w:val="00535C84"/>
    <w:rsid w:val="00536039"/>
    <w:rsid w:val="005366F7"/>
    <w:rsid w:val="00536C74"/>
    <w:rsid w:val="0053795D"/>
    <w:rsid w:val="00540401"/>
    <w:rsid w:val="005415C7"/>
    <w:rsid w:val="00541A25"/>
    <w:rsid w:val="005420C5"/>
    <w:rsid w:val="0054343E"/>
    <w:rsid w:val="00543F5D"/>
    <w:rsid w:val="005444A6"/>
    <w:rsid w:val="00544522"/>
    <w:rsid w:val="00544C21"/>
    <w:rsid w:val="00545A5E"/>
    <w:rsid w:val="00545B16"/>
    <w:rsid w:val="00545D37"/>
    <w:rsid w:val="005467E2"/>
    <w:rsid w:val="005468AB"/>
    <w:rsid w:val="00547017"/>
    <w:rsid w:val="005479D2"/>
    <w:rsid w:val="005501A0"/>
    <w:rsid w:val="005501BA"/>
    <w:rsid w:val="0055026B"/>
    <w:rsid w:val="00550831"/>
    <w:rsid w:val="00550A6C"/>
    <w:rsid w:val="005525B0"/>
    <w:rsid w:val="00552FA2"/>
    <w:rsid w:val="00553367"/>
    <w:rsid w:val="00554273"/>
    <w:rsid w:val="00554F3F"/>
    <w:rsid w:val="0055507C"/>
    <w:rsid w:val="00556A08"/>
    <w:rsid w:val="0056001A"/>
    <w:rsid w:val="005618CF"/>
    <w:rsid w:val="00561B60"/>
    <w:rsid w:val="00563970"/>
    <w:rsid w:val="00563CAA"/>
    <w:rsid w:val="005642B6"/>
    <w:rsid w:val="00564CA6"/>
    <w:rsid w:val="00564D2D"/>
    <w:rsid w:val="00565656"/>
    <w:rsid w:val="00566150"/>
    <w:rsid w:val="00566411"/>
    <w:rsid w:val="00566A97"/>
    <w:rsid w:val="005673E7"/>
    <w:rsid w:val="00567860"/>
    <w:rsid w:val="00567B21"/>
    <w:rsid w:val="005706CE"/>
    <w:rsid w:val="005708F5"/>
    <w:rsid w:val="005713B5"/>
    <w:rsid w:val="00571B7F"/>
    <w:rsid w:val="00571D5E"/>
    <w:rsid w:val="00572E87"/>
    <w:rsid w:val="00573316"/>
    <w:rsid w:val="0057341D"/>
    <w:rsid w:val="00573EA3"/>
    <w:rsid w:val="00574052"/>
    <w:rsid w:val="00576609"/>
    <w:rsid w:val="00577A65"/>
    <w:rsid w:val="00580386"/>
    <w:rsid w:val="00580656"/>
    <w:rsid w:val="005814CA"/>
    <w:rsid w:val="005818FF"/>
    <w:rsid w:val="0058229F"/>
    <w:rsid w:val="005823D0"/>
    <w:rsid w:val="0058294A"/>
    <w:rsid w:val="00582D54"/>
    <w:rsid w:val="00583AAF"/>
    <w:rsid w:val="00583AD5"/>
    <w:rsid w:val="00583C65"/>
    <w:rsid w:val="00583D54"/>
    <w:rsid w:val="005840A3"/>
    <w:rsid w:val="00587AF9"/>
    <w:rsid w:val="005903E1"/>
    <w:rsid w:val="00591171"/>
    <w:rsid w:val="00592223"/>
    <w:rsid w:val="005924D3"/>
    <w:rsid w:val="0059282B"/>
    <w:rsid w:val="00593784"/>
    <w:rsid w:val="00593BDD"/>
    <w:rsid w:val="0059438F"/>
    <w:rsid w:val="005962D5"/>
    <w:rsid w:val="005979D8"/>
    <w:rsid w:val="005A2748"/>
    <w:rsid w:val="005A27FA"/>
    <w:rsid w:val="005A3ED8"/>
    <w:rsid w:val="005A443F"/>
    <w:rsid w:val="005A5215"/>
    <w:rsid w:val="005A6014"/>
    <w:rsid w:val="005A61D8"/>
    <w:rsid w:val="005A687C"/>
    <w:rsid w:val="005A79B4"/>
    <w:rsid w:val="005A7C26"/>
    <w:rsid w:val="005B08D6"/>
    <w:rsid w:val="005B0970"/>
    <w:rsid w:val="005B0DCE"/>
    <w:rsid w:val="005B0DD6"/>
    <w:rsid w:val="005B0E43"/>
    <w:rsid w:val="005B0F07"/>
    <w:rsid w:val="005B14F6"/>
    <w:rsid w:val="005B214F"/>
    <w:rsid w:val="005B298E"/>
    <w:rsid w:val="005B4116"/>
    <w:rsid w:val="005B54F9"/>
    <w:rsid w:val="005B558E"/>
    <w:rsid w:val="005B58D4"/>
    <w:rsid w:val="005B5B58"/>
    <w:rsid w:val="005B6012"/>
    <w:rsid w:val="005B626A"/>
    <w:rsid w:val="005B6812"/>
    <w:rsid w:val="005B78F1"/>
    <w:rsid w:val="005B7D92"/>
    <w:rsid w:val="005B7DC9"/>
    <w:rsid w:val="005B7E9D"/>
    <w:rsid w:val="005C02BE"/>
    <w:rsid w:val="005C0490"/>
    <w:rsid w:val="005C07B3"/>
    <w:rsid w:val="005C0E99"/>
    <w:rsid w:val="005C284E"/>
    <w:rsid w:val="005C3E26"/>
    <w:rsid w:val="005C47D4"/>
    <w:rsid w:val="005C5606"/>
    <w:rsid w:val="005C65D1"/>
    <w:rsid w:val="005C76CD"/>
    <w:rsid w:val="005D0DA4"/>
    <w:rsid w:val="005D1566"/>
    <w:rsid w:val="005D1A01"/>
    <w:rsid w:val="005D1E91"/>
    <w:rsid w:val="005D2248"/>
    <w:rsid w:val="005D2672"/>
    <w:rsid w:val="005D2EAB"/>
    <w:rsid w:val="005D3A80"/>
    <w:rsid w:val="005D4690"/>
    <w:rsid w:val="005D48EA"/>
    <w:rsid w:val="005D51D0"/>
    <w:rsid w:val="005D55C3"/>
    <w:rsid w:val="005D59D7"/>
    <w:rsid w:val="005D61F1"/>
    <w:rsid w:val="005D6B96"/>
    <w:rsid w:val="005D6F83"/>
    <w:rsid w:val="005D73F6"/>
    <w:rsid w:val="005D75BF"/>
    <w:rsid w:val="005D7877"/>
    <w:rsid w:val="005D7B5B"/>
    <w:rsid w:val="005D7CCF"/>
    <w:rsid w:val="005D7CF5"/>
    <w:rsid w:val="005E0339"/>
    <w:rsid w:val="005E04CF"/>
    <w:rsid w:val="005E268C"/>
    <w:rsid w:val="005E4C0C"/>
    <w:rsid w:val="005E4E67"/>
    <w:rsid w:val="005E5602"/>
    <w:rsid w:val="005E58C4"/>
    <w:rsid w:val="005E5D8F"/>
    <w:rsid w:val="005E63F8"/>
    <w:rsid w:val="005E68C5"/>
    <w:rsid w:val="005E71CE"/>
    <w:rsid w:val="005E78AE"/>
    <w:rsid w:val="005F06EB"/>
    <w:rsid w:val="005F0707"/>
    <w:rsid w:val="005F0A77"/>
    <w:rsid w:val="005F3060"/>
    <w:rsid w:val="005F30F9"/>
    <w:rsid w:val="005F5698"/>
    <w:rsid w:val="005F5A5C"/>
    <w:rsid w:val="005F5CD9"/>
    <w:rsid w:val="00602664"/>
    <w:rsid w:val="00603E75"/>
    <w:rsid w:val="00606629"/>
    <w:rsid w:val="0060737C"/>
    <w:rsid w:val="00607E9E"/>
    <w:rsid w:val="0061109C"/>
    <w:rsid w:val="0061135C"/>
    <w:rsid w:val="006136DD"/>
    <w:rsid w:val="006149F0"/>
    <w:rsid w:val="00614B5E"/>
    <w:rsid w:val="00615FF2"/>
    <w:rsid w:val="00616642"/>
    <w:rsid w:val="0061684B"/>
    <w:rsid w:val="006168ED"/>
    <w:rsid w:val="00617691"/>
    <w:rsid w:val="00620F59"/>
    <w:rsid w:val="006216AC"/>
    <w:rsid w:val="006220A5"/>
    <w:rsid w:val="006227BC"/>
    <w:rsid w:val="00622D86"/>
    <w:rsid w:val="0062369B"/>
    <w:rsid w:val="006238C5"/>
    <w:rsid w:val="006238C8"/>
    <w:rsid w:val="00624334"/>
    <w:rsid w:val="00624AC8"/>
    <w:rsid w:val="00624D9A"/>
    <w:rsid w:val="006255FB"/>
    <w:rsid w:val="00625D2D"/>
    <w:rsid w:val="006262CF"/>
    <w:rsid w:val="006262FE"/>
    <w:rsid w:val="0062658A"/>
    <w:rsid w:val="00627B55"/>
    <w:rsid w:val="006311DA"/>
    <w:rsid w:val="00631378"/>
    <w:rsid w:val="006321B2"/>
    <w:rsid w:val="00633812"/>
    <w:rsid w:val="00633A61"/>
    <w:rsid w:val="00633BF5"/>
    <w:rsid w:val="00633C60"/>
    <w:rsid w:val="0063425B"/>
    <w:rsid w:val="006350EF"/>
    <w:rsid w:val="006354EF"/>
    <w:rsid w:val="0063711B"/>
    <w:rsid w:val="00637FD5"/>
    <w:rsid w:val="006403F4"/>
    <w:rsid w:val="0064126D"/>
    <w:rsid w:val="0064166F"/>
    <w:rsid w:val="00641C41"/>
    <w:rsid w:val="00642899"/>
    <w:rsid w:val="00643173"/>
    <w:rsid w:val="00643B82"/>
    <w:rsid w:val="00643D68"/>
    <w:rsid w:val="00644104"/>
    <w:rsid w:val="0064418A"/>
    <w:rsid w:val="006442B0"/>
    <w:rsid w:val="00644E2E"/>
    <w:rsid w:val="006451B8"/>
    <w:rsid w:val="00645722"/>
    <w:rsid w:val="0064672D"/>
    <w:rsid w:val="0064683B"/>
    <w:rsid w:val="00646C95"/>
    <w:rsid w:val="0064778C"/>
    <w:rsid w:val="006509C3"/>
    <w:rsid w:val="00651201"/>
    <w:rsid w:val="006518DA"/>
    <w:rsid w:val="006521C1"/>
    <w:rsid w:val="00652369"/>
    <w:rsid w:val="00652432"/>
    <w:rsid w:val="0065266C"/>
    <w:rsid w:val="006540FA"/>
    <w:rsid w:val="00654B51"/>
    <w:rsid w:val="00654EB1"/>
    <w:rsid w:val="0065624A"/>
    <w:rsid w:val="00656451"/>
    <w:rsid w:val="006566C1"/>
    <w:rsid w:val="006570D4"/>
    <w:rsid w:val="00657840"/>
    <w:rsid w:val="0066003C"/>
    <w:rsid w:val="0066041E"/>
    <w:rsid w:val="00661021"/>
    <w:rsid w:val="0066110F"/>
    <w:rsid w:val="006619BB"/>
    <w:rsid w:val="0066326D"/>
    <w:rsid w:val="00664A16"/>
    <w:rsid w:val="00664AD3"/>
    <w:rsid w:val="00665596"/>
    <w:rsid w:val="006675CD"/>
    <w:rsid w:val="00671661"/>
    <w:rsid w:val="0067254A"/>
    <w:rsid w:val="00673005"/>
    <w:rsid w:val="00673109"/>
    <w:rsid w:val="00673436"/>
    <w:rsid w:val="006734E8"/>
    <w:rsid w:val="00673CCC"/>
    <w:rsid w:val="00674DE1"/>
    <w:rsid w:val="00675C98"/>
    <w:rsid w:val="00676937"/>
    <w:rsid w:val="00676B1F"/>
    <w:rsid w:val="00676CBF"/>
    <w:rsid w:val="0068072C"/>
    <w:rsid w:val="00681140"/>
    <w:rsid w:val="0068274E"/>
    <w:rsid w:val="006839BC"/>
    <w:rsid w:val="00684802"/>
    <w:rsid w:val="006851AD"/>
    <w:rsid w:val="00685A2C"/>
    <w:rsid w:val="006878AC"/>
    <w:rsid w:val="006879C9"/>
    <w:rsid w:val="0069026B"/>
    <w:rsid w:val="00690355"/>
    <w:rsid w:val="00690B94"/>
    <w:rsid w:val="00691BE6"/>
    <w:rsid w:val="00692170"/>
    <w:rsid w:val="0069292F"/>
    <w:rsid w:val="006938BB"/>
    <w:rsid w:val="00694350"/>
    <w:rsid w:val="0069470A"/>
    <w:rsid w:val="00695165"/>
    <w:rsid w:val="006956EA"/>
    <w:rsid w:val="00696794"/>
    <w:rsid w:val="00696DCC"/>
    <w:rsid w:val="00697EB9"/>
    <w:rsid w:val="006A00B5"/>
    <w:rsid w:val="006A0290"/>
    <w:rsid w:val="006A0D82"/>
    <w:rsid w:val="006A1050"/>
    <w:rsid w:val="006A1C06"/>
    <w:rsid w:val="006A2182"/>
    <w:rsid w:val="006A22BB"/>
    <w:rsid w:val="006A29B8"/>
    <w:rsid w:val="006A3A89"/>
    <w:rsid w:val="006A490C"/>
    <w:rsid w:val="006A4B13"/>
    <w:rsid w:val="006A5881"/>
    <w:rsid w:val="006A6C23"/>
    <w:rsid w:val="006A6CDC"/>
    <w:rsid w:val="006A766E"/>
    <w:rsid w:val="006A7B6B"/>
    <w:rsid w:val="006B13EF"/>
    <w:rsid w:val="006B2841"/>
    <w:rsid w:val="006B3749"/>
    <w:rsid w:val="006B4988"/>
    <w:rsid w:val="006B4EE5"/>
    <w:rsid w:val="006B4F7D"/>
    <w:rsid w:val="006B57E2"/>
    <w:rsid w:val="006B6287"/>
    <w:rsid w:val="006B63B1"/>
    <w:rsid w:val="006B7082"/>
    <w:rsid w:val="006B71E5"/>
    <w:rsid w:val="006B7732"/>
    <w:rsid w:val="006C0686"/>
    <w:rsid w:val="006C114C"/>
    <w:rsid w:val="006C1B16"/>
    <w:rsid w:val="006C2BC9"/>
    <w:rsid w:val="006C3668"/>
    <w:rsid w:val="006C372E"/>
    <w:rsid w:val="006C37BE"/>
    <w:rsid w:val="006C3864"/>
    <w:rsid w:val="006C5383"/>
    <w:rsid w:val="006C55AF"/>
    <w:rsid w:val="006C5E72"/>
    <w:rsid w:val="006C7957"/>
    <w:rsid w:val="006D0000"/>
    <w:rsid w:val="006D05B8"/>
    <w:rsid w:val="006D07C2"/>
    <w:rsid w:val="006D0FCE"/>
    <w:rsid w:val="006D218E"/>
    <w:rsid w:val="006D28BB"/>
    <w:rsid w:val="006D2971"/>
    <w:rsid w:val="006D2AEC"/>
    <w:rsid w:val="006D325B"/>
    <w:rsid w:val="006D438F"/>
    <w:rsid w:val="006D47A1"/>
    <w:rsid w:val="006D4B1C"/>
    <w:rsid w:val="006D4C8E"/>
    <w:rsid w:val="006D4FEF"/>
    <w:rsid w:val="006D5C14"/>
    <w:rsid w:val="006D66DE"/>
    <w:rsid w:val="006D7CCD"/>
    <w:rsid w:val="006D7FF8"/>
    <w:rsid w:val="006E00BC"/>
    <w:rsid w:val="006E1720"/>
    <w:rsid w:val="006E19D1"/>
    <w:rsid w:val="006E1CBB"/>
    <w:rsid w:val="006E205A"/>
    <w:rsid w:val="006E467C"/>
    <w:rsid w:val="006E4B27"/>
    <w:rsid w:val="006E4FD9"/>
    <w:rsid w:val="006E58CE"/>
    <w:rsid w:val="006E5E7E"/>
    <w:rsid w:val="006E6037"/>
    <w:rsid w:val="006E62D6"/>
    <w:rsid w:val="006E69AB"/>
    <w:rsid w:val="006E77AA"/>
    <w:rsid w:val="006E7B0B"/>
    <w:rsid w:val="006F0766"/>
    <w:rsid w:val="006F100B"/>
    <w:rsid w:val="006F10F7"/>
    <w:rsid w:val="006F239A"/>
    <w:rsid w:val="006F2C9D"/>
    <w:rsid w:val="006F4201"/>
    <w:rsid w:val="006F50A1"/>
    <w:rsid w:val="006F627B"/>
    <w:rsid w:val="006F660F"/>
    <w:rsid w:val="006F6B51"/>
    <w:rsid w:val="006F6D08"/>
    <w:rsid w:val="006F6FAD"/>
    <w:rsid w:val="006F789A"/>
    <w:rsid w:val="007017CD"/>
    <w:rsid w:val="00703657"/>
    <w:rsid w:val="0070392C"/>
    <w:rsid w:val="007048DB"/>
    <w:rsid w:val="007056F2"/>
    <w:rsid w:val="00705C64"/>
    <w:rsid w:val="007062F9"/>
    <w:rsid w:val="0070637D"/>
    <w:rsid w:val="00706579"/>
    <w:rsid w:val="00706E4A"/>
    <w:rsid w:val="007071DD"/>
    <w:rsid w:val="007076F1"/>
    <w:rsid w:val="0070771F"/>
    <w:rsid w:val="007103F2"/>
    <w:rsid w:val="00710935"/>
    <w:rsid w:val="0071131A"/>
    <w:rsid w:val="00711766"/>
    <w:rsid w:val="007119A8"/>
    <w:rsid w:val="0071265D"/>
    <w:rsid w:val="00712A14"/>
    <w:rsid w:val="00713208"/>
    <w:rsid w:val="0071341D"/>
    <w:rsid w:val="00713D49"/>
    <w:rsid w:val="00714535"/>
    <w:rsid w:val="00714660"/>
    <w:rsid w:val="007151B7"/>
    <w:rsid w:val="0071555F"/>
    <w:rsid w:val="00716865"/>
    <w:rsid w:val="00716C04"/>
    <w:rsid w:val="00716EE5"/>
    <w:rsid w:val="00717180"/>
    <w:rsid w:val="007179D2"/>
    <w:rsid w:val="00720660"/>
    <w:rsid w:val="00720750"/>
    <w:rsid w:val="00721674"/>
    <w:rsid w:val="00724921"/>
    <w:rsid w:val="0072549C"/>
    <w:rsid w:val="0072596B"/>
    <w:rsid w:val="00725A80"/>
    <w:rsid w:val="00726E61"/>
    <w:rsid w:val="007305DB"/>
    <w:rsid w:val="0073102A"/>
    <w:rsid w:val="00731557"/>
    <w:rsid w:val="00733543"/>
    <w:rsid w:val="00733970"/>
    <w:rsid w:val="00733F17"/>
    <w:rsid w:val="00734425"/>
    <w:rsid w:val="00735125"/>
    <w:rsid w:val="00735128"/>
    <w:rsid w:val="00735253"/>
    <w:rsid w:val="00736052"/>
    <w:rsid w:val="007362C6"/>
    <w:rsid w:val="00737521"/>
    <w:rsid w:val="007375FE"/>
    <w:rsid w:val="007378C9"/>
    <w:rsid w:val="007410CC"/>
    <w:rsid w:val="0074148C"/>
    <w:rsid w:val="0074149F"/>
    <w:rsid w:val="007417E1"/>
    <w:rsid w:val="00741BB8"/>
    <w:rsid w:val="00741D0B"/>
    <w:rsid w:val="00744BE6"/>
    <w:rsid w:val="00744CE8"/>
    <w:rsid w:val="00745DDB"/>
    <w:rsid w:val="00745E49"/>
    <w:rsid w:val="00746267"/>
    <w:rsid w:val="00746D1A"/>
    <w:rsid w:val="00747E27"/>
    <w:rsid w:val="007505CA"/>
    <w:rsid w:val="00750E68"/>
    <w:rsid w:val="00751F48"/>
    <w:rsid w:val="00752261"/>
    <w:rsid w:val="00752845"/>
    <w:rsid w:val="00752FA5"/>
    <w:rsid w:val="0075405C"/>
    <w:rsid w:val="00754C58"/>
    <w:rsid w:val="007552A4"/>
    <w:rsid w:val="007565BA"/>
    <w:rsid w:val="007607D3"/>
    <w:rsid w:val="0076124D"/>
    <w:rsid w:val="007612A8"/>
    <w:rsid w:val="00761BCD"/>
    <w:rsid w:val="0076253D"/>
    <w:rsid w:val="00763932"/>
    <w:rsid w:val="00764A40"/>
    <w:rsid w:val="00764C39"/>
    <w:rsid w:val="00765128"/>
    <w:rsid w:val="007654A0"/>
    <w:rsid w:val="00766334"/>
    <w:rsid w:val="00770915"/>
    <w:rsid w:val="00771C70"/>
    <w:rsid w:val="007722FC"/>
    <w:rsid w:val="007729CC"/>
    <w:rsid w:val="0077436E"/>
    <w:rsid w:val="0077470F"/>
    <w:rsid w:val="00774EA8"/>
    <w:rsid w:val="00776680"/>
    <w:rsid w:val="00776E78"/>
    <w:rsid w:val="00780E5D"/>
    <w:rsid w:val="0078105B"/>
    <w:rsid w:val="0078138A"/>
    <w:rsid w:val="00782498"/>
    <w:rsid w:val="00783014"/>
    <w:rsid w:val="007834DC"/>
    <w:rsid w:val="00783A1E"/>
    <w:rsid w:val="00784B60"/>
    <w:rsid w:val="00784BA7"/>
    <w:rsid w:val="00786923"/>
    <w:rsid w:val="007876F0"/>
    <w:rsid w:val="00787C73"/>
    <w:rsid w:val="00787F72"/>
    <w:rsid w:val="007901A8"/>
    <w:rsid w:val="00790768"/>
    <w:rsid w:val="00792D46"/>
    <w:rsid w:val="00792EBA"/>
    <w:rsid w:val="007940E1"/>
    <w:rsid w:val="0079507F"/>
    <w:rsid w:val="007959D8"/>
    <w:rsid w:val="0079630F"/>
    <w:rsid w:val="00796D50"/>
    <w:rsid w:val="00797398"/>
    <w:rsid w:val="007A04C2"/>
    <w:rsid w:val="007A06D7"/>
    <w:rsid w:val="007A07A4"/>
    <w:rsid w:val="007A0BA5"/>
    <w:rsid w:val="007A1266"/>
    <w:rsid w:val="007A14C8"/>
    <w:rsid w:val="007A3384"/>
    <w:rsid w:val="007A3BDF"/>
    <w:rsid w:val="007A4188"/>
    <w:rsid w:val="007A41E8"/>
    <w:rsid w:val="007A4238"/>
    <w:rsid w:val="007A42D0"/>
    <w:rsid w:val="007A45CE"/>
    <w:rsid w:val="007A47D0"/>
    <w:rsid w:val="007A4F27"/>
    <w:rsid w:val="007A4F3A"/>
    <w:rsid w:val="007A5334"/>
    <w:rsid w:val="007A5392"/>
    <w:rsid w:val="007A59F4"/>
    <w:rsid w:val="007A5B87"/>
    <w:rsid w:val="007A5C7F"/>
    <w:rsid w:val="007A7268"/>
    <w:rsid w:val="007B049B"/>
    <w:rsid w:val="007B0683"/>
    <w:rsid w:val="007B0BAE"/>
    <w:rsid w:val="007B0C16"/>
    <w:rsid w:val="007B0D9A"/>
    <w:rsid w:val="007B116D"/>
    <w:rsid w:val="007B146A"/>
    <w:rsid w:val="007B28BE"/>
    <w:rsid w:val="007B3C36"/>
    <w:rsid w:val="007B3D91"/>
    <w:rsid w:val="007B3F29"/>
    <w:rsid w:val="007B44D2"/>
    <w:rsid w:val="007B49B7"/>
    <w:rsid w:val="007B57C9"/>
    <w:rsid w:val="007B5D0B"/>
    <w:rsid w:val="007B5DCB"/>
    <w:rsid w:val="007B6C82"/>
    <w:rsid w:val="007B79AF"/>
    <w:rsid w:val="007C0E7C"/>
    <w:rsid w:val="007C0EAA"/>
    <w:rsid w:val="007C179C"/>
    <w:rsid w:val="007C19C3"/>
    <w:rsid w:val="007C2C8A"/>
    <w:rsid w:val="007C4069"/>
    <w:rsid w:val="007C44B2"/>
    <w:rsid w:val="007C54EE"/>
    <w:rsid w:val="007C6418"/>
    <w:rsid w:val="007C6474"/>
    <w:rsid w:val="007C6496"/>
    <w:rsid w:val="007C6E03"/>
    <w:rsid w:val="007C7397"/>
    <w:rsid w:val="007C745E"/>
    <w:rsid w:val="007C7985"/>
    <w:rsid w:val="007C7D64"/>
    <w:rsid w:val="007D0ABE"/>
    <w:rsid w:val="007D11B8"/>
    <w:rsid w:val="007D2CC3"/>
    <w:rsid w:val="007D2E57"/>
    <w:rsid w:val="007D31A5"/>
    <w:rsid w:val="007D3D42"/>
    <w:rsid w:val="007D3DDC"/>
    <w:rsid w:val="007D53E7"/>
    <w:rsid w:val="007D5D19"/>
    <w:rsid w:val="007D704A"/>
    <w:rsid w:val="007D78D6"/>
    <w:rsid w:val="007E0719"/>
    <w:rsid w:val="007E0E53"/>
    <w:rsid w:val="007E2CFB"/>
    <w:rsid w:val="007E319A"/>
    <w:rsid w:val="007E356F"/>
    <w:rsid w:val="007E3F8C"/>
    <w:rsid w:val="007E5B57"/>
    <w:rsid w:val="007E6B77"/>
    <w:rsid w:val="007E7B0E"/>
    <w:rsid w:val="007E7CFD"/>
    <w:rsid w:val="007F0696"/>
    <w:rsid w:val="007F097C"/>
    <w:rsid w:val="007F16F5"/>
    <w:rsid w:val="007F1E86"/>
    <w:rsid w:val="007F1FE6"/>
    <w:rsid w:val="007F2058"/>
    <w:rsid w:val="007F29DA"/>
    <w:rsid w:val="007F3F7B"/>
    <w:rsid w:val="007F41A3"/>
    <w:rsid w:val="007F5362"/>
    <w:rsid w:val="007F583D"/>
    <w:rsid w:val="007F7685"/>
    <w:rsid w:val="0080011D"/>
    <w:rsid w:val="00800455"/>
    <w:rsid w:val="00800EA5"/>
    <w:rsid w:val="008010CC"/>
    <w:rsid w:val="00801C01"/>
    <w:rsid w:val="008036B4"/>
    <w:rsid w:val="008043D8"/>
    <w:rsid w:val="00804713"/>
    <w:rsid w:val="0080499D"/>
    <w:rsid w:val="008105B6"/>
    <w:rsid w:val="0081066F"/>
    <w:rsid w:val="00810E7F"/>
    <w:rsid w:val="008112CC"/>
    <w:rsid w:val="00811E8C"/>
    <w:rsid w:val="008130BB"/>
    <w:rsid w:val="00813D7D"/>
    <w:rsid w:val="008147C6"/>
    <w:rsid w:val="0081576C"/>
    <w:rsid w:val="00816C42"/>
    <w:rsid w:val="00816E26"/>
    <w:rsid w:val="00816E92"/>
    <w:rsid w:val="00817406"/>
    <w:rsid w:val="00817A96"/>
    <w:rsid w:val="00820722"/>
    <w:rsid w:val="008208A7"/>
    <w:rsid w:val="00820DE4"/>
    <w:rsid w:val="00820F40"/>
    <w:rsid w:val="00821E0E"/>
    <w:rsid w:val="00822C13"/>
    <w:rsid w:val="00822F53"/>
    <w:rsid w:val="008232AC"/>
    <w:rsid w:val="008237FA"/>
    <w:rsid w:val="00824669"/>
    <w:rsid w:val="00824771"/>
    <w:rsid w:val="0082553A"/>
    <w:rsid w:val="00825D37"/>
    <w:rsid w:val="008266E6"/>
    <w:rsid w:val="0083031A"/>
    <w:rsid w:val="00831BAF"/>
    <w:rsid w:val="008323A7"/>
    <w:rsid w:val="00832539"/>
    <w:rsid w:val="008338DE"/>
    <w:rsid w:val="00833927"/>
    <w:rsid w:val="00833C2E"/>
    <w:rsid w:val="00834445"/>
    <w:rsid w:val="00834A63"/>
    <w:rsid w:val="008369B0"/>
    <w:rsid w:val="008372D1"/>
    <w:rsid w:val="008373AE"/>
    <w:rsid w:val="0083752A"/>
    <w:rsid w:val="00837B59"/>
    <w:rsid w:val="00840CC0"/>
    <w:rsid w:val="008419C5"/>
    <w:rsid w:val="00841B98"/>
    <w:rsid w:val="00841E8C"/>
    <w:rsid w:val="00842C88"/>
    <w:rsid w:val="008437AF"/>
    <w:rsid w:val="00845C01"/>
    <w:rsid w:val="00845C1E"/>
    <w:rsid w:val="00847C70"/>
    <w:rsid w:val="008501B9"/>
    <w:rsid w:val="00850963"/>
    <w:rsid w:val="00850EA0"/>
    <w:rsid w:val="00851579"/>
    <w:rsid w:val="00851584"/>
    <w:rsid w:val="00851FEC"/>
    <w:rsid w:val="008539C0"/>
    <w:rsid w:val="0085594B"/>
    <w:rsid w:val="00855F5D"/>
    <w:rsid w:val="0085610B"/>
    <w:rsid w:val="00857000"/>
    <w:rsid w:val="008571E6"/>
    <w:rsid w:val="0085732C"/>
    <w:rsid w:val="00857C91"/>
    <w:rsid w:val="00860400"/>
    <w:rsid w:val="00860B45"/>
    <w:rsid w:val="008616F2"/>
    <w:rsid w:val="00861959"/>
    <w:rsid w:val="00861F68"/>
    <w:rsid w:val="00863860"/>
    <w:rsid w:val="008638B5"/>
    <w:rsid w:val="00863DB9"/>
    <w:rsid w:val="00864504"/>
    <w:rsid w:val="0086642F"/>
    <w:rsid w:val="00866B47"/>
    <w:rsid w:val="00867771"/>
    <w:rsid w:val="0087061F"/>
    <w:rsid w:val="00872C2B"/>
    <w:rsid w:val="008734DB"/>
    <w:rsid w:val="0087390B"/>
    <w:rsid w:val="00874035"/>
    <w:rsid w:val="008745A1"/>
    <w:rsid w:val="00874D70"/>
    <w:rsid w:val="00875058"/>
    <w:rsid w:val="00875A5E"/>
    <w:rsid w:val="008768E9"/>
    <w:rsid w:val="00876B12"/>
    <w:rsid w:val="00876BEA"/>
    <w:rsid w:val="0087751B"/>
    <w:rsid w:val="00877C27"/>
    <w:rsid w:val="00881A32"/>
    <w:rsid w:val="00881AAF"/>
    <w:rsid w:val="00882537"/>
    <w:rsid w:val="00884292"/>
    <w:rsid w:val="00884ED0"/>
    <w:rsid w:val="0088707F"/>
    <w:rsid w:val="0089086C"/>
    <w:rsid w:val="00890995"/>
    <w:rsid w:val="008914FB"/>
    <w:rsid w:val="0089185E"/>
    <w:rsid w:val="00892516"/>
    <w:rsid w:val="0089267F"/>
    <w:rsid w:val="00892EED"/>
    <w:rsid w:val="00896170"/>
    <w:rsid w:val="00896DB3"/>
    <w:rsid w:val="0089737A"/>
    <w:rsid w:val="00897E99"/>
    <w:rsid w:val="00897F60"/>
    <w:rsid w:val="008A205E"/>
    <w:rsid w:val="008A26C8"/>
    <w:rsid w:val="008A2A98"/>
    <w:rsid w:val="008A2CDA"/>
    <w:rsid w:val="008A379A"/>
    <w:rsid w:val="008A42D5"/>
    <w:rsid w:val="008A4829"/>
    <w:rsid w:val="008A5F51"/>
    <w:rsid w:val="008A6903"/>
    <w:rsid w:val="008A6D82"/>
    <w:rsid w:val="008A79C7"/>
    <w:rsid w:val="008A7B35"/>
    <w:rsid w:val="008B0157"/>
    <w:rsid w:val="008B09A3"/>
    <w:rsid w:val="008B10BA"/>
    <w:rsid w:val="008B189A"/>
    <w:rsid w:val="008B2384"/>
    <w:rsid w:val="008B38D6"/>
    <w:rsid w:val="008B4802"/>
    <w:rsid w:val="008B4852"/>
    <w:rsid w:val="008B4BFD"/>
    <w:rsid w:val="008B4CF3"/>
    <w:rsid w:val="008B545D"/>
    <w:rsid w:val="008B69E3"/>
    <w:rsid w:val="008B6E04"/>
    <w:rsid w:val="008B780E"/>
    <w:rsid w:val="008C1FD1"/>
    <w:rsid w:val="008C24A8"/>
    <w:rsid w:val="008C35EF"/>
    <w:rsid w:val="008C3664"/>
    <w:rsid w:val="008C49A3"/>
    <w:rsid w:val="008C5033"/>
    <w:rsid w:val="008C506A"/>
    <w:rsid w:val="008C5996"/>
    <w:rsid w:val="008C599C"/>
    <w:rsid w:val="008C7450"/>
    <w:rsid w:val="008C7622"/>
    <w:rsid w:val="008C78D0"/>
    <w:rsid w:val="008D2570"/>
    <w:rsid w:val="008D2DA3"/>
    <w:rsid w:val="008D4534"/>
    <w:rsid w:val="008D4FA9"/>
    <w:rsid w:val="008D5A11"/>
    <w:rsid w:val="008D5E23"/>
    <w:rsid w:val="008D61A2"/>
    <w:rsid w:val="008D6AEF"/>
    <w:rsid w:val="008D7406"/>
    <w:rsid w:val="008D77AF"/>
    <w:rsid w:val="008D7D96"/>
    <w:rsid w:val="008E289D"/>
    <w:rsid w:val="008E3EB4"/>
    <w:rsid w:val="008E4AFE"/>
    <w:rsid w:val="008E699F"/>
    <w:rsid w:val="008E6D59"/>
    <w:rsid w:val="008F0434"/>
    <w:rsid w:val="008F1513"/>
    <w:rsid w:val="008F25FC"/>
    <w:rsid w:val="008F30C7"/>
    <w:rsid w:val="008F3541"/>
    <w:rsid w:val="008F4527"/>
    <w:rsid w:val="008F45E8"/>
    <w:rsid w:val="008F4F67"/>
    <w:rsid w:val="008F568E"/>
    <w:rsid w:val="008F5D66"/>
    <w:rsid w:val="008F625E"/>
    <w:rsid w:val="008F66C2"/>
    <w:rsid w:val="008F70BD"/>
    <w:rsid w:val="008F718F"/>
    <w:rsid w:val="008F722F"/>
    <w:rsid w:val="008F740D"/>
    <w:rsid w:val="00900B14"/>
    <w:rsid w:val="00901A31"/>
    <w:rsid w:val="00901D5B"/>
    <w:rsid w:val="00902828"/>
    <w:rsid w:val="009028AA"/>
    <w:rsid w:val="009038F9"/>
    <w:rsid w:val="00903BFD"/>
    <w:rsid w:val="00903E3F"/>
    <w:rsid w:val="00904118"/>
    <w:rsid w:val="009049C3"/>
    <w:rsid w:val="00904AB8"/>
    <w:rsid w:val="00904FD6"/>
    <w:rsid w:val="0090550F"/>
    <w:rsid w:val="009057D9"/>
    <w:rsid w:val="00905999"/>
    <w:rsid w:val="00906BF7"/>
    <w:rsid w:val="00906CDC"/>
    <w:rsid w:val="00906F06"/>
    <w:rsid w:val="0090774A"/>
    <w:rsid w:val="00907C97"/>
    <w:rsid w:val="00910D07"/>
    <w:rsid w:val="0091195F"/>
    <w:rsid w:val="00913EC0"/>
    <w:rsid w:val="00914B2F"/>
    <w:rsid w:val="00915051"/>
    <w:rsid w:val="009150E6"/>
    <w:rsid w:val="00915BC3"/>
    <w:rsid w:val="00915DCE"/>
    <w:rsid w:val="00916290"/>
    <w:rsid w:val="00916F37"/>
    <w:rsid w:val="00917F89"/>
    <w:rsid w:val="00920EFD"/>
    <w:rsid w:val="00921081"/>
    <w:rsid w:val="009219B6"/>
    <w:rsid w:val="009223BE"/>
    <w:rsid w:val="0092378A"/>
    <w:rsid w:val="00923CC5"/>
    <w:rsid w:val="0092499B"/>
    <w:rsid w:val="00925080"/>
    <w:rsid w:val="009255EE"/>
    <w:rsid w:val="00925603"/>
    <w:rsid w:val="00925F76"/>
    <w:rsid w:val="00925FCE"/>
    <w:rsid w:val="00926ABA"/>
    <w:rsid w:val="00926FC9"/>
    <w:rsid w:val="00927075"/>
    <w:rsid w:val="009306CB"/>
    <w:rsid w:val="00930C28"/>
    <w:rsid w:val="009313DE"/>
    <w:rsid w:val="00931BC6"/>
    <w:rsid w:val="00931D14"/>
    <w:rsid w:val="00931DF5"/>
    <w:rsid w:val="00932805"/>
    <w:rsid w:val="00932DA3"/>
    <w:rsid w:val="00932E89"/>
    <w:rsid w:val="0093359D"/>
    <w:rsid w:val="00933E2A"/>
    <w:rsid w:val="00933F2B"/>
    <w:rsid w:val="00935A54"/>
    <w:rsid w:val="00935F04"/>
    <w:rsid w:val="0093651B"/>
    <w:rsid w:val="009377A5"/>
    <w:rsid w:val="009408AE"/>
    <w:rsid w:val="00941BB9"/>
    <w:rsid w:val="00941F7A"/>
    <w:rsid w:val="0094210D"/>
    <w:rsid w:val="00942EEB"/>
    <w:rsid w:val="00943CA9"/>
    <w:rsid w:val="00944437"/>
    <w:rsid w:val="0094468E"/>
    <w:rsid w:val="00944B6E"/>
    <w:rsid w:val="00944BCA"/>
    <w:rsid w:val="00944F0B"/>
    <w:rsid w:val="00945261"/>
    <w:rsid w:val="00945974"/>
    <w:rsid w:val="00947377"/>
    <w:rsid w:val="009506A5"/>
    <w:rsid w:val="00951452"/>
    <w:rsid w:val="0095155A"/>
    <w:rsid w:val="00951ED6"/>
    <w:rsid w:val="0095309F"/>
    <w:rsid w:val="009533D7"/>
    <w:rsid w:val="00953DEB"/>
    <w:rsid w:val="009541CC"/>
    <w:rsid w:val="00956005"/>
    <w:rsid w:val="00956564"/>
    <w:rsid w:val="009567A6"/>
    <w:rsid w:val="00956D5A"/>
    <w:rsid w:val="009577C9"/>
    <w:rsid w:val="00960128"/>
    <w:rsid w:val="0096021B"/>
    <w:rsid w:val="00960611"/>
    <w:rsid w:val="00961B2C"/>
    <w:rsid w:val="00961DBB"/>
    <w:rsid w:val="009625E6"/>
    <w:rsid w:val="00962937"/>
    <w:rsid w:val="00962E5B"/>
    <w:rsid w:val="00963C1E"/>
    <w:rsid w:val="00963D2B"/>
    <w:rsid w:val="00964A47"/>
    <w:rsid w:val="00964A5C"/>
    <w:rsid w:val="00964B54"/>
    <w:rsid w:val="00964FE2"/>
    <w:rsid w:val="0096618E"/>
    <w:rsid w:val="00966879"/>
    <w:rsid w:val="00967080"/>
    <w:rsid w:val="00970736"/>
    <w:rsid w:val="0097096A"/>
    <w:rsid w:val="00971793"/>
    <w:rsid w:val="00971D23"/>
    <w:rsid w:val="00973176"/>
    <w:rsid w:val="00973AC5"/>
    <w:rsid w:val="009758AE"/>
    <w:rsid w:val="00976B4F"/>
    <w:rsid w:val="00976EDA"/>
    <w:rsid w:val="009807D8"/>
    <w:rsid w:val="00981433"/>
    <w:rsid w:val="0098222F"/>
    <w:rsid w:val="0098244F"/>
    <w:rsid w:val="00982519"/>
    <w:rsid w:val="00982D82"/>
    <w:rsid w:val="00983122"/>
    <w:rsid w:val="00983138"/>
    <w:rsid w:val="00983C50"/>
    <w:rsid w:val="00985065"/>
    <w:rsid w:val="00985C07"/>
    <w:rsid w:val="00986117"/>
    <w:rsid w:val="009872D1"/>
    <w:rsid w:val="009902D3"/>
    <w:rsid w:val="00990CD3"/>
    <w:rsid w:val="009912C8"/>
    <w:rsid w:val="00991A31"/>
    <w:rsid w:val="00993501"/>
    <w:rsid w:val="0099411C"/>
    <w:rsid w:val="0099490A"/>
    <w:rsid w:val="00995168"/>
    <w:rsid w:val="009953DD"/>
    <w:rsid w:val="00995B4F"/>
    <w:rsid w:val="00995FA3"/>
    <w:rsid w:val="009968AF"/>
    <w:rsid w:val="00997582"/>
    <w:rsid w:val="00997AC3"/>
    <w:rsid w:val="009A02BE"/>
    <w:rsid w:val="009A06DF"/>
    <w:rsid w:val="009A22F8"/>
    <w:rsid w:val="009A2406"/>
    <w:rsid w:val="009A2590"/>
    <w:rsid w:val="009A2C21"/>
    <w:rsid w:val="009A38A7"/>
    <w:rsid w:val="009A3E58"/>
    <w:rsid w:val="009A4B8F"/>
    <w:rsid w:val="009A55F7"/>
    <w:rsid w:val="009A5882"/>
    <w:rsid w:val="009A5F02"/>
    <w:rsid w:val="009A662F"/>
    <w:rsid w:val="009A6759"/>
    <w:rsid w:val="009A7AB1"/>
    <w:rsid w:val="009B0E87"/>
    <w:rsid w:val="009B1C15"/>
    <w:rsid w:val="009B2E89"/>
    <w:rsid w:val="009B2F9B"/>
    <w:rsid w:val="009B33D1"/>
    <w:rsid w:val="009B424D"/>
    <w:rsid w:val="009B5333"/>
    <w:rsid w:val="009B5E90"/>
    <w:rsid w:val="009B608E"/>
    <w:rsid w:val="009B6408"/>
    <w:rsid w:val="009B66C8"/>
    <w:rsid w:val="009B6FD2"/>
    <w:rsid w:val="009B6FEA"/>
    <w:rsid w:val="009B70E6"/>
    <w:rsid w:val="009C1141"/>
    <w:rsid w:val="009C183B"/>
    <w:rsid w:val="009C1F01"/>
    <w:rsid w:val="009C2503"/>
    <w:rsid w:val="009C266C"/>
    <w:rsid w:val="009C3C5C"/>
    <w:rsid w:val="009C59A1"/>
    <w:rsid w:val="009C602E"/>
    <w:rsid w:val="009C60DD"/>
    <w:rsid w:val="009C6637"/>
    <w:rsid w:val="009C6DAA"/>
    <w:rsid w:val="009C72E8"/>
    <w:rsid w:val="009C78C4"/>
    <w:rsid w:val="009D0827"/>
    <w:rsid w:val="009D09F3"/>
    <w:rsid w:val="009D0C1E"/>
    <w:rsid w:val="009D0D60"/>
    <w:rsid w:val="009D0E74"/>
    <w:rsid w:val="009D1A96"/>
    <w:rsid w:val="009D31E3"/>
    <w:rsid w:val="009D370B"/>
    <w:rsid w:val="009D454C"/>
    <w:rsid w:val="009D45F8"/>
    <w:rsid w:val="009D53D3"/>
    <w:rsid w:val="009D70EF"/>
    <w:rsid w:val="009D7E8F"/>
    <w:rsid w:val="009D7EE0"/>
    <w:rsid w:val="009E1823"/>
    <w:rsid w:val="009E2087"/>
    <w:rsid w:val="009E252B"/>
    <w:rsid w:val="009E3265"/>
    <w:rsid w:val="009E3353"/>
    <w:rsid w:val="009E3979"/>
    <w:rsid w:val="009E446D"/>
    <w:rsid w:val="009E4D18"/>
    <w:rsid w:val="009E5FE6"/>
    <w:rsid w:val="009E60E1"/>
    <w:rsid w:val="009E7C09"/>
    <w:rsid w:val="009F02EA"/>
    <w:rsid w:val="009F146D"/>
    <w:rsid w:val="009F17E1"/>
    <w:rsid w:val="009F213A"/>
    <w:rsid w:val="009F3779"/>
    <w:rsid w:val="009F40C7"/>
    <w:rsid w:val="009F4F1E"/>
    <w:rsid w:val="009F54E2"/>
    <w:rsid w:val="009F56ED"/>
    <w:rsid w:val="009F5D6A"/>
    <w:rsid w:val="009F76AD"/>
    <w:rsid w:val="009F7AF4"/>
    <w:rsid w:val="009F7EF0"/>
    <w:rsid w:val="00A00494"/>
    <w:rsid w:val="00A00ABB"/>
    <w:rsid w:val="00A015E4"/>
    <w:rsid w:val="00A01F71"/>
    <w:rsid w:val="00A033EE"/>
    <w:rsid w:val="00A04B1B"/>
    <w:rsid w:val="00A051B3"/>
    <w:rsid w:val="00A052C0"/>
    <w:rsid w:val="00A06801"/>
    <w:rsid w:val="00A069FC"/>
    <w:rsid w:val="00A07549"/>
    <w:rsid w:val="00A075BC"/>
    <w:rsid w:val="00A11222"/>
    <w:rsid w:val="00A12C39"/>
    <w:rsid w:val="00A12DF9"/>
    <w:rsid w:val="00A12EDB"/>
    <w:rsid w:val="00A134FB"/>
    <w:rsid w:val="00A137D5"/>
    <w:rsid w:val="00A1426F"/>
    <w:rsid w:val="00A14B9A"/>
    <w:rsid w:val="00A1590A"/>
    <w:rsid w:val="00A162FE"/>
    <w:rsid w:val="00A16A75"/>
    <w:rsid w:val="00A16D30"/>
    <w:rsid w:val="00A16EF2"/>
    <w:rsid w:val="00A1764B"/>
    <w:rsid w:val="00A20802"/>
    <w:rsid w:val="00A20C6D"/>
    <w:rsid w:val="00A218B8"/>
    <w:rsid w:val="00A21C86"/>
    <w:rsid w:val="00A221F4"/>
    <w:rsid w:val="00A22C3B"/>
    <w:rsid w:val="00A22FF5"/>
    <w:rsid w:val="00A23BA9"/>
    <w:rsid w:val="00A23F75"/>
    <w:rsid w:val="00A2506F"/>
    <w:rsid w:val="00A25873"/>
    <w:rsid w:val="00A25B4F"/>
    <w:rsid w:val="00A261B3"/>
    <w:rsid w:val="00A2620D"/>
    <w:rsid w:val="00A26D66"/>
    <w:rsid w:val="00A27035"/>
    <w:rsid w:val="00A273EC"/>
    <w:rsid w:val="00A27E8B"/>
    <w:rsid w:val="00A30697"/>
    <w:rsid w:val="00A31129"/>
    <w:rsid w:val="00A311CF"/>
    <w:rsid w:val="00A314C1"/>
    <w:rsid w:val="00A31F1D"/>
    <w:rsid w:val="00A326AD"/>
    <w:rsid w:val="00A33B9E"/>
    <w:rsid w:val="00A33D6E"/>
    <w:rsid w:val="00A34A82"/>
    <w:rsid w:val="00A35528"/>
    <w:rsid w:val="00A35D4B"/>
    <w:rsid w:val="00A35D6D"/>
    <w:rsid w:val="00A368ED"/>
    <w:rsid w:val="00A370B6"/>
    <w:rsid w:val="00A37D94"/>
    <w:rsid w:val="00A40012"/>
    <w:rsid w:val="00A404CF"/>
    <w:rsid w:val="00A41C99"/>
    <w:rsid w:val="00A42476"/>
    <w:rsid w:val="00A42E40"/>
    <w:rsid w:val="00A43A05"/>
    <w:rsid w:val="00A44089"/>
    <w:rsid w:val="00A442BF"/>
    <w:rsid w:val="00A452F1"/>
    <w:rsid w:val="00A463E8"/>
    <w:rsid w:val="00A470D4"/>
    <w:rsid w:val="00A47CF9"/>
    <w:rsid w:val="00A5031B"/>
    <w:rsid w:val="00A50371"/>
    <w:rsid w:val="00A505CD"/>
    <w:rsid w:val="00A50BC1"/>
    <w:rsid w:val="00A51484"/>
    <w:rsid w:val="00A517D0"/>
    <w:rsid w:val="00A51B96"/>
    <w:rsid w:val="00A5262E"/>
    <w:rsid w:val="00A53710"/>
    <w:rsid w:val="00A53716"/>
    <w:rsid w:val="00A557E9"/>
    <w:rsid w:val="00A5629E"/>
    <w:rsid w:val="00A57C3A"/>
    <w:rsid w:val="00A60E40"/>
    <w:rsid w:val="00A61102"/>
    <w:rsid w:val="00A612C6"/>
    <w:rsid w:val="00A61F17"/>
    <w:rsid w:val="00A62FE1"/>
    <w:rsid w:val="00A63EAF"/>
    <w:rsid w:val="00A64832"/>
    <w:rsid w:val="00A665B6"/>
    <w:rsid w:val="00A669E2"/>
    <w:rsid w:val="00A66BF6"/>
    <w:rsid w:val="00A66D7F"/>
    <w:rsid w:val="00A67A1B"/>
    <w:rsid w:val="00A703E7"/>
    <w:rsid w:val="00A70876"/>
    <w:rsid w:val="00A712F5"/>
    <w:rsid w:val="00A71FD8"/>
    <w:rsid w:val="00A72D7A"/>
    <w:rsid w:val="00A732DB"/>
    <w:rsid w:val="00A73745"/>
    <w:rsid w:val="00A75338"/>
    <w:rsid w:val="00A754F4"/>
    <w:rsid w:val="00A757EE"/>
    <w:rsid w:val="00A759C1"/>
    <w:rsid w:val="00A76A7B"/>
    <w:rsid w:val="00A7790A"/>
    <w:rsid w:val="00A77D2A"/>
    <w:rsid w:val="00A77FCE"/>
    <w:rsid w:val="00A812E8"/>
    <w:rsid w:val="00A823E1"/>
    <w:rsid w:val="00A83071"/>
    <w:rsid w:val="00A838D2"/>
    <w:rsid w:val="00A83AFD"/>
    <w:rsid w:val="00A83CB4"/>
    <w:rsid w:val="00A84647"/>
    <w:rsid w:val="00A858AB"/>
    <w:rsid w:val="00A86F04"/>
    <w:rsid w:val="00A913A9"/>
    <w:rsid w:val="00A926B0"/>
    <w:rsid w:val="00A92C08"/>
    <w:rsid w:val="00A93505"/>
    <w:rsid w:val="00A9359D"/>
    <w:rsid w:val="00A946C4"/>
    <w:rsid w:val="00A94D7A"/>
    <w:rsid w:val="00A952CF"/>
    <w:rsid w:val="00AA0EFD"/>
    <w:rsid w:val="00AA478E"/>
    <w:rsid w:val="00AA6650"/>
    <w:rsid w:val="00AA6E1E"/>
    <w:rsid w:val="00AA7A25"/>
    <w:rsid w:val="00AA7CE7"/>
    <w:rsid w:val="00AB0768"/>
    <w:rsid w:val="00AB09E0"/>
    <w:rsid w:val="00AB137D"/>
    <w:rsid w:val="00AB2A28"/>
    <w:rsid w:val="00AB2DAD"/>
    <w:rsid w:val="00AB37FA"/>
    <w:rsid w:val="00AB527F"/>
    <w:rsid w:val="00AB5413"/>
    <w:rsid w:val="00AB5938"/>
    <w:rsid w:val="00AB7C7D"/>
    <w:rsid w:val="00AC01F8"/>
    <w:rsid w:val="00AC059A"/>
    <w:rsid w:val="00AC2E15"/>
    <w:rsid w:val="00AC2F32"/>
    <w:rsid w:val="00AC35EA"/>
    <w:rsid w:val="00AC3BE3"/>
    <w:rsid w:val="00AC3C1A"/>
    <w:rsid w:val="00AC41CF"/>
    <w:rsid w:val="00AC4D77"/>
    <w:rsid w:val="00AC50F5"/>
    <w:rsid w:val="00AC5494"/>
    <w:rsid w:val="00AC6EBE"/>
    <w:rsid w:val="00AC788E"/>
    <w:rsid w:val="00AD0308"/>
    <w:rsid w:val="00AD1CE8"/>
    <w:rsid w:val="00AD28EC"/>
    <w:rsid w:val="00AD2BA6"/>
    <w:rsid w:val="00AD377A"/>
    <w:rsid w:val="00AD3FA3"/>
    <w:rsid w:val="00AD4720"/>
    <w:rsid w:val="00AD62D7"/>
    <w:rsid w:val="00AD66C1"/>
    <w:rsid w:val="00AD67BB"/>
    <w:rsid w:val="00AD68B7"/>
    <w:rsid w:val="00AE0909"/>
    <w:rsid w:val="00AE10F7"/>
    <w:rsid w:val="00AE1C7A"/>
    <w:rsid w:val="00AE1CC1"/>
    <w:rsid w:val="00AE2039"/>
    <w:rsid w:val="00AE21D0"/>
    <w:rsid w:val="00AE26B3"/>
    <w:rsid w:val="00AE399F"/>
    <w:rsid w:val="00AE3EA4"/>
    <w:rsid w:val="00AE4D10"/>
    <w:rsid w:val="00AE51FE"/>
    <w:rsid w:val="00AF0449"/>
    <w:rsid w:val="00AF0FB1"/>
    <w:rsid w:val="00AF1B02"/>
    <w:rsid w:val="00AF22A7"/>
    <w:rsid w:val="00AF3630"/>
    <w:rsid w:val="00AF37D6"/>
    <w:rsid w:val="00AF3F1C"/>
    <w:rsid w:val="00AF41E4"/>
    <w:rsid w:val="00AF4BB7"/>
    <w:rsid w:val="00AF4FC1"/>
    <w:rsid w:val="00AF5653"/>
    <w:rsid w:val="00AF568A"/>
    <w:rsid w:val="00AF60C1"/>
    <w:rsid w:val="00B00287"/>
    <w:rsid w:val="00B00E44"/>
    <w:rsid w:val="00B029E1"/>
    <w:rsid w:val="00B0378F"/>
    <w:rsid w:val="00B03D63"/>
    <w:rsid w:val="00B0437B"/>
    <w:rsid w:val="00B046DF"/>
    <w:rsid w:val="00B04865"/>
    <w:rsid w:val="00B04D31"/>
    <w:rsid w:val="00B04F68"/>
    <w:rsid w:val="00B05262"/>
    <w:rsid w:val="00B05B74"/>
    <w:rsid w:val="00B06A75"/>
    <w:rsid w:val="00B06BC3"/>
    <w:rsid w:val="00B07134"/>
    <w:rsid w:val="00B07616"/>
    <w:rsid w:val="00B077FE"/>
    <w:rsid w:val="00B07DE5"/>
    <w:rsid w:val="00B102CC"/>
    <w:rsid w:val="00B103CB"/>
    <w:rsid w:val="00B11073"/>
    <w:rsid w:val="00B11592"/>
    <w:rsid w:val="00B11659"/>
    <w:rsid w:val="00B13498"/>
    <w:rsid w:val="00B1363B"/>
    <w:rsid w:val="00B13763"/>
    <w:rsid w:val="00B139E1"/>
    <w:rsid w:val="00B15A0F"/>
    <w:rsid w:val="00B1609A"/>
    <w:rsid w:val="00B165F1"/>
    <w:rsid w:val="00B17B86"/>
    <w:rsid w:val="00B17FB2"/>
    <w:rsid w:val="00B20236"/>
    <w:rsid w:val="00B20937"/>
    <w:rsid w:val="00B216A8"/>
    <w:rsid w:val="00B21DE3"/>
    <w:rsid w:val="00B220A0"/>
    <w:rsid w:val="00B22337"/>
    <w:rsid w:val="00B22B64"/>
    <w:rsid w:val="00B22D72"/>
    <w:rsid w:val="00B22FEA"/>
    <w:rsid w:val="00B2383F"/>
    <w:rsid w:val="00B24321"/>
    <w:rsid w:val="00B26487"/>
    <w:rsid w:val="00B27850"/>
    <w:rsid w:val="00B30263"/>
    <w:rsid w:val="00B30FEB"/>
    <w:rsid w:val="00B311BA"/>
    <w:rsid w:val="00B31246"/>
    <w:rsid w:val="00B323AD"/>
    <w:rsid w:val="00B342B7"/>
    <w:rsid w:val="00B353BD"/>
    <w:rsid w:val="00B35B47"/>
    <w:rsid w:val="00B37F3C"/>
    <w:rsid w:val="00B40AA3"/>
    <w:rsid w:val="00B40D45"/>
    <w:rsid w:val="00B40E69"/>
    <w:rsid w:val="00B412CE"/>
    <w:rsid w:val="00B421F4"/>
    <w:rsid w:val="00B43AF9"/>
    <w:rsid w:val="00B43B64"/>
    <w:rsid w:val="00B44478"/>
    <w:rsid w:val="00B4466D"/>
    <w:rsid w:val="00B4486D"/>
    <w:rsid w:val="00B4609C"/>
    <w:rsid w:val="00B463D7"/>
    <w:rsid w:val="00B4749F"/>
    <w:rsid w:val="00B505BE"/>
    <w:rsid w:val="00B508DA"/>
    <w:rsid w:val="00B5179A"/>
    <w:rsid w:val="00B5193C"/>
    <w:rsid w:val="00B52B9A"/>
    <w:rsid w:val="00B538BA"/>
    <w:rsid w:val="00B53CA4"/>
    <w:rsid w:val="00B54999"/>
    <w:rsid w:val="00B5563A"/>
    <w:rsid w:val="00B565DA"/>
    <w:rsid w:val="00B57F85"/>
    <w:rsid w:val="00B6002C"/>
    <w:rsid w:val="00B60FDE"/>
    <w:rsid w:val="00B620EE"/>
    <w:rsid w:val="00B62D40"/>
    <w:rsid w:val="00B62F6F"/>
    <w:rsid w:val="00B63283"/>
    <w:rsid w:val="00B63356"/>
    <w:rsid w:val="00B65068"/>
    <w:rsid w:val="00B65146"/>
    <w:rsid w:val="00B6517B"/>
    <w:rsid w:val="00B654EA"/>
    <w:rsid w:val="00B658EB"/>
    <w:rsid w:val="00B6598B"/>
    <w:rsid w:val="00B66265"/>
    <w:rsid w:val="00B67DE1"/>
    <w:rsid w:val="00B70DA3"/>
    <w:rsid w:val="00B70FE6"/>
    <w:rsid w:val="00B71289"/>
    <w:rsid w:val="00B717FF"/>
    <w:rsid w:val="00B71912"/>
    <w:rsid w:val="00B71CEF"/>
    <w:rsid w:val="00B729E8"/>
    <w:rsid w:val="00B730E3"/>
    <w:rsid w:val="00B76524"/>
    <w:rsid w:val="00B76E31"/>
    <w:rsid w:val="00B774E6"/>
    <w:rsid w:val="00B80FB4"/>
    <w:rsid w:val="00B81BCC"/>
    <w:rsid w:val="00B81E4A"/>
    <w:rsid w:val="00B831B4"/>
    <w:rsid w:val="00B85366"/>
    <w:rsid w:val="00B854AA"/>
    <w:rsid w:val="00B859C4"/>
    <w:rsid w:val="00B86379"/>
    <w:rsid w:val="00B87F60"/>
    <w:rsid w:val="00B90202"/>
    <w:rsid w:val="00B90255"/>
    <w:rsid w:val="00B9079B"/>
    <w:rsid w:val="00B91783"/>
    <w:rsid w:val="00B92111"/>
    <w:rsid w:val="00B92540"/>
    <w:rsid w:val="00B93177"/>
    <w:rsid w:val="00B9364F"/>
    <w:rsid w:val="00B93B5E"/>
    <w:rsid w:val="00B93D3D"/>
    <w:rsid w:val="00B94CC3"/>
    <w:rsid w:val="00B94E60"/>
    <w:rsid w:val="00B95780"/>
    <w:rsid w:val="00B95EB8"/>
    <w:rsid w:val="00B96341"/>
    <w:rsid w:val="00BA169A"/>
    <w:rsid w:val="00BA28CD"/>
    <w:rsid w:val="00BA2B47"/>
    <w:rsid w:val="00BA471F"/>
    <w:rsid w:val="00BA576A"/>
    <w:rsid w:val="00BA58F2"/>
    <w:rsid w:val="00BA613E"/>
    <w:rsid w:val="00BA724B"/>
    <w:rsid w:val="00BA77A4"/>
    <w:rsid w:val="00BB0B01"/>
    <w:rsid w:val="00BB0BB7"/>
    <w:rsid w:val="00BB1E6E"/>
    <w:rsid w:val="00BB2348"/>
    <w:rsid w:val="00BB2DDE"/>
    <w:rsid w:val="00BB4F42"/>
    <w:rsid w:val="00BB5013"/>
    <w:rsid w:val="00BB528E"/>
    <w:rsid w:val="00BB5BAA"/>
    <w:rsid w:val="00BB615A"/>
    <w:rsid w:val="00BB78CD"/>
    <w:rsid w:val="00BC01EE"/>
    <w:rsid w:val="00BC108D"/>
    <w:rsid w:val="00BC11EC"/>
    <w:rsid w:val="00BC1FE9"/>
    <w:rsid w:val="00BC2600"/>
    <w:rsid w:val="00BC265D"/>
    <w:rsid w:val="00BC300F"/>
    <w:rsid w:val="00BC36F0"/>
    <w:rsid w:val="00BC3833"/>
    <w:rsid w:val="00BC3E99"/>
    <w:rsid w:val="00BC3F97"/>
    <w:rsid w:val="00BC4FA7"/>
    <w:rsid w:val="00BC5855"/>
    <w:rsid w:val="00BC5A50"/>
    <w:rsid w:val="00BC5E30"/>
    <w:rsid w:val="00BC671A"/>
    <w:rsid w:val="00BC68EF"/>
    <w:rsid w:val="00BC7D47"/>
    <w:rsid w:val="00BD00ED"/>
    <w:rsid w:val="00BD02C5"/>
    <w:rsid w:val="00BD068D"/>
    <w:rsid w:val="00BD16DE"/>
    <w:rsid w:val="00BD18E3"/>
    <w:rsid w:val="00BD1E2C"/>
    <w:rsid w:val="00BD23C1"/>
    <w:rsid w:val="00BD2581"/>
    <w:rsid w:val="00BD4AEF"/>
    <w:rsid w:val="00BD4FA6"/>
    <w:rsid w:val="00BD6761"/>
    <w:rsid w:val="00BD6796"/>
    <w:rsid w:val="00BD71C8"/>
    <w:rsid w:val="00BD7926"/>
    <w:rsid w:val="00BE00D4"/>
    <w:rsid w:val="00BE0B88"/>
    <w:rsid w:val="00BE0D9A"/>
    <w:rsid w:val="00BE1A50"/>
    <w:rsid w:val="00BE1A63"/>
    <w:rsid w:val="00BE2F0D"/>
    <w:rsid w:val="00BE3482"/>
    <w:rsid w:val="00BE3BFD"/>
    <w:rsid w:val="00BE402F"/>
    <w:rsid w:val="00BE5E2E"/>
    <w:rsid w:val="00BE71AF"/>
    <w:rsid w:val="00BF03F8"/>
    <w:rsid w:val="00BF0BD5"/>
    <w:rsid w:val="00BF0D35"/>
    <w:rsid w:val="00BF1BA3"/>
    <w:rsid w:val="00BF2BD4"/>
    <w:rsid w:val="00BF30A3"/>
    <w:rsid w:val="00BF3672"/>
    <w:rsid w:val="00BF4BC3"/>
    <w:rsid w:val="00BF5450"/>
    <w:rsid w:val="00BF55F8"/>
    <w:rsid w:val="00BF5899"/>
    <w:rsid w:val="00BF60A1"/>
    <w:rsid w:val="00BF679E"/>
    <w:rsid w:val="00BF7157"/>
    <w:rsid w:val="00C000C6"/>
    <w:rsid w:val="00C003FC"/>
    <w:rsid w:val="00C01549"/>
    <w:rsid w:val="00C01865"/>
    <w:rsid w:val="00C02731"/>
    <w:rsid w:val="00C03450"/>
    <w:rsid w:val="00C0360D"/>
    <w:rsid w:val="00C03742"/>
    <w:rsid w:val="00C03846"/>
    <w:rsid w:val="00C040AA"/>
    <w:rsid w:val="00C04C93"/>
    <w:rsid w:val="00C051FD"/>
    <w:rsid w:val="00C0527B"/>
    <w:rsid w:val="00C0635C"/>
    <w:rsid w:val="00C06651"/>
    <w:rsid w:val="00C068BB"/>
    <w:rsid w:val="00C06F2D"/>
    <w:rsid w:val="00C07ADA"/>
    <w:rsid w:val="00C11E38"/>
    <w:rsid w:val="00C12776"/>
    <w:rsid w:val="00C12B9E"/>
    <w:rsid w:val="00C1521C"/>
    <w:rsid w:val="00C15FD2"/>
    <w:rsid w:val="00C16FE7"/>
    <w:rsid w:val="00C1744F"/>
    <w:rsid w:val="00C174F8"/>
    <w:rsid w:val="00C20427"/>
    <w:rsid w:val="00C2091D"/>
    <w:rsid w:val="00C20C7D"/>
    <w:rsid w:val="00C20DEF"/>
    <w:rsid w:val="00C219F2"/>
    <w:rsid w:val="00C21AF1"/>
    <w:rsid w:val="00C23B12"/>
    <w:rsid w:val="00C24B25"/>
    <w:rsid w:val="00C24BBF"/>
    <w:rsid w:val="00C24CC2"/>
    <w:rsid w:val="00C24E89"/>
    <w:rsid w:val="00C255EB"/>
    <w:rsid w:val="00C26046"/>
    <w:rsid w:val="00C26938"/>
    <w:rsid w:val="00C2793F"/>
    <w:rsid w:val="00C308EE"/>
    <w:rsid w:val="00C30E67"/>
    <w:rsid w:val="00C31B0B"/>
    <w:rsid w:val="00C31E7B"/>
    <w:rsid w:val="00C32C2F"/>
    <w:rsid w:val="00C3381E"/>
    <w:rsid w:val="00C34C55"/>
    <w:rsid w:val="00C35643"/>
    <w:rsid w:val="00C36579"/>
    <w:rsid w:val="00C36A6D"/>
    <w:rsid w:val="00C3738A"/>
    <w:rsid w:val="00C37532"/>
    <w:rsid w:val="00C377D0"/>
    <w:rsid w:val="00C40859"/>
    <w:rsid w:val="00C41DBB"/>
    <w:rsid w:val="00C429B5"/>
    <w:rsid w:val="00C4315A"/>
    <w:rsid w:val="00C43ABF"/>
    <w:rsid w:val="00C43F5E"/>
    <w:rsid w:val="00C44074"/>
    <w:rsid w:val="00C44D85"/>
    <w:rsid w:val="00C4565C"/>
    <w:rsid w:val="00C45FF2"/>
    <w:rsid w:val="00C4651F"/>
    <w:rsid w:val="00C513DB"/>
    <w:rsid w:val="00C51D0B"/>
    <w:rsid w:val="00C52207"/>
    <w:rsid w:val="00C52A50"/>
    <w:rsid w:val="00C5486E"/>
    <w:rsid w:val="00C54D95"/>
    <w:rsid w:val="00C556E8"/>
    <w:rsid w:val="00C560DD"/>
    <w:rsid w:val="00C56CB7"/>
    <w:rsid w:val="00C604D6"/>
    <w:rsid w:val="00C607D7"/>
    <w:rsid w:val="00C61628"/>
    <w:rsid w:val="00C61ED3"/>
    <w:rsid w:val="00C62588"/>
    <w:rsid w:val="00C642D4"/>
    <w:rsid w:val="00C65C8C"/>
    <w:rsid w:val="00C6607A"/>
    <w:rsid w:val="00C66680"/>
    <w:rsid w:val="00C66AF6"/>
    <w:rsid w:val="00C66CF0"/>
    <w:rsid w:val="00C67090"/>
    <w:rsid w:val="00C67ED1"/>
    <w:rsid w:val="00C71455"/>
    <w:rsid w:val="00C71BF7"/>
    <w:rsid w:val="00C72D9B"/>
    <w:rsid w:val="00C730F4"/>
    <w:rsid w:val="00C73E66"/>
    <w:rsid w:val="00C74311"/>
    <w:rsid w:val="00C75977"/>
    <w:rsid w:val="00C75A77"/>
    <w:rsid w:val="00C75BF3"/>
    <w:rsid w:val="00C762DF"/>
    <w:rsid w:val="00C76DB9"/>
    <w:rsid w:val="00C80200"/>
    <w:rsid w:val="00C80781"/>
    <w:rsid w:val="00C80E0A"/>
    <w:rsid w:val="00C81226"/>
    <w:rsid w:val="00C81BEC"/>
    <w:rsid w:val="00C8270B"/>
    <w:rsid w:val="00C828ED"/>
    <w:rsid w:val="00C8339F"/>
    <w:rsid w:val="00C83461"/>
    <w:rsid w:val="00C83735"/>
    <w:rsid w:val="00C83885"/>
    <w:rsid w:val="00C841A9"/>
    <w:rsid w:val="00C851AD"/>
    <w:rsid w:val="00C85D1A"/>
    <w:rsid w:val="00C8728F"/>
    <w:rsid w:val="00C87E99"/>
    <w:rsid w:val="00C90DD2"/>
    <w:rsid w:val="00C91D48"/>
    <w:rsid w:val="00C9316B"/>
    <w:rsid w:val="00C941F3"/>
    <w:rsid w:val="00C9577E"/>
    <w:rsid w:val="00C95D54"/>
    <w:rsid w:val="00C95F50"/>
    <w:rsid w:val="00C9617B"/>
    <w:rsid w:val="00C9671B"/>
    <w:rsid w:val="00C975E8"/>
    <w:rsid w:val="00C9764E"/>
    <w:rsid w:val="00C97A9E"/>
    <w:rsid w:val="00C97FBC"/>
    <w:rsid w:val="00CA00C4"/>
    <w:rsid w:val="00CA0141"/>
    <w:rsid w:val="00CA06C8"/>
    <w:rsid w:val="00CA0B7E"/>
    <w:rsid w:val="00CA1B38"/>
    <w:rsid w:val="00CA37B6"/>
    <w:rsid w:val="00CA4C28"/>
    <w:rsid w:val="00CA4E33"/>
    <w:rsid w:val="00CA5598"/>
    <w:rsid w:val="00CA5EF8"/>
    <w:rsid w:val="00CA62E8"/>
    <w:rsid w:val="00CA6522"/>
    <w:rsid w:val="00CA6997"/>
    <w:rsid w:val="00CA7E91"/>
    <w:rsid w:val="00CA7FFE"/>
    <w:rsid w:val="00CB0AC3"/>
    <w:rsid w:val="00CB0C04"/>
    <w:rsid w:val="00CB2754"/>
    <w:rsid w:val="00CB28A3"/>
    <w:rsid w:val="00CB3134"/>
    <w:rsid w:val="00CB32C9"/>
    <w:rsid w:val="00CB3491"/>
    <w:rsid w:val="00CB365F"/>
    <w:rsid w:val="00CB4B4C"/>
    <w:rsid w:val="00CB4EF0"/>
    <w:rsid w:val="00CB5844"/>
    <w:rsid w:val="00CB60E2"/>
    <w:rsid w:val="00CB73EC"/>
    <w:rsid w:val="00CB78EF"/>
    <w:rsid w:val="00CB7FDB"/>
    <w:rsid w:val="00CC00A0"/>
    <w:rsid w:val="00CC07D1"/>
    <w:rsid w:val="00CC0F1A"/>
    <w:rsid w:val="00CC0FED"/>
    <w:rsid w:val="00CC1BCA"/>
    <w:rsid w:val="00CC33AC"/>
    <w:rsid w:val="00CC3C34"/>
    <w:rsid w:val="00CC3F9F"/>
    <w:rsid w:val="00CC4CC1"/>
    <w:rsid w:val="00CC4D0B"/>
    <w:rsid w:val="00CC4FEB"/>
    <w:rsid w:val="00CC533D"/>
    <w:rsid w:val="00CC5455"/>
    <w:rsid w:val="00CC6945"/>
    <w:rsid w:val="00CC69CB"/>
    <w:rsid w:val="00CC6C06"/>
    <w:rsid w:val="00CC7849"/>
    <w:rsid w:val="00CC7C9F"/>
    <w:rsid w:val="00CC7DD6"/>
    <w:rsid w:val="00CD1526"/>
    <w:rsid w:val="00CD1546"/>
    <w:rsid w:val="00CD19FD"/>
    <w:rsid w:val="00CD2807"/>
    <w:rsid w:val="00CD395A"/>
    <w:rsid w:val="00CD51C1"/>
    <w:rsid w:val="00CD5509"/>
    <w:rsid w:val="00CD5752"/>
    <w:rsid w:val="00CD5DC7"/>
    <w:rsid w:val="00CD73E8"/>
    <w:rsid w:val="00CD7578"/>
    <w:rsid w:val="00CE0215"/>
    <w:rsid w:val="00CE0C50"/>
    <w:rsid w:val="00CE1789"/>
    <w:rsid w:val="00CE1EB0"/>
    <w:rsid w:val="00CE227D"/>
    <w:rsid w:val="00CE250D"/>
    <w:rsid w:val="00CE3333"/>
    <w:rsid w:val="00CE398E"/>
    <w:rsid w:val="00CE3B05"/>
    <w:rsid w:val="00CE3DF2"/>
    <w:rsid w:val="00CE40F1"/>
    <w:rsid w:val="00CE455A"/>
    <w:rsid w:val="00CE4CE0"/>
    <w:rsid w:val="00CE5AC0"/>
    <w:rsid w:val="00CE64A0"/>
    <w:rsid w:val="00CE6C8D"/>
    <w:rsid w:val="00CF04D5"/>
    <w:rsid w:val="00CF09A6"/>
    <w:rsid w:val="00CF0BF1"/>
    <w:rsid w:val="00CF0C0F"/>
    <w:rsid w:val="00CF1690"/>
    <w:rsid w:val="00CF1C0F"/>
    <w:rsid w:val="00CF1F2A"/>
    <w:rsid w:val="00CF2935"/>
    <w:rsid w:val="00CF536A"/>
    <w:rsid w:val="00CF55BD"/>
    <w:rsid w:val="00CF5CE3"/>
    <w:rsid w:val="00CF6489"/>
    <w:rsid w:val="00CF7412"/>
    <w:rsid w:val="00CF789A"/>
    <w:rsid w:val="00D0046F"/>
    <w:rsid w:val="00D00BDA"/>
    <w:rsid w:val="00D014E1"/>
    <w:rsid w:val="00D017C9"/>
    <w:rsid w:val="00D023F0"/>
    <w:rsid w:val="00D02B1E"/>
    <w:rsid w:val="00D02D6D"/>
    <w:rsid w:val="00D030F8"/>
    <w:rsid w:val="00D03C2B"/>
    <w:rsid w:val="00D03C7B"/>
    <w:rsid w:val="00D04925"/>
    <w:rsid w:val="00D06702"/>
    <w:rsid w:val="00D077B7"/>
    <w:rsid w:val="00D10292"/>
    <w:rsid w:val="00D1156A"/>
    <w:rsid w:val="00D11CDD"/>
    <w:rsid w:val="00D11DA8"/>
    <w:rsid w:val="00D1281C"/>
    <w:rsid w:val="00D12E14"/>
    <w:rsid w:val="00D13603"/>
    <w:rsid w:val="00D149F1"/>
    <w:rsid w:val="00D15D1F"/>
    <w:rsid w:val="00D176FA"/>
    <w:rsid w:val="00D17B49"/>
    <w:rsid w:val="00D17B59"/>
    <w:rsid w:val="00D17CF0"/>
    <w:rsid w:val="00D20297"/>
    <w:rsid w:val="00D20A8E"/>
    <w:rsid w:val="00D20AF0"/>
    <w:rsid w:val="00D21E43"/>
    <w:rsid w:val="00D21E6B"/>
    <w:rsid w:val="00D21EAA"/>
    <w:rsid w:val="00D2336A"/>
    <w:rsid w:val="00D23634"/>
    <w:rsid w:val="00D23E8F"/>
    <w:rsid w:val="00D250AD"/>
    <w:rsid w:val="00D26D13"/>
    <w:rsid w:val="00D3047F"/>
    <w:rsid w:val="00D305B0"/>
    <w:rsid w:val="00D328AF"/>
    <w:rsid w:val="00D330C5"/>
    <w:rsid w:val="00D3393F"/>
    <w:rsid w:val="00D33AD1"/>
    <w:rsid w:val="00D34551"/>
    <w:rsid w:val="00D34770"/>
    <w:rsid w:val="00D34ECD"/>
    <w:rsid w:val="00D35B47"/>
    <w:rsid w:val="00D36717"/>
    <w:rsid w:val="00D36D27"/>
    <w:rsid w:val="00D378A7"/>
    <w:rsid w:val="00D401D0"/>
    <w:rsid w:val="00D41157"/>
    <w:rsid w:val="00D41664"/>
    <w:rsid w:val="00D44B50"/>
    <w:rsid w:val="00D4569D"/>
    <w:rsid w:val="00D457D6"/>
    <w:rsid w:val="00D503DF"/>
    <w:rsid w:val="00D508D3"/>
    <w:rsid w:val="00D516CD"/>
    <w:rsid w:val="00D534CA"/>
    <w:rsid w:val="00D55013"/>
    <w:rsid w:val="00D55746"/>
    <w:rsid w:val="00D60444"/>
    <w:rsid w:val="00D6044B"/>
    <w:rsid w:val="00D604C4"/>
    <w:rsid w:val="00D612B2"/>
    <w:rsid w:val="00D61566"/>
    <w:rsid w:val="00D61641"/>
    <w:rsid w:val="00D61969"/>
    <w:rsid w:val="00D64CE2"/>
    <w:rsid w:val="00D65601"/>
    <w:rsid w:val="00D65BF4"/>
    <w:rsid w:val="00D6617D"/>
    <w:rsid w:val="00D661D4"/>
    <w:rsid w:val="00D66748"/>
    <w:rsid w:val="00D674A5"/>
    <w:rsid w:val="00D702E1"/>
    <w:rsid w:val="00D7129B"/>
    <w:rsid w:val="00D719B9"/>
    <w:rsid w:val="00D72400"/>
    <w:rsid w:val="00D7270F"/>
    <w:rsid w:val="00D749B8"/>
    <w:rsid w:val="00D7596A"/>
    <w:rsid w:val="00D7607F"/>
    <w:rsid w:val="00D76CF7"/>
    <w:rsid w:val="00D7751B"/>
    <w:rsid w:val="00D8159B"/>
    <w:rsid w:val="00D815DC"/>
    <w:rsid w:val="00D81C26"/>
    <w:rsid w:val="00D822B5"/>
    <w:rsid w:val="00D822B9"/>
    <w:rsid w:val="00D83D3C"/>
    <w:rsid w:val="00D84451"/>
    <w:rsid w:val="00D84732"/>
    <w:rsid w:val="00D85191"/>
    <w:rsid w:val="00D85A41"/>
    <w:rsid w:val="00D85C95"/>
    <w:rsid w:val="00D85CBD"/>
    <w:rsid w:val="00D862EC"/>
    <w:rsid w:val="00D867AE"/>
    <w:rsid w:val="00D86D2E"/>
    <w:rsid w:val="00D87BBB"/>
    <w:rsid w:val="00D87C87"/>
    <w:rsid w:val="00D911AA"/>
    <w:rsid w:val="00D91371"/>
    <w:rsid w:val="00D914DA"/>
    <w:rsid w:val="00D921C4"/>
    <w:rsid w:val="00D9296A"/>
    <w:rsid w:val="00D9375C"/>
    <w:rsid w:val="00D93AD3"/>
    <w:rsid w:val="00D93C23"/>
    <w:rsid w:val="00D948F2"/>
    <w:rsid w:val="00D9501E"/>
    <w:rsid w:val="00D95638"/>
    <w:rsid w:val="00D9584C"/>
    <w:rsid w:val="00D96F38"/>
    <w:rsid w:val="00D97013"/>
    <w:rsid w:val="00D97180"/>
    <w:rsid w:val="00D97C79"/>
    <w:rsid w:val="00DA0FF2"/>
    <w:rsid w:val="00DA14D9"/>
    <w:rsid w:val="00DA1538"/>
    <w:rsid w:val="00DA20A6"/>
    <w:rsid w:val="00DA2613"/>
    <w:rsid w:val="00DA4769"/>
    <w:rsid w:val="00DA4EAA"/>
    <w:rsid w:val="00DA55FD"/>
    <w:rsid w:val="00DA5B71"/>
    <w:rsid w:val="00DA5FB7"/>
    <w:rsid w:val="00DA618F"/>
    <w:rsid w:val="00DA6C36"/>
    <w:rsid w:val="00DA7588"/>
    <w:rsid w:val="00DA7C29"/>
    <w:rsid w:val="00DB13AD"/>
    <w:rsid w:val="00DB13D4"/>
    <w:rsid w:val="00DB1FDD"/>
    <w:rsid w:val="00DB23F9"/>
    <w:rsid w:val="00DB2819"/>
    <w:rsid w:val="00DB2C98"/>
    <w:rsid w:val="00DB58BE"/>
    <w:rsid w:val="00DB58CB"/>
    <w:rsid w:val="00DB602E"/>
    <w:rsid w:val="00DB6176"/>
    <w:rsid w:val="00DB6A08"/>
    <w:rsid w:val="00DB6AA0"/>
    <w:rsid w:val="00DB6DE8"/>
    <w:rsid w:val="00DB7C3A"/>
    <w:rsid w:val="00DB7C6D"/>
    <w:rsid w:val="00DB7E04"/>
    <w:rsid w:val="00DC0405"/>
    <w:rsid w:val="00DC3EC5"/>
    <w:rsid w:val="00DC4228"/>
    <w:rsid w:val="00DC5688"/>
    <w:rsid w:val="00DC6407"/>
    <w:rsid w:val="00DC696C"/>
    <w:rsid w:val="00DC6BBE"/>
    <w:rsid w:val="00DC7823"/>
    <w:rsid w:val="00DC7AE7"/>
    <w:rsid w:val="00DD13A9"/>
    <w:rsid w:val="00DD14EE"/>
    <w:rsid w:val="00DD2530"/>
    <w:rsid w:val="00DD32AB"/>
    <w:rsid w:val="00DD490E"/>
    <w:rsid w:val="00DD5A53"/>
    <w:rsid w:val="00DD5BF6"/>
    <w:rsid w:val="00DD64DC"/>
    <w:rsid w:val="00DD6DCB"/>
    <w:rsid w:val="00DD79B7"/>
    <w:rsid w:val="00DE01D8"/>
    <w:rsid w:val="00DE1865"/>
    <w:rsid w:val="00DE2255"/>
    <w:rsid w:val="00DE24D5"/>
    <w:rsid w:val="00DE2A11"/>
    <w:rsid w:val="00DE2ABD"/>
    <w:rsid w:val="00DE53D7"/>
    <w:rsid w:val="00DE5B4B"/>
    <w:rsid w:val="00DE5B7F"/>
    <w:rsid w:val="00DE6CEF"/>
    <w:rsid w:val="00DE7771"/>
    <w:rsid w:val="00DE7823"/>
    <w:rsid w:val="00DE78EC"/>
    <w:rsid w:val="00DF0319"/>
    <w:rsid w:val="00DF11C2"/>
    <w:rsid w:val="00DF14EC"/>
    <w:rsid w:val="00DF1ABD"/>
    <w:rsid w:val="00DF2134"/>
    <w:rsid w:val="00DF277A"/>
    <w:rsid w:val="00DF386C"/>
    <w:rsid w:val="00DF4176"/>
    <w:rsid w:val="00DF4593"/>
    <w:rsid w:val="00DF4E75"/>
    <w:rsid w:val="00DF64E0"/>
    <w:rsid w:val="00DF6AA3"/>
    <w:rsid w:val="00DF783A"/>
    <w:rsid w:val="00E0067C"/>
    <w:rsid w:val="00E00EFB"/>
    <w:rsid w:val="00E012A0"/>
    <w:rsid w:val="00E0181C"/>
    <w:rsid w:val="00E019A5"/>
    <w:rsid w:val="00E01DB2"/>
    <w:rsid w:val="00E03B82"/>
    <w:rsid w:val="00E04FA5"/>
    <w:rsid w:val="00E05767"/>
    <w:rsid w:val="00E05ECB"/>
    <w:rsid w:val="00E05F99"/>
    <w:rsid w:val="00E06087"/>
    <w:rsid w:val="00E07CDF"/>
    <w:rsid w:val="00E1081F"/>
    <w:rsid w:val="00E10872"/>
    <w:rsid w:val="00E109CD"/>
    <w:rsid w:val="00E10D05"/>
    <w:rsid w:val="00E113B2"/>
    <w:rsid w:val="00E139C9"/>
    <w:rsid w:val="00E13A21"/>
    <w:rsid w:val="00E143C4"/>
    <w:rsid w:val="00E157EF"/>
    <w:rsid w:val="00E16D84"/>
    <w:rsid w:val="00E17723"/>
    <w:rsid w:val="00E2055B"/>
    <w:rsid w:val="00E21023"/>
    <w:rsid w:val="00E21066"/>
    <w:rsid w:val="00E21286"/>
    <w:rsid w:val="00E213A3"/>
    <w:rsid w:val="00E2223E"/>
    <w:rsid w:val="00E225C7"/>
    <w:rsid w:val="00E22D98"/>
    <w:rsid w:val="00E22FF3"/>
    <w:rsid w:val="00E23B9C"/>
    <w:rsid w:val="00E24623"/>
    <w:rsid w:val="00E251E3"/>
    <w:rsid w:val="00E252E3"/>
    <w:rsid w:val="00E25B1B"/>
    <w:rsid w:val="00E2604F"/>
    <w:rsid w:val="00E2624C"/>
    <w:rsid w:val="00E27B7E"/>
    <w:rsid w:val="00E302A7"/>
    <w:rsid w:val="00E30B7C"/>
    <w:rsid w:val="00E31AA0"/>
    <w:rsid w:val="00E345A3"/>
    <w:rsid w:val="00E34986"/>
    <w:rsid w:val="00E3624C"/>
    <w:rsid w:val="00E37598"/>
    <w:rsid w:val="00E378A9"/>
    <w:rsid w:val="00E37A96"/>
    <w:rsid w:val="00E40505"/>
    <w:rsid w:val="00E40575"/>
    <w:rsid w:val="00E41962"/>
    <w:rsid w:val="00E42A41"/>
    <w:rsid w:val="00E42C7A"/>
    <w:rsid w:val="00E43E59"/>
    <w:rsid w:val="00E444A5"/>
    <w:rsid w:val="00E449FE"/>
    <w:rsid w:val="00E44BEE"/>
    <w:rsid w:val="00E45766"/>
    <w:rsid w:val="00E458EF"/>
    <w:rsid w:val="00E45AC5"/>
    <w:rsid w:val="00E45B0E"/>
    <w:rsid w:val="00E45C4E"/>
    <w:rsid w:val="00E45E9E"/>
    <w:rsid w:val="00E46371"/>
    <w:rsid w:val="00E46CBF"/>
    <w:rsid w:val="00E47825"/>
    <w:rsid w:val="00E50447"/>
    <w:rsid w:val="00E50D4F"/>
    <w:rsid w:val="00E51067"/>
    <w:rsid w:val="00E52135"/>
    <w:rsid w:val="00E52B74"/>
    <w:rsid w:val="00E53590"/>
    <w:rsid w:val="00E54886"/>
    <w:rsid w:val="00E54FA3"/>
    <w:rsid w:val="00E5625E"/>
    <w:rsid w:val="00E567E5"/>
    <w:rsid w:val="00E56FD1"/>
    <w:rsid w:val="00E60179"/>
    <w:rsid w:val="00E608DF"/>
    <w:rsid w:val="00E61387"/>
    <w:rsid w:val="00E6210D"/>
    <w:rsid w:val="00E64480"/>
    <w:rsid w:val="00E64CE8"/>
    <w:rsid w:val="00E65807"/>
    <w:rsid w:val="00E660D6"/>
    <w:rsid w:val="00E66103"/>
    <w:rsid w:val="00E6642C"/>
    <w:rsid w:val="00E66D71"/>
    <w:rsid w:val="00E6708B"/>
    <w:rsid w:val="00E676D0"/>
    <w:rsid w:val="00E7024C"/>
    <w:rsid w:val="00E70DD7"/>
    <w:rsid w:val="00E71A43"/>
    <w:rsid w:val="00E72243"/>
    <w:rsid w:val="00E72881"/>
    <w:rsid w:val="00E7374F"/>
    <w:rsid w:val="00E73A8C"/>
    <w:rsid w:val="00E73AEA"/>
    <w:rsid w:val="00E73F92"/>
    <w:rsid w:val="00E75050"/>
    <w:rsid w:val="00E75D5E"/>
    <w:rsid w:val="00E75FC1"/>
    <w:rsid w:val="00E76394"/>
    <w:rsid w:val="00E763F0"/>
    <w:rsid w:val="00E76F42"/>
    <w:rsid w:val="00E77D6D"/>
    <w:rsid w:val="00E80183"/>
    <w:rsid w:val="00E807D6"/>
    <w:rsid w:val="00E844A2"/>
    <w:rsid w:val="00E848FF"/>
    <w:rsid w:val="00E84975"/>
    <w:rsid w:val="00E84CD6"/>
    <w:rsid w:val="00E87117"/>
    <w:rsid w:val="00E90042"/>
    <w:rsid w:val="00E90109"/>
    <w:rsid w:val="00E915E6"/>
    <w:rsid w:val="00E92B33"/>
    <w:rsid w:val="00E92E40"/>
    <w:rsid w:val="00E92EEE"/>
    <w:rsid w:val="00E93B72"/>
    <w:rsid w:val="00E93C55"/>
    <w:rsid w:val="00E946EA"/>
    <w:rsid w:val="00E9695D"/>
    <w:rsid w:val="00E97FF9"/>
    <w:rsid w:val="00EA1AD9"/>
    <w:rsid w:val="00EA2376"/>
    <w:rsid w:val="00EA2763"/>
    <w:rsid w:val="00EA28E5"/>
    <w:rsid w:val="00EA2D06"/>
    <w:rsid w:val="00EA2F5C"/>
    <w:rsid w:val="00EA3E11"/>
    <w:rsid w:val="00EA69C5"/>
    <w:rsid w:val="00EA6EB3"/>
    <w:rsid w:val="00EA740D"/>
    <w:rsid w:val="00EB02BE"/>
    <w:rsid w:val="00EB0F99"/>
    <w:rsid w:val="00EB2542"/>
    <w:rsid w:val="00EB3B7D"/>
    <w:rsid w:val="00EB4A8E"/>
    <w:rsid w:val="00EB4D1C"/>
    <w:rsid w:val="00EB5446"/>
    <w:rsid w:val="00EB5EF3"/>
    <w:rsid w:val="00EB6079"/>
    <w:rsid w:val="00EB62F7"/>
    <w:rsid w:val="00EB664D"/>
    <w:rsid w:val="00EB67BF"/>
    <w:rsid w:val="00EB695D"/>
    <w:rsid w:val="00EB6B01"/>
    <w:rsid w:val="00EB6D60"/>
    <w:rsid w:val="00EB6D9D"/>
    <w:rsid w:val="00EB7555"/>
    <w:rsid w:val="00EB7763"/>
    <w:rsid w:val="00EB7C6D"/>
    <w:rsid w:val="00EC38F3"/>
    <w:rsid w:val="00EC3E4E"/>
    <w:rsid w:val="00EC4241"/>
    <w:rsid w:val="00EC5E55"/>
    <w:rsid w:val="00EC6AA7"/>
    <w:rsid w:val="00EC6C80"/>
    <w:rsid w:val="00EC71D9"/>
    <w:rsid w:val="00EC725C"/>
    <w:rsid w:val="00EC7510"/>
    <w:rsid w:val="00EC78BB"/>
    <w:rsid w:val="00ED0404"/>
    <w:rsid w:val="00ED0C5A"/>
    <w:rsid w:val="00ED102C"/>
    <w:rsid w:val="00ED1407"/>
    <w:rsid w:val="00ED2763"/>
    <w:rsid w:val="00ED39CE"/>
    <w:rsid w:val="00ED4134"/>
    <w:rsid w:val="00ED5C03"/>
    <w:rsid w:val="00ED5CAF"/>
    <w:rsid w:val="00ED5D9F"/>
    <w:rsid w:val="00ED627D"/>
    <w:rsid w:val="00ED7A9F"/>
    <w:rsid w:val="00ED7D27"/>
    <w:rsid w:val="00EE05F1"/>
    <w:rsid w:val="00EE1046"/>
    <w:rsid w:val="00EE1050"/>
    <w:rsid w:val="00EE13C4"/>
    <w:rsid w:val="00EE1B0F"/>
    <w:rsid w:val="00EE27B7"/>
    <w:rsid w:val="00EE29AF"/>
    <w:rsid w:val="00EE3226"/>
    <w:rsid w:val="00EE3C0B"/>
    <w:rsid w:val="00EE3C64"/>
    <w:rsid w:val="00EE431A"/>
    <w:rsid w:val="00EE44DB"/>
    <w:rsid w:val="00EE471A"/>
    <w:rsid w:val="00EE4989"/>
    <w:rsid w:val="00EE5492"/>
    <w:rsid w:val="00EE563B"/>
    <w:rsid w:val="00EE583A"/>
    <w:rsid w:val="00EE58D3"/>
    <w:rsid w:val="00EE69D2"/>
    <w:rsid w:val="00EF01A2"/>
    <w:rsid w:val="00EF0293"/>
    <w:rsid w:val="00EF0A00"/>
    <w:rsid w:val="00EF0AAF"/>
    <w:rsid w:val="00EF0D1F"/>
    <w:rsid w:val="00EF218C"/>
    <w:rsid w:val="00EF3D66"/>
    <w:rsid w:val="00EF3F91"/>
    <w:rsid w:val="00EF3FC5"/>
    <w:rsid w:val="00EF4362"/>
    <w:rsid w:val="00EF49D5"/>
    <w:rsid w:val="00EF7163"/>
    <w:rsid w:val="00EF7395"/>
    <w:rsid w:val="00F002D8"/>
    <w:rsid w:val="00F01224"/>
    <w:rsid w:val="00F01829"/>
    <w:rsid w:val="00F0183C"/>
    <w:rsid w:val="00F0241C"/>
    <w:rsid w:val="00F0244D"/>
    <w:rsid w:val="00F0282F"/>
    <w:rsid w:val="00F03677"/>
    <w:rsid w:val="00F0379D"/>
    <w:rsid w:val="00F03C79"/>
    <w:rsid w:val="00F03D40"/>
    <w:rsid w:val="00F04A3A"/>
    <w:rsid w:val="00F061B1"/>
    <w:rsid w:val="00F06E0B"/>
    <w:rsid w:val="00F077A8"/>
    <w:rsid w:val="00F07BD5"/>
    <w:rsid w:val="00F122D6"/>
    <w:rsid w:val="00F13F58"/>
    <w:rsid w:val="00F147EA"/>
    <w:rsid w:val="00F14CDE"/>
    <w:rsid w:val="00F15346"/>
    <w:rsid w:val="00F15BEF"/>
    <w:rsid w:val="00F15BF4"/>
    <w:rsid w:val="00F16759"/>
    <w:rsid w:val="00F168F1"/>
    <w:rsid w:val="00F1713B"/>
    <w:rsid w:val="00F171E0"/>
    <w:rsid w:val="00F17940"/>
    <w:rsid w:val="00F17A07"/>
    <w:rsid w:val="00F17DC0"/>
    <w:rsid w:val="00F2046C"/>
    <w:rsid w:val="00F20647"/>
    <w:rsid w:val="00F207FC"/>
    <w:rsid w:val="00F20B0F"/>
    <w:rsid w:val="00F21B14"/>
    <w:rsid w:val="00F24489"/>
    <w:rsid w:val="00F25FEC"/>
    <w:rsid w:val="00F274DB"/>
    <w:rsid w:val="00F27E63"/>
    <w:rsid w:val="00F31392"/>
    <w:rsid w:val="00F3264B"/>
    <w:rsid w:val="00F32EFB"/>
    <w:rsid w:val="00F348B5"/>
    <w:rsid w:val="00F34C76"/>
    <w:rsid w:val="00F3652B"/>
    <w:rsid w:val="00F36D95"/>
    <w:rsid w:val="00F3718C"/>
    <w:rsid w:val="00F37659"/>
    <w:rsid w:val="00F37725"/>
    <w:rsid w:val="00F377B9"/>
    <w:rsid w:val="00F41AA4"/>
    <w:rsid w:val="00F41C17"/>
    <w:rsid w:val="00F43DD5"/>
    <w:rsid w:val="00F45356"/>
    <w:rsid w:val="00F45442"/>
    <w:rsid w:val="00F45831"/>
    <w:rsid w:val="00F46828"/>
    <w:rsid w:val="00F46B19"/>
    <w:rsid w:val="00F47A24"/>
    <w:rsid w:val="00F5028B"/>
    <w:rsid w:val="00F502DB"/>
    <w:rsid w:val="00F5077F"/>
    <w:rsid w:val="00F5145E"/>
    <w:rsid w:val="00F52B23"/>
    <w:rsid w:val="00F541DD"/>
    <w:rsid w:val="00F548EE"/>
    <w:rsid w:val="00F554DB"/>
    <w:rsid w:val="00F55648"/>
    <w:rsid w:val="00F558EA"/>
    <w:rsid w:val="00F559A3"/>
    <w:rsid w:val="00F5681C"/>
    <w:rsid w:val="00F56CF4"/>
    <w:rsid w:val="00F6045D"/>
    <w:rsid w:val="00F6088B"/>
    <w:rsid w:val="00F613CB"/>
    <w:rsid w:val="00F61F79"/>
    <w:rsid w:val="00F651DD"/>
    <w:rsid w:val="00F652AB"/>
    <w:rsid w:val="00F656A4"/>
    <w:rsid w:val="00F65FAB"/>
    <w:rsid w:val="00F66101"/>
    <w:rsid w:val="00F663F2"/>
    <w:rsid w:val="00F6650B"/>
    <w:rsid w:val="00F6665E"/>
    <w:rsid w:val="00F66FF5"/>
    <w:rsid w:val="00F702FF"/>
    <w:rsid w:val="00F7041B"/>
    <w:rsid w:val="00F705CA"/>
    <w:rsid w:val="00F7075F"/>
    <w:rsid w:val="00F710CC"/>
    <w:rsid w:val="00F71D76"/>
    <w:rsid w:val="00F71F50"/>
    <w:rsid w:val="00F73916"/>
    <w:rsid w:val="00F73973"/>
    <w:rsid w:val="00F74981"/>
    <w:rsid w:val="00F7619E"/>
    <w:rsid w:val="00F76A8D"/>
    <w:rsid w:val="00F77CBE"/>
    <w:rsid w:val="00F77D4E"/>
    <w:rsid w:val="00F77FEA"/>
    <w:rsid w:val="00F80FFB"/>
    <w:rsid w:val="00F8295A"/>
    <w:rsid w:val="00F8349F"/>
    <w:rsid w:val="00F8361A"/>
    <w:rsid w:val="00F83DA6"/>
    <w:rsid w:val="00F83FB7"/>
    <w:rsid w:val="00F844D7"/>
    <w:rsid w:val="00F84F4E"/>
    <w:rsid w:val="00F85935"/>
    <w:rsid w:val="00F85D29"/>
    <w:rsid w:val="00F861C3"/>
    <w:rsid w:val="00F86E23"/>
    <w:rsid w:val="00F87C38"/>
    <w:rsid w:val="00F9146C"/>
    <w:rsid w:val="00F91A0D"/>
    <w:rsid w:val="00F928A1"/>
    <w:rsid w:val="00F9375F"/>
    <w:rsid w:val="00F93E6C"/>
    <w:rsid w:val="00F94010"/>
    <w:rsid w:val="00F9434B"/>
    <w:rsid w:val="00F95E58"/>
    <w:rsid w:val="00F95EFE"/>
    <w:rsid w:val="00F96993"/>
    <w:rsid w:val="00F969D3"/>
    <w:rsid w:val="00F9789E"/>
    <w:rsid w:val="00F97C5F"/>
    <w:rsid w:val="00FA190E"/>
    <w:rsid w:val="00FA2242"/>
    <w:rsid w:val="00FA378C"/>
    <w:rsid w:val="00FA3BA3"/>
    <w:rsid w:val="00FA4558"/>
    <w:rsid w:val="00FA54D8"/>
    <w:rsid w:val="00FA6BCF"/>
    <w:rsid w:val="00FA715B"/>
    <w:rsid w:val="00FA78A3"/>
    <w:rsid w:val="00FB01C9"/>
    <w:rsid w:val="00FB2ACC"/>
    <w:rsid w:val="00FB460E"/>
    <w:rsid w:val="00FB51F2"/>
    <w:rsid w:val="00FC0A84"/>
    <w:rsid w:val="00FC11D3"/>
    <w:rsid w:val="00FC1357"/>
    <w:rsid w:val="00FC1793"/>
    <w:rsid w:val="00FC1C3D"/>
    <w:rsid w:val="00FC31CD"/>
    <w:rsid w:val="00FC325C"/>
    <w:rsid w:val="00FC489E"/>
    <w:rsid w:val="00FC4C74"/>
    <w:rsid w:val="00FC4FB7"/>
    <w:rsid w:val="00FC60DA"/>
    <w:rsid w:val="00FC65E5"/>
    <w:rsid w:val="00FC6998"/>
    <w:rsid w:val="00FC6F0A"/>
    <w:rsid w:val="00FD0029"/>
    <w:rsid w:val="00FD091D"/>
    <w:rsid w:val="00FD0CFB"/>
    <w:rsid w:val="00FD187F"/>
    <w:rsid w:val="00FD1EE0"/>
    <w:rsid w:val="00FD2088"/>
    <w:rsid w:val="00FD357B"/>
    <w:rsid w:val="00FD38FC"/>
    <w:rsid w:val="00FD475E"/>
    <w:rsid w:val="00FD48A9"/>
    <w:rsid w:val="00FD6119"/>
    <w:rsid w:val="00FD688E"/>
    <w:rsid w:val="00FD7A9E"/>
    <w:rsid w:val="00FD7C0C"/>
    <w:rsid w:val="00FE00FF"/>
    <w:rsid w:val="00FE03EC"/>
    <w:rsid w:val="00FE045C"/>
    <w:rsid w:val="00FE083A"/>
    <w:rsid w:val="00FE0C52"/>
    <w:rsid w:val="00FE1202"/>
    <w:rsid w:val="00FE1212"/>
    <w:rsid w:val="00FE12F9"/>
    <w:rsid w:val="00FE1692"/>
    <w:rsid w:val="00FE1835"/>
    <w:rsid w:val="00FE20A8"/>
    <w:rsid w:val="00FE2B32"/>
    <w:rsid w:val="00FE3069"/>
    <w:rsid w:val="00FE3B13"/>
    <w:rsid w:val="00FE3FC1"/>
    <w:rsid w:val="00FE45DE"/>
    <w:rsid w:val="00FE5833"/>
    <w:rsid w:val="00FE654E"/>
    <w:rsid w:val="00FE7EBE"/>
    <w:rsid w:val="00FF0465"/>
    <w:rsid w:val="00FF0566"/>
    <w:rsid w:val="00FF1072"/>
    <w:rsid w:val="00FF15F5"/>
    <w:rsid w:val="00FF1E2C"/>
    <w:rsid w:val="00FF1F1F"/>
    <w:rsid w:val="00FF1FEC"/>
    <w:rsid w:val="00FF3D06"/>
    <w:rsid w:val="00FF3E06"/>
    <w:rsid w:val="00FF55A9"/>
    <w:rsid w:val="00FF6218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25E5D"/>
  <w15:docId w15:val="{4E4770EB-6405-477C-A593-0C0F199C40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3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3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3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semiHidden="1" w:unhideWhenUsed="1" w:qFormat="1"/>
    <w:lsdException w:name="List Bullet 3" w:uiPriority="9" w:semiHidden="1" w:unhideWhenUsed="1" w:qFormat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uiPriority="0" w:semiHidden="1" w:unhideWhenUsed="1" w:qFormat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uiPriority="0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43F"/>
    <w:pPr>
      <w:spacing w:after="120" w:line="300" w:lineRule="atLeast"/>
    </w:pPr>
    <w:rPr>
      <w:spacing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3D1"/>
    <w:pPr>
      <w:keepNext/>
      <w:keepLines/>
      <w:spacing w:before="360" w:after="180"/>
      <w:outlineLvl w:val="0"/>
    </w:pPr>
    <w:rPr>
      <w:rFonts w:asciiTheme="majorHAnsi" w:hAnsiTheme="majorHAnsi" w:eastAsiaTheme="majorEastAsia" w:cstheme="majorBidi"/>
      <w:color w:val="3D4D7D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33D1"/>
    <w:pPr>
      <w:keepNext/>
      <w:keepLines/>
      <w:spacing w:before="300"/>
      <w:outlineLvl w:val="1"/>
    </w:pPr>
    <w:rPr>
      <w:rFonts w:asciiTheme="majorHAnsi" w:hAnsiTheme="majorHAnsi" w:eastAsiaTheme="majorEastAsia" w:cstheme="majorBidi"/>
      <w:color w:val="3D4D7D" w:themeColor="background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33D1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color w:val="3D4D7D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4A5"/>
    <w:pPr>
      <w:keepNext/>
      <w:keepLines/>
      <w:spacing w:before="24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674A5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674A5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674A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Attachment Title"/>
    <w:basedOn w:val="Heading1"/>
    <w:next w:val="Normal"/>
    <w:link w:val="Heading8Char"/>
    <w:uiPriority w:val="9"/>
    <w:unhideWhenUsed/>
    <w:rsid w:val="009B33D1"/>
    <w:pPr>
      <w:numPr>
        <w:numId w:val="12"/>
      </w:numPr>
      <w:tabs>
        <w:tab w:val="left" w:pos="4536"/>
      </w:tabs>
      <w:spacing w:before="480" w:after="340"/>
      <w:outlineLvl w:val="7"/>
    </w:pPr>
    <w:rPr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674A5"/>
    <w:pPr>
      <w:keepNext/>
      <w:keepLines/>
      <w:numPr>
        <w:ilvl w:val="1"/>
        <w:numId w:val="13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9778B4" w:themeColor="text2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D674A5"/>
    <w:pPr>
      <w:spacing w:before="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13"/>
    <w:rsid w:val="00D674A5"/>
    <w:rPr>
      <w:spacing w:val="-1"/>
      <w:sz w:val="18"/>
    </w:rPr>
  </w:style>
  <w:style w:type="character" w:styleId="FootnoteReference">
    <w:name w:val="footnote reference"/>
    <w:basedOn w:val="DefaultParagraphFont"/>
    <w:uiPriority w:val="39"/>
    <w:rsid w:val="00D674A5"/>
    <w:rPr>
      <w:vertAlign w:val="superscript"/>
    </w:rPr>
  </w:style>
  <w:style w:type="paragraph" w:styleId="AppendixNumbered" w:customStyle="1">
    <w:name w:val="Appendix Numbered"/>
    <w:basedOn w:val="Heading2"/>
    <w:uiPriority w:val="11"/>
    <w:qFormat/>
    <w:rsid w:val="00D674A5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B33D1"/>
    <w:rPr>
      <w:rFonts w:asciiTheme="majorHAnsi" w:hAnsiTheme="majorHAnsi" w:eastAsiaTheme="majorEastAsia" w:cstheme="majorBidi"/>
      <w:color w:val="3D4D7D" w:themeColor="background2"/>
      <w:spacing w:val="-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B33D1"/>
    <w:rPr>
      <w:rFonts w:asciiTheme="majorHAnsi" w:hAnsiTheme="majorHAnsi" w:eastAsiaTheme="majorEastAsia" w:cstheme="majorBidi"/>
      <w:color w:val="3D4D7D" w:themeColor="background2"/>
      <w:spacing w:val="-1"/>
      <w:sz w:val="3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B33D1"/>
    <w:rPr>
      <w:rFonts w:asciiTheme="majorHAnsi" w:hAnsiTheme="majorHAnsi" w:eastAsiaTheme="majorEastAsia" w:cstheme="majorBidi"/>
      <w:b/>
      <w:color w:val="3D4D7D" w:themeColor="background2"/>
      <w:spacing w:val="-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674A5"/>
    <w:rPr>
      <w:rFonts w:eastAsiaTheme="majorEastAsia" w:cstheme="majorBidi"/>
      <w:b/>
      <w:iCs/>
      <w:color w:val="auto"/>
      <w:spacing w:val="-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674A5"/>
    <w:rPr>
      <w:rFonts w:eastAsiaTheme="majorEastAsia" w:cstheme="majorBidi"/>
      <w:b/>
      <w:i/>
      <w:color w:val="auto"/>
      <w:spacing w:val="-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74A5"/>
    <w:rPr>
      <w:rFonts w:eastAsiaTheme="majorEastAsia" w:cstheme="majorBidi"/>
      <w:b/>
      <w:i/>
      <w:spacing w:val="-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74A5"/>
    <w:rPr>
      <w:rFonts w:eastAsiaTheme="majorEastAsia" w:cstheme="majorBidi"/>
      <w:i/>
      <w:iCs/>
      <w:spacing w:val="-1"/>
    </w:rPr>
  </w:style>
  <w:style w:type="character" w:styleId="Heading8Char" w:customStyle="1">
    <w:name w:val="Heading 8 Char"/>
    <w:aliases w:val="Attachment Title Char"/>
    <w:basedOn w:val="DefaultParagraphFont"/>
    <w:link w:val="Heading8"/>
    <w:uiPriority w:val="9"/>
    <w:rsid w:val="009B33D1"/>
    <w:rPr>
      <w:rFonts w:asciiTheme="majorHAnsi" w:hAnsiTheme="majorHAnsi" w:eastAsiaTheme="majorEastAsia" w:cstheme="majorBidi"/>
      <w:color w:val="3D4D7D" w:themeColor="background2"/>
      <w:spacing w:val="-1"/>
      <w:sz w:val="30"/>
      <w:szCs w:val="3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74A5"/>
    <w:rPr>
      <w:rFonts w:asciiTheme="majorHAnsi" w:hAnsiTheme="majorHAnsi"/>
      <w:color w:val="9778B4" w:themeColor="text2"/>
      <w:spacing w:val="-1"/>
      <w:sz w:val="32"/>
    </w:rPr>
  </w:style>
  <w:style w:type="numbering" w:styleId="AppendixNumbers" w:customStyle="1">
    <w:name w:val="Appendix Numbers"/>
    <w:uiPriority w:val="99"/>
    <w:rsid w:val="00D674A5"/>
    <w:pPr>
      <w:numPr>
        <w:numId w:val="1"/>
      </w:numPr>
    </w:pPr>
  </w:style>
  <w:style w:type="numbering" w:styleId="AttachementsNumbered" w:customStyle="1">
    <w:name w:val="Attachements Numbered"/>
    <w:uiPriority w:val="99"/>
    <w:rsid w:val="00D674A5"/>
    <w:pPr>
      <w:numPr>
        <w:numId w:val="2"/>
      </w:numPr>
    </w:pPr>
  </w:style>
  <w:style w:type="paragraph" w:styleId="Box1Text" w:customStyle="1">
    <w:name w:val="Box 1 Text"/>
    <w:basedOn w:val="Normal"/>
    <w:uiPriority w:val="13"/>
    <w:rsid w:val="00D674A5"/>
    <w:pPr>
      <w:pBdr>
        <w:top w:val="single" w:color="D3D8E9" w:themeColor="background2" w:themeTint="33" w:sz="4" w:space="14"/>
        <w:left w:val="single" w:color="D3D8E9" w:themeColor="background2" w:themeTint="33" w:sz="4" w:space="14"/>
        <w:bottom w:val="single" w:color="D3D8E9" w:themeColor="background2" w:themeTint="33" w:sz="4" w:space="14"/>
        <w:right w:val="single" w:color="D3D8E9" w:themeColor="background2" w:themeTint="33" w:sz="4" w:space="14"/>
      </w:pBdr>
      <w:shd w:val="clear" w:color="auto" w:fill="D3D8E9" w:themeFill="background2" w:themeFillTint="33"/>
      <w:ind w:left="284" w:right="284"/>
    </w:pPr>
  </w:style>
  <w:style w:type="paragraph" w:styleId="Box1Bullet" w:customStyle="1">
    <w:name w:val="Box 1 Bullet"/>
    <w:basedOn w:val="Box1Text"/>
    <w:uiPriority w:val="14"/>
    <w:rsid w:val="00D674A5"/>
    <w:pPr>
      <w:numPr>
        <w:numId w:val="3"/>
      </w:numPr>
    </w:pPr>
  </w:style>
  <w:style w:type="paragraph" w:styleId="Caption">
    <w:name w:val="caption"/>
    <w:basedOn w:val="Normal"/>
    <w:next w:val="Normal"/>
    <w:uiPriority w:val="13"/>
    <w:qFormat/>
    <w:rsid w:val="00D674A5"/>
    <w:pPr>
      <w:keepNext/>
      <w:keepLines/>
      <w:spacing w:before="360"/>
    </w:pPr>
    <w:rPr>
      <w:b/>
      <w:iCs/>
      <w:color w:val="3D4D7D" w:themeColor="background2"/>
      <w:szCs w:val="18"/>
    </w:rPr>
  </w:style>
  <w:style w:type="paragraph" w:styleId="Footer">
    <w:name w:val="footer"/>
    <w:basedOn w:val="Normal"/>
    <w:link w:val="Foot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D674A5"/>
    <w:rPr>
      <w:spacing w:val="-1"/>
      <w:sz w:val="16"/>
    </w:rPr>
  </w:style>
  <w:style w:type="paragraph" w:styleId="Box1Heading" w:customStyle="1">
    <w:name w:val="Box 1 Heading"/>
    <w:basedOn w:val="Box1Text"/>
    <w:uiPriority w:val="13"/>
    <w:rsid w:val="00D674A5"/>
    <w:rPr>
      <w:b/>
      <w:bCs/>
      <w:sz w:val="24"/>
      <w:szCs w:val="24"/>
    </w:rPr>
  </w:style>
  <w:style w:type="paragraph" w:styleId="Box2Text" w:customStyle="1">
    <w:name w:val="Box 2 Text"/>
    <w:basedOn w:val="Normal"/>
    <w:uiPriority w:val="14"/>
    <w:rsid w:val="00D674A5"/>
    <w:pPr>
      <w:pBdr>
        <w:top w:val="single" w:color="3D4D7D" w:themeColor="background2" w:sz="4" w:space="14"/>
        <w:left w:val="single" w:color="3D4D7D" w:themeColor="background2" w:sz="4" w:space="14"/>
        <w:bottom w:val="single" w:color="3D4D7D" w:themeColor="background2" w:sz="4" w:space="14"/>
        <w:right w:val="single" w:color="3D4D7D" w:themeColor="background2" w:sz="4" w:space="14"/>
      </w:pBdr>
      <w:ind w:left="284" w:right="284"/>
    </w:pPr>
  </w:style>
  <w:style w:type="paragraph" w:styleId="Box2Bullet" w:customStyle="1">
    <w:name w:val="Box 2 Bullet"/>
    <w:basedOn w:val="Box2Text"/>
    <w:uiPriority w:val="15"/>
    <w:rsid w:val="00D674A5"/>
    <w:pPr>
      <w:numPr>
        <w:ilvl w:val="1"/>
        <w:numId w:val="9"/>
      </w:numPr>
    </w:pPr>
  </w:style>
  <w:style w:type="paragraph" w:styleId="Box2Heading" w:customStyle="1">
    <w:name w:val="Box 2 Heading"/>
    <w:basedOn w:val="Box2Text"/>
    <w:uiPriority w:val="14"/>
    <w:rsid w:val="00D674A5"/>
    <w:rPr>
      <w:b/>
      <w:bCs/>
      <w:sz w:val="24"/>
      <w:szCs w:val="24"/>
    </w:rPr>
  </w:style>
  <w:style w:type="numbering" w:styleId="BoxedBullets" w:customStyle="1">
    <w:name w:val="Boxed Bullets"/>
    <w:uiPriority w:val="99"/>
    <w:rsid w:val="00D674A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rFonts w:asciiTheme="majorHAnsi" w:hAnsiTheme="majorHAnsi"/>
      <w:sz w:val="16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D674A5"/>
    <w:rPr>
      <w:rFonts w:asciiTheme="majorHAnsi" w:hAnsiTheme="majorHAnsi"/>
      <w:spacing w:val="-1"/>
      <w:sz w:val="16"/>
    </w:rPr>
  </w:style>
  <w:style w:type="paragraph" w:styleId="Bullet1" w:customStyle="1">
    <w:name w:val="Bullet 1"/>
    <w:basedOn w:val="Normal"/>
    <w:uiPriority w:val="2"/>
    <w:qFormat/>
    <w:rsid w:val="00AF37D6"/>
  </w:style>
  <w:style w:type="paragraph" w:styleId="Bullet2" w:customStyle="1">
    <w:name w:val="Bullet 2"/>
    <w:basedOn w:val="Normal"/>
    <w:uiPriority w:val="2"/>
    <w:qFormat/>
    <w:rsid w:val="00673005"/>
  </w:style>
  <w:style w:type="paragraph" w:styleId="Bullet3" w:customStyle="1">
    <w:name w:val="Bullet 3"/>
    <w:basedOn w:val="Normal"/>
    <w:uiPriority w:val="2"/>
    <w:qFormat/>
    <w:rsid w:val="00201EAE"/>
    <w:pPr>
      <w:numPr>
        <w:numId w:val="20"/>
      </w:numPr>
      <w:spacing w:before="70"/>
      <w:ind w:left="851" w:hanging="284"/>
    </w:pPr>
  </w:style>
  <w:style w:type="paragraph" w:styleId="ListContinue">
    <w:name w:val="List Continue"/>
    <w:basedOn w:val="Normal"/>
    <w:uiPriority w:val="99"/>
    <w:semiHidden/>
    <w:qFormat/>
    <w:rsid w:val="00D674A5"/>
    <w:pPr>
      <w:spacing w:before="220" w:after="220"/>
      <w:ind w:left="340"/>
    </w:pPr>
  </w:style>
  <w:style w:type="paragraph" w:styleId="ListContinue2">
    <w:name w:val="List Continue 2"/>
    <w:basedOn w:val="Normal"/>
    <w:uiPriority w:val="99"/>
    <w:semiHidden/>
    <w:qFormat/>
    <w:rsid w:val="00D674A5"/>
    <w:pPr>
      <w:spacing w:before="220" w:after="220"/>
      <w:ind w:left="680"/>
    </w:pPr>
  </w:style>
  <w:style w:type="numbering" w:styleId="DefaultBullets" w:customStyle="1">
    <w:name w:val="Default Bullets"/>
    <w:uiPriority w:val="99"/>
    <w:rsid w:val="00D674A5"/>
    <w:pPr>
      <w:numPr>
        <w:numId w:val="4"/>
      </w:numPr>
    </w:pPr>
  </w:style>
  <w:style w:type="character" w:styleId="Emphasis">
    <w:name w:val="Emphasis"/>
    <w:basedOn w:val="DefaultParagraphFont"/>
    <w:uiPriority w:val="33"/>
    <w:semiHidden/>
    <w:rsid w:val="00D674A5"/>
    <w:rPr>
      <w:i/>
      <w:iCs/>
    </w:rPr>
  </w:style>
  <w:style w:type="table" w:styleId="GridTable5Dark-Accent1">
    <w:name w:val="Grid Table 5 Dark Accent 1"/>
    <w:basedOn w:val="TableNormal"/>
    <w:uiPriority w:val="50"/>
    <w:rsid w:val="00D674A5"/>
    <w:pPr>
      <w:spacing w:after="0"/>
    </w:pPr>
    <w:rPr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paragraph" w:styleId="Heading1Numbered" w:customStyle="1">
    <w:name w:val="Heading 1 Numbered"/>
    <w:basedOn w:val="Heading1"/>
    <w:uiPriority w:val="10"/>
    <w:qFormat/>
    <w:rsid w:val="00D674A5"/>
    <w:pPr>
      <w:numPr>
        <w:numId w:val="7"/>
      </w:numPr>
    </w:pPr>
  </w:style>
  <w:style w:type="paragraph" w:styleId="NoSpacing">
    <w:name w:val="No Spacing"/>
    <w:uiPriority w:val="4"/>
    <w:rsid w:val="00D674A5"/>
    <w:pPr>
      <w:spacing w:after="120"/>
      <w:contextualSpacing/>
    </w:pPr>
    <w:rPr>
      <w:sz w:val="20"/>
      <w:szCs w:val="20"/>
    </w:rPr>
  </w:style>
  <w:style w:type="paragraph" w:styleId="Heading2Numbered" w:customStyle="1">
    <w:name w:val="Heading 2 Numbered"/>
    <w:basedOn w:val="Heading2"/>
    <w:uiPriority w:val="10"/>
    <w:qFormat/>
    <w:rsid w:val="00D674A5"/>
    <w:pPr>
      <w:numPr>
        <w:ilvl w:val="1"/>
        <w:numId w:val="7"/>
      </w:numPr>
    </w:pPr>
  </w:style>
  <w:style w:type="paragraph" w:styleId="Heading3Numbered" w:customStyle="1">
    <w:name w:val="Heading 3 Numbered"/>
    <w:basedOn w:val="Heading3"/>
    <w:uiPriority w:val="10"/>
    <w:qFormat/>
    <w:rsid w:val="00D674A5"/>
    <w:pPr>
      <w:numPr>
        <w:ilvl w:val="2"/>
        <w:numId w:val="7"/>
      </w:numPr>
    </w:pPr>
  </w:style>
  <w:style w:type="character" w:styleId="IntenseEmphasis">
    <w:name w:val="Intense Emphasis"/>
    <w:basedOn w:val="DefaultParagraphFont"/>
    <w:uiPriority w:val="33"/>
    <w:semiHidden/>
    <w:rsid w:val="00D674A5"/>
    <w:rPr>
      <w:b/>
      <w:i/>
      <w:iCs/>
      <w:color w:val="000000" w:themeColor="text1"/>
    </w:rPr>
  </w:style>
  <w:style w:type="character" w:styleId="PageNumber">
    <w:name w:val="page number"/>
    <w:basedOn w:val="DefaultParagraphFont"/>
    <w:uiPriority w:val="99"/>
    <w:semiHidden/>
    <w:rsid w:val="00D674A5"/>
    <w:rPr>
      <w:rFonts w:ascii="Arial" w:hAnsi="Arial"/>
      <w:b/>
      <w:color w:val="auto"/>
      <w:sz w:val="16"/>
    </w:rPr>
  </w:style>
  <w:style w:type="paragraph" w:styleId="IntroPara" w:customStyle="1">
    <w:name w:val="Intro Para"/>
    <w:basedOn w:val="Normal"/>
    <w:uiPriority w:val="1"/>
    <w:qFormat/>
    <w:rsid w:val="00D674A5"/>
    <w:pPr>
      <w:spacing w:before="240" w:after="240" w:line="400" w:lineRule="atLeast"/>
      <w:contextualSpacing/>
    </w:pPr>
    <w:rPr>
      <w:rFonts w:asciiTheme="majorHAnsi" w:hAnsiTheme="majorHAnsi"/>
      <w:color w:val="8D487F" w:themeColor="accent1"/>
      <w:sz w:val="28"/>
    </w:rPr>
  </w:style>
  <w:style w:type="table" w:styleId="LightList-Accent1">
    <w:name w:val="Light List Accent 1"/>
    <w:basedOn w:val="TableNormal"/>
    <w:uiPriority w:val="61"/>
    <w:rsid w:val="00D674A5"/>
    <w:tblPr>
      <w:tblStyleRowBandSize w:val="1"/>
      <w:tblStyleColBandSize w:val="1"/>
      <w:tblBorders>
        <w:top w:val="single" w:color="8D487F" w:themeColor="accent1" w:sz="8" w:space="0"/>
        <w:left w:val="single" w:color="8D487F" w:themeColor="accent1" w:sz="8" w:space="0"/>
        <w:bottom w:val="single" w:color="8D487F" w:themeColor="accent1" w:sz="8" w:space="0"/>
        <w:right w:val="single" w:color="8D487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D487F" w:themeColor="accent1" w:sz="6" w:space="0"/>
          <w:left w:val="single" w:color="8D487F" w:themeColor="accent1" w:sz="8" w:space="0"/>
          <w:bottom w:val="single" w:color="8D487F" w:themeColor="accent1" w:sz="8" w:space="0"/>
          <w:right w:val="single" w:color="8D487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D487F" w:themeColor="accent1" w:sz="8" w:space="0"/>
          <w:left w:val="single" w:color="8D487F" w:themeColor="accent1" w:sz="8" w:space="0"/>
          <w:bottom w:val="single" w:color="8D487F" w:themeColor="accent1" w:sz="8" w:space="0"/>
          <w:right w:val="single" w:color="8D487F" w:themeColor="accent1" w:sz="8" w:space="0"/>
        </w:tcBorders>
      </w:tcPr>
    </w:tblStylePr>
    <w:tblStylePr w:type="band1Horz">
      <w:tblPr/>
      <w:tcPr>
        <w:tcBorders>
          <w:top w:val="single" w:color="8D487F" w:themeColor="accent1" w:sz="8" w:space="0"/>
          <w:left w:val="single" w:color="8D487F" w:themeColor="accent1" w:sz="8" w:space="0"/>
          <w:bottom w:val="single" w:color="8D487F" w:themeColor="accent1" w:sz="8" w:space="0"/>
          <w:right w:val="single" w:color="8D487F" w:themeColor="accent1" w:sz="8" w:space="0"/>
        </w:tcBorders>
      </w:tcPr>
    </w:tblStylePr>
  </w:style>
  <w:style w:type="character" w:styleId="PlaceholderText">
    <w:name w:val="Placeholder Text"/>
    <w:basedOn w:val="DefaultParagraphFont"/>
    <w:uiPriority w:val="99"/>
    <w:rsid w:val="00D674A5"/>
    <w:rPr>
      <w:color w:val="808080"/>
    </w:rPr>
  </w:style>
  <w:style w:type="numbering" w:styleId="List1Numbered" w:customStyle="1">
    <w:name w:val="List 1 Numbered"/>
    <w:uiPriority w:val="99"/>
    <w:rsid w:val="00D674A5"/>
    <w:pPr>
      <w:numPr>
        <w:numId w:val="5"/>
      </w:numPr>
    </w:pPr>
  </w:style>
  <w:style w:type="paragraph" w:styleId="List1Numbered1" w:customStyle="1">
    <w:name w:val="List 1 Numbered 1"/>
    <w:basedOn w:val="Normal"/>
    <w:uiPriority w:val="2"/>
    <w:qFormat/>
    <w:rsid w:val="00D674A5"/>
    <w:pPr>
      <w:numPr>
        <w:numId w:val="15"/>
      </w:numPr>
      <w:spacing w:before="60"/>
    </w:pPr>
  </w:style>
  <w:style w:type="paragraph" w:styleId="List1Numbered2" w:customStyle="1">
    <w:name w:val="List 1 Numbered 2"/>
    <w:basedOn w:val="Normal"/>
    <w:uiPriority w:val="2"/>
    <w:qFormat/>
    <w:rsid w:val="00D674A5"/>
    <w:pPr>
      <w:numPr>
        <w:ilvl w:val="1"/>
        <w:numId w:val="15"/>
      </w:numPr>
      <w:spacing w:before="60"/>
    </w:pPr>
  </w:style>
  <w:style w:type="paragraph" w:styleId="List1Numbered3" w:customStyle="1">
    <w:name w:val="List 1 Numbered 3"/>
    <w:basedOn w:val="Normal"/>
    <w:uiPriority w:val="2"/>
    <w:qFormat/>
    <w:rsid w:val="00D674A5"/>
    <w:pPr>
      <w:numPr>
        <w:ilvl w:val="2"/>
        <w:numId w:val="15"/>
      </w:numPr>
      <w:spacing w:before="60"/>
    </w:pPr>
  </w:style>
  <w:style w:type="paragraph" w:styleId="NameofProposal" w:customStyle="1">
    <w:name w:val="Name of Proposal"/>
    <w:basedOn w:val="Normal"/>
    <w:uiPriority w:val="12"/>
    <w:qFormat/>
    <w:rsid w:val="00D674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4A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NormalIndent10mm" w:customStyle="1">
    <w:name w:val="Normal Indent 10mm"/>
    <w:basedOn w:val="Normal"/>
    <w:uiPriority w:val="1"/>
    <w:rsid w:val="00D674A5"/>
    <w:pPr>
      <w:ind w:left="567"/>
    </w:pPr>
  </w:style>
  <w:style w:type="paragraph" w:styleId="NormalNumbered" w:customStyle="1">
    <w:name w:val="Normal Numbered"/>
    <w:basedOn w:val="Normal"/>
    <w:qFormat/>
    <w:rsid w:val="00D674A5"/>
    <w:pPr>
      <w:numPr>
        <w:numId w:val="6"/>
      </w:numPr>
    </w:pPr>
  </w:style>
  <w:style w:type="paragraph" w:styleId="Quote">
    <w:name w:val="Quote"/>
    <w:basedOn w:val="Normal"/>
    <w:link w:val="QuoteChar"/>
    <w:uiPriority w:val="99"/>
    <w:semiHidden/>
    <w:rsid w:val="00D674A5"/>
    <w:pPr>
      <w:tabs>
        <w:tab w:val="left" w:pos="1134"/>
      </w:tabs>
      <w:spacing w:before="240" w:after="240"/>
      <w:ind w:left="284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99"/>
    <w:semiHidden/>
    <w:rsid w:val="00D674A5"/>
    <w:rPr>
      <w:i/>
      <w:iCs/>
      <w:spacing w:val="-1"/>
    </w:rPr>
  </w:style>
  <w:style w:type="numbering" w:styleId="NormalNumberedParas" w:customStyle="1">
    <w:name w:val="Normal Numbered Paras"/>
    <w:uiPriority w:val="99"/>
    <w:rsid w:val="00D674A5"/>
    <w:pPr>
      <w:numPr>
        <w:numId w:val="6"/>
      </w:numPr>
    </w:pPr>
  </w:style>
  <w:style w:type="numbering" w:styleId="NumberedHeadings" w:customStyle="1">
    <w:name w:val="Numbered Headings"/>
    <w:uiPriority w:val="99"/>
    <w:rsid w:val="00D674A5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D674A5"/>
    <w:pPr>
      <w:keepLines/>
      <w:numPr>
        <w:ilvl w:val="1"/>
      </w:numPr>
      <w:spacing w:before="0"/>
      <w:contextualSpacing/>
    </w:pPr>
    <w:rPr>
      <w:rFonts w:eastAsiaTheme="minorEastAsia"/>
      <w:b/>
      <w:color w:val="3D4D7D" w:themeColor="background2"/>
      <w:sz w:val="30"/>
    </w:rPr>
  </w:style>
  <w:style w:type="character" w:styleId="SubtitleChar" w:customStyle="1">
    <w:name w:val="Subtitle Char"/>
    <w:basedOn w:val="DefaultParagraphFont"/>
    <w:link w:val="Subtitle"/>
    <w:uiPriority w:val="23"/>
    <w:rsid w:val="00D674A5"/>
    <w:rPr>
      <w:rFonts w:eastAsiaTheme="minorEastAsia"/>
      <w:b/>
      <w:color w:val="3D4D7D" w:themeColor="background2"/>
      <w:spacing w:val="-1"/>
      <w:sz w:val="30"/>
    </w:rPr>
  </w:style>
  <w:style w:type="paragraph" w:styleId="SourceNotes" w:customStyle="1">
    <w:name w:val="Source Notes"/>
    <w:basedOn w:val="Normal"/>
    <w:uiPriority w:val="21"/>
    <w:qFormat/>
    <w:rsid w:val="001B25FE"/>
    <w:pPr>
      <w:spacing w:before="0" w:line="260" w:lineRule="atLeast"/>
      <w:ind w:left="341" w:hanging="284"/>
    </w:pPr>
    <w:rPr>
      <w:sz w:val="20"/>
    </w:rPr>
  </w:style>
  <w:style w:type="paragraph" w:styleId="SourceNotesHeading" w:customStyle="1">
    <w:name w:val="Source Notes Heading"/>
    <w:basedOn w:val="SourceNotes"/>
    <w:uiPriority w:val="20"/>
    <w:qFormat/>
    <w:rsid w:val="00D674A5"/>
    <w:rPr>
      <w:rFonts w:asciiTheme="majorHAnsi" w:hAnsiTheme="majorHAnsi"/>
      <w:b/>
    </w:rPr>
  </w:style>
  <w:style w:type="paragraph" w:styleId="SourceNotesNumbered" w:customStyle="1">
    <w:name w:val="Source Notes Numbered"/>
    <w:basedOn w:val="SourceNotes"/>
    <w:uiPriority w:val="21"/>
    <w:qFormat/>
    <w:rsid w:val="00D674A5"/>
    <w:pPr>
      <w:numPr>
        <w:numId w:val="18"/>
      </w:numPr>
    </w:pPr>
  </w:style>
  <w:style w:type="table" w:styleId="TableGrid">
    <w:name w:val="Table Grid"/>
    <w:basedOn w:val="TableNormal"/>
    <w:uiPriority w:val="39"/>
    <w:rsid w:val="00D674A5"/>
    <w:pPr>
      <w:spacing w:after="0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D674A5"/>
    <w:rPr>
      <w:b/>
      <w:bCs/>
    </w:rPr>
  </w:style>
  <w:style w:type="table" w:styleId="TableGridLight">
    <w:name w:val="Grid Table Light"/>
    <w:basedOn w:val="TableNormal"/>
    <w:uiPriority w:val="40"/>
    <w:rsid w:val="00D674A5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OC9">
    <w:name w:val="toc 9"/>
    <w:basedOn w:val="Normal"/>
    <w:next w:val="Normal"/>
    <w:uiPriority w:val="39"/>
    <w:semiHidden/>
    <w:rsid w:val="00D674A5"/>
    <w:pPr>
      <w:spacing w:after="100"/>
      <w:ind w:left="1600"/>
    </w:pPr>
  </w:style>
  <w:style w:type="paragraph" w:styleId="Title">
    <w:name w:val="Title"/>
    <w:basedOn w:val="Normal"/>
    <w:next w:val="Normal"/>
    <w:link w:val="TitleChar"/>
    <w:uiPriority w:val="22"/>
    <w:qFormat/>
    <w:rsid w:val="00D674A5"/>
    <w:pPr>
      <w:keepLines/>
      <w:spacing w:before="0"/>
      <w:contextualSpacing/>
      <w:outlineLvl w:val="0"/>
    </w:pPr>
    <w:rPr>
      <w:rFonts w:asciiTheme="majorHAnsi" w:hAnsiTheme="majorHAnsi" w:eastAsiaTheme="majorEastAsia" w:cstheme="majorBidi"/>
      <w:color w:val="3D4D7D" w:themeColor="background2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22"/>
    <w:rsid w:val="00D674A5"/>
    <w:rPr>
      <w:rFonts w:asciiTheme="majorHAnsi" w:hAnsiTheme="majorHAnsi" w:eastAsiaTheme="majorEastAsia" w:cstheme="majorBidi"/>
      <w:color w:val="3D4D7D" w:themeColor="background2"/>
      <w:spacing w:val="-1"/>
      <w:kern w:val="28"/>
      <w:sz w:val="52"/>
      <w:szCs w:val="56"/>
    </w:rPr>
  </w:style>
  <w:style w:type="paragraph" w:styleId="TOC1">
    <w:name w:val="toc 1"/>
    <w:basedOn w:val="Normal"/>
    <w:next w:val="Normal"/>
    <w:uiPriority w:val="39"/>
    <w:semiHidden/>
    <w:rsid w:val="00D674A5"/>
    <w:pPr>
      <w:keepNext/>
      <w:tabs>
        <w:tab w:val="right" w:pos="9628"/>
      </w:tabs>
      <w:spacing w:line="340" w:lineRule="atLeast"/>
    </w:pPr>
    <w:rPr>
      <w:b/>
      <w:sz w:val="24"/>
      <w:u w:color="9778B4" w:themeColor="text2"/>
    </w:rPr>
  </w:style>
  <w:style w:type="paragraph" w:styleId="TOC2">
    <w:name w:val="toc 2"/>
    <w:basedOn w:val="Normal"/>
    <w:next w:val="Normal"/>
    <w:uiPriority w:val="39"/>
    <w:semiHidden/>
    <w:rsid w:val="00D674A5"/>
    <w:pPr>
      <w:tabs>
        <w:tab w:val="right" w:pos="9628"/>
      </w:tabs>
      <w:ind w:left="567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284"/>
    </w:pPr>
  </w:style>
  <w:style w:type="paragraph" w:styleId="TOC4">
    <w:name w:val="toc 4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1135" w:hanging="851"/>
    </w:pPr>
  </w:style>
  <w:style w:type="paragraph" w:styleId="TOC5">
    <w:name w:val="toc 5"/>
    <w:basedOn w:val="Normal"/>
    <w:next w:val="Normal"/>
    <w:uiPriority w:val="39"/>
    <w:semiHidden/>
    <w:rsid w:val="00D674A5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uiPriority w:val="39"/>
    <w:semiHidden/>
    <w:rsid w:val="00D674A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D674A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D674A5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Heading1"/>
    <w:next w:val="Normal"/>
    <w:uiPriority w:val="39"/>
    <w:semiHidden/>
    <w:rsid w:val="00D674A5"/>
    <w:pPr>
      <w:outlineLvl w:val="9"/>
    </w:pPr>
  </w:style>
  <w:style w:type="character" w:styleId="Hyperlink">
    <w:name w:val="Hyperlink"/>
    <w:basedOn w:val="DefaultParagraphFont"/>
    <w:uiPriority w:val="99"/>
    <w:rsid w:val="00D674A5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74A5"/>
    <w:rPr>
      <w:rFonts w:ascii="Tahoma" w:hAnsi="Tahoma" w:cs="Tahoma"/>
      <w:spacing w:val="-1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D674A5"/>
    <w:pPr>
      <w:tabs>
        <w:tab w:val="right" w:leader="underscore" w:pos="8165"/>
      </w:tabs>
      <w:spacing w:after="80"/>
      <w:ind w:right="851"/>
    </w:pPr>
  </w:style>
  <w:style w:type="table" w:styleId="LightGrid-Accent6">
    <w:name w:val="Light Grid Accent 6"/>
    <w:basedOn w:val="TableNormal"/>
    <w:uiPriority w:val="62"/>
    <w:unhideWhenUsed/>
    <w:rsid w:val="00D674A5"/>
    <w:pPr>
      <w:spacing w:before="0" w:after="0"/>
    </w:pPr>
    <w:tblPr>
      <w:tblStyleRowBandSize w:val="1"/>
      <w:tblStyleColBandSize w:val="1"/>
      <w:tblBorders>
        <w:top w:val="single" w:color="788183" w:themeColor="accent6" w:sz="8" w:space="0"/>
        <w:left w:val="single" w:color="788183" w:themeColor="accent6" w:sz="8" w:space="0"/>
        <w:bottom w:val="single" w:color="788183" w:themeColor="accent6" w:sz="8" w:space="0"/>
        <w:right w:val="single" w:color="788183" w:themeColor="accent6" w:sz="8" w:space="0"/>
        <w:insideH w:val="single" w:color="788183" w:themeColor="accent6" w:sz="8" w:space="0"/>
        <w:insideV w:val="single" w:color="78818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88183" w:themeColor="accent6" w:sz="8" w:space="0"/>
          <w:left w:val="single" w:color="788183" w:themeColor="accent6" w:sz="8" w:space="0"/>
          <w:bottom w:val="single" w:color="788183" w:themeColor="accent6" w:sz="18" w:space="0"/>
          <w:right w:val="single" w:color="788183" w:themeColor="accent6" w:sz="8" w:space="0"/>
          <w:insideH w:val="nil"/>
          <w:insideV w:val="single" w:color="78818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88183" w:themeColor="accent6" w:sz="6" w:space="0"/>
          <w:left w:val="single" w:color="788183" w:themeColor="accent6" w:sz="8" w:space="0"/>
          <w:bottom w:val="single" w:color="788183" w:themeColor="accent6" w:sz="8" w:space="0"/>
          <w:right w:val="single" w:color="788183" w:themeColor="accent6" w:sz="8" w:space="0"/>
          <w:insideH w:val="nil"/>
          <w:insideV w:val="single" w:color="78818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88183" w:themeColor="accent6" w:sz="8" w:space="0"/>
          <w:left w:val="single" w:color="788183" w:themeColor="accent6" w:sz="8" w:space="0"/>
          <w:bottom w:val="single" w:color="788183" w:themeColor="accent6" w:sz="8" w:space="0"/>
          <w:right w:val="single" w:color="788183" w:themeColor="accent6" w:sz="8" w:space="0"/>
        </w:tcBorders>
      </w:tcPr>
    </w:tblStylePr>
    <w:tblStylePr w:type="band1Vert">
      <w:tblPr/>
      <w:tcPr>
        <w:tcBorders>
          <w:top w:val="single" w:color="788183" w:themeColor="accent6" w:sz="8" w:space="0"/>
          <w:left w:val="single" w:color="788183" w:themeColor="accent6" w:sz="8" w:space="0"/>
          <w:bottom w:val="single" w:color="788183" w:themeColor="accent6" w:sz="8" w:space="0"/>
          <w:right w:val="single" w:color="788183" w:themeColor="accent6" w:sz="8" w:space="0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color="788183" w:themeColor="accent6" w:sz="8" w:space="0"/>
          <w:left w:val="single" w:color="788183" w:themeColor="accent6" w:sz="8" w:space="0"/>
          <w:bottom w:val="single" w:color="788183" w:themeColor="accent6" w:sz="8" w:space="0"/>
          <w:right w:val="single" w:color="788183" w:themeColor="accent6" w:sz="8" w:space="0"/>
          <w:insideV w:val="single" w:color="788183" w:themeColor="accent6" w:sz="8" w:space="0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color="788183" w:themeColor="accent6" w:sz="8" w:space="0"/>
          <w:left w:val="single" w:color="788183" w:themeColor="accent6" w:sz="8" w:space="0"/>
          <w:bottom w:val="single" w:color="788183" w:themeColor="accent6" w:sz="8" w:space="0"/>
          <w:right w:val="single" w:color="788183" w:themeColor="accent6" w:sz="8" w:space="0"/>
          <w:insideV w:val="single" w:color="788183" w:themeColor="accent6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tblPr>
      <w:tblStyleRowBandSize w:val="1"/>
      <w:tblStyleColBandSize w:val="1"/>
      <w:tblBorders>
        <w:top w:val="single" w:color="F1873D" w:themeColor="accent3" w:sz="8" w:space="0"/>
        <w:left w:val="single" w:color="F1873D" w:themeColor="accent3" w:sz="8" w:space="0"/>
        <w:bottom w:val="single" w:color="F1873D" w:themeColor="accent3" w:sz="8" w:space="0"/>
        <w:right w:val="single" w:color="F1873D" w:themeColor="accent3" w:sz="8" w:space="0"/>
        <w:insideH w:val="single" w:color="F1873D" w:themeColor="accent3" w:sz="8" w:space="0"/>
        <w:insideV w:val="single" w:color="F1873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873D" w:themeColor="accent3" w:sz="8" w:space="0"/>
          <w:left w:val="single" w:color="F1873D" w:themeColor="accent3" w:sz="8" w:space="0"/>
          <w:bottom w:val="single" w:color="F1873D" w:themeColor="accent3" w:sz="18" w:space="0"/>
          <w:right w:val="single" w:color="F1873D" w:themeColor="accent3" w:sz="8" w:space="0"/>
          <w:insideH w:val="nil"/>
          <w:insideV w:val="single" w:color="F1873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1873D" w:themeColor="accent3" w:sz="6" w:space="0"/>
          <w:left w:val="single" w:color="F1873D" w:themeColor="accent3" w:sz="8" w:space="0"/>
          <w:bottom w:val="single" w:color="F1873D" w:themeColor="accent3" w:sz="8" w:space="0"/>
          <w:right w:val="single" w:color="F1873D" w:themeColor="accent3" w:sz="8" w:space="0"/>
          <w:insideH w:val="nil"/>
          <w:insideV w:val="single" w:color="F1873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873D" w:themeColor="accent3" w:sz="8" w:space="0"/>
          <w:left w:val="single" w:color="F1873D" w:themeColor="accent3" w:sz="8" w:space="0"/>
          <w:bottom w:val="single" w:color="F1873D" w:themeColor="accent3" w:sz="8" w:space="0"/>
          <w:right w:val="single" w:color="F1873D" w:themeColor="accent3" w:sz="8" w:space="0"/>
        </w:tcBorders>
      </w:tcPr>
    </w:tblStylePr>
    <w:tblStylePr w:type="band1Vert">
      <w:tblPr/>
      <w:tcPr>
        <w:tcBorders>
          <w:top w:val="single" w:color="F1873D" w:themeColor="accent3" w:sz="8" w:space="0"/>
          <w:left w:val="single" w:color="F1873D" w:themeColor="accent3" w:sz="8" w:space="0"/>
          <w:bottom w:val="single" w:color="F1873D" w:themeColor="accent3" w:sz="8" w:space="0"/>
          <w:right w:val="single" w:color="F1873D" w:themeColor="accent3" w:sz="8" w:space="0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color="F1873D" w:themeColor="accent3" w:sz="8" w:space="0"/>
          <w:left w:val="single" w:color="F1873D" w:themeColor="accent3" w:sz="8" w:space="0"/>
          <w:bottom w:val="single" w:color="F1873D" w:themeColor="accent3" w:sz="8" w:space="0"/>
          <w:right w:val="single" w:color="F1873D" w:themeColor="accent3" w:sz="8" w:space="0"/>
          <w:insideV w:val="single" w:color="F1873D" w:themeColor="accent3" w:sz="8" w:space="0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color="F1873D" w:themeColor="accent3" w:sz="8" w:space="0"/>
          <w:left w:val="single" w:color="F1873D" w:themeColor="accent3" w:sz="8" w:space="0"/>
          <w:bottom w:val="single" w:color="F1873D" w:themeColor="accent3" w:sz="8" w:space="0"/>
          <w:right w:val="single" w:color="F1873D" w:themeColor="accent3" w:sz="8" w:space="0"/>
          <w:insideV w:val="single" w:color="F1873D" w:themeColor="accent3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D674A5"/>
    <w:rPr>
      <w:color w:val="0070C0"/>
      <w:u w:val="single"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uiPriority w:val="99"/>
    <w:semiHidden/>
    <w:unhideWhenUsed/>
    <w:rsid w:val="00D6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4A5"/>
    <w:pPr>
      <w:spacing w:after="114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674A5"/>
    <w:rPr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6C2D"/>
    <w:rPr>
      <w:b/>
      <w:bCs/>
      <w:spacing w:val="-1"/>
      <w:sz w:val="20"/>
      <w:szCs w:val="20"/>
    </w:rPr>
  </w:style>
  <w:style w:type="paragraph" w:styleId="Revision">
    <w:name w:val="Revision"/>
    <w:hidden/>
    <w:uiPriority w:val="99"/>
    <w:semiHidden/>
    <w:rsid w:val="00EE3226"/>
  </w:style>
  <w:style w:type="character" w:styleId="SecurityClassification" w:customStyle="1">
    <w:name w:val="Security Classification"/>
    <w:basedOn w:val="DefaultParagraphFont"/>
    <w:uiPriority w:val="99"/>
    <w:semiHidden/>
    <w:qFormat/>
    <w:rsid w:val="00D674A5"/>
    <w:rPr>
      <w:rFonts w:ascii="Calibri" w:hAnsi="Calibri"/>
      <w:b/>
      <w:caps w:val="0"/>
      <w:smallCaps w:val="0"/>
      <w:color w:val="FF0000"/>
      <w:sz w:val="36"/>
      <w:szCs w:val="36"/>
    </w:rPr>
  </w:style>
  <w:style w:type="numbering" w:styleId="FigureNumbers" w:customStyle="1">
    <w:name w:val="Figure Numbers"/>
    <w:uiPriority w:val="99"/>
    <w:rsid w:val="00D674A5"/>
    <w:pPr>
      <w:numPr>
        <w:numId w:val="11"/>
      </w:numPr>
    </w:pPr>
  </w:style>
  <w:style w:type="numbering" w:styleId="KCBullets" w:customStyle="1">
    <w:name w:val="KC Bullets"/>
    <w:uiPriority w:val="99"/>
    <w:rsid w:val="00D674A5"/>
    <w:pPr>
      <w:numPr>
        <w:numId w:val="14"/>
      </w:numPr>
    </w:pPr>
  </w:style>
  <w:style w:type="table" w:styleId="PBOTable3-Financials" w:customStyle="1">
    <w:name w:val="PBO Table 3 - Financials"/>
    <w:basedOn w:val="TableNormal"/>
    <w:uiPriority w:val="99"/>
    <w:rsid w:val="00851579"/>
    <w:pPr>
      <w:spacing w:before="70" w:after="70" w:line="260" w:lineRule="atLeast"/>
    </w:pPr>
    <w:tblPr>
      <w:tblStyleRowBandSize w:val="1"/>
      <w:tblStyleColBandSize w:val="1"/>
      <w:tblBorders>
        <w:top w:val="single" w:color="7F7F7F" w:themeColor="text1" w:themeTint="80" w:sz="8" w:space="0"/>
        <w:left w:val="single" w:color="7F7F7F" w:themeColor="text1" w:themeTint="80" w:sz="8" w:space="0"/>
        <w:bottom w:val="single" w:color="7F7F7F" w:themeColor="text1" w:themeTint="80" w:sz="8" w:space="0"/>
        <w:right w:val="single" w:color="7F7F7F" w:themeColor="text1" w:themeTint="80" w:sz="8" w:space="0"/>
        <w:insideH w:val="single" w:color="7F7F7F" w:themeColor="text1" w:themeTint="80" w:sz="8" w:space="0"/>
        <w:insideV w:val="single" w:color="7F7F7F" w:themeColor="text1" w:themeTint="80" w:sz="8" w:space="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sz w:val="16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BOTable1-9pt" w:customStyle="1">
    <w:name w:val="PBO Table 1 - 9pt"/>
    <w:basedOn w:val="PBOTable3-Financials"/>
    <w:uiPriority w:val="99"/>
    <w:rsid w:val="00BB0B01"/>
    <w:pPr>
      <w:spacing w:before="0" w:after="0"/>
    </w:pPr>
    <w:rPr>
      <w:sz w:val="18"/>
    </w:rPr>
    <w:tblPr>
      <w:tblBorders>
        <w:top w:val="single" w:color="7C8CBF" w:themeColor="background2" w:themeTint="99" w:sz="8" w:space="0"/>
        <w:left w:val="single" w:color="7C8CBF" w:themeColor="background2" w:themeTint="99" w:sz="8" w:space="0"/>
        <w:bottom w:val="single" w:color="7C8CBF" w:themeColor="background2" w:themeTint="99" w:sz="8" w:space="0"/>
        <w:right w:val="single" w:color="7C8CBF" w:themeColor="background2" w:themeTint="99" w:sz="8" w:space="0"/>
        <w:insideH w:val="single" w:color="7C8CBF" w:themeColor="background2" w:themeTint="99" w:sz="8" w:space="0"/>
        <w:insideV w:val="single" w:color="7C8CBF" w:themeColor="background2" w:themeTint="99" w:sz="8" w:space="0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b/>
        <w:color w:val="FFFFFF" w:themeColor="background1"/>
        <w:sz w:val="18"/>
      </w:rPr>
      <w:tblPr/>
      <w:tcPr>
        <w:shd w:val="clear" w:color="auto" w:fill="3D4D7D" w:themeFill="background2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3D8E9" w:themeFill="background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3D8E9" w:themeFill="background2" w:themeFillTint="33"/>
      </w:tcPr>
    </w:tblStylePr>
  </w:style>
  <w:style w:type="table" w:styleId="PBOTable2-11pt" w:customStyle="1">
    <w:name w:val="PBO Table 2 - 11pt"/>
    <w:basedOn w:val="PBOTable3-Financials"/>
    <w:uiPriority w:val="99"/>
    <w:rsid w:val="002559FB"/>
    <w:tblPr/>
    <w:tblStylePr w:type="firstRow">
      <w:pPr>
        <w:jc w:val="left"/>
      </w:pPr>
      <w:rPr>
        <w:sz w:val="22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ullOut" w:customStyle="1">
    <w:name w:val="Pull Out"/>
    <w:basedOn w:val="Normal"/>
    <w:uiPriority w:val="22"/>
    <w:qFormat/>
    <w:rsid w:val="00D674A5"/>
    <w:pPr>
      <w:spacing w:line="340" w:lineRule="atLeast"/>
    </w:pPr>
    <w:rPr>
      <w:color w:val="9778B4" w:themeColor="text2"/>
      <w:spacing w:val="0"/>
      <w:sz w:val="24"/>
      <w:szCs w:val="20"/>
    </w:rPr>
  </w:style>
  <w:style w:type="numbering" w:styleId="TableNumbers" w:customStyle="1">
    <w:name w:val="Table Numbers"/>
    <w:uiPriority w:val="99"/>
    <w:rsid w:val="00D674A5"/>
    <w:pPr>
      <w:numPr>
        <w:numId w:val="19"/>
      </w:numPr>
    </w:pPr>
  </w:style>
  <w:style w:type="paragraph" w:styleId="PBOheader" w:customStyle="1">
    <w:name w:val="PBO header"/>
    <w:basedOn w:val="Header"/>
    <w:uiPriority w:val="39"/>
    <w:rsid w:val="00935F04"/>
    <w:pPr>
      <w:tabs>
        <w:tab w:val="clear" w:pos="4513"/>
        <w:tab w:val="clear" w:pos="9026"/>
      </w:tabs>
      <w:spacing w:before="1320" w:after="114" w:line="240" w:lineRule="auto"/>
      <w:ind w:left="6521"/>
    </w:pPr>
    <w:rPr>
      <w:rFonts w:ascii="Arial" w:hAnsi="Arial" w:cs="Arial"/>
      <w:b/>
      <w:color w:val="auto"/>
      <w:spacing w:val="0"/>
      <w:sz w:val="18"/>
      <w:szCs w:val="18"/>
    </w:rPr>
  </w:style>
  <w:style w:type="paragraph" w:styleId="Lettertext" w:customStyle="1">
    <w:name w:val="Letter text"/>
    <w:basedOn w:val="BodyText"/>
    <w:qFormat/>
    <w:rsid w:val="00935F04"/>
    <w:pPr>
      <w:spacing w:before="240" w:after="0"/>
    </w:pPr>
    <w:rPr>
      <w:rFonts w:ascii="Calibri" w:hAnsi="Calibri" w:cs="Times New Roman"/>
      <w:color w:val="auto"/>
      <w:spacing w:val="0"/>
    </w:rPr>
  </w:style>
  <w:style w:type="paragraph" w:styleId="BodyText">
    <w:name w:val="Body Text"/>
    <w:basedOn w:val="Normal"/>
    <w:link w:val="BodyTextChar"/>
    <w:uiPriority w:val="5"/>
    <w:unhideWhenUsed/>
    <w:qFormat/>
    <w:rsid w:val="00935F04"/>
  </w:style>
  <w:style w:type="character" w:styleId="BodyTextChar" w:customStyle="1">
    <w:name w:val="Body Text Char"/>
    <w:basedOn w:val="DefaultParagraphFont"/>
    <w:link w:val="BodyText"/>
    <w:uiPriority w:val="5"/>
    <w:rsid w:val="00935F04"/>
    <w:rPr>
      <w:spacing w:val="-1"/>
    </w:rPr>
  </w:style>
  <w:style w:type="paragraph" w:styleId="TableFootnotes" w:customStyle="1">
    <w:name w:val="Table Footnotes"/>
    <w:basedOn w:val="Normal"/>
    <w:uiPriority w:val="22"/>
    <w:qFormat/>
    <w:rsid w:val="00C000C6"/>
    <w:pPr>
      <w:keepLines/>
      <w:numPr>
        <w:numId w:val="21"/>
      </w:numPr>
      <w:spacing w:before="0" w:line="260" w:lineRule="atLeast"/>
    </w:pPr>
    <w:rPr>
      <w:color w:val="auto"/>
      <w:spacing w:val="0"/>
      <w:sz w:val="20"/>
    </w:rPr>
  </w:style>
  <w:style w:type="paragraph" w:styleId="TableHeading" w:customStyle="1">
    <w:name w:val="Table Heading"/>
    <w:basedOn w:val="Normal"/>
    <w:uiPriority w:val="14"/>
    <w:qFormat/>
    <w:rsid w:val="00C000C6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color w:val="auto"/>
      <w:spacing w:val="0"/>
      <w:sz w:val="20"/>
    </w:rPr>
  </w:style>
  <w:style w:type="paragraph" w:styleId="TableHeadingRight" w:customStyle="1">
    <w:name w:val="Table Heading Right"/>
    <w:basedOn w:val="TableHeading"/>
    <w:uiPriority w:val="16"/>
    <w:qFormat/>
    <w:rsid w:val="00C000C6"/>
    <w:pPr>
      <w:jc w:val="right"/>
    </w:pPr>
  </w:style>
  <w:style w:type="paragraph" w:styleId="TableTextRight" w:customStyle="1">
    <w:name w:val="Table Text Right"/>
    <w:basedOn w:val="Normal"/>
    <w:uiPriority w:val="19"/>
    <w:qFormat/>
    <w:rsid w:val="00C000C6"/>
    <w:pPr>
      <w:spacing w:before="70" w:after="70" w:line="260" w:lineRule="atLeast"/>
      <w:ind w:left="57" w:right="57"/>
      <w:jc w:val="right"/>
    </w:pPr>
    <w:rPr>
      <w:rFonts w:ascii="Calibri" w:hAnsi="Calibri" w:cs="Times New Roman"/>
      <w:color w:val="auto"/>
      <w:spacing w:val="0"/>
      <w:sz w:val="20"/>
    </w:rPr>
  </w:style>
  <w:style w:type="paragraph" w:styleId="TableTextRightBold" w:customStyle="1">
    <w:name w:val="Table Text Right Bold"/>
    <w:basedOn w:val="TableTextRight"/>
    <w:uiPriority w:val="20"/>
    <w:qFormat/>
    <w:rsid w:val="00C000C6"/>
    <w:rPr>
      <w:b/>
    </w:rPr>
  </w:style>
  <w:style w:type="paragraph" w:styleId="ListParagraph">
    <w:name w:val="List Paragraph"/>
    <w:basedOn w:val="Normal"/>
    <w:uiPriority w:val="34"/>
    <w:qFormat/>
    <w:rsid w:val="00C000C6"/>
    <w:pPr>
      <w:ind w:left="720"/>
      <w:contextualSpacing/>
    </w:pPr>
  </w:style>
  <w:style w:type="paragraph" w:styleId="TableText" w:customStyle="1">
    <w:name w:val="Table Text"/>
    <w:basedOn w:val="Normal"/>
    <w:uiPriority w:val="17"/>
    <w:qFormat/>
    <w:rsid w:val="000B70EC"/>
    <w:pPr>
      <w:spacing w:before="70" w:after="70" w:line="260" w:lineRule="atLeast"/>
      <w:ind w:left="57" w:right="57"/>
    </w:pPr>
    <w:rPr>
      <w:rFonts w:ascii="Calibri" w:hAnsi="Calibri" w:cs="Times New Roman"/>
      <w:color w:val="auto"/>
      <w:spacing w:val="0"/>
      <w:sz w:val="20"/>
    </w:rPr>
  </w:style>
  <w:style w:type="paragraph" w:styleId="TableTextRightItalic" w:customStyle="1">
    <w:name w:val="Table Text Right Italic"/>
    <w:basedOn w:val="TableTextRight"/>
    <w:uiPriority w:val="21"/>
    <w:qFormat/>
    <w:rsid w:val="000B70EC"/>
    <w:rPr>
      <w:i/>
    </w:rPr>
  </w:style>
  <w:style w:type="paragraph" w:styleId="PRRfootnote1" w:customStyle="1">
    <w:name w:val="PRR footnote 1"/>
    <w:basedOn w:val="Normal"/>
    <w:link w:val="PRRfootnote1Char"/>
    <w:qFormat/>
    <w:rsid w:val="003049B5"/>
    <w:pPr>
      <w:keepNext/>
      <w:keepLines/>
      <w:spacing w:before="0" w:after="0" w:line="240" w:lineRule="auto"/>
      <w:ind w:left="284" w:hanging="284"/>
    </w:pPr>
    <w:rPr>
      <w:sz w:val="20"/>
      <w:szCs w:val="20"/>
    </w:rPr>
  </w:style>
  <w:style w:type="character" w:styleId="PRRfootnote1Char" w:customStyle="1">
    <w:name w:val="PRR footnote 1 Char"/>
    <w:basedOn w:val="DefaultParagraphFont"/>
    <w:link w:val="PRRfootnote1"/>
    <w:rsid w:val="003049B5"/>
    <w:rPr>
      <w:spacing w:val="-1"/>
      <w:sz w:val="20"/>
      <w:szCs w:val="20"/>
    </w:rPr>
  </w:style>
  <w:style w:type="paragraph" w:styleId="PRRfootnote2" w:customStyle="1">
    <w:name w:val="PRR footnote 2"/>
    <w:basedOn w:val="PRRfootnote1"/>
    <w:link w:val="PRRfootnote2Char"/>
    <w:qFormat/>
    <w:rsid w:val="003049B5"/>
    <w:pPr>
      <w:spacing w:line="260" w:lineRule="atLeast"/>
    </w:pPr>
    <w:rPr>
      <w:sz w:val="16"/>
      <w:szCs w:val="16"/>
    </w:rPr>
  </w:style>
  <w:style w:type="character" w:styleId="PRRfootnote2Char" w:customStyle="1">
    <w:name w:val="PRR footnote 2 Char"/>
    <w:basedOn w:val="PRRfootnote1Char"/>
    <w:link w:val="PRRfootnote2"/>
    <w:rsid w:val="003049B5"/>
    <w:rPr>
      <w:spacing w:val="-1"/>
      <w:sz w:val="16"/>
      <w:szCs w:val="16"/>
    </w:rPr>
  </w:style>
  <w:style w:type="table" w:styleId="TableAsPlaceholder" w:customStyle="1">
    <w:name w:val="Table As Placeholder"/>
    <w:basedOn w:val="TableNormal"/>
    <w:uiPriority w:val="99"/>
    <w:qFormat/>
    <w:rsid w:val="002E1EA9"/>
    <w:pPr>
      <w:spacing w:before="0" w:after="0" w:line="300" w:lineRule="atLeast"/>
    </w:pPr>
    <w:rPr>
      <w:rFonts w:eastAsia="Times New Roman" w:cs="Arial"/>
      <w:color w:val="auto"/>
      <w:lang w:eastAsia="en-AU"/>
    </w:rPr>
    <w:tblPr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A5F51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023A2C"/>
    <w:rPr>
      <w:rFonts w:hint="default"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FF1F1F"/>
  </w:style>
  <w:style w:type="character" w:styleId="eop" w:customStyle="1">
    <w:name w:val="eop"/>
    <w:basedOn w:val="DefaultParagraphFont"/>
    <w:rsid w:val="00FF1F1F"/>
  </w:style>
  <w:style w:type="character" w:styleId="Mention">
    <w:name w:val="Mention"/>
    <w:basedOn w:val="DefaultParagraphFont"/>
    <w:uiPriority w:val="99"/>
    <w:unhideWhenUsed/>
    <w:rsid w:val="001F2C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abs.gov.au/articles/average-dwelling-completion-times" TargetMode="External" Id="rId13" /><Relationship Type="http://schemas.openxmlformats.org/officeDocument/2006/relationships/hyperlink" Target="https://view.officeapps.live.com/op/view.aspx?src=https%3A%2F%2Fdata.gov.au%2Fdata%2Fdataset%2Fcff2ae8a-55e4-47db-a66d-e177fe0ac6a0%2Fresource%2F015ac152-0311-4367-bf9d-b933fb3e5297%2Fdownload%2Fexpanded-dss-demographics-december-2022.xlsx&amp;wdOrigin=BROWSELINK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openxmlformats.org/officeDocument/2006/relationships/hyperlink" Target="https://www.ahuri.edu.au/research/final-reports/306" TargetMode="External" Id="rId12" /><Relationship Type="http://schemas.openxmlformats.org/officeDocument/2006/relationships/hyperlink" Target="https://www.ahuri.edu.au/sites/default/files/migration/documents/AHURI-Final-Report-306-Social-housing-as-infrastructure-an-investment-pathway.pdf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bs.gov.au/statistics/economy/finance/household-income-and-wealth-australia/2019-20" TargetMode="External" Id="rId16" /><Relationship Type="http://schemas.openxmlformats.org/officeDocument/2006/relationships/hyperlink" Target="https://whichrealestateagent.com.au/property-management/fees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abs.gov.au/statistics/economy/national-accounts/australian-system-national-accounts/2021-22/5204010_National_Balance_Sheet.xlsx" TargetMode="External" Id="rId15" /><Relationship Type="http://schemas.openxmlformats.org/officeDocument/2006/relationships/header" Target="header2.xml" Id="rId23" /><Relationship Type="http://schemas.openxmlformats.org/officeDocument/2006/relationships/theme" Target="theme/theme1.xml" Id="rId28" /><Relationship Type="http://schemas.openxmlformats.org/officeDocument/2006/relationships/footnotes" Target="footnotes.xml" Id="rId10" /><Relationship Type="http://schemas.openxmlformats.org/officeDocument/2006/relationships/hyperlink" Target="https://www.dss.gov.au/housing-support/programmes-services/commonwealth-rent-assistance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abs.gov.au/census/guide-census-data/census-dictionary/2021/variables-topic/housing/rent-weekly-dollar-values-rntd" TargetMode="External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Id27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h.gov.au/About_Parliament/Parliamentary_Departments/Parliamentary_Budget_Office/Costings_and_budget_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boprotected.sharepoint.com/Office%20Templates/1%20PR%20%20IR/PRR%20-%20cos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0F6EE97364BB29F9668CAC104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FEED-DFE3-4051-9423-67944C23431D}"/>
      </w:docPartPr>
      <w:docPartBody>
        <w:p w:rsidR="00F31331" w:rsidRDefault="001E0A7C">
          <w:pPr>
            <w:pStyle w:val="0470F6EE97364BB29F9668CAC1046653"/>
          </w:pPr>
          <w:r w:rsidRPr="004F5F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31"/>
    <w:rsid w:val="001B435C"/>
    <w:rsid w:val="001E0A7C"/>
    <w:rsid w:val="005C4802"/>
    <w:rsid w:val="006C440F"/>
    <w:rsid w:val="00804A9F"/>
    <w:rsid w:val="00917C4C"/>
    <w:rsid w:val="00DC318B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470F6EE97364BB29F9668CAC1046653">
    <w:name w:val="0470F6EE97364BB29F9668CAC104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2021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5AFF"/>
      </a:hlink>
      <a:folHlink>
        <a:srgbClr val="005AFF"/>
      </a:folHlink>
    </a:clrScheme>
    <a:fontScheme name="PBO 202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e907a-e1a6-4b76-8caa-2c3a6e0bcaac">PRQ-151418482-3240</_dlc_DocId>
    <_dlc_DocIdUrl xmlns="ad8e907a-e1a6-4b76-8caa-2c3a6e0bcaac">
      <Url>https://pboprotected.sharepoint.com/sites/PRQHub/_layouts/15/DocIdRedir.aspx?ID=PRQ-151418482-3240</Url>
      <Description>PRQ-151418482-3240</Description>
    </_dlc_DocIdUrl>
    <PR_x0020_ID xmlns="ad8e907a-e1a6-4b76-8caa-2c3a6e0bcaac">PR-2023-159</PR_x0020_ID>
    <n5dfb72b69c24bd0be10e5c7f2c63979 xmlns="392fc61f-e94e-493b-9859-a48021fe12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a82e5e6b-4124-495e-bcdc-32042f6b6fbc</TermId>
        </TermInfo>
      </Terms>
    </n5dfb72b69c24bd0be10e5c7f2c63979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TaxCatchAll xmlns="ad8e907a-e1a6-4b76-8caa-2c3a6e0bcaac">
      <Value>3</Value>
    </TaxCatchAll>
    <lcf76f155ced4ddcb4097134ff3c332f xmlns="392fc61f-e94e-493b-9859-a48021fe12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15EFC147243408AAD18E5E049EEF9" ma:contentTypeVersion="20" ma:contentTypeDescription="Create a new document." ma:contentTypeScope="" ma:versionID="89761aecb10e27309c99359fe0f2d97d">
  <xsd:schema xmlns:xsd="http://www.w3.org/2001/XMLSchema" xmlns:xs="http://www.w3.org/2001/XMLSchema" xmlns:p="http://schemas.microsoft.com/office/2006/metadata/properties" xmlns:ns1="http://schemas.microsoft.com/sharepoint/v3" xmlns:ns2="ad8e907a-e1a6-4b76-8caa-2c3a6e0bcaac" xmlns:ns3="392fc61f-e94e-493b-9859-a48021fe120e" xmlns:ns4="http://schemas.microsoft.com/sharepoint/v4" targetNamespace="http://schemas.microsoft.com/office/2006/metadata/properties" ma:root="true" ma:fieldsID="fd4c61aca97ce3e663bc729f58972285" ns1:_="" ns2:_="" ns3:_="" ns4:_="">
    <xsd:import namespace="http://schemas.microsoft.com/sharepoint/v3"/>
    <xsd:import namespace="ad8e907a-e1a6-4b76-8caa-2c3a6e0bcaac"/>
    <xsd:import namespace="392fc61f-e94e-493b-9859-a48021fe12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5dfb72b69c24bd0be10e5c7f2c63979" minOccurs="0"/>
                <xsd:element ref="ns2:TaxCatchAll" minOccurs="0"/>
                <xsd:element ref="ns2:PR_x0020_ID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7162e0b1-20f3-465a-b0e3-74ffe66b3512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_x0020_ID" ma:index="14" ma:displayName="PR ID" ma:default="" ma:description="ID of the parliamentarian request" ma:internalName="PR_x0020_ID0">
      <xsd:simpleType>
        <xsd:restriction base="dms:Text">
          <xsd:maxLength value="255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c61f-e94e-493b-9859-a48021fe120e" elementFormDefault="qualified">
    <xsd:import namespace="http://schemas.microsoft.com/office/2006/documentManagement/types"/>
    <xsd:import namespace="http://schemas.microsoft.com/office/infopath/2007/PartnerControls"/>
    <xsd:element name="n5dfb72b69c24bd0be10e5c7f2c63979" ma:index="12" ma:taxonomy="true" ma:internalName="n5dfb72b69c24bd0be10e5c7f2c63979" ma:taxonomyFieldName="DocType" ma:displayName="DocType" ma:default="3;#Other|a82e5e6b-4124-495e-bcdc-32042f6b6fbc" ma:fieldId="{75dfb72b-69c2-4bd0-be10-e5c7f2c63979}" ma:sspId="8511bdff-a9c3-4342-ad56-d9f2319b2060" ma:termSetId="a18ff4e3-1268-49c1-bbce-f08b63b82b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511bdff-a9c3-4342-ad56-d9f2319b2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F4ECEB69-F64D-4D3A-80B2-72212ED8F6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FEEE22-F233-45E8-A772-BD6284AB6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A9F88-472E-4085-8E7D-0F31E3B6765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ad8e907a-e1a6-4b76-8caa-2c3a6e0bcaac"/>
    <ds:schemaRef ds:uri="http://schemas.microsoft.com/sharepoint/v4"/>
    <ds:schemaRef ds:uri="392fc61f-e94e-493b-9859-a48021fe120e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2A5696-BAF5-4708-9A33-F13D4C64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8e907a-e1a6-4b76-8caa-2c3a6e0bcaac"/>
    <ds:schemaRef ds:uri="392fc61f-e94e-493b-9859-a48021fe12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56DAC7-282D-4C21-8A5D-077A867C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PRR%20-%20costing%20template</Template>
  <TotalTime>24</TotalTime>
  <Pages>10</Pages>
  <Words>3037</Words>
  <Characters>17135</Characters>
  <Application>Microsoft Office Word</Application>
  <DocSecurity>0</DocSecurity>
  <Lines>1223</Lines>
  <Paragraphs>1008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of proposal</vt:lpstr>
    </vt:vector>
  </TitlesOfParts>
  <Company>Parliament of Australia</Company>
  <LinksUpToDate>false</LinksUpToDate>
  <CharactersWithSpaces>19164</CharactersWithSpaces>
  <SharedDoc>false</SharedDoc>
  <HLinks>
    <vt:vector size="60" baseType="variant">
      <vt:variant>
        <vt:i4>720911</vt:i4>
      </vt:variant>
      <vt:variant>
        <vt:i4>24</vt:i4>
      </vt:variant>
      <vt:variant>
        <vt:i4>0</vt:i4>
      </vt:variant>
      <vt:variant>
        <vt:i4>5</vt:i4>
      </vt:variant>
      <vt:variant>
        <vt:lpwstr>https://whichrealestateagent.com.au/property-management/fees</vt:lpwstr>
      </vt:variant>
      <vt:variant>
        <vt:lpwstr/>
      </vt:variant>
      <vt:variant>
        <vt:i4>3997819</vt:i4>
      </vt:variant>
      <vt:variant>
        <vt:i4>21</vt:i4>
      </vt:variant>
      <vt:variant>
        <vt:i4>0</vt:i4>
      </vt:variant>
      <vt:variant>
        <vt:i4>5</vt:i4>
      </vt:variant>
      <vt:variant>
        <vt:lpwstr>https://www.dss.gov.au/housing-support/programmes-services/commonwealth-rent-assistance</vt:lpwstr>
      </vt:variant>
      <vt:variant>
        <vt:lpwstr/>
      </vt:variant>
      <vt:variant>
        <vt:i4>7733361</vt:i4>
      </vt:variant>
      <vt:variant>
        <vt:i4>18</vt:i4>
      </vt:variant>
      <vt:variant>
        <vt:i4>0</vt:i4>
      </vt:variant>
      <vt:variant>
        <vt:i4>5</vt:i4>
      </vt:variant>
      <vt:variant>
        <vt:lpwstr>https://view.officeapps.live.com/op/view.aspx?src=https%3A%2F%2Fdata.gov.au%2Fdata%2Fdataset%2Fcff2ae8a-55e4-47db-a66d-e177fe0ac6a0%2Fresource%2F015ac152-0311-4367-bf9d-b933fb3e5297%2Fdownload%2Fexpanded-dss-demographics-december-2022.xlsx&amp;wdOrigin=BROWSELINK</vt:lpwstr>
      </vt:variant>
      <vt:variant>
        <vt:lpwstr/>
      </vt:variant>
      <vt:variant>
        <vt:i4>6946940</vt:i4>
      </vt:variant>
      <vt:variant>
        <vt:i4>15</vt:i4>
      </vt:variant>
      <vt:variant>
        <vt:i4>0</vt:i4>
      </vt:variant>
      <vt:variant>
        <vt:i4>5</vt:i4>
      </vt:variant>
      <vt:variant>
        <vt:lpwstr>https://www.ahuri.edu.au/sites/default/files/migration/documents/AHURI-Final-Report-306-Social-housing-as-infrastructure-an-investment-pathway.pdf</vt:lpwstr>
      </vt:variant>
      <vt:variant>
        <vt:lpwstr/>
      </vt:variant>
      <vt:variant>
        <vt:i4>8257571</vt:i4>
      </vt:variant>
      <vt:variant>
        <vt:i4>12</vt:i4>
      </vt:variant>
      <vt:variant>
        <vt:i4>0</vt:i4>
      </vt:variant>
      <vt:variant>
        <vt:i4>5</vt:i4>
      </vt:variant>
      <vt:variant>
        <vt:lpwstr>https://www.abs.gov.au/statistics/economy/finance/household-income-and-wealth-australia/2019-20</vt:lpwstr>
      </vt:variant>
      <vt:variant>
        <vt:lpwstr/>
      </vt:variant>
      <vt:variant>
        <vt:i4>65658</vt:i4>
      </vt:variant>
      <vt:variant>
        <vt:i4>9</vt:i4>
      </vt:variant>
      <vt:variant>
        <vt:i4>0</vt:i4>
      </vt:variant>
      <vt:variant>
        <vt:i4>5</vt:i4>
      </vt:variant>
      <vt:variant>
        <vt:lpwstr>https://www.abs.gov.au/statistics/economy/national-accounts/australian-system-national-accounts/2021-22/5204010_National_Balance_Sheet.xlsx</vt:lpwstr>
      </vt:variant>
      <vt:variant>
        <vt:lpwstr/>
      </vt:variant>
      <vt:variant>
        <vt:i4>5570591</vt:i4>
      </vt:variant>
      <vt:variant>
        <vt:i4>6</vt:i4>
      </vt:variant>
      <vt:variant>
        <vt:i4>0</vt:i4>
      </vt:variant>
      <vt:variant>
        <vt:i4>5</vt:i4>
      </vt:variant>
      <vt:variant>
        <vt:lpwstr>https://www.abs.gov.au/census/guide-census-data/census-dictionary/2021/variables-topic/housing/rent-weekly-dollar-values-rntd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https://www.abs.gov.au/articles/average-dwelling-completion-times</vt:lpwstr>
      </vt:variant>
      <vt:variant>
        <vt:lpwstr/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https://www.ahuri.edu.au/research/final-reports/306</vt:lpwstr>
      </vt:variant>
      <vt:variant>
        <vt:lpwstr/>
      </vt:variant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https://www.aph.gov.au/About_Parliament/Parliamentary_Departments/Parliamentary_Budget_Office/Costings_and_budget_information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owned affordable housing build</dc:title>
  <dc:subject/>
  <dc:creator>Parliamentary Budget Office (PBO)</dc:creator>
  <cp:keywords/>
  <cp:lastPrinted>2017-11-14T18:47:00Z</cp:lastPrinted>
  <dcterms:created xsi:type="dcterms:W3CDTF">2023-03-17T22:17:00Z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ContentTypeId">
    <vt:lpwstr>0x010100C8215EFC147243408AAD18E5E049EEF9</vt:lpwstr>
  </property>
  <property fmtid="{D5CDD505-2E9C-101B-9397-08002B2CF9AE}" pid="13" name="_dlc_DocIdItemGuid">
    <vt:lpwstr>c5fb17cc-1358-4857-a72b-dc2b2959ec23</vt:lpwstr>
  </property>
  <property fmtid="{D5CDD505-2E9C-101B-9397-08002B2CF9AE}" pid="14" name="Doc_Type_Task">
    <vt:lpwstr>2;#Other|5995c78e-9269-4dd3-85a9-76f942b2ab0d</vt:lpwstr>
  </property>
  <property fmtid="{D5CDD505-2E9C-101B-9397-08002B2CF9AE}" pid="15" name="MediaServiceImageTags">
    <vt:lpwstr/>
  </property>
  <property fmtid="{D5CDD505-2E9C-101B-9397-08002B2CF9AE}" pid="16" name="DocType">
    <vt:lpwstr>3;#Other|a82e5e6b-4124-495e-bcdc-32042f6b6fbc</vt:lpwstr>
  </property>
  <property fmtid="{D5CDD505-2E9C-101B-9397-08002B2CF9AE}" pid="17" name="_docset_NoMedatataSyncRequired">
    <vt:lpwstr>False</vt:lpwstr>
  </property>
  <property fmtid="{D5CDD505-2E9C-101B-9397-08002B2CF9AE}" pid="18" name="MSIP_Label_02081b7c-3c5d-4266-a0e9-2dfd3c6da554_Enabled">
    <vt:lpwstr>true</vt:lpwstr>
  </property>
  <property fmtid="{D5CDD505-2E9C-101B-9397-08002B2CF9AE}" pid="19" name="MSIP_Label_02081b7c-3c5d-4266-a0e9-2dfd3c6da554_SetDate">
    <vt:lpwstr>2023-03-17T04:31:02Z</vt:lpwstr>
  </property>
  <property fmtid="{D5CDD505-2E9C-101B-9397-08002B2CF9AE}" pid="20" name="MSIP_Label_02081b7c-3c5d-4266-a0e9-2dfd3c6da554_Method">
    <vt:lpwstr>Privileged</vt:lpwstr>
  </property>
  <property fmtid="{D5CDD505-2E9C-101B-9397-08002B2CF9AE}" pid="21" name="MSIP_Label_02081b7c-3c5d-4266-a0e9-2dfd3c6da554_Name">
    <vt:lpwstr>OFFICIAL Sensitive</vt:lpwstr>
  </property>
  <property fmtid="{D5CDD505-2E9C-101B-9397-08002B2CF9AE}" pid="22" name="MSIP_Label_02081b7c-3c5d-4266-a0e9-2dfd3c6da554_SiteId">
    <vt:lpwstr>dc2a6fc4-3a5c-4009-8148-25a15ab44bf4</vt:lpwstr>
  </property>
  <property fmtid="{D5CDD505-2E9C-101B-9397-08002B2CF9AE}" pid="23" name="MSIP_Label_02081b7c-3c5d-4266-a0e9-2dfd3c6da554_ActionId">
    <vt:lpwstr>48809a60-bd5c-4ff5-83d3-65bf206c838a</vt:lpwstr>
  </property>
  <property fmtid="{D5CDD505-2E9C-101B-9397-08002B2CF9AE}" pid="24" name="MSIP_Label_02081b7c-3c5d-4266-a0e9-2dfd3c6da554_ContentBits">
    <vt:lpwstr>3</vt:lpwstr>
  </property>
</Properties>
</file>