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drawings/drawing5.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drawings/drawing6.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6AC291" w14:textId="77777777" w:rsidR="00AA478E" w:rsidRDefault="00FC24A5" w:rsidP="002636AE">
      <w:pPr>
        <w:pStyle w:val="Heading1"/>
        <w:spacing w:before="0"/>
      </w:pPr>
      <w:r>
        <w:t>Request for budget analysis</w:t>
      </w:r>
    </w:p>
    <w:tbl>
      <w:tblPr>
        <w:tblStyle w:val="PBOTable2-11pt"/>
        <w:tblW w:w="4992" w:type="pct"/>
        <w:tblLook w:val="0620" w:firstRow="1" w:lastRow="0" w:firstColumn="0" w:lastColumn="0" w:noHBand="1" w:noVBand="1"/>
      </w:tblPr>
      <w:tblGrid>
        <w:gridCol w:w="3537"/>
        <w:gridCol w:w="2764"/>
        <w:gridCol w:w="2736"/>
      </w:tblGrid>
      <w:tr w:rsidR="00AA478E" w:rsidRPr="004F5F28" w14:paraId="2857AEC8" w14:textId="77777777" w:rsidTr="00D674A5">
        <w:trPr>
          <w:cnfStyle w:val="100000000000" w:firstRow="1" w:lastRow="0" w:firstColumn="0" w:lastColumn="0" w:oddVBand="0" w:evenVBand="0" w:oddHBand="0" w:evenHBand="0" w:firstRowFirstColumn="0" w:firstRowLastColumn="0" w:lastRowFirstColumn="0" w:lastRowLastColumn="0"/>
        </w:trPr>
        <w:tc>
          <w:tcPr>
            <w:tcW w:w="5000" w:type="pct"/>
            <w:gridSpan w:val="3"/>
          </w:tcPr>
          <w:p w14:paraId="6DB73420" w14:textId="1C970704" w:rsidR="00AA478E" w:rsidRPr="004F5F28" w:rsidRDefault="000D2D82" w:rsidP="008838DF">
            <w:pPr>
              <w:pStyle w:val="NameofProposal"/>
              <w:spacing w:before="120" w:line="260" w:lineRule="atLeast"/>
            </w:pPr>
            <w:r>
              <w:t>Expenditure on employment services</w:t>
            </w:r>
          </w:p>
        </w:tc>
      </w:tr>
      <w:tr w:rsidR="00D11623" w:rsidRPr="004F5F28" w14:paraId="3D1751CB" w14:textId="77777777" w:rsidTr="00D674A5">
        <w:tc>
          <w:tcPr>
            <w:tcW w:w="1957" w:type="pct"/>
          </w:tcPr>
          <w:p w14:paraId="46D8EB93" w14:textId="77777777" w:rsidR="00D11623" w:rsidRPr="004F5F28" w:rsidRDefault="00D11623" w:rsidP="00D11623">
            <w:pPr>
              <w:spacing w:before="120" w:line="260" w:lineRule="atLeast"/>
            </w:pPr>
            <w:r w:rsidRPr="004F5F28">
              <w:t xml:space="preserve">Person/party requesting the </w:t>
            </w:r>
            <w:r>
              <w:t>analysis</w:t>
            </w:r>
            <w:r w:rsidRPr="004F5F28">
              <w:t>:</w:t>
            </w:r>
          </w:p>
        </w:tc>
        <w:tc>
          <w:tcPr>
            <w:tcW w:w="3043" w:type="pct"/>
            <w:gridSpan w:val="2"/>
          </w:tcPr>
          <w:p w14:paraId="0AD233BB" w14:textId="618922C5" w:rsidR="00D11623" w:rsidRPr="004F5F28" w:rsidRDefault="000D2D82" w:rsidP="00D11623">
            <w:pPr>
              <w:spacing w:before="120" w:line="260" w:lineRule="atLeast"/>
            </w:pPr>
            <w:r>
              <w:t>Select Committee on Workforce Australia Employment Services</w:t>
            </w:r>
          </w:p>
        </w:tc>
      </w:tr>
      <w:tr w:rsidR="00AA478E" w:rsidRPr="004F5F28" w14:paraId="31A734B2" w14:textId="77777777" w:rsidTr="00D674A5">
        <w:tc>
          <w:tcPr>
            <w:tcW w:w="1957" w:type="pct"/>
          </w:tcPr>
          <w:p w14:paraId="42A9AFD0" w14:textId="77777777" w:rsidR="00AA478E" w:rsidRPr="004F5F28" w:rsidRDefault="008838DF" w:rsidP="008838DF">
            <w:pPr>
              <w:spacing w:before="120" w:line="260" w:lineRule="atLeast"/>
            </w:pPr>
            <w:r>
              <w:t>Date analysis</w:t>
            </w:r>
            <w:r w:rsidR="00AA478E" w:rsidRPr="004F5F28">
              <w:t xml:space="preserve"> completed:</w:t>
            </w:r>
          </w:p>
        </w:tc>
        <w:tc>
          <w:tcPr>
            <w:tcW w:w="3043" w:type="pct"/>
            <w:gridSpan w:val="2"/>
          </w:tcPr>
          <w:p w14:paraId="02CA9AF4" w14:textId="31AA92B3" w:rsidR="00AA478E" w:rsidRPr="004F5F28" w:rsidRDefault="00F26E83" w:rsidP="002E0CD6">
            <w:pPr>
              <w:spacing w:before="120" w:line="260" w:lineRule="atLeast"/>
            </w:pPr>
            <w:r>
              <w:t>2</w:t>
            </w:r>
            <w:r w:rsidR="00364E31">
              <w:t xml:space="preserve"> November</w:t>
            </w:r>
            <w:r w:rsidR="00986D89">
              <w:t xml:space="preserve"> 2022</w:t>
            </w:r>
          </w:p>
        </w:tc>
      </w:tr>
      <w:tr w:rsidR="00AA478E" w:rsidRPr="004F5F28" w14:paraId="383B3EB5" w14:textId="77777777" w:rsidTr="00D674A5">
        <w:tc>
          <w:tcPr>
            <w:tcW w:w="1957" w:type="pct"/>
          </w:tcPr>
          <w:p w14:paraId="769D5107" w14:textId="77777777" w:rsidR="00AA478E" w:rsidRPr="004F5F28" w:rsidRDefault="00AA478E" w:rsidP="00B621D5">
            <w:pPr>
              <w:spacing w:before="120" w:line="260" w:lineRule="atLeast"/>
            </w:pPr>
            <w:r w:rsidRPr="004F5F28">
              <w:t>Expiry date of the</w:t>
            </w:r>
            <w:r w:rsidR="00B621D5">
              <w:t xml:space="preserve"> analysis:</w:t>
            </w:r>
          </w:p>
        </w:tc>
        <w:tc>
          <w:tcPr>
            <w:tcW w:w="3043" w:type="pct"/>
            <w:gridSpan w:val="2"/>
          </w:tcPr>
          <w:p w14:paraId="0C3A6B83" w14:textId="77777777" w:rsidR="00AA478E" w:rsidRPr="004F5F28" w:rsidRDefault="00AA478E" w:rsidP="002E0CD6">
            <w:pPr>
              <w:spacing w:before="120" w:line="260" w:lineRule="atLeast"/>
            </w:pPr>
            <w:r w:rsidRPr="004F5F28">
              <w:t>Release of the next economic and fiscal outlook report.</w:t>
            </w:r>
          </w:p>
        </w:tc>
      </w:tr>
      <w:tr w:rsidR="00AA478E" w:rsidRPr="004F5F28" w14:paraId="3A5A04BA" w14:textId="77777777" w:rsidTr="00D674A5">
        <w:tc>
          <w:tcPr>
            <w:tcW w:w="1957" w:type="pct"/>
            <w:vMerge w:val="restart"/>
          </w:tcPr>
          <w:p w14:paraId="53E16F7C" w14:textId="77777777" w:rsidR="00AA478E" w:rsidRPr="004F5F28" w:rsidRDefault="00AA478E" w:rsidP="002E0CD6">
            <w:pPr>
              <w:spacing w:before="120" w:line="260" w:lineRule="atLeast"/>
            </w:pPr>
            <w:r w:rsidRPr="004F5F28">
              <w:t>Status at time of request:</w:t>
            </w:r>
          </w:p>
        </w:tc>
        <w:tc>
          <w:tcPr>
            <w:tcW w:w="3043" w:type="pct"/>
            <w:gridSpan w:val="2"/>
          </w:tcPr>
          <w:p w14:paraId="0A7EB7B3" w14:textId="77777777" w:rsidR="00AA478E" w:rsidRPr="004F5F28" w:rsidRDefault="00AA478E" w:rsidP="002E0CD6">
            <w:pPr>
              <w:spacing w:before="120" w:line="260" w:lineRule="atLeast"/>
            </w:pPr>
            <w:r w:rsidRPr="004F5F28">
              <w:t>Submitted outside the caretaker period</w:t>
            </w:r>
          </w:p>
        </w:tc>
      </w:tr>
      <w:tr w:rsidR="00AA478E" w:rsidRPr="004F5F28" w14:paraId="200E9CE2" w14:textId="77777777" w:rsidTr="00D674A5">
        <w:tc>
          <w:tcPr>
            <w:tcW w:w="1957" w:type="pct"/>
            <w:vMerge/>
          </w:tcPr>
          <w:p w14:paraId="2A741DFA" w14:textId="77777777" w:rsidR="00AA478E" w:rsidRPr="004F5F28" w:rsidRDefault="00AA478E" w:rsidP="002E0CD6">
            <w:pPr>
              <w:spacing w:before="120" w:line="260" w:lineRule="atLeast"/>
            </w:pPr>
          </w:p>
        </w:tc>
        <w:tc>
          <w:tcPr>
            <w:tcW w:w="1529" w:type="pct"/>
          </w:tcPr>
          <w:p w14:paraId="43AEC175" w14:textId="77777777" w:rsidR="00AA478E" w:rsidRPr="004F5F28" w:rsidRDefault="00E25BFB" w:rsidP="002E0CD6">
            <w:pPr>
              <w:spacing w:before="120" w:line="260" w:lineRule="atLeast"/>
            </w:pPr>
            <w:sdt>
              <w:sdtPr>
                <w:id w:val="-901915855"/>
                <w14:checkbox>
                  <w14:checked w14:val="0"/>
                  <w14:checkedState w14:val="2612" w14:font="MS Gothic"/>
                  <w14:uncheckedState w14:val="2610" w14:font="MS Gothic"/>
                </w14:checkbox>
              </w:sdtPr>
              <w:sdtEndPr/>
              <w:sdtContent>
                <w:r w:rsidR="00AA478E" w:rsidRPr="004F5F28">
                  <w:rPr>
                    <w:rFonts w:ascii="MS Gothic" w:eastAsia="MS Gothic" w:hAnsi="MS Gothic" w:hint="eastAsia"/>
                  </w:rPr>
                  <w:t>☐</w:t>
                </w:r>
              </w:sdtContent>
            </w:sdt>
            <w:r w:rsidR="00AA478E" w:rsidRPr="004F5F28">
              <w:t xml:space="preserve"> Confidential</w:t>
            </w:r>
          </w:p>
        </w:tc>
        <w:tc>
          <w:tcPr>
            <w:tcW w:w="1514" w:type="pct"/>
          </w:tcPr>
          <w:p w14:paraId="224083D7" w14:textId="04C09F20" w:rsidR="00AA478E" w:rsidRPr="004F5F28" w:rsidRDefault="00E25BFB" w:rsidP="002E0CD6">
            <w:pPr>
              <w:spacing w:before="120" w:line="260" w:lineRule="atLeast"/>
            </w:pPr>
            <w:sdt>
              <w:sdtPr>
                <w:id w:val="1635065970"/>
                <w14:checkbox>
                  <w14:checked w14:val="1"/>
                  <w14:checkedState w14:val="2612" w14:font="MS Gothic"/>
                  <w14:uncheckedState w14:val="2610" w14:font="MS Gothic"/>
                </w14:checkbox>
              </w:sdtPr>
              <w:sdtEndPr/>
              <w:sdtContent>
                <w:r w:rsidR="00986D89">
                  <w:rPr>
                    <w:rFonts w:ascii="MS Gothic" w:eastAsia="MS Gothic" w:hAnsi="MS Gothic" w:hint="eastAsia"/>
                  </w:rPr>
                  <w:t>☒</w:t>
                </w:r>
              </w:sdtContent>
            </w:sdt>
            <w:r w:rsidR="00AA478E" w:rsidRPr="004F5F28">
              <w:t xml:space="preserve"> Not confidential</w:t>
            </w:r>
          </w:p>
        </w:tc>
      </w:tr>
      <w:tr w:rsidR="00AA478E" w:rsidRPr="004F5F28" w14:paraId="6EEB27AE" w14:textId="77777777" w:rsidTr="00D674A5">
        <w:tc>
          <w:tcPr>
            <w:tcW w:w="5000" w:type="pct"/>
            <w:gridSpan w:val="3"/>
          </w:tcPr>
          <w:p w14:paraId="6BA55268" w14:textId="77777777" w:rsidR="00AA478E" w:rsidRDefault="00AA478E" w:rsidP="002E0CD6">
            <w:pPr>
              <w:spacing w:before="120" w:line="260" w:lineRule="atLeast"/>
            </w:pPr>
            <w:r w:rsidRPr="004F5F28">
              <w:t xml:space="preserve">Summary of </w:t>
            </w:r>
            <w:r w:rsidR="00B621D5">
              <w:t>request</w:t>
            </w:r>
            <w:r w:rsidRPr="004F5F28">
              <w:t>:</w:t>
            </w:r>
          </w:p>
          <w:p w14:paraId="139F81C6" w14:textId="27745F0E" w:rsidR="00C000C6" w:rsidRDefault="00FA2FB4" w:rsidP="00C80ACA">
            <w:pPr>
              <w:spacing w:before="120" w:line="260" w:lineRule="atLeast"/>
            </w:pPr>
            <w:r>
              <w:t>The request sought</w:t>
            </w:r>
            <w:r w:rsidR="00D314A2">
              <w:t xml:space="preserve"> information</w:t>
            </w:r>
            <w:r w:rsidR="009C4550">
              <w:t xml:space="preserve"> on</w:t>
            </w:r>
            <w:r w:rsidR="00D314A2">
              <w:t>:</w:t>
            </w:r>
          </w:p>
          <w:p w14:paraId="2A91F212" w14:textId="1336DABB" w:rsidR="00D314A2" w:rsidRDefault="009C4550" w:rsidP="00D314A2">
            <w:pPr>
              <w:pStyle w:val="Bullet1"/>
            </w:pPr>
            <w:r>
              <w:t>the</w:t>
            </w:r>
            <w:r w:rsidR="00D314A2">
              <w:t xml:space="preserve"> Australian Government’s expenditure on employment services for the below programs between 2017-18 and 2022-23, both at the aggregate in </w:t>
            </w:r>
            <w:r w:rsidR="00D314A2" w:rsidRPr="00C6686C">
              <w:t>dollar terms and as a sh</w:t>
            </w:r>
            <w:r w:rsidR="0012747F" w:rsidRPr="00C6686C">
              <w:t>are of gross domestic product (GDP) and in dol</w:t>
            </w:r>
            <w:r w:rsidR="0012747F">
              <w:t>lar terms at the program level:</w:t>
            </w:r>
          </w:p>
          <w:p w14:paraId="50C0CFE0" w14:textId="77777777" w:rsidR="00E00A45" w:rsidRDefault="006B7F46" w:rsidP="00E00A45">
            <w:pPr>
              <w:pStyle w:val="Bullet2"/>
            </w:pPr>
            <w:proofErr w:type="spellStart"/>
            <w:r w:rsidRPr="003B17C0">
              <w:rPr>
                <w:i/>
              </w:rPr>
              <w:t>jobactive</w:t>
            </w:r>
            <w:proofErr w:type="spellEnd"/>
            <w:r>
              <w:t xml:space="preserve">, </w:t>
            </w:r>
            <w:r w:rsidRPr="003B17C0">
              <w:rPr>
                <w:i/>
              </w:rPr>
              <w:t>Workforce Australia</w:t>
            </w:r>
            <w:r>
              <w:t xml:space="preserve"> (which replaced </w:t>
            </w:r>
            <w:proofErr w:type="spellStart"/>
            <w:r w:rsidRPr="003B17C0">
              <w:rPr>
                <w:i/>
              </w:rPr>
              <w:t>jobactive</w:t>
            </w:r>
            <w:proofErr w:type="spellEnd"/>
            <w:r>
              <w:t xml:space="preserve"> in 2022), </w:t>
            </w:r>
            <w:r w:rsidRPr="003B17C0">
              <w:rPr>
                <w:i/>
              </w:rPr>
              <w:t>Transition to Work</w:t>
            </w:r>
            <w:r>
              <w:t xml:space="preserve">, </w:t>
            </w:r>
            <w:r w:rsidRPr="00737D31">
              <w:rPr>
                <w:i/>
              </w:rPr>
              <w:t>Time to Work</w:t>
            </w:r>
            <w:r>
              <w:t xml:space="preserve">, </w:t>
            </w:r>
            <w:proofErr w:type="spellStart"/>
            <w:r w:rsidRPr="00737D31">
              <w:rPr>
                <w:i/>
              </w:rPr>
              <w:t>ParentsNext</w:t>
            </w:r>
            <w:proofErr w:type="spellEnd"/>
            <w:r>
              <w:t xml:space="preserve">, </w:t>
            </w:r>
            <w:r w:rsidRPr="00EF0CFB">
              <w:rPr>
                <w:i/>
              </w:rPr>
              <w:t>Skills and Training Incentive</w:t>
            </w:r>
            <w:r>
              <w:t xml:space="preserve">, </w:t>
            </w:r>
            <w:r w:rsidRPr="00EF0CFB">
              <w:rPr>
                <w:i/>
              </w:rPr>
              <w:t>Entrepreneurship Facilitators Program</w:t>
            </w:r>
            <w:r>
              <w:t xml:space="preserve">, </w:t>
            </w:r>
            <w:r w:rsidRPr="00EF0CFB">
              <w:rPr>
                <w:i/>
              </w:rPr>
              <w:t>Career Revive Initiative</w:t>
            </w:r>
            <w:r>
              <w:t xml:space="preserve">, </w:t>
            </w:r>
            <w:r w:rsidRPr="00EF0CFB">
              <w:rPr>
                <w:i/>
              </w:rPr>
              <w:t>Reboot</w:t>
            </w:r>
            <w:r>
              <w:t xml:space="preserve">, </w:t>
            </w:r>
            <w:r w:rsidRPr="00EF0CFB">
              <w:rPr>
                <w:i/>
              </w:rPr>
              <w:t>Community Development Program</w:t>
            </w:r>
            <w:r>
              <w:t xml:space="preserve"> and </w:t>
            </w:r>
            <w:r w:rsidRPr="00EF0CFB">
              <w:rPr>
                <w:i/>
              </w:rPr>
              <w:t>Disability Employment Services</w:t>
            </w:r>
            <w:r>
              <w:t>.</w:t>
            </w:r>
          </w:p>
          <w:p w14:paraId="7CA6D817" w14:textId="78DFA3E9" w:rsidR="006B7F46" w:rsidRDefault="00015573" w:rsidP="006B7F46">
            <w:pPr>
              <w:pStyle w:val="Bullet1"/>
            </w:pPr>
            <w:r>
              <w:t>the c</w:t>
            </w:r>
            <w:r w:rsidRPr="00303E21">
              <w:t>omparison</w:t>
            </w:r>
            <w:r>
              <w:t xml:space="preserve"> of this expenditure, both in dollar terms and as a share of GDP</w:t>
            </w:r>
            <w:r w:rsidR="00A86BE3">
              <w:t xml:space="preserve"> over the period </w:t>
            </w:r>
            <w:r w:rsidR="00282584">
              <w:t xml:space="preserve">from </w:t>
            </w:r>
            <w:r w:rsidR="00442180" w:rsidRPr="00C6686C">
              <w:t>20</w:t>
            </w:r>
            <w:r w:rsidR="00C6686C" w:rsidRPr="00C6686C">
              <w:t>1</w:t>
            </w:r>
            <w:r w:rsidR="00C6686C">
              <w:t>7</w:t>
            </w:r>
            <w:r w:rsidR="00402B39">
              <w:t xml:space="preserve"> </w:t>
            </w:r>
            <w:r w:rsidR="00A86BE3">
              <w:t>to 2020</w:t>
            </w:r>
            <w:r>
              <w:t>, with the Organisation for Economic Co-operation and Development</w:t>
            </w:r>
            <w:r w:rsidR="008427B9">
              <w:t> </w:t>
            </w:r>
            <w:r>
              <w:t xml:space="preserve">(OECD) average and </w:t>
            </w:r>
            <w:r w:rsidR="00AB6CB7">
              <w:t>select</w:t>
            </w:r>
            <w:r w:rsidR="00925DDC">
              <w:t>ed</w:t>
            </w:r>
            <w:r w:rsidR="00AB6CB7">
              <w:t xml:space="preserve"> </w:t>
            </w:r>
            <w:r>
              <w:t xml:space="preserve">OECD countries, including the United Kingdom, the United States, Canada, the Netherlands, Germany, </w:t>
            </w:r>
            <w:proofErr w:type="gramStart"/>
            <w:r>
              <w:t>Korea</w:t>
            </w:r>
            <w:proofErr w:type="gramEnd"/>
            <w:r>
              <w:t xml:space="preserve"> and Japan</w:t>
            </w:r>
          </w:p>
          <w:p w14:paraId="57C3FCBE" w14:textId="359B8D45" w:rsidR="005F0362" w:rsidRDefault="00757924" w:rsidP="006B7F46">
            <w:pPr>
              <w:pStyle w:val="Bullet1"/>
            </w:pPr>
            <w:r>
              <w:t>f</w:t>
            </w:r>
            <w:r w:rsidR="00D6513C">
              <w:t>unding implications from ceasing</w:t>
            </w:r>
            <w:r w:rsidR="00D6513C">
              <w:rPr>
                <w:i/>
                <w:iCs/>
              </w:rPr>
              <w:t xml:space="preserve"> </w:t>
            </w:r>
            <w:proofErr w:type="spellStart"/>
            <w:r w:rsidR="00D6513C" w:rsidRPr="00A679E7">
              <w:rPr>
                <w:i/>
              </w:rPr>
              <w:t>jobactive</w:t>
            </w:r>
            <w:proofErr w:type="spellEnd"/>
            <w:r w:rsidR="00D6513C">
              <w:t xml:space="preserve"> at the end of 2021-22 and commenc</w:t>
            </w:r>
            <w:r w:rsidR="00FE7692">
              <w:t>ing</w:t>
            </w:r>
            <w:r w:rsidR="00D6513C">
              <w:t xml:space="preserve"> </w:t>
            </w:r>
            <w:r w:rsidR="00D6513C" w:rsidRPr="00A679E7">
              <w:rPr>
                <w:i/>
              </w:rPr>
              <w:t>Workforce Australia</w:t>
            </w:r>
            <w:r w:rsidR="00D6513C">
              <w:t xml:space="preserve"> from 4 July 2022, including</w:t>
            </w:r>
            <w:r w:rsidR="005F0362">
              <w:t>:</w:t>
            </w:r>
          </w:p>
          <w:p w14:paraId="40B7D38C" w14:textId="48EFBA04" w:rsidR="005F0362" w:rsidRDefault="005F0362" w:rsidP="005F0362">
            <w:pPr>
              <w:pStyle w:val="Bullet2"/>
            </w:pPr>
            <w:r>
              <w:t xml:space="preserve">how the savings from expanding the </w:t>
            </w:r>
            <w:r w:rsidR="00473CB0" w:rsidRPr="00E4441E">
              <w:t>Online Employment Services (OES)</w:t>
            </w:r>
            <w:r w:rsidR="00473CB0">
              <w:t xml:space="preserve"> that operated under </w:t>
            </w:r>
            <w:proofErr w:type="spellStart"/>
            <w:r w:rsidR="00473CB0" w:rsidRPr="00A679E7">
              <w:t>jobactive</w:t>
            </w:r>
            <w:proofErr w:type="spellEnd"/>
            <w:r w:rsidR="00473CB0">
              <w:t xml:space="preserve"> were reallocated in the 2020-21 Bud</w:t>
            </w:r>
            <w:r w:rsidR="008C7978">
              <w:t xml:space="preserve">get to support jobseekers with higher </w:t>
            </w:r>
            <w:proofErr w:type="gramStart"/>
            <w:r w:rsidR="008C7978">
              <w:t>needs</w:t>
            </w:r>
            <w:proofErr w:type="gramEnd"/>
          </w:p>
          <w:p w14:paraId="77F08171" w14:textId="2CF464C1" w:rsidR="008C7978" w:rsidRDefault="007826C9" w:rsidP="005F0362">
            <w:pPr>
              <w:pStyle w:val="Bullet2"/>
            </w:pPr>
            <w:r>
              <w:t>what efficiencies have been achieved</w:t>
            </w:r>
            <w:r w:rsidR="009552BF">
              <w:t>?</w:t>
            </w:r>
          </w:p>
          <w:p w14:paraId="00A3F231" w14:textId="1AEFD04F" w:rsidR="0076531D" w:rsidRDefault="0076531D" w:rsidP="00A43C28">
            <w:r>
              <w:t xml:space="preserve">The </w:t>
            </w:r>
            <w:r w:rsidR="00A43C28">
              <w:t>request also sought the following information</w:t>
            </w:r>
            <w:r w:rsidR="00B77F54">
              <w:t>,</w:t>
            </w:r>
            <w:r w:rsidR="00A43C28">
              <w:t xml:space="preserve"> if available</w:t>
            </w:r>
            <w:r w:rsidR="00F16E68">
              <w:t>:</w:t>
            </w:r>
          </w:p>
          <w:p w14:paraId="04C208FB" w14:textId="177D26D9" w:rsidR="002C3DD3" w:rsidRDefault="00B56A93" w:rsidP="002C3DD3">
            <w:pPr>
              <w:pStyle w:val="Bullet1"/>
            </w:pPr>
            <w:r w:rsidRPr="00B56A93">
              <w:t>identification of programs which</w:t>
            </w:r>
            <w:r w:rsidR="00EF70B7">
              <w:t xml:space="preserve"> are intended to support people who are, or who are at risk of becoming, long-term </w:t>
            </w:r>
            <w:proofErr w:type="gramStart"/>
            <w:r w:rsidR="00EF70B7">
              <w:t>unemployed</w:t>
            </w:r>
            <w:proofErr w:type="gramEnd"/>
          </w:p>
          <w:p w14:paraId="5B7359C0" w14:textId="77777777" w:rsidR="00A43C28" w:rsidRDefault="00C31B9F" w:rsidP="00DB37FB">
            <w:pPr>
              <w:pStyle w:val="Bullet1"/>
            </w:pPr>
            <w:r>
              <w:t xml:space="preserve">any relevant </w:t>
            </w:r>
            <w:r w:rsidRPr="00DB37FB">
              <w:t>documents</w:t>
            </w:r>
            <w:r>
              <w:t xml:space="preserve"> underpinning the analyses outlined above.</w:t>
            </w:r>
          </w:p>
          <w:p w14:paraId="4057447C" w14:textId="685E4541" w:rsidR="00AB13D0" w:rsidRPr="00201EAE" w:rsidRDefault="00D33CFC" w:rsidP="00E262BC">
            <w:r>
              <w:t xml:space="preserve">Note: </w:t>
            </w:r>
            <w:r w:rsidR="00E679BE">
              <w:t>E</w:t>
            </w:r>
            <w:r w:rsidR="00AB13D0">
              <w:t xml:space="preserve">xpenditure on income support programs </w:t>
            </w:r>
            <w:r w:rsidR="001C4E99">
              <w:t>(</w:t>
            </w:r>
            <w:proofErr w:type="gramStart"/>
            <w:r w:rsidR="001C4E99">
              <w:t>e.g.</w:t>
            </w:r>
            <w:proofErr w:type="gramEnd"/>
            <w:r w:rsidR="001C4E99">
              <w:t xml:space="preserve"> </w:t>
            </w:r>
            <w:r w:rsidR="001C4E99" w:rsidRPr="002C43AA">
              <w:t>Newstart allowance/</w:t>
            </w:r>
            <w:r w:rsidR="001C4E99">
              <w:t xml:space="preserve"> </w:t>
            </w:r>
            <w:r w:rsidR="001C4E99" w:rsidRPr="00C268BA">
              <w:rPr>
                <w:i/>
                <w:iCs/>
              </w:rPr>
              <w:t>Jobseeker Payment</w:t>
            </w:r>
            <w:r w:rsidR="001C4E99">
              <w:t xml:space="preserve">) </w:t>
            </w:r>
            <w:r w:rsidR="00190089">
              <w:t xml:space="preserve">is not </w:t>
            </w:r>
            <w:r w:rsidR="00082181">
              <w:t>requested</w:t>
            </w:r>
            <w:r w:rsidR="00AB13D0">
              <w:t xml:space="preserve"> </w:t>
            </w:r>
            <w:r w:rsidR="00082181">
              <w:t xml:space="preserve">and </w:t>
            </w:r>
            <w:r w:rsidR="002F5E5E" w:rsidRPr="002C43AA">
              <w:t>should not be included in any of the aggregate measures of employment assistance</w:t>
            </w:r>
            <w:r w:rsidR="00AB13D0">
              <w:t>.</w:t>
            </w:r>
          </w:p>
        </w:tc>
      </w:tr>
    </w:tbl>
    <w:p w14:paraId="4E5E27DC" w14:textId="77777777" w:rsidR="00AA478E" w:rsidRPr="009B33D1" w:rsidRDefault="00B621D5" w:rsidP="009B33D1">
      <w:pPr>
        <w:pStyle w:val="Heading2"/>
      </w:pPr>
      <w:r>
        <w:lastRenderedPageBreak/>
        <w:t>O</w:t>
      </w:r>
      <w:r w:rsidR="00AA478E" w:rsidRPr="009B33D1">
        <w:t>verview</w:t>
      </w:r>
    </w:p>
    <w:p w14:paraId="31151271" w14:textId="174D69A3" w:rsidR="00EB6078" w:rsidRDefault="004E766D" w:rsidP="004E766D">
      <w:pPr>
        <w:rPr>
          <w:color w:val="auto"/>
        </w:rPr>
      </w:pPr>
      <w:bookmarkStart w:id="0" w:name="_Hlk63779408"/>
      <w:r>
        <w:rPr>
          <w:color w:val="auto"/>
        </w:rPr>
        <w:t>The requested information</w:t>
      </w:r>
      <w:r w:rsidR="00E351AE">
        <w:rPr>
          <w:color w:val="auto"/>
        </w:rPr>
        <w:t>,</w:t>
      </w:r>
      <w:r w:rsidR="001E6D9C">
        <w:rPr>
          <w:color w:val="auto"/>
        </w:rPr>
        <w:t xml:space="preserve"> as well as </w:t>
      </w:r>
      <w:r w:rsidR="000010CA">
        <w:rPr>
          <w:color w:val="auto"/>
        </w:rPr>
        <w:t>the</w:t>
      </w:r>
      <w:r w:rsidR="001E6D9C">
        <w:rPr>
          <w:color w:val="auto"/>
        </w:rPr>
        <w:t xml:space="preserve"> additional analysis by the </w:t>
      </w:r>
      <w:r w:rsidR="00077456">
        <w:rPr>
          <w:color w:val="auto"/>
        </w:rPr>
        <w:t>Parliamentary Budget Office (</w:t>
      </w:r>
      <w:r w:rsidR="001E6D9C">
        <w:rPr>
          <w:color w:val="auto"/>
        </w:rPr>
        <w:t>PBO</w:t>
      </w:r>
      <w:r w:rsidR="00077456">
        <w:rPr>
          <w:color w:val="auto"/>
        </w:rPr>
        <w:t>)</w:t>
      </w:r>
      <w:r w:rsidR="00F3693B">
        <w:rPr>
          <w:color w:val="auto"/>
        </w:rPr>
        <w:t xml:space="preserve"> to assist </w:t>
      </w:r>
      <w:r w:rsidR="00CC0E2A">
        <w:rPr>
          <w:color w:val="auto"/>
        </w:rPr>
        <w:t>better understanding of Australia’s expenditure on employment services</w:t>
      </w:r>
      <w:r w:rsidR="00510F01">
        <w:rPr>
          <w:color w:val="auto"/>
        </w:rPr>
        <w:t>,</w:t>
      </w:r>
      <w:r w:rsidR="009436B0">
        <w:rPr>
          <w:color w:val="auto"/>
        </w:rPr>
        <w:t xml:space="preserve"> </w:t>
      </w:r>
      <w:r w:rsidR="00EB6078">
        <w:rPr>
          <w:color w:val="auto"/>
        </w:rPr>
        <w:t xml:space="preserve">is </w:t>
      </w:r>
      <w:r w:rsidR="007A0D0E">
        <w:rPr>
          <w:color w:val="auto"/>
        </w:rPr>
        <w:t xml:space="preserve">set out </w:t>
      </w:r>
      <w:r w:rsidR="00086E92">
        <w:rPr>
          <w:color w:val="auto"/>
        </w:rPr>
        <w:t>at</w:t>
      </w:r>
      <w:r w:rsidR="00EB6078">
        <w:rPr>
          <w:color w:val="auto"/>
        </w:rPr>
        <w:t>:</w:t>
      </w:r>
    </w:p>
    <w:p w14:paraId="542244F8" w14:textId="2D890FB8" w:rsidR="00EB6078" w:rsidRPr="00791DDA" w:rsidRDefault="00EB6078" w:rsidP="00086E92">
      <w:pPr>
        <w:pStyle w:val="Bullet1"/>
      </w:pPr>
      <w:r>
        <w:t xml:space="preserve">Attachment A, which </w:t>
      </w:r>
      <w:r w:rsidR="00774E76" w:rsidRPr="00E00F1F">
        <w:t xml:space="preserve">details </w:t>
      </w:r>
      <w:r w:rsidR="00774E76">
        <w:t>the Australian</w:t>
      </w:r>
      <w:r w:rsidR="00774E76" w:rsidRPr="00090F2F">
        <w:t xml:space="preserve"> Government’s expenditure</w:t>
      </w:r>
      <w:r w:rsidR="00774E76">
        <w:t xml:space="preserve"> on </w:t>
      </w:r>
      <w:r w:rsidR="00774E76" w:rsidRPr="00090F2F">
        <w:t>employment service</w:t>
      </w:r>
      <w:r w:rsidR="00077DDF">
        <w:t>s</w:t>
      </w:r>
      <w:r w:rsidR="00774E76" w:rsidRPr="00090F2F">
        <w:t xml:space="preserve"> program</w:t>
      </w:r>
      <w:r w:rsidR="00774E76">
        <w:t>s</w:t>
      </w:r>
      <w:r w:rsidR="006568E8">
        <w:t xml:space="preserve"> </w:t>
      </w:r>
      <w:r w:rsidR="00850395">
        <w:t xml:space="preserve">as specified </w:t>
      </w:r>
      <w:r w:rsidR="006568E8">
        <w:t>and outlin</w:t>
      </w:r>
      <w:r w:rsidR="00E22C83">
        <w:t>es if programs are</w:t>
      </w:r>
      <w:r w:rsidR="00E22C83" w:rsidRPr="000B4D82">
        <w:t xml:space="preserve"> intended to support</w:t>
      </w:r>
      <w:r w:rsidR="00E22C83">
        <w:t xml:space="preserve"> </w:t>
      </w:r>
      <w:r w:rsidR="00E22C83" w:rsidRPr="000B4D82">
        <w:t xml:space="preserve">long-term </w:t>
      </w:r>
      <w:proofErr w:type="gramStart"/>
      <w:r w:rsidR="00E22C83" w:rsidRPr="000B4D82">
        <w:t>unemploye</w:t>
      </w:r>
      <w:r w:rsidR="00E22C83">
        <w:t>d</w:t>
      </w:r>
      <w:proofErr w:type="gramEnd"/>
    </w:p>
    <w:p w14:paraId="141B8739" w14:textId="76315E28" w:rsidR="00E22C83" w:rsidRDefault="00E22C83" w:rsidP="00086E92">
      <w:pPr>
        <w:pStyle w:val="Bullet1"/>
      </w:pPr>
      <w:r>
        <w:t>Attachment B</w:t>
      </w:r>
      <w:r w:rsidR="00D340B8">
        <w:t xml:space="preserve">, which compares Australia’s </w:t>
      </w:r>
      <w:r w:rsidR="002F20AE" w:rsidRPr="002F20AE">
        <w:t>expenditure on employment services</w:t>
      </w:r>
      <w:r w:rsidR="00756625">
        <w:t xml:space="preserve"> with </w:t>
      </w:r>
      <w:r w:rsidR="005F1C1D">
        <w:t xml:space="preserve">specified </w:t>
      </w:r>
      <w:r w:rsidR="00756625">
        <w:t xml:space="preserve">OECD countries </w:t>
      </w:r>
      <w:r w:rsidR="005F1C1D">
        <w:t xml:space="preserve">and </w:t>
      </w:r>
      <w:r w:rsidR="006A38F3">
        <w:t>the</w:t>
      </w:r>
      <w:r w:rsidR="005F1C1D">
        <w:t xml:space="preserve"> OECD </w:t>
      </w:r>
      <w:proofErr w:type="gramStart"/>
      <w:r w:rsidR="005F1C1D">
        <w:t>average</w:t>
      </w:r>
      <w:proofErr w:type="gramEnd"/>
    </w:p>
    <w:p w14:paraId="1821FAD5" w14:textId="2B26438F" w:rsidR="00AB5309" w:rsidRPr="00791DDA" w:rsidRDefault="00AB5309" w:rsidP="00086E92">
      <w:pPr>
        <w:pStyle w:val="Bullet1"/>
      </w:pPr>
      <w:r>
        <w:t xml:space="preserve">Attachment C, which </w:t>
      </w:r>
      <w:r w:rsidR="00583156">
        <w:t>outlines f</w:t>
      </w:r>
      <w:r w:rsidR="00583156" w:rsidRPr="00583156">
        <w:t xml:space="preserve">unding implications from ceasing </w:t>
      </w:r>
      <w:proofErr w:type="spellStart"/>
      <w:r w:rsidR="00583156" w:rsidRPr="00791DDA">
        <w:rPr>
          <w:i/>
        </w:rPr>
        <w:t>jobactive</w:t>
      </w:r>
      <w:proofErr w:type="spellEnd"/>
      <w:r w:rsidR="00583156" w:rsidRPr="00583156">
        <w:t xml:space="preserve"> and commencing </w:t>
      </w:r>
      <w:r w:rsidR="00583156" w:rsidRPr="00791DDA">
        <w:rPr>
          <w:i/>
        </w:rPr>
        <w:t>Workforce Australia</w:t>
      </w:r>
    </w:p>
    <w:p w14:paraId="15D0854F" w14:textId="7812B420" w:rsidR="0069609E" w:rsidRDefault="00BC69ED" w:rsidP="00791DDA">
      <w:pPr>
        <w:pStyle w:val="Bullet1"/>
      </w:pPr>
      <w:r>
        <w:t xml:space="preserve">Data sources, </w:t>
      </w:r>
      <w:r w:rsidR="009F2E43">
        <w:t xml:space="preserve">which </w:t>
      </w:r>
      <w:r w:rsidR="00F213F8">
        <w:t>set out</w:t>
      </w:r>
      <w:r w:rsidR="00F35A6E">
        <w:t xml:space="preserve"> </w:t>
      </w:r>
      <w:r w:rsidR="00F35A6E" w:rsidRPr="00F35A6E">
        <w:t>documents underpinning the analyses</w:t>
      </w:r>
      <w:r w:rsidR="00F35A6E">
        <w:t xml:space="preserve"> outlined above.</w:t>
      </w:r>
    </w:p>
    <w:p w14:paraId="6F812F20" w14:textId="740D3A4E" w:rsidR="00411E72" w:rsidRDefault="00EA76A9" w:rsidP="004525B5">
      <w:pPr>
        <w:pStyle w:val="Heading3"/>
      </w:pPr>
      <w:r>
        <w:t xml:space="preserve">Australian Government </w:t>
      </w:r>
      <w:r w:rsidR="008F5EB4">
        <w:t>e</w:t>
      </w:r>
      <w:r>
        <w:t xml:space="preserve">xpenditure on employment </w:t>
      </w:r>
      <w:r w:rsidR="003571DE">
        <w:t>service</w:t>
      </w:r>
      <w:r w:rsidR="00DE2818">
        <w:t>s</w:t>
      </w:r>
      <w:r w:rsidR="003571DE">
        <w:t xml:space="preserve"> </w:t>
      </w:r>
      <w:r>
        <w:t>programs</w:t>
      </w:r>
    </w:p>
    <w:p w14:paraId="224FED7E" w14:textId="6525FE49" w:rsidR="005A3CFD" w:rsidRDefault="00EA76A9">
      <w:r>
        <w:t xml:space="preserve">Over the period </w:t>
      </w:r>
      <w:r w:rsidR="009F17A3">
        <w:t>2017-18 to</w:t>
      </w:r>
      <w:r>
        <w:t xml:space="preserve"> </w:t>
      </w:r>
      <w:r w:rsidR="0025532F">
        <w:t>2022-23,</w:t>
      </w:r>
      <w:r w:rsidR="00AF6CC8">
        <w:t xml:space="preserve"> </w:t>
      </w:r>
      <w:r w:rsidR="00336883">
        <w:t>ag</w:t>
      </w:r>
      <w:r w:rsidR="0076326F">
        <w:t xml:space="preserve">gregate </w:t>
      </w:r>
      <w:r w:rsidR="005A3CFD">
        <w:t xml:space="preserve">expenditure </w:t>
      </w:r>
      <w:r w:rsidR="00AF6CC8">
        <w:t xml:space="preserve">by the Australian Government </w:t>
      </w:r>
      <w:r w:rsidR="005A3CFD">
        <w:t xml:space="preserve">on employment services as a share of GDP has been </w:t>
      </w:r>
      <w:r w:rsidR="0098430A">
        <w:t xml:space="preserve">and </w:t>
      </w:r>
      <w:r w:rsidR="001D6568">
        <w:t>is pro</w:t>
      </w:r>
      <w:r w:rsidR="005A1643">
        <w:t>jected to be</w:t>
      </w:r>
      <w:r w:rsidR="00E846DC">
        <w:t xml:space="preserve"> in </w:t>
      </w:r>
      <w:r w:rsidR="00AA6231">
        <w:t>the</w:t>
      </w:r>
      <w:r w:rsidR="00E846DC">
        <w:t xml:space="preserve"> </w:t>
      </w:r>
      <w:r w:rsidR="00110C79">
        <w:t>r</w:t>
      </w:r>
      <w:r w:rsidR="00E846DC">
        <w:t xml:space="preserve">ange of </w:t>
      </w:r>
      <w:r w:rsidR="005A3CFD">
        <w:t>0.16% to 0.1</w:t>
      </w:r>
      <w:r w:rsidR="00A84760">
        <w:t>9</w:t>
      </w:r>
      <w:r w:rsidR="005A3CFD">
        <w:t xml:space="preserve">% </w:t>
      </w:r>
      <w:r w:rsidR="00E846DC">
        <w:t>of GDP</w:t>
      </w:r>
      <w:r w:rsidR="00266F14">
        <w:t xml:space="preserve"> (Table A</w:t>
      </w:r>
      <w:r w:rsidR="00DB7490">
        <w:t>1)</w:t>
      </w:r>
      <w:r w:rsidR="00E846DC">
        <w:t xml:space="preserve">. </w:t>
      </w:r>
      <w:r w:rsidR="00005E7C">
        <w:t xml:space="preserve">The services </w:t>
      </w:r>
      <w:r w:rsidR="00336436">
        <w:t>were</w:t>
      </w:r>
      <w:r w:rsidR="00005E7C">
        <w:t xml:space="preserve"> delivered by 3 agencies: </w:t>
      </w:r>
      <w:r w:rsidR="007B35F5">
        <w:t xml:space="preserve">the </w:t>
      </w:r>
      <w:r w:rsidR="002713F9">
        <w:t xml:space="preserve">Department of </w:t>
      </w:r>
      <w:r w:rsidR="00266F14">
        <w:t>Employment and Workplace Relations</w:t>
      </w:r>
      <w:r w:rsidR="009902F5">
        <w:t xml:space="preserve"> (DEWR),</w:t>
      </w:r>
      <w:r w:rsidR="00266F14">
        <w:t xml:space="preserve"> </w:t>
      </w:r>
      <w:r w:rsidR="007B35F5">
        <w:t xml:space="preserve">the </w:t>
      </w:r>
      <w:r w:rsidR="002A5869">
        <w:t xml:space="preserve">Department of Social Services (DSS) and </w:t>
      </w:r>
      <w:r w:rsidR="007B35F5">
        <w:t xml:space="preserve">the </w:t>
      </w:r>
      <w:r w:rsidR="00086B7F">
        <w:t>National Indigenous Australians Agency</w:t>
      </w:r>
      <w:r w:rsidR="002A5869">
        <w:t xml:space="preserve"> </w:t>
      </w:r>
      <w:r w:rsidR="00FC7A84">
        <w:t>(</w:t>
      </w:r>
      <w:r w:rsidR="00966898">
        <w:t>NIAA</w:t>
      </w:r>
      <w:r w:rsidR="00F1647B">
        <w:t>)</w:t>
      </w:r>
      <w:r w:rsidR="005A3CFD">
        <w:t xml:space="preserve"> </w:t>
      </w:r>
      <w:r w:rsidR="00577EF6">
        <w:t>(Table A2)</w:t>
      </w:r>
      <w:r w:rsidR="00165F89">
        <w:t>.</w:t>
      </w:r>
      <w:r w:rsidR="005A3CFD">
        <w:t xml:space="preserve"> Most employment services programs</w:t>
      </w:r>
      <w:r w:rsidR="000C4769">
        <w:t xml:space="preserve">, with 99.5% of the expenses estimated </w:t>
      </w:r>
      <w:r w:rsidR="003933BC">
        <w:t xml:space="preserve">for </w:t>
      </w:r>
      <w:r w:rsidR="00A27459">
        <w:t>2022-23</w:t>
      </w:r>
      <w:r w:rsidR="005C29C9">
        <w:t>,</w:t>
      </w:r>
      <w:r w:rsidR="005A3CFD">
        <w:t xml:space="preserve"> are designed to support the long-term unemployed</w:t>
      </w:r>
      <w:r w:rsidR="00A56447">
        <w:t xml:space="preserve"> (</w:t>
      </w:r>
      <w:r w:rsidR="00B068AB">
        <w:t>T</w:t>
      </w:r>
      <w:r w:rsidR="00A56447">
        <w:t>able A3)</w:t>
      </w:r>
      <w:r w:rsidR="005A3CFD">
        <w:t>.</w:t>
      </w:r>
    </w:p>
    <w:p w14:paraId="56EA2A6F" w14:textId="54529123" w:rsidR="00753270" w:rsidRDefault="0008278F" w:rsidP="004525B5">
      <w:pPr>
        <w:pStyle w:val="Heading3"/>
      </w:pPr>
      <w:r>
        <w:t>OECD</w:t>
      </w:r>
      <w:r w:rsidR="00BF2B1E">
        <w:t xml:space="preserve"> </w:t>
      </w:r>
      <w:r w:rsidR="00DA523F">
        <w:t>c</w:t>
      </w:r>
      <w:r w:rsidR="00BF2B1E">
        <w:t>omparison</w:t>
      </w:r>
    </w:p>
    <w:p w14:paraId="6F56CC25" w14:textId="4A433C47" w:rsidR="005A3CFD" w:rsidRDefault="00064B90">
      <w:r>
        <w:t>The</w:t>
      </w:r>
      <w:r w:rsidR="005A3CFD" w:rsidDel="00C73A07">
        <w:t xml:space="preserve"> </w:t>
      </w:r>
      <w:r w:rsidR="005A3CFD">
        <w:t>OECD metrics</w:t>
      </w:r>
      <w:r w:rsidR="00C73A07">
        <w:t xml:space="preserve"> take a broader view of employment service</w:t>
      </w:r>
      <w:r>
        <w:t>s</w:t>
      </w:r>
      <w:r w:rsidR="00C73A07">
        <w:t xml:space="preserve"> programs</w:t>
      </w:r>
      <w:r w:rsidR="002D108A">
        <w:t xml:space="preserve">, and </w:t>
      </w:r>
      <w:r w:rsidR="007D467B">
        <w:t xml:space="preserve">include </w:t>
      </w:r>
      <w:r w:rsidR="008A127B">
        <w:t xml:space="preserve">a portion of </w:t>
      </w:r>
      <w:r w:rsidR="007D467B">
        <w:t>employment support payments</w:t>
      </w:r>
      <w:r w:rsidR="0049062C">
        <w:t>, such</w:t>
      </w:r>
      <w:r w:rsidR="007D467B">
        <w:t xml:space="preserve"> as </w:t>
      </w:r>
      <w:r w:rsidR="0049062C">
        <w:t>Newstart allowance</w:t>
      </w:r>
      <w:r w:rsidR="00B07744">
        <w:t xml:space="preserve"> (now </w:t>
      </w:r>
      <w:proofErr w:type="spellStart"/>
      <w:r w:rsidR="006C0EF2" w:rsidRPr="006C0EF2">
        <w:rPr>
          <w:i/>
          <w:iCs/>
        </w:rPr>
        <w:t>JobSeeker</w:t>
      </w:r>
      <w:proofErr w:type="spellEnd"/>
      <w:r w:rsidR="006C0EF2" w:rsidRPr="00A36BC0">
        <w:rPr>
          <w:i/>
        </w:rPr>
        <w:t xml:space="preserve"> Payment</w:t>
      </w:r>
      <w:r w:rsidR="008B0E05">
        <w:t>)</w:t>
      </w:r>
      <w:r w:rsidR="0049062C">
        <w:t>,</w:t>
      </w:r>
      <w:r w:rsidR="007D467B">
        <w:t xml:space="preserve"> as well as </w:t>
      </w:r>
      <w:r w:rsidR="007F5159">
        <w:t>service payments</w:t>
      </w:r>
      <w:r w:rsidR="00F42760">
        <w:t>. Accordingly, the</w:t>
      </w:r>
      <w:r w:rsidR="0087024B">
        <w:t xml:space="preserve"> OECD</w:t>
      </w:r>
      <w:r w:rsidR="0049734B">
        <w:t xml:space="preserve"> reports show</w:t>
      </w:r>
      <w:r w:rsidR="00F42760">
        <w:t xml:space="preserve"> </w:t>
      </w:r>
      <w:r w:rsidR="005A3CFD">
        <w:t>Australia’s expenditure on employment services as a share of GDP averaged 0.29% over the period from 2004 to 2020</w:t>
      </w:r>
      <w:r w:rsidR="006C4086">
        <w:t xml:space="preserve"> (Table</w:t>
      </w:r>
      <w:r w:rsidR="00332DB2">
        <w:t> </w:t>
      </w:r>
      <w:r w:rsidR="006C4086">
        <w:t>B</w:t>
      </w:r>
      <w:r w:rsidR="00196C5D">
        <w:t>5</w:t>
      </w:r>
      <w:r w:rsidR="006C4086">
        <w:t>)</w:t>
      </w:r>
      <w:r w:rsidR="005A3CFD">
        <w:t>. This compares with an OECD average of 0.5</w:t>
      </w:r>
      <w:r w:rsidR="00DA523F">
        <w:t>0</w:t>
      </w:r>
      <w:r w:rsidR="005A3CFD">
        <w:t>% of GDP over the same period.</w:t>
      </w:r>
    </w:p>
    <w:p w14:paraId="64013CE0" w14:textId="28CD9FE0" w:rsidR="002E1512" w:rsidRDefault="00AF3F09" w:rsidP="004525B5">
      <w:pPr>
        <w:pStyle w:val="Heading3"/>
      </w:pPr>
      <w:r>
        <w:t xml:space="preserve">Comparison of </w:t>
      </w:r>
      <w:proofErr w:type="spellStart"/>
      <w:r w:rsidRPr="004525B5">
        <w:rPr>
          <w:i/>
        </w:rPr>
        <w:t>jobactive</w:t>
      </w:r>
      <w:proofErr w:type="spellEnd"/>
      <w:r>
        <w:t xml:space="preserve"> and </w:t>
      </w:r>
      <w:r w:rsidRPr="004525B5">
        <w:rPr>
          <w:i/>
        </w:rPr>
        <w:t>Workforce Australia</w:t>
      </w:r>
    </w:p>
    <w:p w14:paraId="6FE28B51" w14:textId="2B8F2A98" w:rsidR="005A3CFD" w:rsidRDefault="005A3CFD" w:rsidP="004525B5">
      <w:r>
        <w:t xml:space="preserve">Excluding the transitional periods for </w:t>
      </w:r>
      <w:proofErr w:type="spellStart"/>
      <w:r w:rsidRPr="004525B5">
        <w:rPr>
          <w:i/>
        </w:rPr>
        <w:t>jobactive</w:t>
      </w:r>
      <w:proofErr w:type="spellEnd"/>
      <w:r>
        <w:t xml:space="preserve"> in 2015-16 and </w:t>
      </w:r>
      <w:r w:rsidRPr="004525B5">
        <w:rPr>
          <w:i/>
        </w:rPr>
        <w:t>Workforce Australia</w:t>
      </w:r>
      <w:r>
        <w:t xml:space="preserve"> in 2022-23</w:t>
      </w:r>
      <w:r w:rsidR="009005A5">
        <w:t>,</w:t>
      </w:r>
      <w:r>
        <w:t xml:space="preserve"> where rollover of significant caseloads from previous programs occurred, Australia’s total expenditure on employment services has been and is expected to remain </w:t>
      </w:r>
      <w:r w:rsidR="008F0B83">
        <w:t>relatively</w:t>
      </w:r>
      <w:r>
        <w:t xml:space="preserve"> stable at around $1.2 billion </w:t>
      </w:r>
      <w:r w:rsidR="00076F8B">
        <w:t>–</w:t>
      </w:r>
      <w:r>
        <w:t xml:space="preserve"> $1.3</w:t>
      </w:r>
      <w:r w:rsidR="00C469BA">
        <w:t> </w:t>
      </w:r>
      <w:r>
        <w:t xml:space="preserve">billion in most years. The average cost per new job seeker outside the transitional periods increased from $3,000 pre-Covid-19 to around $5,000 during the Covid-19 period under </w:t>
      </w:r>
      <w:proofErr w:type="spellStart"/>
      <w:r w:rsidRPr="004525B5">
        <w:rPr>
          <w:i/>
        </w:rPr>
        <w:t>jobactive</w:t>
      </w:r>
      <w:proofErr w:type="spellEnd"/>
      <w:r>
        <w:t xml:space="preserve">; and is expected to fall back to around $3,500 under </w:t>
      </w:r>
      <w:r w:rsidRPr="004525B5">
        <w:rPr>
          <w:i/>
        </w:rPr>
        <w:t>Workforce Australia</w:t>
      </w:r>
      <w:r>
        <w:t xml:space="preserve">. </w:t>
      </w:r>
    </w:p>
    <w:p w14:paraId="6107A792" w14:textId="7354CB5A" w:rsidR="005A3CFD" w:rsidRDefault="005A3CFD">
      <w:pPr>
        <w:pStyle w:val="Bullet1"/>
      </w:pPr>
      <w:r>
        <w:t xml:space="preserve">The average cost per new job seeker is expected to be very different for </w:t>
      </w:r>
      <w:r w:rsidRPr="004C017C">
        <w:rPr>
          <w:i/>
        </w:rPr>
        <w:t>Workforce Australia Online</w:t>
      </w:r>
      <w:r>
        <w:t xml:space="preserve"> at less than $500 and for </w:t>
      </w:r>
      <w:r w:rsidRPr="004C017C">
        <w:rPr>
          <w:i/>
        </w:rPr>
        <w:t>Workforce Australia Employment Services Provider</w:t>
      </w:r>
      <w:r>
        <w:t xml:space="preserve"> at around $14,000. </w:t>
      </w:r>
      <w:r w:rsidR="00715419">
        <w:t xml:space="preserve">The difference in average costs </w:t>
      </w:r>
      <w:r w:rsidR="00631849">
        <w:t>reflect</w:t>
      </w:r>
      <w:r w:rsidR="005D7AB6">
        <w:t>s</w:t>
      </w:r>
      <w:r w:rsidR="00631849">
        <w:t xml:space="preserve"> </w:t>
      </w:r>
      <w:r w:rsidR="007E6A84">
        <w:t xml:space="preserve">the </w:t>
      </w:r>
      <w:r w:rsidR="00AD0140">
        <w:t xml:space="preserve">cost structure </w:t>
      </w:r>
      <w:r w:rsidR="007E6A84">
        <w:t>of respective services</w:t>
      </w:r>
      <w:r w:rsidR="005847F4">
        <w:t xml:space="preserve">. It is also </w:t>
      </w:r>
      <w:r w:rsidR="00D5547E">
        <w:t>consistent with</w:t>
      </w:r>
      <w:r w:rsidR="00D5547E" w:rsidRPr="00D5547E">
        <w:t xml:space="preserve"> the key principle of </w:t>
      </w:r>
      <w:r w:rsidR="00D5547E" w:rsidRPr="002C43AA">
        <w:rPr>
          <w:i/>
          <w:iCs/>
        </w:rPr>
        <w:t>Workforce Australia</w:t>
      </w:r>
      <w:r w:rsidR="0021380C">
        <w:t>,</w:t>
      </w:r>
      <w:r w:rsidR="00D5547E" w:rsidRPr="00D5547E">
        <w:t xml:space="preserve"> </w:t>
      </w:r>
      <w:r w:rsidR="00736A2C" w:rsidDel="00101BE7">
        <w:t>to</w:t>
      </w:r>
      <w:r w:rsidR="00736A2C">
        <w:t xml:space="preserve"> </w:t>
      </w:r>
      <w:r w:rsidR="004371E9">
        <w:t>let</w:t>
      </w:r>
      <w:r w:rsidR="00736A2C">
        <w:t xml:space="preserve"> </w:t>
      </w:r>
      <w:r w:rsidR="00D5547E" w:rsidRPr="00D5547E">
        <w:t xml:space="preserve">the most job ready self-manage their job search </w:t>
      </w:r>
      <w:r w:rsidR="00D5547E">
        <w:t>o</w:t>
      </w:r>
      <w:r w:rsidR="00D5547E" w:rsidRPr="00D5547E">
        <w:t xml:space="preserve">nline, </w:t>
      </w:r>
      <w:r w:rsidR="00D5547E">
        <w:t xml:space="preserve">while </w:t>
      </w:r>
      <w:r w:rsidR="00D5547E" w:rsidRPr="00D5547E">
        <w:t xml:space="preserve">allowing resourcing to be concentrated on the more disadvantaged job seekers through </w:t>
      </w:r>
      <w:r w:rsidR="00934AE9">
        <w:t>p</w:t>
      </w:r>
      <w:r w:rsidR="00D5547E" w:rsidRPr="00D5547E">
        <w:t xml:space="preserve">rovider </w:t>
      </w:r>
      <w:r w:rsidR="00934AE9">
        <w:t>s</w:t>
      </w:r>
      <w:r w:rsidR="00D5547E" w:rsidRPr="00D5547E">
        <w:t xml:space="preserve">ervices. </w:t>
      </w:r>
    </w:p>
    <w:p w14:paraId="7DB483B2" w14:textId="2308885B" w:rsidR="005A3CFD" w:rsidRPr="00426A36" w:rsidRDefault="005A3CFD" w:rsidP="00ED4CCA">
      <w:pPr>
        <w:pStyle w:val="Bullet1"/>
      </w:pPr>
      <w:r>
        <w:t xml:space="preserve">The increases in average cost </w:t>
      </w:r>
      <w:r w:rsidR="00337B91">
        <w:t>per new job seeker</w:t>
      </w:r>
      <w:r>
        <w:t xml:space="preserve"> during the Covid-19 period </w:t>
      </w:r>
      <w:r w:rsidR="00E62624" w:rsidRPr="00426A36">
        <w:t>reflect</w:t>
      </w:r>
      <w:r w:rsidR="00AA204C" w:rsidRPr="00426A36">
        <w:t xml:space="preserve"> </w:t>
      </w:r>
      <w:r w:rsidRPr="00426A36">
        <w:t xml:space="preserve">policy </w:t>
      </w:r>
      <w:r w:rsidR="0067272C" w:rsidRPr="00426A36">
        <w:t>changes announced in</w:t>
      </w:r>
      <w:r w:rsidRPr="00426A36">
        <w:t xml:space="preserve"> the </w:t>
      </w:r>
      <w:r w:rsidR="0067272C" w:rsidRPr="00426A36">
        <w:rPr>
          <w:i/>
        </w:rPr>
        <w:t>2020</w:t>
      </w:r>
      <w:r w:rsidR="001D7614" w:rsidRPr="00426A36">
        <w:rPr>
          <w:i/>
        </w:rPr>
        <w:noBreakHyphen/>
      </w:r>
      <w:r w:rsidR="0067272C" w:rsidRPr="00426A36">
        <w:rPr>
          <w:i/>
        </w:rPr>
        <w:t>21</w:t>
      </w:r>
      <w:r w:rsidR="001D7614" w:rsidRPr="00426A36">
        <w:rPr>
          <w:i/>
        </w:rPr>
        <w:t> </w:t>
      </w:r>
      <w:r w:rsidR="0067272C" w:rsidRPr="00426A36">
        <w:rPr>
          <w:i/>
        </w:rPr>
        <w:t>Budget</w:t>
      </w:r>
      <w:r w:rsidR="0067272C" w:rsidRPr="00426A36">
        <w:t xml:space="preserve"> involving the expansion of OES</w:t>
      </w:r>
      <w:r w:rsidRPr="00426A36">
        <w:t>.</w:t>
      </w:r>
    </w:p>
    <w:p w14:paraId="794A3CD7" w14:textId="5C564032" w:rsidR="00B76861" w:rsidRPr="009B33D1" w:rsidRDefault="00B76861" w:rsidP="00B76861">
      <w:pPr>
        <w:pStyle w:val="Heading2"/>
      </w:pPr>
      <w:r>
        <w:lastRenderedPageBreak/>
        <w:t>Sensitivities</w:t>
      </w:r>
      <w:r w:rsidR="001C450B">
        <w:t xml:space="preserve"> </w:t>
      </w:r>
      <w:r w:rsidR="00A71F3C">
        <w:t>regarding</w:t>
      </w:r>
      <w:r w:rsidR="001C450B">
        <w:t xml:space="preserve"> data and policy </w:t>
      </w:r>
      <w:r w:rsidR="00F1129D">
        <w:t xml:space="preserve">implication </w:t>
      </w:r>
      <w:r w:rsidR="001C450B">
        <w:t>interpretation</w:t>
      </w:r>
    </w:p>
    <w:p w14:paraId="44682D5B" w14:textId="11BDEA5D" w:rsidR="004D4DB1" w:rsidRDefault="004D4DB1" w:rsidP="009E75E0">
      <w:r>
        <w:t>T</w:t>
      </w:r>
      <w:r w:rsidR="009E75E0">
        <w:t xml:space="preserve">he OECD statistics underpinning this analysis </w:t>
      </w:r>
      <w:r>
        <w:t>may</w:t>
      </w:r>
      <w:r w:rsidR="009E75E0">
        <w:t xml:space="preserve"> not</w:t>
      </w:r>
      <w:r>
        <w:t xml:space="preserve"> be</w:t>
      </w:r>
      <w:r w:rsidR="009E75E0">
        <w:t xml:space="preserve"> directly comparable to </w:t>
      </w:r>
      <w:r w:rsidR="000109EC">
        <w:t xml:space="preserve">the </w:t>
      </w:r>
      <w:r w:rsidR="00F05104">
        <w:t xml:space="preserve">employment services expenditure </w:t>
      </w:r>
      <w:r w:rsidR="00BD2CFC">
        <w:t xml:space="preserve">reported </w:t>
      </w:r>
      <w:r w:rsidR="00F05104">
        <w:t xml:space="preserve">in </w:t>
      </w:r>
      <w:r w:rsidR="007C5367">
        <w:t>Australia’s budget papers</w:t>
      </w:r>
      <w:r w:rsidR="00797CBB">
        <w:t>. This is</w:t>
      </w:r>
      <w:r w:rsidR="007C5367">
        <w:t xml:space="preserve"> mainly due to scope differences.</w:t>
      </w:r>
      <w:r w:rsidR="00F05104">
        <w:t xml:space="preserve"> </w:t>
      </w:r>
      <w:r w:rsidR="00BD2CFC">
        <w:t xml:space="preserve">For example, the OECD </w:t>
      </w:r>
      <w:r w:rsidR="00A43EC2">
        <w:t>employment services expenditure for Australia includes some New</w:t>
      </w:r>
      <w:r w:rsidR="00CF3FEE">
        <w:t>s</w:t>
      </w:r>
      <w:r w:rsidR="00A43EC2">
        <w:t xml:space="preserve">tart </w:t>
      </w:r>
      <w:r w:rsidR="00490B78">
        <w:t>allowance</w:t>
      </w:r>
      <w:r w:rsidR="00FE7703">
        <w:t xml:space="preserve"> </w:t>
      </w:r>
      <w:r w:rsidR="00861546">
        <w:t xml:space="preserve">(now </w:t>
      </w:r>
      <w:proofErr w:type="spellStart"/>
      <w:r w:rsidR="00861546" w:rsidRPr="006C0EF2">
        <w:rPr>
          <w:i/>
          <w:iCs/>
        </w:rPr>
        <w:t>JobSeeker</w:t>
      </w:r>
      <w:proofErr w:type="spellEnd"/>
      <w:r w:rsidR="00861546" w:rsidRPr="00A36BC0">
        <w:rPr>
          <w:i/>
        </w:rPr>
        <w:t xml:space="preserve"> Payment</w:t>
      </w:r>
      <w:r w:rsidR="00861546">
        <w:t xml:space="preserve">) </w:t>
      </w:r>
      <w:r w:rsidR="00FE7703">
        <w:t>spending.</w:t>
      </w:r>
    </w:p>
    <w:p w14:paraId="165C99D3" w14:textId="68CD977D" w:rsidR="00E5137D" w:rsidRDefault="003F4499" w:rsidP="009E75E0">
      <w:r>
        <w:t>It is</w:t>
      </w:r>
      <w:r w:rsidR="00B57E19">
        <w:t xml:space="preserve"> also</w:t>
      </w:r>
      <w:r>
        <w:t xml:space="preserve"> important to </w:t>
      </w:r>
      <w:r w:rsidR="006E2FEA">
        <w:t xml:space="preserve">note that </w:t>
      </w:r>
      <w:r w:rsidR="000A48EA">
        <w:t xml:space="preserve">the </w:t>
      </w:r>
      <w:r w:rsidR="00216042">
        <w:t xml:space="preserve">financial implications of the policy change from </w:t>
      </w:r>
      <w:proofErr w:type="spellStart"/>
      <w:r w:rsidR="00216042" w:rsidRPr="00197798">
        <w:rPr>
          <w:i/>
          <w:iCs/>
        </w:rPr>
        <w:t>jobactive</w:t>
      </w:r>
      <w:proofErr w:type="spellEnd"/>
      <w:r w:rsidR="00216042">
        <w:t xml:space="preserve"> to </w:t>
      </w:r>
      <w:r w:rsidR="00216042" w:rsidRPr="00197798">
        <w:rPr>
          <w:i/>
          <w:iCs/>
        </w:rPr>
        <w:t>Workforce</w:t>
      </w:r>
      <w:r w:rsidR="00216042">
        <w:t xml:space="preserve"> </w:t>
      </w:r>
      <w:r w:rsidR="00216042" w:rsidRPr="00197798">
        <w:rPr>
          <w:i/>
          <w:iCs/>
        </w:rPr>
        <w:t>Australia</w:t>
      </w:r>
      <w:r w:rsidR="00AF3339">
        <w:t xml:space="preserve"> </w:t>
      </w:r>
      <w:r w:rsidR="00B57E19">
        <w:t xml:space="preserve">may not be </w:t>
      </w:r>
      <w:r w:rsidR="003614E9">
        <w:t>straight forward</w:t>
      </w:r>
      <w:r w:rsidR="00BE0103">
        <w:t xml:space="preserve"> </w:t>
      </w:r>
      <w:r w:rsidR="00766A7D">
        <w:t xml:space="preserve">given how the policy reforms evolved and </w:t>
      </w:r>
      <w:r w:rsidR="00DF771B">
        <w:t>funding re</w:t>
      </w:r>
      <w:r w:rsidR="00BD2CFC">
        <w:noBreakHyphen/>
      </w:r>
      <w:r w:rsidR="00DF771B">
        <w:t xml:space="preserve">allocations occurred </w:t>
      </w:r>
      <w:r w:rsidR="00074F22">
        <w:t>in</w:t>
      </w:r>
      <w:r w:rsidR="00DF771B">
        <w:t xml:space="preserve"> th</w:t>
      </w:r>
      <w:r w:rsidR="00074F22">
        <w:t>is</w:t>
      </w:r>
      <w:r w:rsidR="00DF771B">
        <w:t xml:space="preserve"> process. </w:t>
      </w:r>
    </w:p>
    <w:p w14:paraId="32397DBD" w14:textId="077B5D58" w:rsidR="00C64B47" w:rsidRDefault="00C64B47" w:rsidP="009E75E0">
      <w:r>
        <w:t>These sensitivities are explained in more detail below.</w:t>
      </w:r>
    </w:p>
    <w:p w14:paraId="696A3D13" w14:textId="36207606" w:rsidR="00316030" w:rsidRDefault="00316030" w:rsidP="00791DDA">
      <w:pPr>
        <w:pStyle w:val="Heading3"/>
      </w:pPr>
      <w:r>
        <w:t>OECD statistics</w:t>
      </w:r>
    </w:p>
    <w:p w14:paraId="4E5C81EC" w14:textId="77777777" w:rsidR="00332CE1" w:rsidRDefault="009D194F" w:rsidP="009D194F">
      <w:r>
        <w:t xml:space="preserve">Attachment B contains financial tables based on data we sourced from </w:t>
      </w:r>
      <w:r w:rsidRPr="0051640E">
        <w:rPr>
          <w:i/>
          <w:iCs/>
        </w:rPr>
        <w:t>OECD. Stat</w:t>
      </w:r>
      <w:r>
        <w:t xml:space="preserve"> to compare Australia’s expenditure on employment services </w:t>
      </w:r>
      <w:r w:rsidR="00187716">
        <w:t xml:space="preserve">against OECD countries </w:t>
      </w:r>
      <w:r>
        <w:t xml:space="preserve">from multiple perspectives. </w:t>
      </w:r>
    </w:p>
    <w:p w14:paraId="744786AE" w14:textId="1F48B448" w:rsidR="00332CE1" w:rsidRDefault="00332CE1" w:rsidP="00332CE1">
      <w:pPr>
        <w:pStyle w:val="Bullet1"/>
      </w:pPr>
      <w:r>
        <w:t xml:space="preserve">Table B1 shows spending without the Covid-19 short-term </w:t>
      </w:r>
      <w:r w:rsidR="00D73E5C">
        <w:t>policy response</w:t>
      </w:r>
      <w:r w:rsidR="0075203B">
        <w:t>s</w:t>
      </w:r>
      <w:r>
        <w:t xml:space="preserve"> to highlight the longer-term trends across the selected countries and the OECD average.</w:t>
      </w:r>
    </w:p>
    <w:p w14:paraId="2D4B689D" w14:textId="643A2B33" w:rsidR="00964DD6" w:rsidRDefault="00964DD6" w:rsidP="00964DD6">
      <w:pPr>
        <w:pStyle w:val="Bullet2"/>
      </w:pPr>
      <w:r w:rsidRPr="000243B4">
        <w:t xml:space="preserve">To provide a fuller </w:t>
      </w:r>
      <w:r w:rsidR="00F3635C" w:rsidRPr="000243B4">
        <w:t xml:space="preserve">comparison through history, we extended our analysis </w:t>
      </w:r>
      <w:r w:rsidR="00B12D20" w:rsidRPr="000243B4">
        <w:t>fo</w:t>
      </w:r>
      <w:r w:rsidR="008C1821" w:rsidRPr="000243B4">
        <w:t xml:space="preserve">r the share of GDP </w:t>
      </w:r>
      <w:r w:rsidR="00F3635C" w:rsidRPr="000243B4">
        <w:t>to cover the period from 2004</w:t>
      </w:r>
      <w:r w:rsidR="00575E2A" w:rsidRPr="000243B4">
        <w:t xml:space="preserve"> to 2020</w:t>
      </w:r>
      <w:r w:rsidR="00134E4C" w:rsidRPr="000243B4">
        <w:t xml:space="preserve"> in Table B</w:t>
      </w:r>
      <w:r w:rsidR="006857F8" w:rsidRPr="000243B4">
        <w:t>5</w:t>
      </w:r>
      <w:r w:rsidR="00134E4C" w:rsidRPr="000243B4">
        <w:t xml:space="preserve"> and Figure 1</w:t>
      </w:r>
      <w:r w:rsidR="00134E4C">
        <w:t>.</w:t>
      </w:r>
    </w:p>
    <w:p w14:paraId="4ABCE4C8" w14:textId="1DA86757" w:rsidR="00E86437" w:rsidRDefault="00414E37" w:rsidP="00332CE1">
      <w:pPr>
        <w:pStyle w:val="Bullet1"/>
      </w:pPr>
      <w:r>
        <w:t xml:space="preserve">In response to </w:t>
      </w:r>
      <w:r w:rsidR="00332CE1">
        <w:t xml:space="preserve">the Covid-19 pandemic, several countries supported their people with employment maintenance incentives. In Australia, </w:t>
      </w:r>
      <w:r w:rsidR="00C87698">
        <w:t>we put in place</w:t>
      </w:r>
      <w:r w:rsidR="00332CE1">
        <w:t xml:space="preserve"> </w:t>
      </w:r>
      <w:proofErr w:type="spellStart"/>
      <w:r w:rsidR="00332CE1" w:rsidRPr="00C87698">
        <w:rPr>
          <w:i/>
        </w:rPr>
        <w:t>JobKeeper</w:t>
      </w:r>
      <w:proofErr w:type="spellEnd"/>
      <w:r w:rsidR="00332CE1">
        <w:t xml:space="preserve"> which ran between April 2020 and March 2021. </w:t>
      </w:r>
    </w:p>
    <w:p w14:paraId="52A0A779" w14:textId="0F2D1F8A" w:rsidR="00332CE1" w:rsidRPr="000243B4" w:rsidRDefault="00332CE1" w:rsidP="00E86437">
      <w:pPr>
        <w:pStyle w:val="Bullet2"/>
      </w:pPr>
      <w:r w:rsidRPr="000243B4">
        <w:t xml:space="preserve">Table B2 reports spending on programs </w:t>
      </w:r>
      <w:r w:rsidR="006456DC" w:rsidRPr="000243B4">
        <w:t xml:space="preserve">of </w:t>
      </w:r>
      <w:r w:rsidRPr="000243B4">
        <w:t xml:space="preserve">this </w:t>
      </w:r>
      <w:r w:rsidR="006456DC" w:rsidRPr="000243B4">
        <w:t>nature</w:t>
      </w:r>
      <w:r w:rsidRPr="000243B4">
        <w:t xml:space="preserve"> for all requested countries, whilst Table</w:t>
      </w:r>
      <w:r w:rsidR="001128DE" w:rsidRPr="000243B4">
        <w:t> </w:t>
      </w:r>
      <w:r w:rsidRPr="000243B4">
        <w:t xml:space="preserve">B3 provides total spending on all active programs. </w:t>
      </w:r>
    </w:p>
    <w:p w14:paraId="72EA05D7" w14:textId="221AA6D7" w:rsidR="001D2AFA" w:rsidRPr="00063FEF" w:rsidRDefault="00332CE1" w:rsidP="00332CE1">
      <w:pPr>
        <w:pStyle w:val="Bullet1"/>
      </w:pPr>
      <w:r w:rsidRPr="00C46ACE">
        <w:t xml:space="preserve">Table B4 provides an in-depth comparison between Australia and the OECD average on a share of GDP basis </w:t>
      </w:r>
      <w:r w:rsidR="0027768B" w:rsidRPr="00C46ACE">
        <w:t xml:space="preserve">at the </w:t>
      </w:r>
      <w:r w:rsidR="00F30F70" w:rsidRPr="00C46ACE">
        <w:t xml:space="preserve">active </w:t>
      </w:r>
      <w:r w:rsidRPr="00C46ACE">
        <w:t xml:space="preserve">program </w:t>
      </w:r>
      <w:r w:rsidR="0027768B" w:rsidRPr="00C46ACE">
        <w:t>level</w:t>
      </w:r>
      <w:r w:rsidRPr="00C46ACE">
        <w:t>.</w:t>
      </w:r>
      <w:r w:rsidR="00F30F70" w:rsidRPr="00C46ACE">
        <w:t xml:space="preserve"> </w:t>
      </w:r>
      <w:r w:rsidR="00E80A72" w:rsidRPr="00063FEF">
        <w:t xml:space="preserve">It also </w:t>
      </w:r>
      <w:r w:rsidR="00D82599" w:rsidRPr="00063FEF">
        <w:t>reconcile</w:t>
      </w:r>
      <w:r w:rsidR="00402E95" w:rsidRPr="00063FEF">
        <w:t>s</w:t>
      </w:r>
      <w:r w:rsidR="00D82599" w:rsidRPr="00063FEF">
        <w:t xml:space="preserve"> Australia’s numbers </w:t>
      </w:r>
      <w:r w:rsidR="006D763D">
        <w:t xml:space="preserve">shown </w:t>
      </w:r>
      <w:r w:rsidR="00196CB2" w:rsidRPr="00063FEF">
        <w:t xml:space="preserve">in the OECD statistics </w:t>
      </w:r>
      <w:r w:rsidR="00D82599" w:rsidRPr="00063FEF">
        <w:t xml:space="preserve">with those shown in </w:t>
      </w:r>
      <w:r w:rsidR="004843FD" w:rsidRPr="00063FEF">
        <w:t xml:space="preserve">Attachment A by </w:t>
      </w:r>
      <w:r w:rsidR="005707EA" w:rsidRPr="00063FEF">
        <w:t xml:space="preserve">aligning </w:t>
      </w:r>
      <w:r w:rsidR="00063FEF" w:rsidRPr="00063FEF">
        <w:t xml:space="preserve">data </w:t>
      </w:r>
      <w:r w:rsidR="00D5665A" w:rsidRPr="00063FEF">
        <w:t>scope</w:t>
      </w:r>
      <w:r w:rsidR="00D06C2E" w:rsidRPr="00063FEF">
        <w:t>s</w:t>
      </w:r>
      <w:r w:rsidR="00D82599" w:rsidRPr="00063FEF">
        <w:t>.</w:t>
      </w:r>
    </w:p>
    <w:p w14:paraId="7E0780D0" w14:textId="48680EDE" w:rsidR="009D194F" w:rsidRDefault="009D194F" w:rsidP="009D194F">
      <w:r>
        <w:t xml:space="preserve">It is important to note that these financial figures are not directly comparable </w:t>
      </w:r>
      <w:r w:rsidR="009718C6">
        <w:t>to</w:t>
      </w:r>
      <w:r>
        <w:t xml:space="preserve"> figures contained in Attachment A which </w:t>
      </w:r>
      <w:r w:rsidR="00632D3D">
        <w:t xml:space="preserve">were </w:t>
      </w:r>
      <w:r>
        <w:t xml:space="preserve">sourced from Australia’s </w:t>
      </w:r>
      <w:r w:rsidR="003523F1">
        <w:t>b</w:t>
      </w:r>
      <w:r>
        <w:t xml:space="preserve">udget pagers or the </w:t>
      </w:r>
      <w:r w:rsidR="00D41926">
        <w:t xml:space="preserve">relevant </w:t>
      </w:r>
      <w:r>
        <w:t xml:space="preserve">administering agencies, primarily due to scope differences. </w:t>
      </w:r>
    </w:p>
    <w:p w14:paraId="296E41E1" w14:textId="6F42181C" w:rsidR="00200FD1" w:rsidRDefault="00595186" w:rsidP="00782C6C">
      <w:pPr>
        <w:pStyle w:val="Bullet1"/>
      </w:pPr>
      <w:r>
        <w:t xml:space="preserve">The </w:t>
      </w:r>
      <w:r w:rsidR="00A70014">
        <w:t xml:space="preserve">OECD </w:t>
      </w:r>
      <w:r w:rsidR="00C46EC1">
        <w:t xml:space="preserve">statistics </w:t>
      </w:r>
      <w:r w:rsidR="005422CF">
        <w:t xml:space="preserve">on employment services </w:t>
      </w:r>
      <w:r w:rsidR="00024E73">
        <w:t>capture</w:t>
      </w:r>
      <w:r w:rsidR="005422CF">
        <w:t xml:space="preserve"> </w:t>
      </w:r>
      <w:r w:rsidR="005C63B5">
        <w:t xml:space="preserve">active </w:t>
      </w:r>
      <w:r w:rsidR="00AE40E7" w:rsidRPr="00090F2F">
        <w:t>program</w:t>
      </w:r>
      <w:r w:rsidR="00AE40E7">
        <w:t>s</w:t>
      </w:r>
      <w:r w:rsidR="005C63B5">
        <w:t>, which</w:t>
      </w:r>
      <w:r w:rsidR="00BF2B59" w:rsidRPr="00BF2B59">
        <w:t xml:space="preserve"> include </w:t>
      </w:r>
      <w:r w:rsidR="00111A0B">
        <w:t>public employment services</w:t>
      </w:r>
      <w:r w:rsidR="00E71153">
        <w:t xml:space="preserve">, </w:t>
      </w:r>
      <w:r w:rsidR="00BF2B59" w:rsidRPr="00BF2B59">
        <w:t>training, employment incentives, integration of the disabled, direct job creation and start-up incentives.</w:t>
      </w:r>
      <w:r w:rsidR="001A51A6">
        <w:t xml:space="preserve"> </w:t>
      </w:r>
    </w:p>
    <w:p w14:paraId="485B16FF" w14:textId="60FCA7DB" w:rsidR="00782C6C" w:rsidRPr="003C6756" w:rsidRDefault="001A51A6" w:rsidP="00200FD1">
      <w:pPr>
        <w:pStyle w:val="Bullet2"/>
      </w:pPr>
      <w:r w:rsidRPr="003C6756">
        <w:t xml:space="preserve">In particular, the OECD </w:t>
      </w:r>
      <w:r w:rsidR="000D0BBF" w:rsidRPr="003C6756">
        <w:t xml:space="preserve">figures </w:t>
      </w:r>
      <w:r w:rsidR="00470C41" w:rsidRPr="003C6756">
        <w:t>for Australia</w:t>
      </w:r>
      <w:r w:rsidR="000D0BBF" w:rsidRPr="003C6756">
        <w:t xml:space="preserve"> contain </w:t>
      </w:r>
      <w:r w:rsidR="007A2A16" w:rsidRPr="003C6756">
        <w:t xml:space="preserve">a portion </w:t>
      </w:r>
      <w:r w:rsidR="00876521">
        <w:t>(1/20</w:t>
      </w:r>
      <w:r w:rsidR="00876521" w:rsidRPr="002C43AA">
        <w:rPr>
          <w:vertAlign w:val="superscript"/>
        </w:rPr>
        <w:t>th</w:t>
      </w:r>
      <w:r w:rsidR="00876521">
        <w:t xml:space="preserve">) </w:t>
      </w:r>
      <w:r w:rsidR="007A2A16" w:rsidRPr="003C6756">
        <w:t>of</w:t>
      </w:r>
      <w:r w:rsidR="00327BF2" w:rsidRPr="003C6756">
        <w:t xml:space="preserve"> </w:t>
      </w:r>
      <w:r w:rsidR="00F5479E" w:rsidRPr="003C6756">
        <w:t>Newstart Allowance</w:t>
      </w:r>
      <w:r w:rsidR="00E31440" w:rsidRPr="003C6756">
        <w:t xml:space="preserve"> </w:t>
      </w:r>
      <w:r w:rsidR="00D56667">
        <w:t xml:space="preserve">(now </w:t>
      </w:r>
      <w:proofErr w:type="spellStart"/>
      <w:r w:rsidR="00D56667" w:rsidRPr="006C0EF2">
        <w:rPr>
          <w:i/>
        </w:rPr>
        <w:t>JobSeeker</w:t>
      </w:r>
      <w:proofErr w:type="spellEnd"/>
      <w:r w:rsidR="00D56667">
        <w:t xml:space="preserve"> </w:t>
      </w:r>
      <w:r w:rsidR="00D56667" w:rsidRPr="00A36BC0">
        <w:rPr>
          <w:i/>
        </w:rPr>
        <w:t>Payment</w:t>
      </w:r>
      <w:r w:rsidR="00D56667">
        <w:t xml:space="preserve">) </w:t>
      </w:r>
      <w:r w:rsidR="00E31440" w:rsidRPr="003C6756">
        <w:t>spending</w:t>
      </w:r>
      <w:r w:rsidR="00876521">
        <w:t xml:space="preserve"> and 1/8</w:t>
      </w:r>
      <w:r w:rsidR="00876521" w:rsidRPr="002C43AA">
        <w:rPr>
          <w:vertAlign w:val="superscript"/>
        </w:rPr>
        <w:t>th</w:t>
      </w:r>
      <w:r w:rsidR="00876521">
        <w:t xml:space="preserve"> of the </w:t>
      </w:r>
      <w:r w:rsidR="00876521" w:rsidRPr="00876521">
        <w:t>Department of Human Services departmental expenses for social security and welfare</w:t>
      </w:r>
      <w:r w:rsidR="0085260F" w:rsidRPr="003C6756">
        <w:t xml:space="preserve">, which </w:t>
      </w:r>
      <w:r w:rsidR="004E53B1" w:rsidRPr="003C6756">
        <w:t>is</w:t>
      </w:r>
      <w:r w:rsidR="0085260F" w:rsidRPr="003C6756">
        <w:t xml:space="preserve"> </w:t>
      </w:r>
      <w:r w:rsidR="00A610E7" w:rsidRPr="003C6756">
        <w:t xml:space="preserve">not in scope for </w:t>
      </w:r>
      <w:r w:rsidR="007E4838" w:rsidRPr="003C6756">
        <w:t xml:space="preserve">the </w:t>
      </w:r>
      <w:r w:rsidR="00A610E7" w:rsidRPr="003C6756">
        <w:t>analysis contained in Attachment</w:t>
      </w:r>
      <w:r w:rsidR="00815388" w:rsidRPr="003C6756">
        <w:t> </w:t>
      </w:r>
      <w:r w:rsidR="00A610E7" w:rsidRPr="003C6756">
        <w:t>A.</w:t>
      </w:r>
      <w:r w:rsidR="00876646" w:rsidRPr="003C6756">
        <w:t xml:space="preserve"> </w:t>
      </w:r>
      <w:r w:rsidR="00CE3478" w:rsidRPr="003C6756">
        <w:t xml:space="preserve">If this component is excluded, the figures for Australia </w:t>
      </w:r>
      <w:r w:rsidR="0000351C" w:rsidRPr="003C6756">
        <w:t xml:space="preserve">broadly </w:t>
      </w:r>
      <w:r w:rsidR="00277756" w:rsidRPr="003C6756">
        <w:t xml:space="preserve">align with </w:t>
      </w:r>
      <w:r w:rsidR="00C0438E" w:rsidRPr="003C6756">
        <w:t>those in Attachment</w:t>
      </w:r>
      <w:r w:rsidR="00436CCA" w:rsidRPr="003C6756">
        <w:t> </w:t>
      </w:r>
      <w:r w:rsidR="00C0438E" w:rsidRPr="003C6756">
        <w:t>A.</w:t>
      </w:r>
    </w:p>
    <w:p w14:paraId="2D2CD559" w14:textId="20E9179E" w:rsidR="002F2F2B" w:rsidRDefault="006D3E5E" w:rsidP="00782C6C">
      <w:pPr>
        <w:pStyle w:val="Bullet1"/>
      </w:pPr>
      <w:r>
        <w:t xml:space="preserve">The OECD </w:t>
      </w:r>
      <w:r w:rsidR="009D6EA5">
        <w:t>statistics</w:t>
      </w:r>
      <w:r w:rsidR="00C535DD">
        <w:t xml:space="preserve"> </w:t>
      </w:r>
      <w:r w:rsidR="002800A7">
        <w:t>are</w:t>
      </w:r>
      <w:r w:rsidR="00C535DD">
        <w:t xml:space="preserve"> </w:t>
      </w:r>
      <w:r w:rsidR="000931CC">
        <w:t>calendar</w:t>
      </w:r>
      <w:r w:rsidR="00740185">
        <w:t>-</w:t>
      </w:r>
      <w:r w:rsidR="000931CC">
        <w:t xml:space="preserve">year </w:t>
      </w:r>
      <w:r w:rsidR="00C535DD">
        <w:t>based</w:t>
      </w:r>
      <w:r w:rsidR="005B7089">
        <w:t>.</w:t>
      </w:r>
      <w:r w:rsidR="002E2D33">
        <w:t xml:space="preserve"> </w:t>
      </w:r>
      <w:r w:rsidR="006A7F4D">
        <w:t>F</w:t>
      </w:r>
      <w:r w:rsidR="00783F3B">
        <w:t xml:space="preserve">or </w:t>
      </w:r>
      <w:r w:rsidR="002C79F6">
        <w:t xml:space="preserve">Australia, </w:t>
      </w:r>
      <w:r w:rsidR="006A7F4D">
        <w:t xml:space="preserve">this means that, for example, </w:t>
      </w:r>
      <w:r w:rsidR="00525423">
        <w:t xml:space="preserve">data </w:t>
      </w:r>
      <w:r w:rsidR="00153B6B">
        <w:t xml:space="preserve">in 2019 are for </w:t>
      </w:r>
      <w:r w:rsidR="00DA0FFE">
        <w:t xml:space="preserve">the </w:t>
      </w:r>
      <w:r w:rsidR="002469BE">
        <w:t>2019-20</w:t>
      </w:r>
      <w:r w:rsidR="000E33C6">
        <w:t xml:space="preserve"> </w:t>
      </w:r>
      <w:r w:rsidR="00153B6B">
        <w:t>financial year</w:t>
      </w:r>
      <w:r w:rsidR="002469BE">
        <w:t>.</w:t>
      </w:r>
      <w:r w:rsidR="00873FF2">
        <w:t xml:space="preserve"> </w:t>
      </w:r>
    </w:p>
    <w:p w14:paraId="68D19347" w14:textId="28BF2510" w:rsidR="00052706" w:rsidRDefault="00052706" w:rsidP="00F1780D">
      <w:pPr>
        <w:pStyle w:val="Caption"/>
        <w:jc w:val="center"/>
      </w:pPr>
      <w:r>
        <w:rPr>
          <w:lang w:val="fr-FR"/>
        </w:rPr>
        <w:lastRenderedPageBreak/>
        <w:t>Figure</w:t>
      </w:r>
      <w:r w:rsidRPr="00BD216D">
        <w:rPr>
          <w:lang w:val="fr-FR"/>
        </w:rPr>
        <w:t xml:space="preserve"> </w:t>
      </w:r>
      <w:proofErr w:type="gramStart"/>
      <w:r>
        <w:rPr>
          <w:lang w:val="fr-FR"/>
        </w:rPr>
        <w:t>1</w:t>
      </w:r>
      <w:r w:rsidRPr="00BD216D">
        <w:rPr>
          <w:lang w:val="fr-FR"/>
        </w:rPr>
        <w:t>:</w:t>
      </w:r>
      <w:proofErr w:type="gramEnd"/>
      <w:r w:rsidRPr="00BD216D">
        <w:rPr>
          <w:lang w:val="fr-FR"/>
        </w:rPr>
        <w:t xml:space="preserve"> </w:t>
      </w:r>
      <w:r>
        <w:t>Comparison with OECD countries and OECD average</w:t>
      </w:r>
    </w:p>
    <w:p w14:paraId="4B0C02C1" w14:textId="7A394795" w:rsidR="00052706" w:rsidRDefault="007D78DD" w:rsidP="00EF5F83">
      <w:pPr>
        <w:spacing w:after="0" w:line="240" w:lineRule="auto"/>
        <w:jc w:val="center"/>
      </w:pPr>
      <w:r w:rsidRPr="007D78DD">
        <w:rPr>
          <w:noProof/>
        </w:rPr>
        <w:drawing>
          <wp:inline distT="0" distB="0" distL="0" distR="0" wp14:anchorId="027C1119" wp14:editId="69798CAF">
            <wp:extent cx="5697940" cy="2975212"/>
            <wp:effectExtent l="0" t="0" r="0" b="0"/>
            <wp:docPr id="21" name="Chart 21">
              <a:extLst xmlns:a="http://schemas.openxmlformats.org/drawingml/2006/main">
                <a:ext uri="{FF2B5EF4-FFF2-40B4-BE49-F238E27FC236}">
                  <a16:creationId xmlns:a16="http://schemas.microsoft.com/office/drawing/2014/main" id="{F9D50963-BA04-EA07-6518-5A4B138225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2818C18" w14:textId="31345ECC" w:rsidR="006519D0" w:rsidRPr="00AD1DED" w:rsidRDefault="006519D0" w:rsidP="0016110E">
      <w:pPr>
        <w:spacing w:before="0" w:line="240" w:lineRule="auto"/>
        <w:ind w:firstLine="720"/>
        <w:rPr>
          <w:color w:val="808080" w:themeColor="background1" w:themeShade="80"/>
          <w:lang w:val="fr-FR"/>
        </w:rPr>
      </w:pPr>
      <w:proofErr w:type="gramStart"/>
      <w:r w:rsidRPr="00AD1DED">
        <w:rPr>
          <w:color w:val="808080" w:themeColor="background1" w:themeShade="80"/>
          <w:sz w:val="16"/>
          <w:szCs w:val="16"/>
          <w:lang w:val="fr-FR"/>
        </w:rPr>
        <w:t>Source:</w:t>
      </w:r>
      <w:proofErr w:type="gramEnd"/>
      <w:r w:rsidRPr="00AD1DED">
        <w:rPr>
          <w:color w:val="808080" w:themeColor="background1" w:themeShade="80"/>
          <w:sz w:val="16"/>
          <w:szCs w:val="16"/>
          <w:lang w:val="fr-FR"/>
        </w:rPr>
        <w:t xml:space="preserve"> </w:t>
      </w:r>
      <w:r w:rsidR="00F55CBD" w:rsidRPr="00AD1DED">
        <w:rPr>
          <w:color w:val="808080" w:themeColor="background1" w:themeShade="80"/>
          <w:sz w:val="16"/>
          <w:szCs w:val="16"/>
          <w:lang w:val="fr-FR"/>
        </w:rPr>
        <w:t xml:space="preserve">Table </w:t>
      </w:r>
      <w:r w:rsidR="009319E4" w:rsidRPr="00AD1DED">
        <w:rPr>
          <w:color w:val="808080" w:themeColor="background1" w:themeShade="80"/>
          <w:sz w:val="16"/>
          <w:szCs w:val="16"/>
          <w:lang w:val="fr-FR"/>
        </w:rPr>
        <w:t>B</w:t>
      </w:r>
      <w:r w:rsidR="0016206D" w:rsidRPr="00AD1DED">
        <w:rPr>
          <w:color w:val="808080" w:themeColor="background1" w:themeShade="80"/>
          <w:sz w:val="16"/>
          <w:szCs w:val="16"/>
          <w:lang w:val="fr-FR"/>
        </w:rPr>
        <w:t>4</w:t>
      </w:r>
      <w:r w:rsidR="00044AB3" w:rsidRPr="00AD1DED">
        <w:rPr>
          <w:color w:val="808080" w:themeColor="background1" w:themeShade="80"/>
          <w:sz w:val="16"/>
          <w:szCs w:val="16"/>
          <w:lang w:val="fr-FR"/>
        </w:rPr>
        <w:t xml:space="preserve"> ; </w:t>
      </w:r>
      <w:r w:rsidR="00BF48A5" w:rsidRPr="00BF48A5">
        <w:rPr>
          <w:color w:val="808080" w:themeColor="background1" w:themeShade="80"/>
          <w:sz w:val="16"/>
          <w:szCs w:val="16"/>
          <w:lang w:val="fr-FR"/>
        </w:rPr>
        <w:t xml:space="preserve">PBO </w:t>
      </w:r>
      <w:proofErr w:type="spellStart"/>
      <w:r w:rsidR="00BF48A5" w:rsidRPr="00BF48A5">
        <w:rPr>
          <w:color w:val="808080" w:themeColor="background1" w:themeShade="80"/>
          <w:sz w:val="16"/>
          <w:szCs w:val="16"/>
          <w:lang w:val="fr-FR"/>
        </w:rPr>
        <w:t>analysis</w:t>
      </w:r>
      <w:proofErr w:type="spellEnd"/>
      <w:r w:rsidR="00BF48A5" w:rsidRPr="00BF48A5">
        <w:rPr>
          <w:color w:val="808080" w:themeColor="background1" w:themeShade="80"/>
          <w:sz w:val="16"/>
          <w:szCs w:val="16"/>
          <w:lang w:val="fr-FR"/>
        </w:rPr>
        <w:t xml:space="preserve"> of data </w:t>
      </w:r>
      <w:proofErr w:type="spellStart"/>
      <w:r w:rsidRPr="00AD1DED">
        <w:rPr>
          <w:color w:val="808080" w:themeColor="background1" w:themeShade="80"/>
          <w:sz w:val="16"/>
          <w:szCs w:val="16"/>
          <w:lang w:val="fr-FR"/>
        </w:rPr>
        <w:t>from</w:t>
      </w:r>
      <w:proofErr w:type="spellEnd"/>
      <w:r w:rsidRPr="00AD1DED">
        <w:rPr>
          <w:color w:val="808080" w:themeColor="background1" w:themeShade="80"/>
          <w:sz w:val="16"/>
          <w:szCs w:val="16"/>
          <w:lang w:val="fr-FR"/>
        </w:rPr>
        <w:t xml:space="preserve"> </w:t>
      </w:r>
      <w:proofErr w:type="spellStart"/>
      <w:r w:rsidRPr="00AD1DED">
        <w:rPr>
          <w:color w:val="808080" w:themeColor="background1" w:themeShade="80"/>
          <w:sz w:val="16"/>
          <w:szCs w:val="16"/>
          <w:lang w:val="fr-FR"/>
        </w:rPr>
        <w:t>OECD.Stat</w:t>
      </w:r>
      <w:proofErr w:type="spellEnd"/>
      <w:r w:rsidRPr="00AD1DED">
        <w:rPr>
          <w:color w:val="808080" w:themeColor="background1" w:themeShade="80"/>
          <w:sz w:val="16"/>
          <w:szCs w:val="16"/>
          <w:lang w:val="fr-FR"/>
        </w:rPr>
        <w:t>.</w:t>
      </w:r>
    </w:p>
    <w:p w14:paraId="46808F97" w14:textId="5AA1F3BD" w:rsidR="006818EA" w:rsidRDefault="00E129E8" w:rsidP="006818EA">
      <w:pPr>
        <w:pStyle w:val="Heading3"/>
      </w:pPr>
      <w:r>
        <w:t xml:space="preserve">Funding implications from ceasing </w:t>
      </w:r>
      <w:proofErr w:type="spellStart"/>
      <w:r w:rsidRPr="00C07FB7">
        <w:rPr>
          <w:i/>
        </w:rPr>
        <w:t>jobact</w:t>
      </w:r>
      <w:r w:rsidR="00CB3728">
        <w:rPr>
          <w:i/>
        </w:rPr>
        <w:t>i</w:t>
      </w:r>
      <w:r w:rsidRPr="00C07FB7">
        <w:rPr>
          <w:i/>
        </w:rPr>
        <w:t>ve</w:t>
      </w:r>
      <w:proofErr w:type="spellEnd"/>
      <w:r>
        <w:t xml:space="preserve"> and commencing </w:t>
      </w:r>
      <w:r w:rsidRPr="00C07FB7">
        <w:rPr>
          <w:i/>
        </w:rPr>
        <w:t>Workforce</w:t>
      </w:r>
      <w:r>
        <w:t xml:space="preserve"> </w:t>
      </w:r>
      <w:r w:rsidRPr="00C07FB7">
        <w:rPr>
          <w:i/>
        </w:rPr>
        <w:t>Australia</w:t>
      </w:r>
    </w:p>
    <w:p w14:paraId="5539E637" w14:textId="28ECEF77" w:rsidR="00A83DA6" w:rsidRDefault="00C4792D" w:rsidP="002A7AF1">
      <w:pPr>
        <w:rPr>
          <w:color w:val="auto"/>
        </w:rPr>
      </w:pPr>
      <w:r>
        <w:rPr>
          <w:color w:val="auto"/>
        </w:rPr>
        <w:t>Attachment C</w:t>
      </w:r>
      <w:r w:rsidR="00E03D6B">
        <w:rPr>
          <w:color w:val="auto"/>
        </w:rPr>
        <w:t xml:space="preserve"> </w:t>
      </w:r>
      <w:r w:rsidR="00134EDB">
        <w:rPr>
          <w:color w:val="auto"/>
        </w:rPr>
        <w:t xml:space="preserve">provides </w:t>
      </w:r>
      <w:r w:rsidR="00150663">
        <w:rPr>
          <w:color w:val="auto"/>
        </w:rPr>
        <w:t xml:space="preserve">financial information to </w:t>
      </w:r>
      <w:r w:rsidR="00F27B04">
        <w:rPr>
          <w:color w:val="auto"/>
        </w:rPr>
        <w:t>inform</w:t>
      </w:r>
      <w:r w:rsidR="00150663">
        <w:rPr>
          <w:color w:val="auto"/>
        </w:rPr>
        <w:t xml:space="preserve"> understanding of</w:t>
      </w:r>
      <w:r w:rsidR="0031311E">
        <w:rPr>
          <w:color w:val="auto"/>
        </w:rPr>
        <w:t xml:space="preserve"> the</w:t>
      </w:r>
      <w:r w:rsidR="00531DD9">
        <w:rPr>
          <w:color w:val="auto"/>
        </w:rPr>
        <w:t xml:space="preserve"> </w:t>
      </w:r>
      <w:r w:rsidR="00DA0520">
        <w:rPr>
          <w:color w:val="auto"/>
        </w:rPr>
        <w:t>financial</w:t>
      </w:r>
      <w:r w:rsidR="00531DD9">
        <w:rPr>
          <w:color w:val="auto"/>
        </w:rPr>
        <w:t xml:space="preserve"> </w:t>
      </w:r>
      <w:r w:rsidR="00531DD9">
        <w:t>implications from ceasing</w:t>
      </w:r>
      <w:r w:rsidR="00531DD9">
        <w:rPr>
          <w:i/>
          <w:iCs/>
        </w:rPr>
        <w:t xml:space="preserve"> </w:t>
      </w:r>
      <w:proofErr w:type="spellStart"/>
      <w:r w:rsidR="00531DD9" w:rsidRPr="00A67E1F">
        <w:rPr>
          <w:i/>
        </w:rPr>
        <w:t>jobactive</w:t>
      </w:r>
      <w:proofErr w:type="spellEnd"/>
      <w:r w:rsidR="00531DD9">
        <w:t xml:space="preserve"> at the end of 2021-22 and commencing </w:t>
      </w:r>
      <w:r w:rsidR="00531DD9" w:rsidRPr="00A67E1F">
        <w:rPr>
          <w:i/>
        </w:rPr>
        <w:t>Workforce</w:t>
      </w:r>
      <w:r w:rsidR="00531DD9">
        <w:t xml:space="preserve"> </w:t>
      </w:r>
      <w:r w:rsidR="00531DD9" w:rsidRPr="00A67E1F">
        <w:rPr>
          <w:i/>
        </w:rPr>
        <w:t>Australia</w:t>
      </w:r>
      <w:r w:rsidR="00531DD9">
        <w:t xml:space="preserve"> from 4 July 2022</w:t>
      </w:r>
      <w:r w:rsidR="00711A8C">
        <w:rPr>
          <w:color w:val="auto"/>
        </w:rPr>
        <w:t>.</w:t>
      </w:r>
      <w:r w:rsidR="00CD45E9">
        <w:rPr>
          <w:color w:val="auto"/>
        </w:rPr>
        <w:t xml:space="preserve"> Workforce Australia has </w:t>
      </w:r>
      <w:r w:rsidR="007F7AAB">
        <w:rPr>
          <w:color w:val="auto"/>
        </w:rPr>
        <w:t>2</w:t>
      </w:r>
      <w:r w:rsidR="00CD45E9">
        <w:rPr>
          <w:color w:val="auto"/>
        </w:rPr>
        <w:t xml:space="preserve"> components: online tools </w:t>
      </w:r>
      <w:r w:rsidR="00801A86">
        <w:rPr>
          <w:color w:val="auto"/>
        </w:rPr>
        <w:t xml:space="preserve">(OES) </w:t>
      </w:r>
      <w:r w:rsidR="00CD45E9">
        <w:rPr>
          <w:color w:val="auto"/>
        </w:rPr>
        <w:t xml:space="preserve">and </w:t>
      </w:r>
      <w:r w:rsidR="00A7514C">
        <w:rPr>
          <w:color w:val="auto"/>
        </w:rPr>
        <w:t>face</w:t>
      </w:r>
      <w:r w:rsidR="00235422">
        <w:rPr>
          <w:color w:val="auto"/>
        </w:rPr>
        <w:noBreakHyphen/>
      </w:r>
      <w:r w:rsidR="00A7514C">
        <w:rPr>
          <w:color w:val="auto"/>
        </w:rPr>
        <w:t>to</w:t>
      </w:r>
      <w:r w:rsidR="00235422">
        <w:rPr>
          <w:color w:val="auto"/>
        </w:rPr>
        <w:noBreakHyphen/>
      </w:r>
      <w:r w:rsidR="00A7514C">
        <w:rPr>
          <w:color w:val="auto"/>
        </w:rPr>
        <w:t>face services.</w:t>
      </w:r>
    </w:p>
    <w:p w14:paraId="27262105" w14:textId="3076A33E" w:rsidR="004A2E51" w:rsidRDefault="00C109AF" w:rsidP="001A2DEF">
      <w:pPr>
        <w:rPr>
          <w:rFonts w:eastAsia="Times New Roman"/>
          <w:color w:val="000000"/>
        </w:rPr>
      </w:pPr>
      <w:r>
        <w:rPr>
          <w:rFonts w:eastAsia="Times New Roman"/>
          <w:color w:val="000000"/>
        </w:rPr>
        <w:t>The Department of Employment and Work</w:t>
      </w:r>
      <w:r w:rsidR="00410DEF">
        <w:rPr>
          <w:rFonts w:eastAsia="Times New Roman"/>
          <w:color w:val="000000"/>
        </w:rPr>
        <w:t>place</w:t>
      </w:r>
      <w:r>
        <w:rPr>
          <w:rFonts w:eastAsia="Times New Roman"/>
          <w:color w:val="000000"/>
        </w:rPr>
        <w:t xml:space="preserve"> Relations (</w:t>
      </w:r>
      <w:r w:rsidR="00EC6FC4">
        <w:rPr>
          <w:rFonts w:eastAsia="Times New Roman"/>
          <w:color w:val="000000"/>
        </w:rPr>
        <w:t>DEWR</w:t>
      </w:r>
      <w:r>
        <w:rPr>
          <w:rFonts w:eastAsia="Times New Roman"/>
          <w:color w:val="000000"/>
        </w:rPr>
        <w:t>)</w:t>
      </w:r>
      <w:r w:rsidR="0035382A">
        <w:rPr>
          <w:rFonts w:eastAsia="Times New Roman"/>
          <w:color w:val="000000"/>
        </w:rPr>
        <w:t xml:space="preserve"> advised that o</w:t>
      </w:r>
      <w:r w:rsidR="001A2DEF" w:rsidRPr="008A3EA4">
        <w:rPr>
          <w:rFonts w:eastAsia="Times New Roman"/>
          <w:color w:val="000000"/>
        </w:rPr>
        <w:t xml:space="preserve">btaining a </w:t>
      </w:r>
      <w:r w:rsidR="007559F5">
        <w:rPr>
          <w:rFonts w:eastAsia="Times New Roman"/>
          <w:color w:val="000000"/>
        </w:rPr>
        <w:t>clear</w:t>
      </w:r>
      <w:r w:rsidR="001A2DEF" w:rsidRPr="008A3EA4">
        <w:rPr>
          <w:rFonts w:eastAsia="Times New Roman"/>
          <w:color w:val="000000"/>
        </w:rPr>
        <w:t xml:space="preserve"> measure of the savings from introdu</w:t>
      </w:r>
      <w:r w:rsidR="00D52CFE">
        <w:rPr>
          <w:rFonts w:eastAsia="Times New Roman"/>
          <w:color w:val="000000"/>
        </w:rPr>
        <w:t>cing</w:t>
      </w:r>
      <w:r w:rsidR="001A2DEF" w:rsidRPr="008A3EA4">
        <w:rPr>
          <w:rFonts w:eastAsia="Times New Roman"/>
          <w:color w:val="000000"/>
        </w:rPr>
        <w:t xml:space="preserve"> </w:t>
      </w:r>
      <w:r w:rsidR="001A2DEF">
        <w:rPr>
          <w:rFonts w:eastAsia="Times New Roman"/>
          <w:color w:val="000000"/>
        </w:rPr>
        <w:t>OES</w:t>
      </w:r>
      <w:r w:rsidR="001A2DEF" w:rsidRPr="008A3EA4">
        <w:rPr>
          <w:rFonts w:eastAsia="Times New Roman"/>
          <w:color w:val="000000"/>
        </w:rPr>
        <w:t xml:space="preserve"> is difficult </w:t>
      </w:r>
      <w:r w:rsidR="004A2E51">
        <w:rPr>
          <w:rFonts w:eastAsia="Times New Roman"/>
          <w:color w:val="000000"/>
        </w:rPr>
        <w:t>because:</w:t>
      </w:r>
    </w:p>
    <w:p w14:paraId="67C04828" w14:textId="05B2EB96" w:rsidR="002451AA" w:rsidRDefault="00AD2D28" w:rsidP="004A2E51">
      <w:pPr>
        <w:pStyle w:val="Bullet1"/>
      </w:pPr>
      <w:r>
        <w:t>t</w:t>
      </w:r>
      <w:r w:rsidR="006737FB">
        <w:t xml:space="preserve">here were different iterations and trials before the OES was </w:t>
      </w:r>
      <w:r w:rsidR="00BF02D0">
        <w:t>expanded and enhanced in the 2020</w:t>
      </w:r>
      <w:r w:rsidR="00BF02D0">
        <w:noBreakHyphen/>
        <w:t xml:space="preserve">21 </w:t>
      </w:r>
      <w:proofErr w:type="gramStart"/>
      <w:r w:rsidR="00BF02D0">
        <w:t>Budget</w:t>
      </w:r>
      <w:proofErr w:type="gramEnd"/>
    </w:p>
    <w:p w14:paraId="58B45525" w14:textId="0ECEE69F" w:rsidR="00D17754" w:rsidRDefault="005070DD" w:rsidP="004A2E51">
      <w:pPr>
        <w:pStyle w:val="Bullet1"/>
      </w:pPr>
      <w:r>
        <w:t xml:space="preserve">any ‘savings’ </w:t>
      </w:r>
      <w:r w:rsidR="007239DC">
        <w:t xml:space="preserve">taken </w:t>
      </w:r>
      <w:r w:rsidR="00BC109A">
        <w:t>from</w:t>
      </w:r>
      <w:r w:rsidR="007239DC">
        <w:t xml:space="preserve"> </w:t>
      </w:r>
      <w:r w:rsidR="00393F80">
        <w:t>the budget baseline</w:t>
      </w:r>
      <w:r>
        <w:t xml:space="preserve"> for </w:t>
      </w:r>
      <w:proofErr w:type="spellStart"/>
      <w:r w:rsidRPr="000F2BD6">
        <w:rPr>
          <w:i/>
        </w:rPr>
        <w:t>jobactive</w:t>
      </w:r>
      <w:proofErr w:type="spellEnd"/>
      <w:r>
        <w:t xml:space="preserve"> </w:t>
      </w:r>
      <w:r w:rsidR="003A787B">
        <w:t xml:space="preserve">at the </w:t>
      </w:r>
      <w:r w:rsidR="003A787B" w:rsidRPr="008242BC">
        <w:rPr>
          <w:i/>
        </w:rPr>
        <w:t>2020-21 Budget</w:t>
      </w:r>
      <w:r w:rsidR="003A787B">
        <w:t xml:space="preserve"> </w:t>
      </w:r>
      <w:r>
        <w:t>were reallocated</w:t>
      </w:r>
      <w:r w:rsidR="00985228">
        <w:t xml:space="preserve"> t</w:t>
      </w:r>
      <w:r w:rsidR="00C336BD">
        <w:t>o</w:t>
      </w:r>
      <w:r w:rsidR="00393F80">
        <w:t xml:space="preserve"> </w:t>
      </w:r>
      <w:r w:rsidR="000C7023">
        <w:t>other programs.</w:t>
      </w:r>
      <w:r w:rsidR="001614B1">
        <w:t xml:space="preserve"> </w:t>
      </w:r>
    </w:p>
    <w:p w14:paraId="14D86EE4" w14:textId="0F41E490" w:rsidR="001D18C9" w:rsidRDefault="00913304" w:rsidP="001A2DEF">
      <w:pPr>
        <w:rPr>
          <w:rFonts w:eastAsia="Times New Roman"/>
          <w:color w:val="000000"/>
        </w:rPr>
      </w:pPr>
      <w:r>
        <w:rPr>
          <w:rFonts w:eastAsia="Times New Roman"/>
          <w:color w:val="000000"/>
        </w:rPr>
        <w:t>An informative</w:t>
      </w:r>
      <w:r w:rsidR="001614B1">
        <w:rPr>
          <w:rFonts w:eastAsia="Times New Roman"/>
          <w:color w:val="000000"/>
        </w:rPr>
        <w:t xml:space="preserve"> measure </w:t>
      </w:r>
      <w:r>
        <w:rPr>
          <w:rFonts w:eastAsia="Times New Roman"/>
          <w:color w:val="000000"/>
        </w:rPr>
        <w:t>is</w:t>
      </w:r>
      <w:r w:rsidR="00A9628A">
        <w:rPr>
          <w:rFonts w:eastAsia="Times New Roman"/>
          <w:color w:val="000000"/>
        </w:rPr>
        <w:t xml:space="preserve"> </w:t>
      </w:r>
      <w:r w:rsidR="00BC5B49">
        <w:rPr>
          <w:rFonts w:eastAsia="Times New Roman"/>
          <w:color w:val="000000"/>
        </w:rPr>
        <w:t>the average cost per job seeker</w:t>
      </w:r>
      <w:r w:rsidR="001D282C">
        <w:rPr>
          <w:rFonts w:eastAsia="Times New Roman"/>
          <w:color w:val="000000"/>
        </w:rPr>
        <w:t xml:space="preserve"> </w:t>
      </w:r>
      <w:r w:rsidR="00304E2D">
        <w:rPr>
          <w:rFonts w:eastAsia="Times New Roman"/>
          <w:color w:val="000000"/>
        </w:rPr>
        <w:t xml:space="preserve">commencement </w:t>
      </w:r>
      <w:r w:rsidR="00A37762">
        <w:rPr>
          <w:rFonts w:eastAsia="Times New Roman"/>
          <w:color w:val="000000"/>
        </w:rPr>
        <w:t xml:space="preserve">over time </w:t>
      </w:r>
      <w:r w:rsidR="001D282C">
        <w:rPr>
          <w:rFonts w:eastAsia="Times New Roman"/>
          <w:color w:val="000000"/>
        </w:rPr>
        <w:t xml:space="preserve">under </w:t>
      </w:r>
      <w:proofErr w:type="spellStart"/>
      <w:r w:rsidR="001D282C" w:rsidRPr="00D51AF5">
        <w:rPr>
          <w:rFonts w:eastAsia="Times New Roman"/>
          <w:i/>
          <w:color w:val="000000"/>
        </w:rPr>
        <w:t>jobactive</w:t>
      </w:r>
      <w:proofErr w:type="spellEnd"/>
      <w:r w:rsidR="001D282C">
        <w:rPr>
          <w:rFonts w:eastAsia="Times New Roman"/>
          <w:color w:val="000000"/>
        </w:rPr>
        <w:t xml:space="preserve">, </w:t>
      </w:r>
      <w:r w:rsidR="001D282C" w:rsidRPr="00D51AF5">
        <w:rPr>
          <w:rFonts w:eastAsia="Times New Roman"/>
          <w:i/>
          <w:color w:val="000000"/>
        </w:rPr>
        <w:t>Workforce Australia Online</w:t>
      </w:r>
      <w:r w:rsidR="001D282C">
        <w:rPr>
          <w:rFonts w:eastAsia="Times New Roman"/>
          <w:color w:val="000000"/>
        </w:rPr>
        <w:t xml:space="preserve"> and </w:t>
      </w:r>
      <w:r w:rsidR="00771072" w:rsidRPr="00D51AF5">
        <w:rPr>
          <w:rFonts w:eastAsia="Times New Roman"/>
          <w:i/>
          <w:color w:val="000000"/>
        </w:rPr>
        <w:t>Workforce Australia Employment Services Provider</w:t>
      </w:r>
      <w:r w:rsidR="007C7973">
        <w:rPr>
          <w:rFonts w:eastAsia="Times New Roman"/>
          <w:color w:val="000000"/>
        </w:rPr>
        <w:t>.</w:t>
      </w:r>
      <w:r w:rsidR="00D05837">
        <w:rPr>
          <w:rFonts w:eastAsia="Times New Roman"/>
          <w:color w:val="000000"/>
        </w:rPr>
        <w:t xml:space="preserve"> </w:t>
      </w:r>
    </w:p>
    <w:p w14:paraId="4E9A85D0" w14:textId="153067A6" w:rsidR="00946162" w:rsidRPr="004B3502" w:rsidRDefault="00343183" w:rsidP="00514F9D">
      <w:pPr>
        <w:pStyle w:val="Bullet1"/>
      </w:pPr>
      <w:r w:rsidRPr="00530E00">
        <w:t xml:space="preserve">This is </w:t>
      </w:r>
      <w:r w:rsidR="00A519FF" w:rsidRPr="00530E00">
        <w:t>set out</w:t>
      </w:r>
      <w:r w:rsidRPr="00530E00">
        <w:t xml:space="preserve"> in Table C1</w:t>
      </w:r>
      <w:r w:rsidR="007A2FAC" w:rsidRPr="00530E00">
        <w:t xml:space="preserve"> and </w:t>
      </w:r>
      <w:r w:rsidR="00175DBF" w:rsidRPr="00530E00">
        <w:t xml:space="preserve">depicted in </w:t>
      </w:r>
      <w:r w:rsidR="007A2FAC" w:rsidRPr="00530E00">
        <w:t>Figure 2</w:t>
      </w:r>
      <w:r w:rsidR="00DD60C3" w:rsidRPr="00530E00">
        <w:t xml:space="preserve">, which shows </w:t>
      </w:r>
      <w:r w:rsidR="00C5230E" w:rsidRPr="00530E00">
        <w:t xml:space="preserve">that </w:t>
      </w:r>
      <w:r w:rsidR="00DD60C3" w:rsidRPr="00530E00">
        <w:t xml:space="preserve">the average cost </w:t>
      </w:r>
      <w:r w:rsidR="007162EC" w:rsidRPr="00530E00">
        <w:t>increased significantly during the Covid-19 period</w:t>
      </w:r>
      <w:r w:rsidR="004B7E0B" w:rsidRPr="00530E00">
        <w:t xml:space="preserve">. This </w:t>
      </w:r>
      <w:r w:rsidR="000475A9">
        <w:t>reflect</w:t>
      </w:r>
      <w:r w:rsidR="00F956A6">
        <w:t>s</w:t>
      </w:r>
      <w:r w:rsidR="00D4612C">
        <w:t xml:space="preserve"> the</w:t>
      </w:r>
      <w:r w:rsidR="00946162" w:rsidRPr="004B3502">
        <w:t xml:space="preserve"> implementation of policy changes announced in the </w:t>
      </w:r>
      <w:r w:rsidR="00946162" w:rsidRPr="004B3502">
        <w:rPr>
          <w:i/>
        </w:rPr>
        <w:t>2020-21 Budget</w:t>
      </w:r>
      <w:r w:rsidR="00946162" w:rsidRPr="004B3502">
        <w:t xml:space="preserve"> involving the expansion of OES</w:t>
      </w:r>
      <w:r w:rsidR="00277A3F" w:rsidRPr="004B3502">
        <w:t xml:space="preserve">. </w:t>
      </w:r>
    </w:p>
    <w:p w14:paraId="26EC4E40" w14:textId="4C7252EE" w:rsidR="00343183" w:rsidRPr="00530E00" w:rsidRDefault="00162276" w:rsidP="004B3502">
      <w:pPr>
        <w:pStyle w:val="Bullet2"/>
      </w:pPr>
      <w:r w:rsidRPr="00E00D98">
        <w:t>DEWR have advised that t</w:t>
      </w:r>
      <w:r w:rsidR="00277A3F" w:rsidRPr="00E00D98">
        <w:t xml:space="preserve">he commencement data only </w:t>
      </w:r>
      <w:r w:rsidR="00DE373E" w:rsidRPr="00E00D98">
        <w:t>includes</w:t>
      </w:r>
      <w:r w:rsidR="00277A3F" w:rsidRPr="00E00D98">
        <w:t xml:space="preserve"> </w:t>
      </w:r>
      <w:r w:rsidR="00811CA8" w:rsidRPr="00E00D98">
        <w:t xml:space="preserve">those people being managed </w:t>
      </w:r>
      <w:r w:rsidR="00DE373E" w:rsidRPr="00E00D98">
        <w:t xml:space="preserve">by a service provider and excludes </w:t>
      </w:r>
      <w:r w:rsidR="001606A8" w:rsidRPr="00E00D98">
        <w:t>those using OES</w:t>
      </w:r>
      <w:r w:rsidR="005F7703" w:rsidRPr="00E00D98">
        <w:t>.</w:t>
      </w:r>
      <w:r w:rsidR="005F7703" w:rsidRPr="00530E00">
        <w:t xml:space="preserve"> </w:t>
      </w:r>
    </w:p>
    <w:p w14:paraId="4B118692" w14:textId="5509D5E3" w:rsidR="001D18C9" w:rsidRDefault="00514F9D" w:rsidP="00514F9D">
      <w:pPr>
        <w:pStyle w:val="Bullet1"/>
      </w:pPr>
      <w:r>
        <w:t xml:space="preserve">As shown in Table </w:t>
      </w:r>
      <w:r w:rsidR="009F5B36">
        <w:t>C2</w:t>
      </w:r>
      <w:r w:rsidR="002917D4">
        <w:t xml:space="preserve"> and Figure </w:t>
      </w:r>
      <w:r w:rsidR="007406A2">
        <w:t>3</w:t>
      </w:r>
      <w:r w:rsidR="009F5B36">
        <w:t xml:space="preserve">, the overall funding allocated to </w:t>
      </w:r>
      <w:r w:rsidR="009F5B36" w:rsidRPr="0079329D">
        <w:rPr>
          <w:i/>
        </w:rPr>
        <w:t>Workforce Australia</w:t>
      </w:r>
      <w:r w:rsidR="009F5B36">
        <w:t xml:space="preserve"> is </w:t>
      </w:r>
      <w:proofErr w:type="gramStart"/>
      <w:r w:rsidR="009F5B36">
        <w:t>similar to</w:t>
      </w:r>
      <w:proofErr w:type="gramEnd"/>
      <w:r w:rsidR="009F5B36">
        <w:t xml:space="preserve"> the funding allocated to </w:t>
      </w:r>
      <w:proofErr w:type="spellStart"/>
      <w:r w:rsidR="009F5B36" w:rsidRPr="00F8256B">
        <w:rPr>
          <w:i/>
        </w:rPr>
        <w:t>jobactive</w:t>
      </w:r>
      <w:proofErr w:type="spellEnd"/>
      <w:r w:rsidR="004E2B21">
        <w:t xml:space="preserve">, despite </w:t>
      </w:r>
      <w:r w:rsidR="009F5B36">
        <w:t xml:space="preserve">significant changes </w:t>
      </w:r>
      <w:r w:rsidR="00225162">
        <w:t xml:space="preserve">in </w:t>
      </w:r>
      <w:r w:rsidR="009F5B36">
        <w:t>economic parameters</w:t>
      </w:r>
      <w:r w:rsidR="008C79D3">
        <w:t>.</w:t>
      </w:r>
    </w:p>
    <w:p w14:paraId="31E2BFEB" w14:textId="1FF0AF82" w:rsidR="008C79D3" w:rsidRPr="007A7F7D" w:rsidRDefault="00547360" w:rsidP="00514F9D">
      <w:pPr>
        <w:pStyle w:val="Bullet1"/>
      </w:pPr>
      <w:r>
        <w:t xml:space="preserve">However, the number of </w:t>
      </w:r>
      <w:r w:rsidR="00274373">
        <w:t xml:space="preserve">new </w:t>
      </w:r>
      <w:r>
        <w:t xml:space="preserve">job seekers receiving provider </w:t>
      </w:r>
      <w:r w:rsidRPr="006B5095">
        <w:t xml:space="preserve">services is much lower due to digital servicing. </w:t>
      </w:r>
      <w:r w:rsidR="00C90314">
        <w:t>This results in</w:t>
      </w:r>
      <w:r w:rsidRPr="006B5095">
        <w:t xml:space="preserve"> much higher funding per </w:t>
      </w:r>
      <w:r w:rsidR="000E7FCD">
        <w:t xml:space="preserve">new </w:t>
      </w:r>
      <w:r w:rsidRPr="006B5095">
        <w:t>job seeker receiving face</w:t>
      </w:r>
      <w:r w:rsidR="00F00286">
        <w:t>-</w:t>
      </w:r>
      <w:r w:rsidRPr="006B5095">
        <w:t>to</w:t>
      </w:r>
      <w:r w:rsidR="00F00286">
        <w:t>-</w:t>
      </w:r>
      <w:r w:rsidRPr="006B5095">
        <w:t xml:space="preserve">face services through provider services under </w:t>
      </w:r>
      <w:r w:rsidRPr="00FF386D">
        <w:rPr>
          <w:i/>
        </w:rPr>
        <w:t>Workforce Australia</w:t>
      </w:r>
      <w:r w:rsidRPr="006B5095">
        <w:t xml:space="preserve"> than under </w:t>
      </w:r>
      <w:proofErr w:type="spellStart"/>
      <w:r w:rsidRPr="00FF386D">
        <w:rPr>
          <w:i/>
        </w:rPr>
        <w:t>jobactive</w:t>
      </w:r>
      <w:proofErr w:type="spellEnd"/>
      <w:r w:rsidR="009837BE">
        <w:rPr>
          <w:i/>
        </w:rPr>
        <w:t>.</w:t>
      </w:r>
      <w:r w:rsidR="00A80002">
        <w:t xml:space="preserve"> </w:t>
      </w:r>
      <w:r w:rsidR="004400DD">
        <w:t xml:space="preserve">This would allow more intensive support </w:t>
      </w:r>
      <w:r w:rsidR="001966AB">
        <w:t>to</w:t>
      </w:r>
      <w:r w:rsidR="00A168F1">
        <w:t xml:space="preserve"> </w:t>
      </w:r>
      <w:r w:rsidR="004400DD">
        <w:t>job seekers</w:t>
      </w:r>
      <w:r w:rsidR="00DE6A91">
        <w:t xml:space="preserve"> </w:t>
      </w:r>
      <w:r w:rsidR="000350A0">
        <w:t>who are</w:t>
      </w:r>
      <w:r w:rsidR="001960EE">
        <w:t xml:space="preserve"> in greater need</w:t>
      </w:r>
      <w:r w:rsidR="004400DD">
        <w:t xml:space="preserve"> </w:t>
      </w:r>
      <w:r w:rsidR="00A80002">
        <w:t>(Table C</w:t>
      </w:r>
      <w:r w:rsidR="00797A8A">
        <w:t>3)</w:t>
      </w:r>
      <w:r w:rsidR="007A7F7D">
        <w:t>.</w:t>
      </w:r>
    </w:p>
    <w:p w14:paraId="4810CEE1" w14:textId="03B251E9" w:rsidR="00E03BAB" w:rsidRDefault="007A7F7D">
      <w:pPr>
        <w:pStyle w:val="Bullet2"/>
      </w:pPr>
      <w:r>
        <w:t xml:space="preserve">This is consistent with the </w:t>
      </w:r>
      <w:r w:rsidR="007C7973" w:rsidRPr="00000EE5">
        <w:t xml:space="preserve">key principle of </w:t>
      </w:r>
      <w:r w:rsidR="007C7973" w:rsidRPr="003C4DF1">
        <w:rPr>
          <w:i/>
        </w:rPr>
        <w:t>Workforce Australia</w:t>
      </w:r>
      <w:r w:rsidR="008F6CBE">
        <w:t>. Th</w:t>
      </w:r>
      <w:r w:rsidR="003C4DF1">
        <w:t>at</w:t>
      </w:r>
      <w:r w:rsidR="008F6CBE">
        <w:t xml:space="preserve"> is</w:t>
      </w:r>
      <w:r w:rsidR="00267BB7">
        <w:t>,</w:t>
      </w:r>
      <w:r w:rsidR="007C7973" w:rsidRPr="00000EE5">
        <w:t xml:space="preserve"> for the most job ready to self-manage their job search through </w:t>
      </w:r>
      <w:r w:rsidR="007C7973" w:rsidRPr="00430334">
        <w:rPr>
          <w:i/>
        </w:rPr>
        <w:t>Workforce Australia Online</w:t>
      </w:r>
      <w:r w:rsidR="00181C1A" w:rsidRPr="000308E5">
        <w:rPr>
          <w:iCs w:val="0"/>
        </w:rPr>
        <w:t>, allowing</w:t>
      </w:r>
      <w:r w:rsidR="008F6CBE" w:rsidRPr="000308E5">
        <w:rPr>
          <w:iCs w:val="0"/>
        </w:rPr>
        <w:t xml:space="preserve"> </w:t>
      </w:r>
      <w:r w:rsidR="007C7973" w:rsidRPr="000308E5">
        <w:rPr>
          <w:iCs w:val="0"/>
        </w:rPr>
        <w:t>resourcing</w:t>
      </w:r>
      <w:r w:rsidR="007C7973" w:rsidRPr="00000EE5">
        <w:t xml:space="preserve"> to be </w:t>
      </w:r>
      <w:r w:rsidR="007C7973" w:rsidRPr="00000EE5">
        <w:lastRenderedPageBreak/>
        <w:t xml:space="preserve">concentrated on the more disadvantaged </w:t>
      </w:r>
      <w:r w:rsidR="007C7973">
        <w:t xml:space="preserve">job seekers </w:t>
      </w:r>
      <w:r w:rsidR="007C7973" w:rsidRPr="00000EE5">
        <w:t xml:space="preserve">through </w:t>
      </w:r>
      <w:r w:rsidR="007C7973" w:rsidRPr="00430334">
        <w:rPr>
          <w:i/>
        </w:rPr>
        <w:t>Workforce Australia Provider Services</w:t>
      </w:r>
      <w:r w:rsidR="001B330C">
        <w:t>.</w:t>
      </w:r>
      <w:r w:rsidR="00D05837">
        <w:t xml:space="preserve"> </w:t>
      </w:r>
    </w:p>
    <w:p w14:paraId="0A05A233" w14:textId="166716DA" w:rsidR="001D3B50" w:rsidRDefault="00A32335" w:rsidP="00AB1462">
      <w:pPr>
        <w:pStyle w:val="Caption"/>
        <w:jc w:val="center"/>
        <w:rPr>
          <w:lang w:val="fr-FR"/>
        </w:rPr>
      </w:pPr>
      <w:r>
        <w:rPr>
          <w:lang w:val="fr-FR"/>
        </w:rPr>
        <w:t>Figure</w:t>
      </w:r>
      <w:r w:rsidRPr="00BD216D">
        <w:rPr>
          <w:lang w:val="fr-FR"/>
        </w:rPr>
        <w:t xml:space="preserve"> </w:t>
      </w:r>
      <w:proofErr w:type="gramStart"/>
      <w:r w:rsidR="007406A2">
        <w:rPr>
          <w:lang w:val="fr-FR"/>
        </w:rPr>
        <w:t>2</w:t>
      </w:r>
      <w:r w:rsidRPr="00BD216D">
        <w:rPr>
          <w:lang w:val="fr-FR"/>
        </w:rPr>
        <w:t>:</w:t>
      </w:r>
      <w:proofErr w:type="gramEnd"/>
      <w:r w:rsidRPr="00BD216D">
        <w:rPr>
          <w:lang w:val="fr-FR"/>
        </w:rPr>
        <w:t xml:space="preserve"> </w:t>
      </w:r>
      <w:r w:rsidR="00ED01A9">
        <w:rPr>
          <w:noProof/>
        </w:rPr>
        <w:t xml:space="preserve">Average </w:t>
      </w:r>
      <w:r w:rsidR="008641A0">
        <w:t>cost</w:t>
      </w:r>
      <w:r w:rsidR="00E657BF">
        <w:t xml:space="preserve"> </w:t>
      </w:r>
      <w:r w:rsidR="007406A2">
        <w:t xml:space="preserve">per </w:t>
      </w:r>
      <w:r w:rsidR="00887C88">
        <w:t>job seeker</w:t>
      </w:r>
      <w:r w:rsidR="00582422">
        <w:t xml:space="preserve"> </w:t>
      </w:r>
      <w:r w:rsidR="001E4CA3">
        <w:t xml:space="preserve">commencement </w:t>
      </w:r>
      <w:r w:rsidR="00D12DE4">
        <w:t>on</w:t>
      </w:r>
      <w:r w:rsidR="00582422">
        <w:t xml:space="preserve"> se</w:t>
      </w:r>
      <w:r>
        <w:t xml:space="preserve">lected </w:t>
      </w:r>
      <w:r w:rsidR="00ED01A9">
        <w:t xml:space="preserve">employment </w:t>
      </w:r>
      <w:r>
        <w:t>programs</w:t>
      </w:r>
    </w:p>
    <w:p w14:paraId="2848E039" w14:textId="7E2A1E16" w:rsidR="00EF5F83" w:rsidRDefault="0018250C" w:rsidP="00EF5F83">
      <w:pPr>
        <w:spacing w:after="0" w:line="240" w:lineRule="auto"/>
        <w:jc w:val="center"/>
        <w:rPr>
          <w:color w:val="808080" w:themeColor="background1" w:themeShade="80"/>
          <w:sz w:val="16"/>
          <w:szCs w:val="16"/>
          <w:lang w:val="fr-FR"/>
        </w:rPr>
      </w:pPr>
      <w:r w:rsidRPr="0018250C">
        <w:rPr>
          <w:noProof/>
          <w:color w:val="808080" w:themeColor="background1" w:themeShade="80"/>
          <w:sz w:val="16"/>
          <w:szCs w:val="16"/>
        </w:rPr>
        <w:drawing>
          <wp:inline distT="0" distB="0" distL="0" distR="0" wp14:anchorId="30D12B9A" wp14:editId="6382854A">
            <wp:extent cx="5041900" cy="2385696"/>
            <wp:effectExtent l="0" t="0" r="6350" b="0"/>
            <wp:docPr id="31" name="Chart 31">
              <a:extLst xmlns:a="http://schemas.openxmlformats.org/drawingml/2006/main">
                <a:ext uri="{FF2B5EF4-FFF2-40B4-BE49-F238E27FC236}">
                  <a16:creationId xmlns:a16="http://schemas.microsoft.com/office/drawing/2014/main" id="{6817B413-48A4-C437-1B53-7684F75A14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DF9F77D" w14:textId="1D462D69" w:rsidR="00154A65" w:rsidRPr="003A60AA" w:rsidRDefault="006017DE" w:rsidP="00EF5F83">
      <w:pPr>
        <w:spacing w:before="0" w:line="240" w:lineRule="auto"/>
        <w:ind w:left="851"/>
      </w:pPr>
      <w:proofErr w:type="gramStart"/>
      <w:r w:rsidRPr="00AD1DED">
        <w:rPr>
          <w:color w:val="808080" w:themeColor="background1" w:themeShade="80"/>
          <w:sz w:val="16"/>
          <w:szCs w:val="16"/>
          <w:lang w:val="fr-FR"/>
        </w:rPr>
        <w:t>Source:</w:t>
      </w:r>
      <w:proofErr w:type="gramEnd"/>
      <w:r w:rsidRPr="00AD1DED">
        <w:rPr>
          <w:color w:val="808080" w:themeColor="background1" w:themeShade="80"/>
          <w:sz w:val="16"/>
          <w:szCs w:val="16"/>
          <w:lang w:val="fr-FR"/>
        </w:rPr>
        <w:t xml:space="preserve"> </w:t>
      </w:r>
      <w:r w:rsidR="009319E4" w:rsidRPr="00AD1DED">
        <w:rPr>
          <w:color w:val="808080" w:themeColor="background1" w:themeShade="80"/>
          <w:sz w:val="16"/>
          <w:szCs w:val="16"/>
          <w:lang w:val="fr-FR"/>
        </w:rPr>
        <w:t>Table C1 ;</w:t>
      </w:r>
      <w:r w:rsidRPr="00AD1DED">
        <w:rPr>
          <w:color w:val="808080" w:themeColor="background1" w:themeShade="80"/>
          <w:sz w:val="16"/>
          <w:szCs w:val="16"/>
          <w:lang w:val="fr-FR"/>
        </w:rPr>
        <w:t xml:space="preserve"> </w:t>
      </w:r>
      <w:r w:rsidR="00A5555F">
        <w:rPr>
          <w:color w:val="808080" w:themeColor="background1" w:themeShade="80"/>
          <w:sz w:val="16"/>
          <w:szCs w:val="16"/>
          <w:lang w:val="fr-FR"/>
        </w:rPr>
        <w:t xml:space="preserve">data </w:t>
      </w:r>
      <w:proofErr w:type="spellStart"/>
      <w:r w:rsidR="00A5555F">
        <w:rPr>
          <w:color w:val="808080" w:themeColor="background1" w:themeShade="80"/>
          <w:sz w:val="16"/>
          <w:szCs w:val="16"/>
          <w:lang w:val="fr-FR"/>
        </w:rPr>
        <w:t>from</w:t>
      </w:r>
      <w:proofErr w:type="spellEnd"/>
      <w:r w:rsidR="007746F0" w:rsidRPr="00AD1DED">
        <w:rPr>
          <w:color w:val="808080" w:themeColor="background1" w:themeShade="80"/>
          <w:sz w:val="16"/>
          <w:szCs w:val="16"/>
          <w:lang w:val="fr-FR"/>
        </w:rPr>
        <w:t xml:space="preserve"> the </w:t>
      </w:r>
      <w:proofErr w:type="spellStart"/>
      <w:r w:rsidR="007746F0" w:rsidRPr="00AD1DED">
        <w:rPr>
          <w:color w:val="808080" w:themeColor="background1" w:themeShade="80"/>
          <w:sz w:val="16"/>
          <w:szCs w:val="16"/>
          <w:lang w:val="fr-FR"/>
        </w:rPr>
        <w:t>Department</w:t>
      </w:r>
      <w:proofErr w:type="spellEnd"/>
      <w:r w:rsidR="007746F0" w:rsidRPr="00AD1DED">
        <w:rPr>
          <w:color w:val="808080" w:themeColor="background1" w:themeShade="80"/>
          <w:sz w:val="16"/>
          <w:szCs w:val="16"/>
          <w:lang w:val="fr-FR"/>
        </w:rPr>
        <w:t xml:space="preserve"> of </w:t>
      </w:r>
      <w:proofErr w:type="spellStart"/>
      <w:r w:rsidR="007746F0" w:rsidRPr="00AD1DED">
        <w:rPr>
          <w:color w:val="808080" w:themeColor="background1" w:themeShade="80"/>
          <w:sz w:val="16"/>
          <w:szCs w:val="16"/>
          <w:lang w:val="fr-FR"/>
        </w:rPr>
        <w:t>Employment</w:t>
      </w:r>
      <w:proofErr w:type="spellEnd"/>
      <w:r w:rsidR="007746F0" w:rsidRPr="00AD1DED">
        <w:rPr>
          <w:color w:val="808080" w:themeColor="background1" w:themeShade="80"/>
          <w:sz w:val="16"/>
          <w:szCs w:val="16"/>
          <w:lang w:val="fr-FR"/>
        </w:rPr>
        <w:t xml:space="preserve"> and Workplace Relations</w:t>
      </w:r>
      <w:r w:rsidR="006519D0" w:rsidRPr="00AD1DED">
        <w:rPr>
          <w:color w:val="808080" w:themeColor="background1" w:themeShade="80"/>
          <w:sz w:val="16"/>
          <w:szCs w:val="16"/>
          <w:lang w:val="fr-FR"/>
        </w:rPr>
        <w:t>.</w:t>
      </w:r>
    </w:p>
    <w:p w14:paraId="16585AE5" w14:textId="791EA1F0" w:rsidR="0089284E" w:rsidRPr="00AD1DED" w:rsidRDefault="0089284E" w:rsidP="0016110E">
      <w:pPr>
        <w:spacing w:before="0" w:after="0" w:line="240" w:lineRule="auto"/>
        <w:ind w:left="851" w:right="282"/>
        <w:rPr>
          <w:color w:val="808080" w:themeColor="background1" w:themeShade="80"/>
          <w:sz w:val="16"/>
          <w:szCs w:val="16"/>
          <w:lang w:val="fr-FR"/>
        </w:rPr>
      </w:pPr>
      <w:proofErr w:type="gramStart"/>
      <w:r w:rsidRPr="0089284E">
        <w:rPr>
          <w:color w:val="808080" w:themeColor="background1" w:themeShade="80"/>
          <w:sz w:val="16"/>
          <w:szCs w:val="16"/>
          <w:lang w:val="fr-FR"/>
        </w:rPr>
        <w:t>Note:</w:t>
      </w:r>
      <w:proofErr w:type="gramEnd"/>
      <w:r w:rsidRPr="0089284E">
        <w:rPr>
          <w:color w:val="808080" w:themeColor="background1" w:themeShade="80"/>
          <w:sz w:val="16"/>
          <w:szCs w:val="16"/>
          <w:lang w:val="fr-FR"/>
        </w:rPr>
        <w:t xml:space="preserve"> </w:t>
      </w:r>
      <w:r w:rsidR="00324B8A" w:rsidRPr="00324B8A">
        <w:rPr>
          <w:color w:val="808080" w:themeColor="background1" w:themeShade="80"/>
          <w:sz w:val="16"/>
          <w:szCs w:val="16"/>
          <w:lang w:val="fr-FR"/>
        </w:rPr>
        <w:t xml:space="preserve">The </w:t>
      </w:r>
      <w:proofErr w:type="spellStart"/>
      <w:r w:rsidR="00324B8A" w:rsidRPr="00324B8A">
        <w:rPr>
          <w:color w:val="808080" w:themeColor="background1" w:themeShade="80"/>
          <w:sz w:val="16"/>
          <w:szCs w:val="16"/>
          <w:lang w:val="fr-FR"/>
        </w:rPr>
        <w:t>average</w:t>
      </w:r>
      <w:proofErr w:type="spellEnd"/>
      <w:r w:rsidR="00324B8A" w:rsidRPr="00324B8A">
        <w:rPr>
          <w:color w:val="808080" w:themeColor="background1" w:themeShade="80"/>
          <w:sz w:val="16"/>
          <w:szCs w:val="16"/>
          <w:lang w:val="fr-FR"/>
        </w:rPr>
        <w:t xml:space="preserve"> </w:t>
      </w:r>
      <w:proofErr w:type="spellStart"/>
      <w:r w:rsidR="00324B8A" w:rsidRPr="00324B8A">
        <w:rPr>
          <w:color w:val="808080" w:themeColor="background1" w:themeShade="80"/>
          <w:sz w:val="16"/>
          <w:szCs w:val="16"/>
          <w:lang w:val="fr-FR"/>
        </w:rPr>
        <w:t>costs</w:t>
      </w:r>
      <w:proofErr w:type="spellEnd"/>
      <w:r w:rsidR="00324B8A" w:rsidRPr="00324B8A">
        <w:rPr>
          <w:color w:val="808080" w:themeColor="background1" w:themeShade="80"/>
          <w:sz w:val="16"/>
          <w:szCs w:val="16"/>
          <w:lang w:val="fr-FR"/>
        </w:rPr>
        <w:t xml:space="preserve"> per commencement </w:t>
      </w:r>
      <w:proofErr w:type="spellStart"/>
      <w:r w:rsidR="00CF530A">
        <w:rPr>
          <w:color w:val="808080" w:themeColor="background1" w:themeShade="80"/>
          <w:sz w:val="16"/>
          <w:szCs w:val="16"/>
          <w:lang w:val="fr-FR"/>
        </w:rPr>
        <w:t>in</w:t>
      </w:r>
      <w:proofErr w:type="spellEnd"/>
      <w:r w:rsidR="00324B8A" w:rsidRPr="00324B8A">
        <w:rPr>
          <w:color w:val="808080" w:themeColor="background1" w:themeShade="80"/>
          <w:sz w:val="16"/>
          <w:szCs w:val="16"/>
          <w:lang w:val="fr-FR"/>
        </w:rPr>
        <w:t xml:space="preserve"> 2015-16 and 2022-23 are </w:t>
      </w:r>
      <w:proofErr w:type="spellStart"/>
      <w:r w:rsidR="00324B8A" w:rsidRPr="00324B8A">
        <w:rPr>
          <w:color w:val="808080" w:themeColor="background1" w:themeShade="80"/>
          <w:sz w:val="16"/>
          <w:szCs w:val="16"/>
          <w:lang w:val="fr-FR"/>
        </w:rPr>
        <w:t>particularly</w:t>
      </w:r>
      <w:proofErr w:type="spellEnd"/>
      <w:r w:rsidR="00324B8A" w:rsidRPr="00324B8A">
        <w:rPr>
          <w:color w:val="808080" w:themeColor="background1" w:themeShade="80"/>
          <w:sz w:val="16"/>
          <w:szCs w:val="16"/>
          <w:lang w:val="fr-FR"/>
        </w:rPr>
        <w:t xml:space="preserve"> </w:t>
      </w:r>
      <w:proofErr w:type="spellStart"/>
      <w:r w:rsidR="00324B8A" w:rsidRPr="00324B8A">
        <w:rPr>
          <w:color w:val="808080" w:themeColor="background1" w:themeShade="80"/>
          <w:sz w:val="16"/>
          <w:szCs w:val="16"/>
          <w:lang w:val="fr-FR"/>
        </w:rPr>
        <w:t>low</w:t>
      </w:r>
      <w:proofErr w:type="spellEnd"/>
      <w:r w:rsidR="00324B8A" w:rsidRPr="00324B8A">
        <w:rPr>
          <w:color w:val="808080" w:themeColor="background1" w:themeShade="80"/>
          <w:sz w:val="16"/>
          <w:szCs w:val="16"/>
          <w:lang w:val="fr-FR"/>
        </w:rPr>
        <w:t xml:space="preserve"> as commencements for </w:t>
      </w:r>
      <w:proofErr w:type="spellStart"/>
      <w:r w:rsidR="00324B8A" w:rsidRPr="00324B8A">
        <w:rPr>
          <w:color w:val="808080" w:themeColor="background1" w:themeShade="80"/>
          <w:sz w:val="16"/>
          <w:szCs w:val="16"/>
          <w:lang w:val="fr-FR"/>
        </w:rPr>
        <w:t>those</w:t>
      </w:r>
      <w:proofErr w:type="spellEnd"/>
      <w:r w:rsidR="00324B8A" w:rsidRPr="00324B8A">
        <w:rPr>
          <w:color w:val="808080" w:themeColor="background1" w:themeShade="80"/>
          <w:sz w:val="16"/>
          <w:szCs w:val="16"/>
          <w:lang w:val="fr-FR"/>
        </w:rPr>
        <w:t xml:space="preserve"> </w:t>
      </w:r>
      <w:r w:rsidR="00A97B93">
        <w:rPr>
          <w:color w:val="808080" w:themeColor="background1" w:themeShade="80"/>
          <w:sz w:val="16"/>
          <w:szCs w:val="16"/>
          <w:lang w:val="fr-FR"/>
        </w:rPr>
        <w:t>2</w:t>
      </w:r>
      <w:r w:rsidR="00CD11C1">
        <w:rPr>
          <w:color w:val="808080" w:themeColor="background1" w:themeShade="80"/>
          <w:sz w:val="16"/>
          <w:szCs w:val="16"/>
          <w:lang w:val="fr-FR"/>
        </w:rPr>
        <w:t> </w:t>
      </w:r>
      <w:proofErr w:type="spellStart"/>
      <w:r w:rsidR="00324B8A" w:rsidRPr="00324B8A">
        <w:rPr>
          <w:color w:val="808080" w:themeColor="background1" w:themeShade="80"/>
          <w:sz w:val="16"/>
          <w:szCs w:val="16"/>
          <w:lang w:val="fr-FR"/>
        </w:rPr>
        <w:t>financial</w:t>
      </w:r>
      <w:proofErr w:type="spellEnd"/>
      <w:r w:rsidR="00324B8A" w:rsidRPr="00324B8A">
        <w:rPr>
          <w:color w:val="808080" w:themeColor="background1" w:themeShade="80"/>
          <w:sz w:val="16"/>
          <w:szCs w:val="16"/>
          <w:lang w:val="fr-FR"/>
        </w:rPr>
        <w:t xml:space="preserve"> </w:t>
      </w:r>
      <w:proofErr w:type="spellStart"/>
      <w:r w:rsidR="00324B8A" w:rsidRPr="00324B8A">
        <w:rPr>
          <w:color w:val="808080" w:themeColor="background1" w:themeShade="80"/>
          <w:sz w:val="16"/>
          <w:szCs w:val="16"/>
          <w:lang w:val="fr-FR"/>
        </w:rPr>
        <w:t>years</w:t>
      </w:r>
      <w:proofErr w:type="spellEnd"/>
      <w:r w:rsidR="00324B8A" w:rsidRPr="00324B8A">
        <w:rPr>
          <w:color w:val="808080" w:themeColor="background1" w:themeShade="80"/>
          <w:sz w:val="16"/>
          <w:szCs w:val="16"/>
          <w:lang w:val="fr-FR"/>
        </w:rPr>
        <w:t xml:space="preserve"> </w:t>
      </w:r>
      <w:proofErr w:type="spellStart"/>
      <w:r w:rsidR="00324B8A" w:rsidRPr="00324B8A">
        <w:rPr>
          <w:color w:val="808080" w:themeColor="background1" w:themeShade="80"/>
          <w:sz w:val="16"/>
          <w:szCs w:val="16"/>
          <w:lang w:val="fr-FR"/>
        </w:rPr>
        <w:t>include</w:t>
      </w:r>
      <w:proofErr w:type="spellEnd"/>
      <w:r w:rsidR="00324B8A" w:rsidRPr="00324B8A">
        <w:rPr>
          <w:color w:val="808080" w:themeColor="background1" w:themeShade="80"/>
          <w:sz w:val="16"/>
          <w:szCs w:val="16"/>
          <w:lang w:val="fr-FR"/>
        </w:rPr>
        <w:t xml:space="preserve"> </w:t>
      </w:r>
      <w:proofErr w:type="spellStart"/>
      <w:r w:rsidR="00324B8A" w:rsidRPr="00324B8A">
        <w:rPr>
          <w:color w:val="808080" w:themeColor="background1" w:themeShade="80"/>
          <w:sz w:val="16"/>
          <w:szCs w:val="16"/>
          <w:lang w:val="fr-FR"/>
        </w:rPr>
        <w:t>significant</w:t>
      </w:r>
      <w:proofErr w:type="spellEnd"/>
      <w:r w:rsidR="00324B8A" w:rsidRPr="00324B8A">
        <w:rPr>
          <w:color w:val="808080" w:themeColor="background1" w:themeShade="80"/>
          <w:sz w:val="16"/>
          <w:szCs w:val="16"/>
          <w:lang w:val="fr-FR"/>
        </w:rPr>
        <w:t xml:space="preserve"> </w:t>
      </w:r>
      <w:proofErr w:type="spellStart"/>
      <w:r w:rsidR="00324B8A" w:rsidRPr="00324B8A">
        <w:rPr>
          <w:color w:val="808080" w:themeColor="background1" w:themeShade="80"/>
          <w:sz w:val="16"/>
          <w:szCs w:val="16"/>
          <w:lang w:val="fr-FR"/>
        </w:rPr>
        <w:t>caseloads</w:t>
      </w:r>
      <w:proofErr w:type="spellEnd"/>
      <w:r w:rsidR="00324B8A" w:rsidRPr="00324B8A">
        <w:rPr>
          <w:color w:val="808080" w:themeColor="background1" w:themeShade="80"/>
          <w:sz w:val="16"/>
          <w:szCs w:val="16"/>
          <w:lang w:val="fr-FR"/>
        </w:rPr>
        <w:t xml:space="preserve"> </w:t>
      </w:r>
      <w:proofErr w:type="spellStart"/>
      <w:r w:rsidR="00324B8A" w:rsidRPr="00324B8A">
        <w:rPr>
          <w:color w:val="808080" w:themeColor="background1" w:themeShade="80"/>
          <w:sz w:val="16"/>
          <w:szCs w:val="16"/>
          <w:lang w:val="fr-FR"/>
        </w:rPr>
        <w:t>transferred</w:t>
      </w:r>
      <w:proofErr w:type="spellEnd"/>
      <w:r w:rsidR="00324B8A" w:rsidRPr="00324B8A">
        <w:rPr>
          <w:color w:val="808080" w:themeColor="background1" w:themeShade="80"/>
          <w:sz w:val="16"/>
          <w:szCs w:val="16"/>
          <w:lang w:val="fr-FR"/>
        </w:rPr>
        <w:t xml:space="preserve"> </w:t>
      </w:r>
      <w:proofErr w:type="spellStart"/>
      <w:r w:rsidR="00324B8A" w:rsidRPr="00324B8A">
        <w:rPr>
          <w:color w:val="808080" w:themeColor="background1" w:themeShade="80"/>
          <w:sz w:val="16"/>
          <w:szCs w:val="16"/>
          <w:lang w:val="fr-FR"/>
        </w:rPr>
        <w:t>from</w:t>
      </w:r>
      <w:proofErr w:type="spellEnd"/>
      <w:r w:rsidR="00324B8A" w:rsidRPr="00324B8A">
        <w:rPr>
          <w:color w:val="808080" w:themeColor="background1" w:themeShade="80"/>
          <w:sz w:val="16"/>
          <w:szCs w:val="16"/>
          <w:lang w:val="fr-FR"/>
        </w:rPr>
        <w:t xml:space="preserve"> </w:t>
      </w:r>
      <w:proofErr w:type="spellStart"/>
      <w:r w:rsidR="00324B8A" w:rsidRPr="00324B8A">
        <w:rPr>
          <w:color w:val="808080" w:themeColor="background1" w:themeShade="80"/>
          <w:sz w:val="16"/>
          <w:szCs w:val="16"/>
          <w:lang w:val="fr-FR"/>
        </w:rPr>
        <w:t>previous</w:t>
      </w:r>
      <w:proofErr w:type="spellEnd"/>
      <w:r w:rsidR="00324B8A" w:rsidRPr="00324B8A">
        <w:rPr>
          <w:color w:val="808080" w:themeColor="background1" w:themeShade="80"/>
          <w:sz w:val="16"/>
          <w:szCs w:val="16"/>
          <w:lang w:val="fr-FR"/>
        </w:rPr>
        <w:t xml:space="preserve"> programs.</w:t>
      </w:r>
    </w:p>
    <w:p w14:paraId="32F528AA" w14:textId="69180D08" w:rsidR="007406A2" w:rsidRDefault="007406A2" w:rsidP="00AB1462">
      <w:pPr>
        <w:pStyle w:val="Caption"/>
        <w:jc w:val="center"/>
        <w:rPr>
          <w:lang w:val="fr-FR"/>
        </w:rPr>
      </w:pPr>
      <w:r>
        <w:rPr>
          <w:lang w:val="fr-FR"/>
        </w:rPr>
        <w:t>Figure</w:t>
      </w:r>
      <w:r w:rsidRPr="00BD216D">
        <w:rPr>
          <w:lang w:val="fr-FR"/>
        </w:rPr>
        <w:t xml:space="preserve"> </w:t>
      </w:r>
      <w:proofErr w:type="gramStart"/>
      <w:r>
        <w:rPr>
          <w:lang w:val="fr-FR"/>
        </w:rPr>
        <w:t>3</w:t>
      </w:r>
      <w:r w:rsidRPr="00BD216D">
        <w:rPr>
          <w:lang w:val="fr-FR"/>
        </w:rPr>
        <w:t>:</w:t>
      </w:r>
      <w:proofErr w:type="gramEnd"/>
      <w:r w:rsidRPr="00BD216D">
        <w:rPr>
          <w:lang w:val="fr-FR"/>
        </w:rPr>
        <w:t xml:space="preserve"> </w:t>
      </w:r>
      <w:r>
        <w:t>Total expenditure on selected employment programs</w:t>
      </w:r>
    </w:p>
    <w:p w14:paraId="5707D24C" w14:textId="69EDEB22" w:rsidR="00A32335" w:rsidRDefault="002226F1" w:rsidP="003A60AA">
      <w:pPr>
        <w:jc w:val="center"/>
        <w:rPr>
          <w:lang w:val="fr-FR"/>
        </w:rPr>
      </w:pPr>
      <w:r w:rsidRPr="002226F1">
        <w:rPr>
          <w:noProof/>
        </w:rPr>
        <w:drawing>
          <wp:inline distT="0" distB="0" distL="0" distR="0" wp14:anchorId="6A1417AF" wp14:editId="1FDD966D">
            <wp:extent cx="5041900" cy="2376488"/>
            <wp:effectExtent l="0" t="0" r="6350" b="5080"/>
            <wp:docPr id="34" name="Chart 34">
              <a:extLst xmlns:a="http://schemas.openxmlformats.org/drawingml/2006/main">
                <a:ext uri="{FF2B5EF4-FFF2-40B4-BE49-F238E27FC236}">
                  <a16:creationId xmlns:a16="http://schemas.microsoft.com/office/drawing/2014/main" id="{3908FC4A-5C80-478E-BF50-7AA1A5622F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BE96CD4" w14:textId="6317A7A5" w:rsidR="007746F0" w:rsidRPr="00AD1DED" w:rsidRDefault="007746F0" w:rsidP="00EC2B34">
      <w:pPr>
        <w:spacing w:before="0" w:line="240" w:lineRule="auto"/>
        <w:ind w:left="720" w:hanging="11"/>
        <w:rPr>
          <w:color w:val="808080" w:themeColor="background1" w:themeShade="80"/>
          <w:lang w:val="fr-FR"/>
        </w:rPr>
      </w:pPr>
      <w:proofErr w:type="gramStart"/>
      <w:r w:rsidRPr="00AD1DED">
        <w:rPr>
          <w:color w:val="808080" w:themeColor="background1" w:themeShade="80"/>
          <w:sz w:val="16"/>
          <w:szCs w:val="16"/>
          <w:lang w:val="fr-FR"/>
        </w:rPr>
        <w:t>Source:</w:t>
      </w:r>
      <w:proofErr w:type="gramEnd"/>
      <w:r w:rsidRPr="00AD1DED">
        <w:rPr>
          <w:color w:val="808080" w:themeColor="background1" w:themeShade="80"/>
          <w:sz w:val="16"/>
          <w:szCs w:val="16"/>
          <w:lang w:val="fr-FR"/>
        </w:rPr>
        <w:t xml:space="preserve"> </w:t>
      </w:r>
      <w:r w:rsidR="002E41F7" w:rsidRPr="00AD1DED">
        <w:rPr>
          <w:color w:val="808080" w:themeColor="background1" w:themeShade="80"/>
          <w:sz w:val="16"/>
          <w:szCs w:val="16"/>
          <w:lang w:val="fr-FR"/>
        </w:rPr>
        <w:t>Table C2 ;</w:t>
      </w:r>
      <w:r w:rsidRPr="00AD1DED">
        <w:rPr>
          <w:color w:val="808080" w:themeColor="background1" w:themeShade="80"/>
          <w:sz w:val="16"/>
          <w:szCs w:val="16"/>
          <w:lang w:val="fr-FR"/>
        </w:rPr>
        <w:t xml:space="preserve"> </w:t>
      </w:r>
      <w:r w:rsidR="004E377F">
        <w:rPr>
          <w:color w:val="808080" w:themeColor="background1" w:themeShade="80"/>
          <w:sz w:val="16"/>
          <w:szCs w:val="16"/>
          <w:lang w:val="fr-FR"/>
        </w:rPr>
        <w:t xml:space="preserve">data </w:t>
      </w:r>
      <w:proofErr w:type="spellStart"/>
      <w:r w:rsidR="004E377F">
        <w:rPr>
          <w:color w:val="808080" w:themeColor="background1" w:themeShade="80"/>
          <w:sz w:val="16"/>
          <w:szCs w:val="16"/>
          <w:lang w:val="fr-FR"/>
        </w:rPr>
        <w:t>from</w:t>
      </w:r>
      <w:proofErr w:type="spellEnd"/>
      <w:r w:rsidRPr="00AD1DED">
        <w:rPr>
          <w:color w:val="808080" w:themeColor="background1" w:themeShade="80"/>
          <w:sz w:val="16"/>
          <w:szCs w:val="16"/>
          <w:lang w:val="fr-FR"/>
        </w:rPr>
        <w:t xml:space="preserve"> the </w:t>
      </w:r>
      <w:proofErr w:type="spellStart"/>
      <w:r w:rsidRPr="00AD1DED">
        <w:rPr>
          <w:color w:val="808080" w:themeColor="background1" w:themeShade="80"/>
          <w:sz w:val="16"/>
          <w:szCs w:val="16"/>
          <w:lang w:val="fr-FR"/>
        </w:rPr>
        <w:t>Department</w:t>
      </w:r>
      <w:proofErr w:type="spellEnd"/>
      <w:r w:rsidRPr="00AD1DED">
        <w:rPr>
          <w:color w:val="808080" w:themeColor="background1" w:themeShade="80"/>
          <w:sz w:val="16"/>
          <w:szCs w:val="16"/>
          <w:lang w:val="fr-FR"/>
        </w:rPr>
        <w:t xml:space="preserve"> of </w:t>
      </w:r>
      <w:proofErr w:type="spellStart"/>
      <w:r w:rsidRPr="00AD1DED">
        <w:rPr>
          <w:color w:val="808080" w:themeColor="background1" w:themeShade="80"/>
          <w:sz w:val="16"/>
          <w:szCs w:val="16"/>
          <w:lang w:val="fr-FR"/>
        </w:rPr>
        <w:t>Employment</w:t>
      </w:r>
      <w:proofErr w:type="spellEnd"/>
      <w:r w:rsidRPr="00AD1DED">
        <w:rPr>
          <w:color w:val="808080" w:themeColor="background1" w:themeShade="80"/>
          <w:sz w:val="16"/>
          <w:szCs w:val="16"/>
          <w:lang w:val="fr-FR"/>
        </w:rPr>
        <w:t xml:space="preserve"> and Workplace Relations</w:t>
      </w:r>
      <w:r w:rsidR="006519D0" w:rsidRPr="00AD1DED">
        <w:rPr>
          <w:color w:val="808080" w:themeColor="background1" w:themeShade="80"/>
          <w:sz w:val="16"/>
          <w:szCs w:val="16"/>
          <w:lang w:val="fr-FR"/>
        </w:rPr>
        <w:t>.</w:t>
      </w:r>
    </w:p>
    <w:p w14:paraId="4E6C8CC3" w14:textId="17E540A9" w:rsidR="00382735" w:rsidRDefault="00370AB5" w:rsidP="00370AB5">
      <w:pPr>
        <w:pStyle w:val="Heading4"/>
      </w:pPr>
      <w:r>
        <w:t>Sequenc</w:t>
      </w:r>
      <w:r w:rsidR="00A65FC2">
        <w:t>ing</w:t>
      </w:r>
      <w:r>
        <w:t xml:space="preserve"> of policy </w:t>
      </w:r>
      <w:r w:rsidR="000558C2">
        <w:t>reforms</w:t>
      </w:r>
      <w:r>
        <w:t xml:space="preserve"> and funding re-allocation</w:t>
      </w:r>
    </w:p>
    <w:p w14:paraId="4160ACC0" w14:textId="6A4DCF57" w:rsidR="00594031" w:rsidRDefault="00852AD5" w:rsidP="001A2DEF">
      <w:pPr>
        <w:rPr>
          <w:rFonts w:eastAsia="Times New Roman"/>
          <w:color w:val="000000"/>
        </w:rPr>
      </w:pPr>
      <w:r>
        <w:rPr>
          <w:rFonts w:eastAsia="Times New Roman"/>
          <w:color w:val="000000"/>
        </w:rPr>
        <w:t xml:space="preserve">Under </w:t>
      </w:r>
      <w:proofErr w:type="spellStart"/>
      <w:r w:rsidRPr="00360AE1">
        <w:rPr>
          <w:rFonts w:eastAsia="Times New Roman"/>
          <w:i/>
          <w:color w:val="000000"/>
        </w:rPr>
        <w:t>jobactive</w:t>
      </w:r>
      <w:proofErr w:type="spellEnd"/>
      <w:r>
        <w:rPr>
          <w:rFonts w:eastAsia="Times New Roman"/>
          <w:color w:val="000000"/>
        </w:rPr>
        <w:t xml:space="preserve">, the </w:t>
      </w:r>
      <w:r w:rsidR="001A2DEF" w:rsidRPr="00D5794C">
        <w:rPr>
          <w:rFonts w:eastAsia="Times New Roman"/>
          <w:color w:val="000000"/>
        </w:rPr>
        <w:t>OES was started as a trial</w:t>
      </w:r>
      <w:r w:rsidR="001A2DEF">
        <w:rPr>
          <w:rFonts w:eastAsia="Times New Roman"/>
          <w:color w:val="000000"/>
        </w:rPr>
        <w:t xml:space="preserve"> in July 2018 </w:t>
      </w:r>
      <w:r w:rsidR="00930BE4">
        <w:rPr>
          <w:rFonts w:eastAsia="Times New Roman"/>
          <w:color w:val="000000"/>
        </w:rPr>
        <w:t>with 10,000 participants</w:t>
      </w:r>
      <w:r w:rsidR="001A2DEF">
        <w:rPr>
          <w:rFonts w:eastAsia="Times New Roman"/>
          <w:color w:val="000000"/>
        </w:rPr>
        <w:t xml:space="preserve">. The trial was </w:t>
      </w:r>
      <w:r w:rsidR="001A2DEF" w:rsidRPr="00D5794C">
        <w:rPr>
          <w:rFonts w:eastAsia="Times New Roman"/>
          <w:color w:val="000000"/>
        </w:rPr>
        <w:t>expande</w:t>
      </w:r>
      <w:r w:rsidR="006D50E6">
        <w:rPr>
          <w:rFonts w:eastAsia="Times New Roman"/>
          <w:color w:val="000000"/>
        </w:rPr>
        <w:t>d</w:t>
      </w:r>
      <w:r w:rsidR="001A2DEF" w:rsidRPr="00D5794C">
        <w:rPr>
          <w:rFonts w:eastAsia="Times New Roman"/>
          <w:color w:val="000000"/>
        </w:rPr>
        <w:t xml:space="preserve"> </w:t>
      </w:r>
      <w:r w:rsidR="001A2DEF">
        <w:rPr>
          <w:rFonts w:eastAsia="Times New Roman"/>
          <w:color w:val="000000"/>
        </w:rPr>
        <w:t>in July 2019</w:t>
      </w:r>
      <w:r w:rsidR="00491157">
        <w:rPr>
          <w:rFonts w:eastAsia="Times New Roman"/>
          <w:color w:val="000000"/>
        </w:rPr>
        <w:t xml:space="preserve"> to </w:t>
      </w:r>
      <w:r w:rsidR="002D5DB2">
        <w:rPr>
          <w:rFonts w:eastAsia="Times New Roman"/>
          <w:color w:val="000000"/>
        </w:rPr>
        <w:t>95,000 job seekers</w:t>
      </w:r>
      <w:r w:rsidR="006D50E6">
        <w:rPr>
          <w:rFonts w:eastAsia="Times New Roman"/>
          <w:color w:val="000000"/>
        </w:rPr>
        <w:t xml:space="preserve">. </w:t>
      </w:r>
      <w:r w:rsidR="00B16D0A">
        <w:rPr>
          <w:rFonts w:eastAsia="Times New Roman"/>
          <w:color w:val="000000"/>
        </w:rPr>
        <w:t>T</w:t>
      </w:r>
      <w:r w:rsidR="006771B9">
        <w:rPr>
          <w:rFonts w:eastAsia="Times New Roman"/>
          <w:color w:val="000000"/>
        </w:rPr>
        <w:t xml:space="preserve">he </w:t>
      </w:r>
      <w:r w:rsidR="006D50E6" w:rsidRPr="00810A3D">
        <w:rPr>
          <w:rFonts w:eastAsia="Times New Roman"/>
          <w:color w:val="000000"/>
        </w:rPr>
        <w:t xml:space="preserve">COVID-19 lockdowns started in March 2020 </w:t>
      </w:r>
      <w:r w:rsidR="00F41EBA">
        <w:rPr>
          <w:rFonts w:eastAsia="Times New Roman"/>
          <w:color w:val="000000"/>
        </w:rPr>
        <w:t xml:space="preserve">and </w:t>
      </w:r>
      <w:r w:rsidR="006D50E6" w:rsidRPr="00810A3D">
        <w:rPr>
          <w:rFonts w:eastAsia="Times New Roman"/>
          <w:color w:val="000000"/>
        </w:rPr>
        <w:t xml:space="preserve">caused an unprecedented influx of </w:t>
      </w:r>
      <w:r w:rsidR="005003ED">
        <w:rPr>
          <w:rFonts w:eastAsia="Times New Roman"/>
          <w:color w:val="000000"/>
        </w:rPr>
        <w:t xml:space="preserve">out of work </w:t>
      </w:r>
      <w:r w:rsidR="006D50E6" w:rsidRPr="00810A3D">
        <w:rPr>
          <w:rFonts w:eastAsia="Times New Roman"/>
          <w:color w:val="000000"/>
        </w:rPr>
        <w:t>Australians</w:t>
      </w:r>
      <w:r w:rsidR="00207F79">
        <w:rPr>
          <w:rFonts w:eastAsia="Times New Roman"/>
          <w:color w:val="000000"/>
        </w:rPr>
        <w:t>. T</w:t>
      </w:r>
      <w:r w:rsidR="006D50E6">
        <w:rPr>
          <w:rFonts w:eastAsia="Times New Roman"/>
          <w:color w:val="000000"/>
        </w:rPr>
        <w:t>he trial’s</w:t>
      </w:r>
      <w:r w:rsidR="001A2DEF" w:rsidRPr="00D5794C">
        <w:rPr>
          <w:rFonts w:eastAsia="Times New Roman"/>
          <w:color w:val="000000"/>
        </w:rPr>
        <w:t xml:space="preserve"> remit </w:t>
      </w:r>
      <w:r w:rsidR="00A36F82">
        <w:rPr>
          <w:rFonts w:eastAsia="Times New Roman"/>
          <w:color w:val="000000"/>
        </w:rPr>
        <w:t>was amended and expanded to</w:t>
      </w:r>
      <w:r w:rsidR="00720747">
        <w:rPr>
          <w:rFonts w:eastAsia="Times New Roman"/>
          <w:color w:val="000000"/>
        </w:rPr>
        <w:t xml:space="preserve"> manage this </w:t>
      </w:r>
      <w:r w:rsidR="00D522EC">
        <w:rPr>
          <w:rFonts w:eastAsia="Times New Roman"/>
          <w:color w:val="000000"/>
        </w:rPr>
        <w:t xml:space="preserve">change in the </w:t>
      </w:r>
      <w:r w:rsidR="001A2DEF" w:rsidRPr="00D5794C">
        <w:rPr>
          <w:rFonts w:eastAsia="Times New Roman"/>
          <w:color w:val="000000"/>
        </w:rPr>
        <w:t xml:space="preserve">employment services landscape. </w:t>
      </w:r>
    </w:p>
    <w:p w14:paraId="44913FEA" w14:textId="68572C8F" w:rsidR="004F4DBA" w:rsidRDefault="00A97520" w:rsidP="001A2DEF">
      <w:pPr>
        <w:rPr>
          <w:rFonts w:eastAsia="Times New Roman"/>
          <w:color w:val="000000"/>
        </w:rPr>
      </w:pPr>
      <w:r>
        <w:rPr>
          <w:rFonts w:eastAsia="Times New Roman"/>
          <w:color w:val="000000"/>
        </w:rPr>
        <w:t xml:space="preserve">The </w:t>
      </w:r>
      <w:r>
        <w:rPr>
          <w:rFonts w:eastAsia="Times New Roman"/>
          <w:i/>
          <w:iCs/>
          <w:color w:val="000000"/>
        </w:rPr>
        <w:t>2020</w:t>
      </w:r>
      <w:r w:rsidR="00F23C65">
        <w:rPr>
          <w:rFonts w:eastAsia="Times New Roman"/>
          <w:i/>
          <w:iCs/>
          <w:color w:val="000000"/>
        </w:rPr>
        <w:noBreakHyphen/>
      </w:r>
      <w:r>
        <w:rPr>
          <w:rFonts w:eastAsia="Times New Roman"/>
          <w:i/>
          <w:iCs/>
          <w:color w:val="000000"/>
        </w:rPr>
        <w:t>21</w:t>
      </w:r>
      <w:r w:rsidR="00F23C65">
        <w:rPr>
          <w:rFonts w:eastAsia="Times New Roman"/>
          <w:i/>
          <w:iCs/>
          <w:color w:val="000000"/>
        </w:rPr>
        <w:t> </w:t>
      </w:r>
      <w:r>
        <w:rPr>
          <w:rFonts w:eastAsia="Times New Roman"/>
          <w:i/>
          <w:iCs/>
          <w:color w:val="000000"/>
        </w:rPr>
        <w:t>Budget</w:t>
      </w:r>
      <w:r>
        <w:rPr>
          <w:rFonts w:eastAsia="Times New Roman"/>
          <w:color w:val="000000"/>
        </w:rPr>
        <w:t xml:space="preserve"> </w:t>
      </w:r>
      <w:r w:rsidR="00AE608B">
        <w:rPr>
          <w:rFonts w:eastAsia="Times New Roman"/>
          <w:color w:val="000000"/>
        </w:rPr>
        <w:t>expanded the delivery of online services to all job</w:t>
      </w:r>
      <w:r w:rsidR="00207F79">
        <w:rPr>
          <w:rFonts w:eastAsia="Times New Roman"/>
          <w:color w:val="000000"/>
        </w:rPr>
        <w:t>-</w:t>
      </w:r>
      <w:r w:rsidR="00AE608B">
        <w:rPr>
          <w:rFonts w:eastAsia="Times New Roman"/>
          <w:color w:val="000000"/>
        </w:rPr>
        <w:t>ready job seekers</w:t>
      </w:r>
      <w:r w:rsidR="00A47620">
        <w:rPr>
          <w:rFonts w:eastAsia="Times New Roman"/>
          <w:color w:val="000000"/>
        </w:rPr>
        <w:t>.</w:t>
      </w:r>
      <w:r w:rsidR="00CF3817">
        <w:rPr>
          <w:rFonts w:eastAsia="Times New Roman"/>
          <w:color w:val="000000"/>
        </w:rPr>
        <w:t xml:space="preserve"> DEWR advised that this resulted in a saving of around $1.1 billion</w:t>
      </w:r>
      <w:r w:rsidR="006A52D6">
        <w:rPr>
          <w:rFonts w:eastAsia="Times New Roman"/>
          <w:color w:val="000000"/>
        </w:rPr>
        <w:t>. Table C</w:t>
      </w:r>
      <w:r w:rsidR="008B51AB">
        <w:rPr>
          <w:rFonts w:eastAsia="Times New Roman"/>
          <w:color w:val="000000"/>
        </w:rPr>
        <w:t>4</w:t>
      </w:r>
      <w:r w:rsidR="003429DD">
        <w:rPr>
          <w:rFonts w:eastAsia="Times New Roman"/>
          <w:color w:val="000000"/>
        </w:rPr>
        <w:t xml:space="preserve"> </w:t>
      </w:r>
      <w:r w:rsidR="00FD5358">
        <w:rPr>
          <w:rFonts w:eastAsia="Times New Roman"/>
          <w:color w:val="000000"/>
        </w:rPr>
        <w:t xml:space="preserve">shows how these funds have been </w:t>
      </w:r>
      <w:r w:rsidR="002821E3">
        <w:rPr>
          <w:rFonts w:eastAsia="Times New Roman"/>
          <w:color w:val="000000"/>
        </w:rPr>
        <w:t>re-</w:t>
      </w:r>
      <w:r w:rsidR="00FD5358">
        <w:rPr>
          <w:rFonts w:eastAsia="Times New Roman"/>
          <w:color w:val="000000"/>
        </w:rPr>
        <w:t>directed</w:t>
      </w:r>
      <w:r w:rsidR="00840A95">
        <w:rPr>
          <w:rFonts w:eastAsia="Times New Roman"/>
          <w:color w:val="000000"/>
        </w:rPr>
        <w:t xml:space="preserve">. </w:t>
      </w:r>
    </w:p>
    <w:p w14:paraId="554BDAAD" w14:textId="12A24A86" w:rsidR="00DE6DE8" w:rsidRDefault="00FF6A6C" w:rsidP="004F4DBA">
      <w:pPr>
        <w:pStyle w:val="Bullet1"/>
      </w:pPr>
      <w:r>
        <w:t>$810</w:t>
      </w:r>
      <w:r w:rsidR="00193508">
        <w:t>.2</w:t>
      </w:r>
      <w:r>
        <w:t xml:space="preserve"> million </w:t>
      </w:r>
      <w:r w:rsidR="00066B49">
        <w:t>(74%)</w:t>
      </w:r>
      <w:r w:rsidR="00951D88">
        <w:t xml:space="preserve"> of the sav</w:t>
      </w:r>
      <w:r w:rsidR="00131C47">
        <w:t xml:space="preserve">ings </w:t>
      </w:r>
      <w:r>
        <w:t>were redirected to employment</w:t>
      </w:r>
      <w:r w:rsidR="006E21C9">
        <w:t>-</w:t>
      </w:r>
      <w:r w:rsidR="00226BE0">
        <w:t>related</w:t>
      </w:r>
      <w:r>
        <w:t xml:space="preserve"> measures.</w:t>
      </w:r>
      <w:r w:rsidR="008419D4">
        <w:t xml:space="preserve"> </w:t>
      </w:r>
    </w:p>
    <w:p w14:paraId="526548A2" w14:textId="7BE79021" w:rsidR="000169FB" w:rsidRDefault="00430667" w:rsidP="001A2DEF">
      <w:r w:rsidRPr="002E7C83">
        <w:rPr>
          <w:rFonts w:eastAsia="Times New Roman"/>
          <w:color w:val="000000"/>
        </w:rPr>
        <w:lastRenderedPageBreak/>
        <w:t>T</w:t>
      </w:r>
      <w:r w:rsidR="00A33F1D" w:rsidRPr="002E7C83">
        <w:rPr>
          <w:rFonts w:eastAsia="Times New Roman"/>
          <w:color w:val="000000"/>
        </w:rPr>
        <w:t xml:space="preserve">he </w:t>
      </w:r>
      <w:r w:rsidR="00A33F1D" w:rsidRPr="002E7C83">
        <w:rPr>
          <w:rFonts w:eastAsia="Times New Roman"/>
          <w:i/>
          <w:color w:val="000000"/>
        </w:rPr>
        <w:t>2021</w:t>
      </w:r>
      <w:r w:rsidR="00227333">
        <w:rPr>
          <w:rFonts w:eastAsia="Times New Roman"/>
          <w:i/>
          <w:iCs/>
          <w:color w:val="000000"/>
        </w:rPr>
        <w:noBreakHyphen/>
      </w:r>
      <w:r w:rsidR="00A33F1D" w:rsidRPr="002E7C83">
        <w:rPr>
          <w:rFonts w:eastAsia="Times New Roman"/>
          <w:i/>
          <w:color w:val="000000"/>
        </w:rPr>
        <w:t>22</w:t>
      </w:r>
      <w:r w:rsidR="00227333">
        <w:rPr>
          <w:rFonts w:eastAsia="Times New Roman"/>
          <w:i/>
          <w:iCs/>
          <w:color w:val="000000"/>
        </w:rPr>
        <w:t> </w:t>
      </w:r>
      <w:r w:rsidR="00A33F1D" w:rsidRPr="002E7C83">
        <w:rPr>
          <w:rFonts w:eastAsia="Times New Roman"/>
          <w:i/>
          <w:color w:val="000000"/>
        </w:rPr>
        <w:t>Budget</w:t>
      </w:r>
      <w:r w:rsidRPr="002E7C83">
        <w:rPr>
          <w:rFonts w:eastAsia="Times New Roman"/>
          <w:color w:val="000000"/>
        </w:rPr>
        <w:t xml:space="preserve"> </w:t>
      </w:r>
      <w:r w:rsidR="00227333">
        <w:rPr>
          <w:rFonts w:eastAsia="Times New Roman"/>
          <w:color w:val="000000"/>
        </w:rPr>
        <w:t xml:space="preserve">officially </w:t>
      </w:r>
      <w:r w:rsidR="00A1502D" w:rsidRPr="002E7C83">
        <w:rPr>
          <w:rFonts w:eastAsia="Times New Roman"/>
          <w:color w:val="000000"/>
        </w:rPr>
        <w:t xml:space="preserve">announced the start of </w:t>
      </w:r>
      <w:r w:rsidR="00227333">
        <w:rPr>
          <w:rFonts w:eastAsia="Times New Roman"/>
          <w:color w:val="000000"/>
        </w:rPr>
        <w:t xml:space="preserve">the </w:t>
      </w:r>
      <w:r w:rsidR="00E200CF">
        <w:rPr>
          <w:rFonts w:eastAsia="Times New Roman"/>
          <w:color w:val="000000"/>
        </w:rPr>
        <w:t>2</w:t>
      </w:r>
      <w:r w:rsidR="00227333">
        <w:rPr>
          <w:rFonts w:eastAsia="Times New Roman"/>
          <w:color w:val="000000"/>
        </w:rPr>
        <w:t xml:space="preserve"> st</w:t>
      </w:r>
      <w:r w:rsidR="00E200CF">
        <w:rPr>
          <w:rFonts w:eastAsia="Times New Roman"/>
          <w:color w:val="000000"/>
        </w:rPr>
        <w:t>r</w:t>
      </w:r>
      <w:r w:rsidR="00227333">
        <w:rPr>
          <w:rFonts w:eastAsia="Times New Roman"/>
          <w:color w:val="000000"/>
        </w:rPr>
        <w:t xml:space="preserve">eams </w:t>
      </w:r>
      <w:r w:rsidR="00690C97">
        <w:rPr>
          <w:rFonts w:eastAsia="Times New Roman"/>
          <w:color w:val="000000"/>
        </w:rPr>
        <w:t xml:space="preserve">– </w:t>
      </w:r>
      <w:r w:rsidR="00B65485">
        <w:rPr>
          <w:rFonts w:eastAsia="Times New Roman"/>
          <w:color w:val="000000"/>
        </w:rPr>
        <w:t>online and provider services</w:t>
      </w:r>
      <w:r w:rsidR="00690C97">
        <w:rPr>
          <w:rFonts w:eastAsia="Times New Roman"/>
          <w:color w:val="000000"/>
        </w:rPr>
        <w:t xml:space="preserve"> –</w:t>
      </w:r>
      <w:r w:rsidR="00B65485">
        <w:rPr>
          <w:rFonts w:eastAsia="Times New Roman"/>
          <w:color w:val="000000"/>
        </w:rPr>
        <w:t xml:space="preserve"> </w:t>
      </w:r>
      <w:r w:rsidR="00227333">
        <w:rPr>
          <w:rFonts w:eastAsia="Times New Roman"/>
          <w:color w:val="000000"/>
        </w:rPr>
        <w:t xml:space="preserve">under </w:t>
      </w:r>
      <w:r w:rsidR="00A1502D" w:rsidRPr="00500214">
        <w:rPr>
          <w:rFonts w:eastAsia="Times New Roman"/>
          <w:i/>
          <w:color w:val="000000"/>
        </w:rPr>
        <w:t>Workforce Australia</w:t>
      </w:r>
      <w:r w:rsidR="002E7C83" w:rsidRPr="002E7C83">
        <w:rPr>
          <w:rFonts w:eastAsia="Times New Roman"/>
          <w:color w:val="000000"/>
        </w:rPr>
        <w:t xml:space="preserve">, replacing </w:t>
      </w:r>
      <w:proofErr w:type="spellStart"/>
      <w:r w:rsidR="002E7C83" w:rsidRPr="00500214">
        <w:rPr>
          <w:rFonts w:eastAsia="Times New Roman"/>
          <w:i/>
          <w:color w:val="000000"/>
        </w:rPr>
        <w:t>jobactive</w:t>
      </w:r>
      <w:proofErr w:type="spellEnd"/>
      <w:r w:rsidR="006F644C">
        <w:rPr>
          <w:rFonts w:eastAsia="Times New Roman"/>
          <w:color w:val="000000"/>
        </w:rPr>
        <w:t>.</w:t>
      </w:r>
      <w:r w:rsidR="009626F4">
        <w:rPr>
          <w:rFonts w:eastAsia="Times New Roman"/>
          <w:color w:val="000000"/>
        </w:rPr>
        <w:t xml:space="preserve"> </w:t>
      </w:r>
      <w:r w:rsidR="00077481">
        <w:rPr>
          <w:rFonts w:eastAsia="Times New Roman"/>
          <w:color w:val="000000"/>
        </w:rPr>
        <w:t>According to the budget papers, i</w:t>
      </w:r>
      <w:r w:rsidR="00B54D4D">
        <w:rPr>
          <w:rFonts w:eastAsia="Times New Roman"/>
          <w:color w:val="000000"/>
        </w:rPr>
        <w:t>mplementing the</w:t>
      </w:r>
      <w:r w:rsidR="00B54D4D">
        <w:t xml:space="preserve"> </w:t>
      </w:r>
      <w:r w:rsidR="00563B54">
        <w:rPr>
          <w:i/>
          <w:iCs/>
        </w:rPr>
        <w:t>New Employment Services Model</w:t>
      </w:r>
      <w:r w:rsidR="00563B54">
        <w:rPr>
          <w:rStyle w:val="FootnoteReference"/>
          <w:i/>
          <w:iCs/>
        </w:rPr>
        <w:footnoteReference w:id="2"/>
      </w:r>
      <w:r w:rsidR="00A4107F">
        <w:t xml:space="preserve"> deliver</w:t>
      </w:r>
      <w:r w:rsidR="00830592">
        <w:t>ed</w:t>
      </w:r>
      <w:r w:rsidR="00A4107F">
        <w:t xml:space="preserve"> efficiencies of</w:t>
      </w:r>
      <w:r w:rsidR="00000EE5" w:rsidRPr="00000EE5">
        <w:t xml:space="preserve"> </w:t>
      </w:r>
      <w:r w:rsidR="00361440">
        <w:t>$</w:t>
      </w:r>
      <w:r w:rsidR="0053326D" w:rsidRPr="0053326D">
        <w:t>658.2 million</w:t>
      </w:r>
      <w:r w:rsidR="0053326D" w:rsidRPr="0053326D" w:rsidDel="0053326D">
        <w:t xml:space="preserve"> </w:t>
      </w:r>
      <w:r w:rsidR="00361440">
        <w:t>over 4 years from 2021-22</w:t>
      </w:r>
      <w:r w:rsidR="00A4107F">
        <w:t>.</w:t>
      </w:r>
      <w:r w:rsidR="005D32DE">
        <w:t xml:space="preserve"> </w:t>
      </w:r>
    </w:p>
    <w:p w14:paraId="65A1B35A" w14:textId="61CD70E5" w:rsidR="00982525" w:rsidRPr="001D1EFD" w:rsidRDefault="000169FB" w:rsidP="000169FB">
      <w:pPr>
        <w:pStyle w:val="Bullet1"/>
        <w:rPr>
          <w:rFonts w:eastAsia="Times New Roman"/>
          <w:color w:val="000000"/>
        </w:rPr>
      </w:pPr>
      <w:r>
        <w:t>$699.4 million</w:t>
      </w:r>
      <w:r w:rsidR="004066E5">
        <w:t xml:space="preserve"> </w:t>
      </w:r>
      <w:r w:rsidR="002729B7">
        <w:t>were</w:t>
      </w:r>
      <w:r w:rsidR="004066E5">
        <w:t xml:space="preserve"> reinvested to expand and strengthen a range of specialist</w:t>
      </w:r>
      <w:r w:rsidR="00436111">
        <w:t xml:space="preserve"> </w:t>
      </w:r>
      <w:r w:rsidR="00EA0311">
        <w:t>employment services</w:t>
      </w:r>
      <w:r w:rsidR="00F35F44">
        <w:t xml:space="preserve"> </w:t>
      </w:r>
      <w:r w:rsidR="00593B99">
        <w:t>(see</w:t>
      </w:r>
      <w:r w:rsidR="00311440">
        <w:t xml:space="preserve"> Table C</w:t>
      </w:r>
      <w:r w:rsidR="008B51AB">
        <w:t>5</w:t>
      </w:r>
      <w:r w:rsidR="00593B99">
        <w:t>)</w:t>
      </w:r>
      <w:r w:rsidR="00E71C9D" w:rsidRPr="00E71C9D">
        <w:t>, exceeding the efficiencies achieved by the transition to introducing digital servicing for the most job ready</w:t>
      </w:r>
      <w:r w:rsidR="00E71C9D">
        <w:t>.</w:t>
      </w:r>
    </w:p>
    <w:p w14:paraId="54D70DD2" w14:textId="2170F8A1" w:rsidR="00D076BE" w:rsidRPr="00D076BE" w:rsidRDefault="00D076BE" w:rsidP="00D076BE">
      <w:pPr>
        <w:pStyle w:val="Bullet1"/>
      </w:pPr>
      <w:r w:rsidRPr="00D076BE">
        <w:t xml:space="preserve">The </w:t>
      </w:r>
      <w:r w:rsidR="001F62A8" w:rsidRPr="002E7C83">
        <w:rPr>
          <w:i/>
        </w:rPr>
        <w:t>2021</w:t>
      </w:r>
      <w:r w:rsidR="001F62A8">
        <w:rPr>
          <w:i/>
        </w:rPr>
        <w:noBreakHyphen/>
      </w:r>
      <w:r w:rsidR="001F62A8" w:rsidRPr="002E7C83">
        <w:rPr>
          <w:i/>
        </w:rPr>
        <w:t>22</w:t>
      </w:r>
      <w:r w:rsidR="001F62A8">
        <w:rPr>
          <w:i/>
        </w:rPr>
        <w:t> </w:t>
      </w:r>
      <w:r w:rsidR="00057A47" w:rsidRPr="002E7C83">
        <w:rPr>
          <w:i/>
        </w:rPr>
        <w:t>Budget</w:t>
      </w:r>
      <w:r w:rsidRPr="00D076BE">
        <w:t xml:space="preserve"> also included </w:t>
      </w:r>
      <w:r w:rsidR="00FA6817">
        <w:t>2</w:t>
      </w:r>
      <w:r w:rsidRPr="00D076BE">
        <w:t xml:space="preserve"> additional measures that were not related to the </w:t>
      </w:r>
      <w:r w:rsidRPr="004525B5">
        <w:rPr>
          <w:i/>
        </w:rPr>
        <w:t>New Employment Services Model</w:t>
      </w:r>
      <w:r w:rsidRPr="00D076BE">
        <w:t>:</w:t>
      </w:r>
    </w:p>
    <w:p w14:paraId="593A1BFC" w14:textId="05A8AAF8" w:rsidR="00D076BE" w:rsidRPr="00D076BE" w:rsidRDefault="00D076BE" w:rsidP="004525B5">
      <w:pPr>
        <w:pStyle w:val="Bullet2"/>
      </w:pPr>
      <w:r w:rsidRPr="00D076BE">
        <w:t xml:space="preserve">$191.6 million in income support savings from aligning rules regarding payment commencement </w:t>
      </w:r>
      <w:proofErr w:type="gramStart"/>
      <w:r w:rsidRPr="00D076BE">
        <w:t>arrangements</w:t>
      </w:r>
      <w:proofErr w:type="gramEnd"/>
      <w:r w:rsidRPr="00D076BE">
        <w:t xml:space="preserve"> </w:t>
      </w:r>
    </w:p>
    <w:p w14:paraId="53685281" w14:textId="4EEF6B1C" w:rsidR="00D076BE" w:rsidRPr="002F0E63" w:rsidRDefault="00D076BE" w:rsidP="004525B5">
      <w:pPr>
        <w:pStyle w:val="Bullet2"/>
      </w:pPr>
      <w:r w:rsidRPr="00D076BE">
        <w:t>$202.2 million in savings from allowing job seekers in Disability Employment Services to opt into digital servicing.</w:t>
      </w:r>
    </w:p>
    <w:p w14:paraId="2BCF19A7" w14:textId="6107F3AB" w:rsidR="00B07054" w:rsidRDefault="00B07054" w:rsidP="006A65A5">
      <w:pPr>
        <w:pStyle w:val="Heading2"/>
      </w:pPr>
      <w:r>
        <w:t>Other relevant programs</w:t>
      </w:r>
    </w:p>
    <w:p w14:paraId="2558AB05" w14:textId="1218DAF4" w:rsidR="006248AF" w:rsidRDefault="00B07054" w:rsidP="00B07054">
      <w:r>
        <w:t xml:space="preserve">In Australia, the </w:t>
      </w:r>
      <w:proofErr w:type="spellStart"/>
      <w:r w:rsidRPr="00BA754A">
        <w:rPr>
          <w:i/>
        </w:rPr>
        <w:t>JobSeeker</w:t>
      </w:r>
      <w:proofErr w:type="spellEnd"/>
      <w:r w:rsidRPr="00BA754A">
        <w:rPr>
          <w:i/>
        </w:rPr>
        <w:t xml:space="preserve"> </w:t>
      </w:r>
      <w:r w:rsidR="00BA754A" w:rsidRPr="00BA754A">
        <w:rPr>
          <w:i/>
          <w:iCs/>
        </w:rPr>
        <w:t>P</w:t>
      </w:r>
      <w:r w:rsidRPr="00BA754A">
        <w:rPr>
          <w:i/>
          <w:iCs/>
        </w:rPr>
        <w:t>ayment</w:t>
      </w:r>
      <w:r>
        <w:t xml:space="preserve"> is also an important source of </w:t>
      </w:r>
      <w:r w:rsidR="00EF5F83">
        <w:t xml:space="preserve">Australian </w:t>
      </w:r>
      <w:r>
        <w:t>Government assistance for the unemployed</w:t>
      </w:r>
      <w:r w:rsidR="00334CB5">
        <w:t>,</w:t>
      </w:r>
      <w:r>
        <w:t xml:space="preserve"> including </w:t>
      </w:r>
      <w:r w:rsidR="00334CB5">
        <w:t>the</w:t>
      </w:r>
      <w:r>
        <w:t xml:space="preserve"> long-term unemployed. The </w:t>
      </w:r>
      <w:proofErr w:type="spellStart"/>
      <w:r w:rsidR="006C69F6" w:rsidRPr="00BA754A">
        <w:rPr>
          <w:i/>
        </w:rPr>
        <w:t>J</w:t>
      </w:r>
      <w:r w:rsidRPr="00BA754A">
        <w:rPr>
          <w:i/>
        </w:rPr>
        <w:t>obSeeker</w:t>
      </w:r>
      <w:proofErr w:type="spellEnd"/>
      <w:r w:rsidRPr="00BA754A">
        <w:rPr>
          <w:i/>
        </w:rPr>
        <w:t xml:space="preserve"> </w:t>
      </w:r>
      <w:r w:rsidR="00BA754A" w:rsidRPr="00BA754A">
        <w:rPr>
          <w:i/>
          <w:iCs/>
        </w:rPr>
        <w:t>P</w:t>
      </w:r>
      <w:r w:rsidRPr="00BA754A">
        <w:rPr>
          <w:i/>
          <w:iCs/>
        </w:rPr>
        <w:t>ayment</w:t>
      </w:r>
      <w:r>
        <w:t xml:space="preserve"> is Australia’s main income support payment for people aged 22 </w:t>
      </w:r>
      <w:r w:rsidR="00334CB5">
        <w:t>years</w:t>
      </w:r>
      <w:r>
        <w:t xml:space="preserve"> through to age</w:t>
      </w:r>
      <w:r w:rsidR="004173C3">
        <w:t>-</w:t>
      </w:r>
      <w:r>
        <w:t xml:space="preserve">pension age who are looking for and have the capacity to work. With a typical total rate currently ranging between $651.50 and $898.40 per fortnight </w:t>
      </w:r>
      <w:r w:rsidR="005B1A36">
        <w:t>(</w:t>
      </w:r>
      <w:r>
        <w:t>depending on the claimant’s status</w:t>
      </w:r>
      <w:r w:rsidR="005B1A36">
        <w:t>)</w:t>
      </w:r>
      <w:r>
        <w:t xml:space="preserve">, the Australian Government’s expenditure on </w:t>
      </w:r>
      <w:r w:rsidRPr="00BA754A">
        <w:rPr>
          <w:i/>
        </w:rPr>
        <w:t xml:space="preserve">Jobseeker </w:t>
      </w:r>
      <w:r w:rsidR="00BA754A" w:rsidRPr="00BA754A">
        <w:rPr>
          <w:i/>
        </w:rPr>
        <w:t>P</w:t>
      </w:r>
      <w:r w:rsidRPr="00BA754A">
        <w:rPr>
          <w:i/>
        </w:rPr>
        <w:t>ayment</w:t>
      </w:r>
      <w:r>
        <w:t xml:space="preserve"> was around $</w:t>
      </w:r>
      <w:r w:rsidR="004F443A">
        <w:t>14</w:t>
      </w:r>
      <w:r>
        <w:t>.</w:t>
      </w:r>
      <w:r w:rsidR="004F443A">
        <w:t>8</w:t>
      </w:r>
      <w:r>
        <w:t xml:space="preserve"> billion </w:t>
      </w:r>
      <w:r w:rsidR="00C35E26">
        <w:t xml:space="preserve">(0.7% of GDP) </w:t>
      </w:r>
      <w:r>
        <w:t>in 202</w:t>
      </w:r>
      <w:r w:rsidR="004F443A">
        <w:t>1</w:t>
      </w:r>
      <w:r>
        <w:t>-2</w:t>
      </w:r>
      <w:r w:rsidR="004F443A">
        <w:t>2</w:t>
      </w:r>
      <w:r>
        <w:t xml:space="preserve">. </w:t>
      </w:r>
    </w:p>
    <w:p w14:paraId="4B3210C4" w14:textId="4E68CBA0" w:rsidR="00B07054" w:rsidRDefault="00B07054" w:rsidP="00B07054">
      <w:r>
        <w:t xml:space="preserve">Almost a quarter of </w:t>
      </w:r>
      <w:r w:rsidRPr="00991B12">
        <w:t xml:space="preserve">all </w:t>
      </w:r>
      <w:proofErr w:type="spellStart"/>
      <w:r w:rsidRPr="00991B12">
        <w:t>JobSeeker</w:t>
      </w:r>
      <w:proofErr w:type="spellEnd"/>
      <w:r w:rsidRPr="00991B12">
        <w:t xml:space="preserve"> recipients</w:t>
      </w:r>
      <w:r>
        <w:t xml:space="preserve"> were on the payment for </w:t>
      </w:r>
      <w:r w:rsidR="007D77A0">
        <w:t>5</w:t>
      </w:r>
      <w:r>
        <w:t xml:space="preserve"> or more years as of June 2022</w:t>
      </w:r>
      <w:r w:rsidR="007F3104">
        <w:t xml:space="preserve"> (Figure 6)</w:t>
      </w:r>
      <w:r>
        <w:t xml:space="preserve">. More information about the </w:t>
      </w:r>
      <w:r w:rsidRPr="000D1B5C">
        <w:rPr>
          <w:i/>
        </w:rPr>
        <w:t>Jobseeker</w:t>
      </w:r>
      <w:r w:rsidRPr="006437A7">
        <w:rPr>
          <w:i/>
        </w:rPr>
        <w:t xml:space="preserve"> </w:t>
      </w:r>
      <w:r w:rsidR="00A33B85" w:rsidRPr="006437A7">
        <w:rPr>
          <w:i/>
        </w:rPr>
        <w:t>P</w:t>
      </w:r>
      <w:r w:rsidRPr="006437A7">
        <w:rPr>
          <w:i/>
        </w:rPr>
        <w:t>ayment</w:t>
      </w:r>
      <w:r>
        <w:t xml:space="preserve"> can be found on the website of Service</w:t>
      </w:r>
      <w:r w:rsidR="005C5DAC">
        <w:t>s</w:t>
      </w:r>
      <w:r>
        <w:t xml:space="preserve"> Australia</w:t>
      </w:r>
      <w:r w:rsidR="001D6417">
        <w:rPr>
          <w:rStyle w:val="FootnoteReference"/>
        </w:rPr>
        <w:footnoteReference w:id="3"/>
      </w:r>
      <w:r>
        <w:t xml:space="preserve"> and PBO publication </w:t>
      </w:r>
      <w:r w:rsidR="006F6857">
        <w:t>no</w:t>
      </w:r>
      <w:r w:rsidR="001D6417">
        <w:t> </w:t>
      </w:r>
      <w:r>
        <w:t xml:space="preserve">03/2020 </w:t>
      </w:r>
      <w:hyperlink r:id="rId15" w:history="1">
        <w:proofErr w:type="spellStart"/>
        <w:r w:rsidRPr="00C60DE5">
          <w:rPr>
            <w:rStyle w:val="Hyperlink"/>
            <w:i/>
            <w:iCs/>
          </w:rPr>
          <w:t>JobSeeker</w:t>
        </w:r>
        <w:proofErr w:type="spellEnd"/>
        <w:r w:rsidRPr="00C60DE5">
          <w:rPr>
            <w:rStyle w:val="Hyperlink"/>
            <w:i/>
            <w:iCs/>
          </w:rPr>
          <w:t xml:space="preserve"> Payment: Understanding economic and policy trends affecting Commonwealth expenditure</w:t>
        </w:r>
      </w:hyperlink>
      <w:r>
        <w:t>.</w:t>
      </w:r>
    </w:p>
    <w:p w14:paraId="6DFD1E73" w14:textId="3C54F3ED" w:rsidR="00163FAE" w:rsidRDefault="00F41D50" w:rsidP="00F41D50">
      <w:pPr>
        <w:pStyle w:val="Heading4"/>
      </w:pPr>
      <w:r w:rsidRPr="007138D6">
        <w:rPr>
          <w:i/>
        </w:rPr>
        <w:t xml:space="preserve">Jobseeker </w:t>
      </w:r>
      <w:r w:rsidR="00286656" w:rsidRPr="0065597A">
        <w:rPr>
          <w:i/>
          <w:iCs w:val="0"/>
        </w:rPr>
        <w:t>P</w:t>
      </w:r>
      <w:r w:rsidRPr="0065597A">
        <w:rPr>
          <w:i/>
          <w:iCs w:val="0"/>
        </w:rPr>
        <w:t>ayment</w:t>
      </w:r>
      <w:r>
        <w:t xml:space="preserve"> expenditure during Covid-19</w:t>
      </w:r>
    </w:p>
    <w:p w14:paraId="2EFE44FD" w14:textId="221E992D" w:rsidR="007C513D" w:rsidRPr="007C513D" w:rsidRDefault="007C513D" w:rsidP="007C513D">
      <w:r w:rsidRPr="007C513D">
        <w:t xml:space="preserve">The expenditure on the </w:t>
      </w:r>
      <w:proofErr w:type="spellStart"/>
      <w:r w:rsidR="00C60DE5" w:rsidRPr="0065597A">
        <w:rPr>
          <w:i/>
        </w:rPr>
        <w:t>J</w:t>
      </w:r>
      <w:r w:rsidRPr="0065597A">
        <w:rPr>
          <w:i/>
        </w:rPr>
        <w:t>ob</w:t>
      </w:r>
      <w:r w:rsidR="00C60DE5" w:rsidRPr="0065597A">
        <w:rPr>
          <w:i/>
        </w:rPr>
        <w:t>S</w:t>
      </w:r>
      <w:r w:rsidRPr="0065597A">
        <w:rPr>
          <w:i/>
        </w:rPr>
        <w:t>eeker</w:t>
      </w:r>
      <w:proofErr w:type="spellEnd"/>
      <w:r w:rsidRPr="0065597A">
        <w:rPr>
          <w:i/>
        </w:rPr>
        <w:t xml:space="preserve"> </w:t>
      </w:r>
      <w:r w:rsidR="00286656" w:rsidRPr="0065597A">
        <w:rPr>
          <w:i/>
          <w:iCs/>
        </w:rPr>
        <w:t>P</w:t>
      </w:r>
      <w:r w:rsidRPr="0065597A">
        <w:rPr>
          <w:i/>
          <w:iCs/>
        </w:rPr>
        <w:t>ayment</w:t>
      </w:r>
      <w:r w:rsidRPr="007C513D">
        <w:t xml:space="preserve"> almost tripled from $9.7</w:t>
      </w:r>
      <w:r w:rsidR="001A0274">
        <w:t xml:space="preserve"> </w:t>
      </w:r>
      <w:r w:rsidRPr="007C513D">
        <w:t>b</w:t>
      </w:r>
      <w:r w:rsidR="001A0274">
        <w:t>illion</w:t>
      </w:r>
      <w:r w:rsidRPr="007C513D">
        <w:t xml:space="preserve"> in 2018-19 to $27.4</w:t>
      </w:r>
      <w:r w:rsidR="00F670A2">
        <w:t> </w:t>
      </w:r>
      <w:r w:rsidRPr="007C513D">
        <w:t>b</w:t>
      </w:r>
      <w:r w:rsidR="00BA7920">
        <w:t>illion</w:t>
      </w:r>
      <w:r w:rsidRPr="007C513D">
        <w:t xml:space="preserve"> in 2020-21</w:t>
      </w:r>
      <w:r w:rsidR="00077D5E">
        <w:t xml:space="preserve"> before </w:t>
      </w:r>
      <w:r w:rsidR="0018541D">
        <w:t>falling</w:t>
      </w:r>
      <w:r w:rsidR="00077D5E">
        <w:t xml:space="preserve"> to $</w:t>
      </w:r>
      <w:r w:rsidR="0028187B">
        <w:t>14.8 billion in 202</w:t>
      </w:r>
      <w:r w:rsidR="0018541D">
        <w:t>1</w:t>
      </w:r>
      <w:r w:rsidR="0028187B">
        <w:t>-2</w:t>
      </w:r>
      <w:r w:rsidR="0018541D">
        <w:t>2</w:t>
      </w:r>
      <w:r w:rsidR="00D6151C">
        <w:t xml:space="preserve">. The </w:t>
      </w:r>
      <w:r w:rsidR="0091742B">
        <w:t>significant increase in 2020-21</w:t>
      </w:r>
      <w:r w:rsidR="00C47DE5">
        <w:t xml:space="preserve"> was</w:t>
      </w:r>
      <w:r w:rsidRPr="007C513D">
        <w:t xml:space="preserve"> driven by:</w:t>
      </w:r>
    </w:p>
    <w:p w14:paraId="6BA97101" w14:textId="6701CBA7" w:rsidR="007C513D" w:rsidRPr="007C513D" w:rsidRDefault="007C513D" w:rsidP="006437A7">
      <w:pPr>
        <w:pStyle w:val="Bullet1"/>
      </w:pPr>
      <w:r w:rsidRPr="007C513D">
        <w:t>temporary increases in average single payment rates from $550 in 2018-19 to $810 in 2020-21, reflecting additional supports for recipients under the coronavirus supplements between March</w:t>
      </w:r>
      <w:r w:rsidR="00A53DB3">
        <w:t> </w:t>
      </w:r>
      <w:r w:rsidRPr="007C513D">
        <w:t xml:space="preserve">2020 and March 2021 (Figure </w:t>
      </w:r>
      <w:r w:rsidR="00041758">
        <w:t>4</w:t>
      </w:r>
      <w:r w:rsidRPr="007C513D">
        <w:t xml:space="preserve">). </w:t>
      </w:r>
    </w:p>
    <w:p w14:paraId="5E611E0F" w14:textId="6BF0D127" w:rsidR="007C513D" w:rsidRPr="007C513D" w:rsidRDefault="007C513D" w:rsidP="006437A7">
      <w:pPr>
        <w:pStyle w:val="Bullet2"/>
      </w:pPr>
      <w:r w:rsidRPr="007C513D">
        <w:t xml:space="preserve">While these impacts have subsided with the expiry of the temporary measures, payment rates </w:t>
      </w:r>
      <w:r w:rsidR="006F387A">
        <w:t>have</w:t>
      </w:r>
      <w:r w:rsidR="006F387A" w:rsidRPr="007C513D">
        <w:t xml:space="preserve"> </w:t>
      </w:r>
      <w:r w:rsidRPr="007C513D">
        <w:t>stay</w:t>
      </w:r>
      <w:r w:rsidR="00C45795">
        <w:t>ed</w:t>
      </w:r>
      <w:r w:rsidRPr="007C513D">
        <w:t xml:space="preserve"> higher than the pre-C</w:t>
      </w:r>
      <w:r w:rsidR="003D402A">
        <w:t>ovid</w:t>
      </w:r>
      <w:r w:rsidRPr="007C513D">
        <w:t xml:space="preserve"> level </w:t>
      </w:r>
      <w:proofErr w:type="gramStart"/>
      <w:r w:rsidRPr="007C513D">
        <w:t>as a result of</w:t>
      </w:r>
      <w:proofErr w:type="gramEnd"/>
      <w:r w:rsidRPr="007C513D">
        <w:t xml:space="preserve"> a 2021-22 Budget measure to raise base rates by $50 per fortnight permanently and indexation.</w:t>
      </w:r>
    </w:p>
    <w:p w14:paraId="4ECB1877" w14:textId="2001DF51" w:rsidR="007C513D" w:rsidRPr="007C513D" w:rsidRDefault="007C513D" w:rsidP="006437A7">
      <w:pPr>
        <w:pStyle w:val="Bullet1"/>
      </w:pPr>
      <w:r w:rsidRPr="007C513D">
        <w:t>significant increases in the number of recipients from 674,031 in August 2019 to 1,463,900 in May</w:t>
      </w:r>
      <w:r w:rsidR="0098578D">
        <w:t> </w:t>
      </w:r>
      <w:r w:rsidRPr="007C513D">
        <w:t xml:space="preserve">2020 before falling to </w:t>
      </w:r>
      <w:r w:rsidR="00F04E1D">
        <w:t>772</w:t>
      </w:r>
      <w:r w:rsidR="00B70AD8">
        <w:t>,674</w:t>
      </w:r>
      <w:r w:rsidRPr="007C513D">
        <w:t xml:space="preserve"> in </w:t>
      </w:r>
      <w:r w:rsidR="00B70AD8">
        <w:t>September</w:t>
      </w:r>
      <w:r w:rsidRPr="007C513D">
        <w:t xml:space="preserve"> 2022 (Figure </w:t>
      </w:r>
      <w:r w:rsidR="00041758">
        <w:t>5</w:t>
      </w:r>
      <w:r w:rsidRPr="007C513D">
        <w:t>).</w:t>
      </w:r>
    </w:p>
    <w:p w14:paraId="7C4F17D9" w14:textId="6473932A" w:rsidR="007C513D" w:rsidRDefault="007C513D" w:rsidP="00F74608">
      <w:pPr>
        <w:pStyle w:val="Bullet2"/>
      </w:pPr>
      <w:r w:rsidRPr="007C513D">
        <w:t xml:space="preserve">It is worth noting that 57% of the </w:t>
      </w:r>
      <w:proofErr w:type="spellStart"/>
      <w:r w:rsidRPr="007C513D">
        <w:t>Job</w:t>
      </w:r>
      <w:r w:rsidR="00D0574D">
        <w:t>S</w:t>
      </w:r>
      <w:r w:rsidRPr="007C513D">
        <w:t>eeker</w:t>
      </w:r>
      <w:proofErr w:type="spellEnd"/>
      <w:r w:rsidRPr="007C513D">
        <w:t xml:space="preserve"> recipients in 2020 were from outside the social welfare system, as compared to 25% in 2019, indicating a sharp impact from C</w:t>
      </w:r>
      <w:r w:rsidR="00C56EB8">
        <w:t>ov</w:t>
      </w:r>
      <w:r w:rsidR="001D6417">
        <w:t>id-19</w:t>
      </w:r>
      <w:r w:rsidRPr="007C513D">
        <w:t xml:space="preserve"> and the associated policy responses.</w:t>
      </w:r>
    </w:p>
    <w:p w14:paraId="3E9552F3" w14:textId="0F47580F" w:rsidR="008C3379" w:rsidRPr="00BF097B" w:rsidRDefault="00B96768" w:rsidP="0083412B">
      <w:pPr>
        <w:pStyle w:val="Caption"/>
        <w:jc w:val="center"/>
        <w:rPr>
          <w:lang w:val="fr-FR"/>
        </w:rPr>
      </w:pPr>
      <w:r w:rsidRPr="00BD5824">
        <w:rPr>
          <w:lang w:val="fr-FR"/>
        </w:rPr>
        <w:lastRenderedPageBreak/>
        <w:t>F</w:t>
      </w:r>
      <w:r w:rsidRPr="00A52C9D">
        <w:rPr>
          <w:lang w:val="fr-FR"/>
        </w:rPr>
        <w:t xml:space="preserve">igure </w:t>
      </w:r>
      <w:proofErr w:type="gramStart"/>
      <w:r w:rsidRPr="00A52C9D">
        <w:rPr>
          <w:lang w:val="fr-FR"/>
        </w:rPr>
        <w:t>4</w:t>
      </w:r>
      <w:r w:rsidR="00A52C9D" w:rsidRPr="00BD5824">
        <w:rPr>
          <w:lang w:val="fr-FR"/>
        </w:rPr>
        <w:t>:</w:t>
      </w:r>
      <w:proofErr w:type="gramEnd"/>
      <w:r w:rsidRPr="00A52C9D">
        <w:rPr>
          <w:lang w:val="fr-FR"/>
        </w:rPr>
        <w:t xml:space="preserve"> </w:t>
      </w:r>
      <w:proofErr w:type="spellStart"/>
      <w:r w:rsidRPr="00A52C9D">
        <w:rPr>
          <w:lang w:val="fr-FR"/>
        </w:rPr>
        <w:t>Expenditure</w:t>
      </w:r>
      <w:proofErr w:type="spellEnd"/>
      <w:r w:rsidRPr="00A52C9D">
        <w:rPr>
          <w:lang w:val="fr-FR"/>
        </w:rPr>
        <w:t xml:space="preserve"> on </w:t>
      </w:r>
      <w:proofErr w:type="spellStart"/>
      <w:r w:rsidRPr="00E262BC">
        <w:rPr>
          <w:i/>
          <w:lang w:val="fr-FR"/>
        </w:rPr>
        <w:t>JobSeeker</w:t>
      </w:r>
      <w:proofErr w:type="spellEnd"/>
      <w:r w:rsidRPr="00E262BC">
        <w:rPr>
          <w:i/>
          <w:lang w:val="fr-FR"/>
        </w:rPr>
        <w:t xml:space="preserve"> </w:t>
      </w:r>
      <w:proofErr w:type="spellStart"/>
      <w:r w:rsidR="00ED7F51" w:rsidRPr="00E262BC">
        <w:rPr>
          <w:i/>
          <w:iCs w:val="0"/>
          <w:lang w:val="fr-FR"/>
        </w:rPr>
        <w:t>Payment</w:t>
      </w:r>
      <w:proofErr w:type="spellEnd"/>
      <w:r w:rsidR="00ED7F51">
        <w:rPr>
          <w:lang w:val="fr-FR"/>
        </w:rPr>
        <w:t xml:space="preserve"> </w:t>
      </w:r>
      <w:proofErr w:type="spellStart"/>
      <w:r w:rsidR="00ED7F51">
        <w:rPr>
          <w:lang w:val="fr-FR"/>
        </w:rPr>
        <w:t>p</w:t>
      </w:r>
      <w:r w:rsidRPr="00E96CB7">
        <w:rPr>
          <w:lang w:val="fr-FR"/>
        </w:rPr>
        <w:t>ayments</w:t>
      </w:r>
      <w:proofErr w:type="spellEnd"/>
    </w:p>
    <w:p w14:paraId="1B927B7F" w14:textId="58B24DE8" w:rsidR="009D305D" w:rsidRPr="00BF097B" w:rsidRDefault="003B40CE" w:rsidP="00BF097B">
      <w:pPr>
        <w:jc w:val="center"/>
        <w:rPr>
          <w:lang w:val="fr-FR"/>
        </w:rPr>
      </w:pPr>
      <w:r w:rsidRPr="003B40CE">
        <w:rPr>
          <w:noProof/>
        </w:rPr>
        <w:drawing>
          <wp:inline distT="0" distB="0" distL="0" distR="0" wp14:anchorId="4B639EEA" wp14:editId="47D4447C">
            <wp:extent cx="5024453" cy="2376487"/>
            <wp:effectExtent l="0" t="0" r="5080" b="5080"/>
            <wp:docPr id="1" name="Chart 1">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D9BCC68" w14:textId="3C2F407E" w:rsidR="00B301D9" w:rsidRPr="00B301D9" w:rsidRDefault="00B301D9" w:rsidP="00BD5824">
      <w:pPr>
        <w:spacing w:before="0" w:line="240" w:lineRule="auto"/>
        <w:ind w:left="720" w:hanging="11"/>
        <w:rPr>
          <w:color w:val="808080" w:themeColor="background1" w:themeShade="80"/>
          <w:sz w:val="16"/>
          <w:szCs w:val="16"/>
          <w:lang w:val="fr-FR"/>
        </w:rPr>
      </w:pPr>
      <w:r w:rsidRPr="00B301D9">
        <w:rPr>
          <w:color w:val="808080" w:themeColor="background1" w:themeShade="80"/>
          <w:sz w:val="16"/>
          <w:szCs w:val="16"/>
          <w:lang w:val="fr-FR"/>
        </w:rPr>
        <w:t>Source</w:t>
      </w:r>
      <w:r w:rsidR="00CE2E2E">
        <w:rPr>
          <w:color w:val="808080" w:themeColor="background1" w:themeShade="80"/>
          <w:sz w:val="16"/>
          <w:szCs w:val="16"/>
          <w:lang w:val="fr-FR"/>
        </w:rPr>
        <w:t> :</w:t>
      </w:r>
      <w:r w:rsidRPr="00B301D9">
        <w:rPr>
          <w:color w:val="808080" w:themeColor="background1" w:themeShade="80"/>
          <w:sz w:val="16"/>
          <w:szCs w:val="16"/>
          <w:lang w:val="fr-FR"/>
        </w:rPr>
        <w:t xml:space="preserve"> </w:t>
      </w:r>
      <w:r w:rsidR="007C3E66">
        <w:rPr>
          <w:color w:val="808080" w:themeColor="background1" w:themeShade="80"/>
          <w:sz w:val="16"/>
          <w:szCs w:val="16"/>
          <w:lang w:val="fr-FR"/>
        </w:rPr>
        <w:t xml:space="preserve">The </w:t>
      </w:r>
      <w:proofErr w:type="spellStart"/>
      <w:r w:rsidR="007C3E66">
        <w:rPr>
          <w:color w:val="808080" w:themeColor="background1" w:themeShade="80"/>
          <w:sz w:val="16"/>
          <w:szCs w:val="16"/>
          <w:lang w:val="fr-FR"/>
        </w:rPr>
        <w:t>Department</w:t>
      </w:r>
      <w:proofErr w:type="spellEnd"/>
      <w:r w:rsidR="007C3E66">
        <w:rPr>
          <w:color w:val="808080" w:themeColor="background1" w:themeShade="80"/>
          <w:sz w:val="16"/>
          <w:szCs w:val="16"/>
          <w:lang w:val="fr-FR"/>
        </w:rPr>
        <w:t xml:space="preserve"> of Social Services </w:t>
      </w:r>
      <w:proofErr w:type="spellStart"/>
      <w:r w:rsidR="007C3E66">
        <w:rPr>
          <w:color w:val="808080" w:themeColor="background1" w:themeShade="80"/>
          <w:sz w:val="16"/>
          <w:szCs w:val="16"/>
          <w:lang w:val="fr-FR"/>
        </w:rPr>
        <w:t>A</w:t>
      </w:r>
      <w:r w:rsidRPr="00B301D9">
        <w:rPr>
          <w:color w:val="808080" w:themeColor="background1" w:themeShade="80"/>
          <w:sz w:val="16"/>
          <w:szCs w:val="16"/>
          <w:lang w:val="fr-FR"/>
        </w:rPr>
        <w:t>nnual</w:t>
      </w:r>
      <w:proofErr w:type="spellEnd"/>
      <w:r w:rsidRPr="00B301D9">
        <w:rPr>
          <w:color w:val="808080" w:themeColor="background1" w:themeShade="80"/>
          <w:sz w:val="16"/>
          <w:szCs w:val="16"/>
          <w:lang w:val="fr-FR"/>
        </w:rPr>
        <w:t xml:space="preserve"> </w:t>
      </w:r>
      <w:r w:rsidR="007C3E66">
        <w:rPr>
          <w:color w:val="808080" w:themeColor="background1" w:themeShade="80"/>
          <w:sz w:val="16"/>
          <w:szCs w:val="16"/>
          <w:lang w:val="fr-FR"/>
        </w:rPr>
        <w:t>R</w:t>
      </w:r>
      <w:r w:rsidRPr="00B301D9">
        <w:rPr>
          <w:color w:val="808080" w:themeColor="background1" w:themeShade="80"/>
          <w:sz w:val="16"/>
          <w:szCs w:val="16"/>
          <w:lang w:val="fr-FR"/>
        </w:rPr>
        <w:t>eport 202</w:t>
      </w:r>
      <w:r w:rsidR="007204CB">
        <w:rPr>
          <w:color w:val="808080" w:themeColor="background1" w:themeShade="80"/>
          <w:sz w:val="16"/>
          <w:szCs w:val="16"/>
          <w:lang w:val="fr-FR"/>
        </w:rPr>
        <w:t>1</w:t>
      </w:r>
      <w:r w:rsidRPr="00B301D9">
        <w:rPr>
          <w:color w:val="808080" w:themeColor="background1" w:themeShade="80"/>
          <w:sz w:val="16"/>
          <w:szCs w:val="16"/>
          <w:lang w:val="fr-FR"/>
        </w:rPr>
        <w:t>-2</w:t>
      </w:r>
      <w:r w:rsidR="004D7A05">
        <w:rPr>
          <w:color w:val="808080" w:themeColor="background1" w:themeShade="80"/>
          <w:sz w:val="16"/>
          <w:szCs w:val="16"/>
          <w:lang w:val="fr-FR"/>
        </w:rPr>
        <w:t>2</w:t>
      </w:r>
      <w:r w:rsidRPr="00B301D9">
        <w:rPr>
          <w:color w:val="808080" w:themeColor="background1" w:themeShade="80"/>
          <w:sz w:val="16"/>
          <w:szCs w:val="16"/>
          <w:lang w:val="fr-FR"/>
        </w:rPr>
        <w:t xml:space="preserve">, </w:t>
      </w:r>
      <w:proofErr w:type="spellStart"/>
      <w:r w:rsidRPr="00B301D9">
        <w:rPr>
          <w:color w:val="808080" w:themeColor="background1" w:themeShade="80"/>
          <w:sz w:val="16"/>
          <w:szCs w:val="16"/>
          <w:lang w:val="fr-FR"/>
        </w:rPr>
        <w:t>DSS’s</w:t>
      </w:r>
      <w:proofErr w:type="spellEnd"/>
      <w:r w:rsidRPr="00B301D9">
        <w:rPr>
          <w:color w:val="808080" w:themeColor="background1" w:themeShade="80"/>
          <w:sz w:val="16"/>
          <w:szCs w:val="16"/>
          <w:lang w:val="fr-FR"/>
        </w:rPr>
        <w:t xml:space="preserve"> </w:t>
      </w:r>
      <w:proofErr w:type="spellStart"/>
      <w:r w:rsidRPr="00B301D9">
        <w:rPr>
          <w:color w:val="808080" w:themeColor="background1" w:themeShade="80"/>
          <w:sz w:val="16"/>
          <w:szCs w:val="16"/>
          <w:lang w:val="fr-FR"/>
        </w:rPr>
        <w:t>historical</w:t>
      </w:r>
      <w:proofErr w:type="spellEnd"/>
      <w:r w:rsidRPr="00B301D9">
        <w:rPr>
          <w:color w:val="808080" w:themeColor="background1" w:themeShade="80"/>
          <w:sz w:val="16"/>
          <w:szCs w:val="16"/>
          <w:lang w:val="fr-FR"/>
        </w:rPr>
        <w:t xml:space="preserve"> publications of a guide to </w:t>
      </w:r>
      <w:proofErr w:type="spellStart"/>
      <w:r w:rsidR="009929AB">
        <w:rPr>
          <w:color w:val="808080" w:themeColor="background1" w:themeShade="80"/>
          <w:sz w:val="16"/>
          <w:szCs w:val="16"/>
          <w:lang w:val="fr-FR"/>
        </w:rPr>
        <w:t>Australian</w:t>
      </w:r>
      <w:proofErr w:type="spellEnd"/>
      <w:r w:rsidR="009929AB">
        <w:rPr>
          <w:color w:val="808080" w:themeColor="background1" w:themeShade="80"/>
          <w:sz w:val="16"/>
          <w:szCs w:val="16"/>
          <w:lang w:val="fr-FR"/>
        </w:rPr>
        <w:t xml:space="preserve"> </w:t>
      </w:r>
      <w:proofErr w:type="spellStart"/>
      <w:r w:rsidR="009929AB">
        <w:rPr>
          <w:color w:val="808080" w:themeColor="background1" w:themeShade="80"/>
          <w:sz w:val="16"/>
          <w:szCs w:val="16"/>
          <w:lang w:val="fr-FR"/>
        </w:rPr>
        <w:t>G</w:t>
      </w:r>
      <w:r w:rsidRPr="00B301D9">
        <w:rPr>
          <w:color w:val="808080" w:themeColor="background1" w:themeShade="80"/>
          <w:sz w:val="16"/>
          <w:szCs w:val="16"/>
          <w:lang w:val="fr-FR"/>
        </w:rPr>
        <w:t>overnment</w:t>
      </w:r>
      <w:proofErr w:type="spellEnd"/>
      <w:r w:rsidRPr="00B301D9">
        <w:rPr>
          <w:color w:val="808080" w:themeColor="background1" w:themeShade="80"/>
          <w:sz w:val="16"/>
          <w:szCs w:val="16"/>
          <w:lang w:val="fr-FR"/>
        </w:rPr>
        <w:t xml:space="preserve"> </w:t>
      </w:r>
      <w:proofErr w:type="spellStart"/>
      <w:r w:rsidRPr="00B301D9">
        <w:rPr>
          <w:color w:val="808080" w:themeColor="background1" w:themeShade="80"/>
          <w:sz w:val="16"/>
          <w:szCs w:val="16"/>
          <w:lang w:val="fr-FR"/>
        </w:rPr>
        <w:t>payments</w:t>
      </w:r>
      <w:proofErr w:type="spellEnd"/>
    </w:p>
    <w:p w14:paraId="0CD15CA7" w14:textId="1DB3D49C" w:rsidR="00E156B1" w:rsidRPr="00EC4C77" w:rsidRDefault="00EC4C77" w:rsidP="00BD5824">
      <w:pPr>
        <w:pStyle w:val="Caption"/>
        <w:jc w:val="center"/>
        <w:rPr>
          <w:lang w:val="fr-FR"/>
        </w:rPr>
      </w:pPr>
      <w:r w:rsidRPr="00BD5824">
        <w:rPr>
          <w:lang w:val="fr-FR"/>
        </w:rPr>
        <w:t xml:space="preserve">Figure </w:t>
      </w:r>
      <w:proofErr w:type="gramStart"/>
      <w:r w:rsidRPr="00BD5824">
        <w:rPr>
          <w:lang w:val="fr-FR"/>
        </w:rPr>
        <w:t>5:</w:t>
      </w:r>
      <w:proofErr w:type="gramEnd"/>
      <w:r w:rsidRPr="00BD5824">
        <w:rPr>
          <w:lang w:val="fr-FR"/>
        </w:rPr>
        <w:t xml:space="preserve"> </w:t>
      </w:r>
      <w:proofErr w:type="spellStart"/>
      <w:r w:rsidR="00C72484" w:rsidRPr="00EC4C77">
        <w:rPr>
          <w:lang w:val="fr-FR"/>
        </w:rPr>
        <w:t>JobSeeker</w:t>
      </w:r>
      <w:proofErr w:type="spellEnd"/>
      <w:r w:rsidR="00C72484" w:rsidRPr="00EC4C77">
        <w:rPr>
          <w:lang w:val="fr-FR"/>
        </w:rPr>
        <w:t xml:space="preserve"> </w:t>
      </w:r>
      <w:proofErr w:type="spellStart"/>
      <w:r w:rsidR="00C72484" w:rsidRPr="00EC4C77">
        <w:rPr>
          <w:lang w:val="fr-FR"/>
        </w:rPr>
        <w:t>recipients</w:t>
      </w:r>
      <w:proofErr w:type="spellEnd"/>
      <w:r w:rsidR="00C72484" w:rsidRPr="00EC4C77">
        <w:rPr>
          <w:lang w:val="fr-FR"/>
        </w:rPr>
        <w:t xml:space="preserve"> and </w:t>
      </w:r>
      <w:proofErr w:type="spellStart"/>
      <w:r w:rsidR="00C72484" w:rsidRPr="00EC4C77">
        <w:rPr>
          <w:lang w:val="fr-FR"/>
        </w:rPr>
        <w:t>unemployed</w:t>
      </w:r>
      <w:proofErr w:type="spellEnd"/>
      <w:r w:rsidR="00C72484" w:rsidRPr="00EC4C77">
        <w:rPr>
          <w:lang w:val="fr-FR"/>
        </w:rPr>
        <w:t xml:space="preserve"> </w:t>
      </w:r>
      <w:proofErr w:type="spellStart"/>
      <w:r w:rsidR="00C72484" w:rsidRPr="00EC4C77">
        <w:rPr>
          <w:lang w:val="fr-FR"/>
        </w:rPr>
        <w:t>persons</w:t>
      </w:r>
      <w:proofErr w:type="spellEnd"/>
    </w:p>
    <w:p w14:paraId="6D4B7091" w14:textId="37E8F295" w:rsidR="00E156B1" w:rsidRDefault="0083412B" w:rsidP="007A0262">
      <w:pPr>
        <w:pStyle w:val="Bullet1"/>
        <w:numPr>
          <w:ilvl w:val="0"/>
          <w:numId w:val="0"/>
        </w:numPr>
        <w:ind w:left="361"/>
        <w:jc w:val="center"/>
      </w:pPr>
      <w:r w:rsidRPr="0083412B">
        <w:rPr>
          <w:noProof/>
        </w:rPr>
        <w:drawing>
          <wp:inline distT="0" distB="0" distL="0" distR="0" wp14:anchorId="7EAF0036" wp14:editId="1AA81FC4">
            <wp:extent cx="5041900" cy="2376487"/>
            <wp:effectExtent l="0" t="0" r="6350" b="5080"/>
            <wp:docPr id="28" name="Chart 28">
              <a:extLst xmlns:a="http://schemas.openxmlformats.org/drawingml/2006/main">
                <a:ext uri="{FF2B5EF4-FFF2-40B4-BE49-F238E27FC236}">
                  <a16:creationId xmlns:a16="http://schemas.microsoft.com/office/drawing/2014/main" id="{CDD83735-833B-4F21-8047-9BEF6A93A3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5F240DB" w14:textId="42A41982" w:rsidR="00A02CDB" w:rsidRPr="00A02CDB" w:rsidRDefault="00A02CDB" w:rsidP="00BD5824">
      <w:pPr>
        <w:spacing w:before="0" w:line="240" w:lineRule="auto"/>
        <w:ind w:left="720" w:hanging="11"/>
        <w:rPr>
          <w:color w:val="808080" w:themeColor="background1" w:themeShade="80"/>
          <w:sz w:val="16"/>
          <w:szCs w:val="16"/>
          <w:lang w:val="fr-FR"/>
        </w:rPr>
      </w:pPr>
      <w:r w:rsidRPr="00A02CDB">
        <w:rPr>
          <w:color w:val="808080" w:themeColor="background1" w:themeShade="80"/>
          <w:sz w:val="16"/>
          <w:szCs w:val="16"/>
          <w:lang w:val="fr-FR"/>
        </w:rPr>
        <w:t>Source</w:t>
      </w:r>
      <w:r w:rsidR="00D21412">
        <w:rPr>
          <w:color w:val="808080" w:themeColor="background1" w:themeShade="80"/>
          <w:sz w:val="16"/>
          <w:szCs w:val="16"/>
          <w:lang w:val="fr-FR"/>
        </w:rPr>
        <w:t> :</w:t>
      </w:r>
      <w:r w:rsidRPr="00A02CDB">
        <w:rPr>
          <w:color w:val="808080" w:themeColor="background1" w:themeShade="80"/>
          <w:sz w:val="16"/>
          <w:szCs w:val="16"/>
          <w:lang w:val="fr-FR"/>
        </w:rPr>
        <w:t xml:space="preserve"> </w:t>
      </w:r>
      <w:r w:rsidR="00CD11C1">
        <w:rPr>
          <w:color w:val="808080" w:themeColor="background1" w:themeShade="80"/>
          <w:sz w:val="16"/>
          <w:szCs w:val="16"/>
          <w:lang w:val="fr-FR"/>
        </w:rPr>
        <w:t xml:space="preserve">The </w:t>
      </w:r>
      <w:proofErr w:type="spellStart"/>
      <w:r w:rsidRPr="00A02CDB">
        <w:rPr>
          <w:color w:val="808080" w:themeColor="background1" w:themeShade="80"/>
          <w:sz w:val="16"/>
          <w:szCs w:val="16"/>
          <w:lang w:val="fr-FR"/>
        </w:rPr>
        <w:t>D</w:t>
      </w:r>
      <w:r w:rsidR="00775106">
        <w:rPr>
          <w:color w:val="808080" w:themeColor="background1" w:themeShade="80"/>
          <w:sz w:val="16"/>
          <w:szCs w:val="16"/>
          <w:lang w:val="fr-FR"/>
        </w:rPr>
        <w:t>epartment</w:t>
      </w:r>
      <w:proofErr w:type="spellEnd"/>
      <w:r w:rsidR="00775106">
        <w:rPr>
          <w:color w:val="808080" w:themeColor="background1" w:themeShade="80"/>
          <w:sz w:val="16"/>
          <w:szCs w:val="16"/>
          <w:lang w:val="fr-FR"/>
        </w:rPr>
        <w:t xml:space="preserve"> of Social Services</w:t>
      </w:r>
      <w:r w:rsidRPr="00A02CDB">
        <w:rPr>
          <w:color w:val="808080" w:themeColor="background1" w:themeShade="80"/>
          <w:sz w:val="16"/>
          <w:szCs w:val="16"/>
          <w:lang w:val="fr-FR"/>
        </w:rPr>
        <w:t xml:space="preserve"> </w:t>
      </w:r>
      <w:proofErr w:type="spellStart"/>
      <w:r w:rsidR="00CD11C1">
        <w:rPr>
          <w:color w:val="808080" w:themeColor="background1" w:themeShade="80"/>
          <w:sz w:val="16"/>
          <w:szCs w:val="16"/>
          <w:lang w:val="fr-FR"/>
        </w:rPr>
        <w:t>A</w:t>
      </w:r>
      <w:r w:rsidRPr="00A02CDB">
        <w:rPr>
          <w:color w:val="808080" w:themeColor="background1" w:themeShade="80"/>
          <w:sz w:val="16"/>
          <w:szCs w:val="16"/>
          <w:lang w:val="fr-FR"/>
        </w:rPr>
        <w:t>nnual</w:t>
      </w:r>
      <w:proofErr w:type="spellEnd"/>
      <w:r w:rsidRPr="00A02CDB">
        <w:rPr>
          <w:color w:val="808080" w:themeColor="background1" w:themeShade="80"/>
          <w:sz w:val="16"/>
          <w:szCs w:val="16"/>
          <w:lang w:val="fr-FR"/>
        </w:rPr>
        <w:t xml:space="preserve"> </w:t>
      </w:r>
      <w:r w:rsidR="00CD11C1">
        <w:rPr>
          <w:color w:val="808080" w:themeColor="background1" w:themeShade="80"/>
          <w:sz w:val="16"/>
          <w:szCs w:val="16"/>
          <w:lang w:val="fr-FR"/>
        </w:rPr>
        <w:t>R</w:t>
      </w:r>
      <w:r w:rsidRPr="00A02CDB">
        <w:rPr>
          <w:color w:val="808080" w:themeColor="background1" w:themeShade="80"/>
          <w:sz w:val="16"/>
          <w:szCs w:val="16"/>
          <w:lang w:val="fr-FR"/>
        </w:rPr>
        <w:t>eport 202</w:t>
      </w:r>
      <w:r w:rsidR="00DB64EA">
        <w:rPr>
          <w:color w:val="808080" w:themeColor="background1" w:themeShade="80"/>
          <w:sz w:val="16"/>
          <w:szCs w:val="16"/>
          <w:lang w:val="fr-FR"/>
        </w:rPr>
        <w:t>1</w:t>
      </w:r>
      <w:r w:rsidRPr="00A02CDB">
        <w:rPr>
          <w:color w:val="808080" w:themeColor="background1" w:themeShade="80"/>
          <w:sz w:val="16"/>
          <w:szCs w:val="16"/>
          <w:lang w:val="fr-FR"/>
        </w:rPr>
        <w:t>-2</w:t>
      </w:r>
      <w:r w:rsidR="00DB64EA">
        <w:rPr>
          <w:color w:val="808080" w:themeColor="background1" w:themeShade="80"/>
          <w:sz w:val="16"/>
          <w:szCs w:val="16"/>
          <w:lang w:val="fr-FR"/>
        </w:rPr>
        <w:t>2</w:t>
      </w:r>
      <w:r w:rsidR="00214256">
        <w:rPr>
          <w:color w:val="808080" w:themeColor="background1" w:themeShade="80"/>
          <w:sz w:val="16"/>
          <w:szCs w:val="16"/>
          <w:lang w:val="fr-FR"/>
        </w:rPr>
        <w:t xml:space="preserve"> and</w:t>
      </w:r>
      <w:r w:rsidRPr="00A02CDB">
        <w:rPr>
          <w:color w:val="808080" w:themeColor="background1" w:themeShade="80"/>
          <w:sz w:val="16"/>
          <w:szCs w:val="16"/>
          <w:lang w:val="fr-FR"/>
        </w:rPr>
        <w:t xml:space="preserve"> </w:t>
      </w:r>
      <w:proofErr w:type="spellStart"/>
      <w:r w:rsidRPr="00A02CDB">
        <w:rPr>
          <w:color w:val="808080" w:themeColor="background1" w:themeShade="80"/>
          <w:sz w:val="16"/>
          <w:szCs w:val="16"/>
          <w:lang w:val="fr-FR"/>
        </w:rPr>
        <w:t>A</w:t>
      </w:r>
      <w:r w:rsidR="00214256">
        <w:rPr>
          <w:color w:val="808080" w:themeColor="background1" w:themeShade="80"/>
          <w:sz w:val="16"/>
          <w:szCs w:val="16"/>
          <w:lang w:val="fr-FR"/>
        </w:rPr>
        <w:t>ustralian</w:t>
      </w:r>
      <w:proofErr w:type="spellEnd"/>
      <w:r w:rsidR="00214256">
        <w:rPr>
          <w:color w:val="808080" w:themeColor="background1" w:themeShade="80"/>
          <w:sz w:val="16"/>
          <w:szCs w:val="16"/>
          <w:lang w:val="fr-FR"/>
        </w:rPr>
        <w:t xml:space="preserve"> Bureau of </w:t>
      </w:r>
      <w:proofErr w:type="spellStart"/>
      <w:r w:rsidR="00214256">
        <w:rPr>
          <w:color w:val="808080" w:themeColor="background1" w:themeShade="80"/>
          <w:sz w:val="16"/>
          <w:szCs w:val="16"/>
          <w:lang w:val="fr-FR"/>
        </w:rPr>
        <w:t>Statistics</w:t>
      </w:r>
      <w:proofErr w:type="spellEnd"/>
      <w:r w:rsidRPr="00A02CDB">
        <w:rPr>
          <w:color w:val="808080" w:themeColor="background1" w:themeShade="80"/>
          <w:sz w:val="16"/>
          <w:szCs w:val="16"/>
          <w:lang w:val="fr-FR"/>
        </w:rPr>
        <w:t xml:space="preserve"> </w:t>
      </w:r>
      <w:proofErr w:type="spellStart"/>
      <w:r w:rsidRPr="00A02CDB">
        <w:rPr>
          <w:color w:val="808080" w:themeColor="background1" w:themeShade="80"/>
          <w:sz w:val="16"/>
          <w:szCs w:val="16"/>
          <w:lang w:val="fr-FR"/>
        </w:rPr>
        <w:t>employment</w:t>
      </w:r>
      <w:proofErr w:type="spellEnd"/>
      <w:r w:rsidRPr="00A02CDB">
        <w:rPr>
          <w:color w:val="808080" w:themeColor="background1" w:themeShade="80"/>
          <w:sz w:val="16"/>
          <w:szCs w:val="16"/>
          <w:lang w:val="fr-FR"/>
        </w:rPr>
        <w:t xml:space="preserve"> figures</w:t>
      </w:r>
    </w:p>
    <w:p w14:paraId="200BD405" w14:textId="1EA4773C" w:rsidR="00C72484" w:rsidRPr="00EC4C77" w:rsidRDefault="00EC4C77" w:rsidP="00BD5824">
      <w:pPr>
        <w:pStyle w:val="Caption"/>
        <w:jc w:val="center"/>
        <w:rPr>
          <w:lang w:val="fr-FR"/>
        </w:rPr>
      </w:pPr>
      <w:r w:rsidRPr="00BD5824">
        <w:rPr>
          <w:lang w:val="fr-FR"/>
        </w:rPr>
        <w:t xml:space="preserve">Figure </w:t>
      </w:r>
      <w:proofErr w:type="gramStart"/>
      <w:r w:rsidRPr="00BD5824">
        <w:rPr>
          <w:lang w:val="fr-FR"/>
        </w:rPr>
        <w:t>6:</w:t>
      </w:r>
      <w:proofErr w:type="gramEnd"/>
      <w:r w:rsidRPr="00BD5824">
        <w:rPr>
          <w:lang w:val="fr-FR"/>
        </w:rPr>
        <w:t xml:space="preserve"> Distribution of </w:t>
      </w:r>
      <w:proofErr w:type="spellStart"/>
      <w:r w:rsidRPr="00BD5824">
        <w:rPr>
          <w:lang w:val="fr-FR"/>
        </w:rPr>
        <w:t>recipients</w:t>
      </w:r>
      <w:proofErr w:type="spellEnd"/>
      <w:r w:rsidRPr="00BD5824">
        <w:rPr>
          <w:lang w:val="fr-FR"/>
        </w:rPr>
        <w:t xml:space="preserve"> by duration on </w:t>
      </w:r>
      <w:proofErr w:type="spellStart"/>
      <w:r w:rsidRPr="00E262BC">
        <w:rPr>
          <w:i/>
          <w:lang w:val="fr-FR"/>
        </w:rPr>
        <w:t>JobSeeker</w:t>
      </w:r>
      <w:proofErr w:type="spellEnd"/>
      <w:r w:rsidR="000D6223" w:rsidRPr="00E262BC">
        <w:rPr>
          <w:i/>
          <w:iCs w:val="0"/>
          <w:lang w:val="fr-FR"/>
        </w:rPr>
        <w:t xml:space="preserve"> </w:t>
      </w:r>
      <w:proofErr w:type="spellStart"/>
      <w:r w:rsidR="000D6223" w:rsidRPr="00E262BC">
        <w:rPr>
          <w:i/>
          <w:iCs w:val="0"/>
          <w:lang w:val="fr-FR"/>
        </w:rPr>
        <w:t>Payment</w:t>
      </w:r>
      <w:proofErr w:type="spellEnd"/>
    </w:p>
    <w:p w14:paraId="5B7B83DF" w14:textId="02DE6A8F" w:rsidR="006F43DC" w:rsidRPr="00016BA9" w:rsidRDefault="0077578D" w:rsidP="00184B9B">
      <w:pPr>
        <w:jc w:val="center"/>
        <w:rPr>
          <w:lang w:val="fr-FR"/>
        </w:rPr>
      </w:pPr>
      <w:r w:rsidRPr="0077578D">
        <w:rPr>
          <w:noProof/>
        </w:rPr>
        <w:drawing>
          <wp:inline distT="0" distB="0" distL="0" distR="0" wp14:anchorId="29AA933E" wp14:editId="6850D302">
            <wp:extent cx="5041900" cy="2376487"/>
            <wp:effectExtent l="0" t="0" r="0" b="0"/>
            <wp:docPr id="35" name="Chart 35">
              <a:extLst xmlns:a="http://schemas.openxmlformats.org/drawingml/2006/main">
                <a:ext uri="{FF2B5EF4-FFF2-40B4-BE49-F238E27FC236}">
                  <a16:creationId xmlns:a16="http://schemas.microsoft.com/office/drawing/2014/main" id="{0D0992CC-F9EB-4EE5-AE0E-FE3400344E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EFB60CC" w14:textId="2EDA829F" w:rsidR="0082020B" w:rsidRPr="002615F1" w:rsidRDefault="002615F1" w:rsidP="00BD5824">
      <w:pPr>
        <w:spacing w:before="0" w:line="240" w:lineRule="auto"/>
        <w:ind w:left="720" w:hanging="11"/>
        <w:rPr>
          <w:color w:val="808080" w:themeColor="background1" w:themeShade="80"/>
          <w:sz w:val="16"/>
          <w:szCs w:val="16"/>
          <w:lang w:val="fr-FR"/>
        </w:rPr>
      </w:pPr>
      <w:r w:rsidRPr="002615F1">
        <w:rPr>
          <w:color w:val="808080" w:themeColor="background1" w:themeShade="80"/>
          <w:sz w:val="16"/>
          <w:szCs w:val="16"/>
          <w:lang w:val="fr-FR"/>
        </w:rPr>
        <w:t>Source</w:t>
      </w:r>
      <w:r w:rsidR="00D21412">
        <w:rPr>
          <w:color w:val="808080" w:themeColor="background1" w:themeShade="80"/>
          <w:sz w:val="16"/>
          <w:szCs w:val="16"/>
          <w:lang w:val="fr-FR"/>
        </w:rPr>
        <w:t> </w:t>
      </w:r>
      <w:r w:rsidR="00A241BA">
        <w:rPr>
          <w:color w:val="808080" w:themeColor="background1" w:themeShade="80"/>
          <w:sz w:val="16"/>
          <w:szCs w:val="16"/>
          <w:lang w:val="fr-FR"/>
        </w:rPr>
        <w:t>:</w:t>
      </w:r>
      <w:r w:rsidR="0082020B" w:rsidRPr="002615F1">
        <w:rPr>
          <w:color w:val="808080" w:themeColor="background1" w:themeShade="80"/>
          <w:sz w:val="16"/>
          <w:szCs w:val="16"/>
          <w:lang w:val="fr-FR"/>
        </w:rPr>
        <w:t xml:space="preserve"> </w:t>
      </w:r>
      <w:r w:rsidR="00CD11C1">
        <w:rPr>
          <w:color w:val="808080" w:themeColor="background1" w:themeShade="80"/>
          <w:sz w:val="16"/>
          <w:szCs w:val="16"/>
          <w:lang w:val="fr-FR"/>
        </w:rPr>
        <w:t xml:space="preserve">The </w:t>
      </w:r>
      <w:proofErr w:type="spellStart"/>
      <w:r w:rsidR="0082020B" w:rsidRPr="002615F1">
        <w:rPr>
          <w:color w:val="808080" w:themeColor="background1" w:themeShade="80"/>
          <w:sz w:val="16"/>
          <w:szCs w:val="16"/>
          <w:lang w:val="fr-FR"/>
        </w:rPr>
        <w:t>D</w:t>
      </w:r>
      <w:r w:rsidR="00775106">
        <w:rPr>
          <w:color w:val="808080" w:themeColor="background1" w:themeShade="80"/>
          <w:sz w:val="16"/>
          <w:szCs w:val="16"/>
          <w:lang w:val="fr-FR"/>
        </w:rPr>
        <w:t>epartment</w:t>
      </w:r>
      <w:proofErr w:type="spellEnd"/>
      <w:r w:rsidR="00775106">
        <w:rPr>
          <w:color w:val="808080" w:themeColor="background1" w:themeShade="80"/>
          <w:sz w:val="16"/>
          <w:szCs w:val="16"/>
          <w:lang w:val="fr-FR"/>
        </w:rPr>
        <w:t xml:space="preserve"> of Social Services</w:t>
      </w:r>
      <w:r w:rsidR="0082020B" w:rsidRPr="002615F1">
        <w:rPr>
          <w:color w:val="808080" w:themeColor="background1" w:themeShade="80"/>
          <w:sz w:val="16"/>
          <w:szCs w:val="16"/>
          <w:lang w:val="fr-FR"/>
        </w:rPr>
        <w:t xml:space="preserve">’ </w:t>
      </w:r>
      <w:proofErr w:type="spellStart"/>
      <w:r w:rsidR="0082020B" w:rsidRPr="002615F1">
        <w:rPr>
          <w:color w:val="808080" w:themeColor="background1" w:themeShade="80"/>
          <w:sz w:val="16"/>
          <w:szCs w:val="16"/>
          <w:lang w:val="fr-FR"/>
        </w:rPr>
        <w:t>blue</w:t>
      </w:r>
      <w:proofErr w:type="spellEnd"/>
      <w:r w:rsidR="0082020B" w:rsidRPr="002615F1">
        <w:rPr>
          <w:color w:val="808080" w:themeColor="background1" w:themeShade="80"/>
          <w:sz w:val="16"/>
          <w:szCs w:val="16"/>
          <w:lang w:val="fr-FR"/>
        </w:rPr>
        <w:t xml:space="preserve"> book</w:t>
      </w:r>
    </w:p>
    <w:p w14:paraId="0620D2B7" w14:textId="77777777" w:rsidR="002615F1" w:rsidRDefault="002615F1" w:rsidP="007A0262">
      <w:pPr>
        <w:pStyle w:val="Bullet1"/>
        <w:numPr>
          <w:ilvl w:val="0"/>
          <w:numId w:val="0"/>
        </w:numPr>
        <w:ind w:left="361"/>
      </w:pPr>
    </w:p>
    <w:p w14:paraId="63F7CA6B" w14:textId="6EEC3BBB" w:rsidR="00FA2FB4" w:rsidRDefault="00FA2FB4" w:rsidP="00FA2FB4">
      <w:pPr>
        <w:pStyle w:val="Heading2"/>
      </w:pPr>
      <w:r>
        <w:t>Methodology</w:t>
      </w:r>
    </w:p>
    <w:p w14:paraId="5BB72540" w14:textId="02580DE3" w:rsidR="003D22AF" w:rsidRDefault="00855F57" w:rsidP="00855F57">
      <w:r>
        <w:t xml:space="preserve">The </w:t>
      </w:r>
      <w:r w:rsidR="00E67754">
        <w:t>financial information</w:t>
      </w:r>
      <w:r>
        <w:t xml:space="preserve"> shown in the </w:t>
      </w:r>
      <w:r w:rsidR="00D869BE">
        <w:t>a</w:t>
      </w:r>
      <w:r>
        <w:t xml:space="preserve">ttachment tables </w:t>
      </w:r>
      <w:r w:rsidR="00E67754">
        <w:t>is</w:t>
      </w:r>
      <w:r w:rsidR="000530A8">
        <w:t xml:space="preserve"> calculated based on data provided by DEWR, </w:t>
      </w:r>
      <w:r w:rsidR="00A62256">
        <w:t>DSS</w:t>
      </w:r>
      <w:r w:rsidR="000530A8">
        <w:t xml:space="preserve"> and </w:t>
      </w:r>
      <w:r w:rsidR="008F08EF">
        <w:t xml:space="preserve">the </w:t>
      </w:r>
      <w:r w:rsidR="00A62256">
        <w:t>NIAA</w:t>
      </w:r>
      <w:r w:rsidR="000530A8">
        <w:t xml:space="preserve"> or sourced from the OECD data</w:t>
      </w:r>
      <w:r w:rsidR="00DD1146">
        <w:t xml:space="preserve"> </w:t>
      </w:r>
      <w:r w:rsidR="000530A8">
        <w:t>portal.</w:t>
      </w:r>
    </w:p>
    <w:p w14:paraId="127C41D0" w14:textId="77777777" w:rsidR="00FE3B13" w:rsidRPr="00D014E1" w:rsidRDefault="00FE3B13" w:rsidP="009B33D1">
      <w:pPr>
        <w:pStyle w:val="Heading2"/>
      </w:pPr>
      <w:r w:rsidRPr="00D014E1">
        <w:t>Data sources</w:t>
      </w:r>
    </w:p>
    <w:p w14:paraId="4C367FD5" w14:textId="2DAC953C" w:rsidR="00087777" w:rsidRDefault="00754416" w:rsidP="00754416">
      <w:r>
        <w:t xml:space="preserve">The DEWR </w:t>
      </w:r>
      <w:r w:rsidRPr="004D02AE">
        <w:t xml:space="preserve">provided </w:t>
      </w:r>
      <w:r>
        <w:t xml:space="preserve">information on their </w:t>
      </w:r>
      <w:r w:rsidR="000D3902">
        <w:t>e</w:t>
      </w:r>
      <w:r>
        <w:t xml:space="preserve">mployment services </w:t>
      </w:r>
      <w:r w:rsidR="00D15A60">
        <w:t>program</w:t>
      </w:r>
      <w:r w:rsidR="000D3902">
        <w:t>s</w:t>
      </w:r>
      <w:r w:rsidR="00D15A60">
        <w:t xml:space="preserve"> </w:t>
      </w:r>
      <w:r>
        <w:t>as at the March</w:t>
      </w:r>
      <w:r w:rsidR="008814ED">
        <w:t> </w:t>
      </w:r>
      <w:r w:rsidRPr="00621D7D">
        <w:rPr>
          <w:i/>
        </w:rPr>
        <w:t>Budget</w:t>
      </w:r>
      <w:r>
        <w:rPr>
          <w:i/>
        </w:rPr>
        <w:t> </w:t>
      </w:r>
      <w:r w:rsidRPr="00621D7D">
        <w:rPr>
          <w:i/>
        </w:rPr>
        <w:t>2022-23</w:t>
      </w:r>
      <w:r>
        <w:t xml:space="preserve"> and provided insight into the history of and current state of the </w:t>
      </w:r>
      <w:r w:rsidR="00BD393C">
        <w:t>OES</w:t>
      </w:r>
      <w:r>
        <w:t xml:space="preserve"> model and Workforce Australia.</w:t>
      </w:r>
    </w:p>
    <w:p w14:paraId="3A48DED4" w14:textId="72EC5219" w:rsidR="00BC5AB6" w:rsidRDefault="00BC5AB6" w:rsidP="00754416">
      <w:pPr>
        <w:rPr>
          <w:iCs/>
          <w:color w:val="auto"/>
        </w:rPr>
      </w:pPr>
      <w:r>
        <w:rPr>
          <w:color w:val="auto"/>
        </w:rPr>
        <w:t>The D</w:t>
      </w:r>
      <w:r w:rsidR="00A62256">
        <w:rPr>
          <w:color w:val="auto"/>
        </w:rPr>
        <w:t>SS</w:t>
      </w:r>
      <w:r>
        <w:rPr>
          <w:color w:val="auto"/>
        </w:rPr>
        <w:t xml:space="preserve"> </w:t>
      </w:r>
      <w:r w:rsidRPr="004D02AE">
        <w:rPr>
          <w:color w:val="auto"/>
        </w:rPr>
        <w:t xml:space="preserve">provided </w:t>
      </w:r>
      <w:r>
        <w:rPr>
          <w:color w:val="auto"/>
        </w:rPr>
        <w:t xml:space="preserve">information on </w:t>
      </w:r>
      <w:r w:rsidRPr="00A96E3B">
        <w:rPr>
          <w:color w:val="auto"/>
        </w:rPr>
        <w:t xml:space="preserve">Disability Employment Services </w:t>
      </w:r>
      <w:r>
        <w:rPr>
          <w:color w:val="auto"/>
        </w:rPr>
        <w:t xml:space="preserve">as at the March </w:t>
      </w:r>
      <w:r w:rsidRPr="00621D7D">
        <w:rPr>
          <w:i/>
          <w:color w:val="auto"/>
        </w:rPr>
        <w:t>Budget 2022-23</w:t>
      </w:r>
      <w:r>
        <w:rPr>
          <w:i/>
          <w:color w:val="auto"/>
        </w:rPr>
        <w:t>.</w:t>
      </w:r>
    </w:p>
    <w:p w14:paraId="38157F99" w14:textId="1BD6D035" w:rsidR="00E94465" w:rsidRDefault="00E94465" w:rsidP="00754416">
      <w:pPr>
        <w:rPr>
          <w:iCs/>
          <w:color w:val="auto"/>
        </w:rPr>
      </w:pPr>
      <w:r>
        <w:rPr>
          <w:color w:val="auto"/>
        </w:rPr>
        <w:t xml:space="preserve">The </w:t>
      </w:r>
      <w:r w:rsidR="00A62256">
        <w:rPr>
          <w:color w:val="auto"/>
        </w:rPr>
        <w:t>NIAA</w:t>
      </w:r>
      <w:r>
        <w:rPr>
          <w:color w:val="auto"/>
        </w:rPr>
        <w:t xml:space="preserve"> </w:t>
      </w:r>
      <w:r w:rsidRPr="004D02AE">
        <w:rPr>
          <w:color w:val="auto"/>
        </w:rPr>
        <w:t xml:space="preserve">provided </w:t>
      </w:r>
      <w:r>
        <w:rPr>
          <w:color w:val="auto"/>
        </w:rPr>
        <w:t>information on the Community Development</w:t>
      </w:r>
      <w:r w:rsidRPr="00A96E3B">
        <w:rPr>
          <w:color w:val="auto"/>
        </w:rPr>
        <w:t xml:space="preserve"> </w:t>
      </w:r>
      <w:r>
        <w:rPr>
          <w:color w:val="auto"/>
        </w:rPr>
        <w:t>Program</w:t>
      </w:r>
      <w:r w:rsidRPr="00A96E3B">
        <w:rPr>
          <w:color w:val="auto"/>
        </w:rPr>
        <w:t xml:space="preserve"> </w:t>
      </w:r>
      <w:r>
        <w:rPr>
          <w:color w:val="auto"/>
        </w:rPr>
        <w:t>as at the March </w:t>
      </w:r>
      <w:r w:rsidRPr="00CF3F80">
        <w:rPr>
          <w:i/>
          <w:color w:val="auto"/>
        </w:rPr>
        <w:t>Budget</w:t>
      </w:r>
      <w:r>
        <w:rPr>
          <w:i/>
          <w:iCs/>
          <w:color w:val="auto"/>
        </w:rPr>
        <w:t> </w:t>
      </w:r>
      <w:r w:rsidRPr="00CF3F80">
        <w:rPr>
          <w:i/>
          <w:color w:val="auto"/>
        </w:rPr>
        <w:t>2022-23</w:t>
      </w:r>
      <w:r>
        <w:rPr>
          <w:iCs/>
          <w:color w:val="auto"/>
        </w:rPr>
        <w:t>.</w:t>
      </w:r>
    </w:p>
    <w:p w14:paraId="25DD926C" w14:textId="29F05C5A" w:rsidR="00214256" w:rsidRDefault="00214256" w:rsidP="00754416">
      <w:pPr>
        <w:rPr>
          <w:iCs/>
          <w:color w:val="auto"/>
        </w:rPr>
      </w:pPr>
      <w:r>
        <w:rPr>
          <w:iCs/>
          <w:color w:val="auto"/>
        </w:rPr>
        <w:t xml:space="preserve">Australian Bureau of Statistics, </w:t>
      </w:r>
      <w:hyperlink r:id="rId19" w:history="1">
        <w:r w:rsidR="007A3A4E" w:rsidRPr="000A57CC">
          <w:rPr>
            <w:rStyle w:val="Hyperlink"/>
            <w:i/>
          </w:rPr>
          <w:t>Labour Force</w:t>
        </w:r>
        <w:r w:rsidR="000D1A2D" w:rsidRPr="000A57CC">
          <w:rPr>
            <w:rStyle w:val="Hyperlink"/>
            <w:i/>
          </w:rPr>
          <w:t>, Australia</w:t>
        </w:r>
      </w:hyperlink>
      <w:r w:rsidR="000D1A2D">
        <w:rPr>
          <w:iCs/>
          <w:color w:val="auto"/>
        </w:rPr>
        <w:t>, Australian Government.</w:t>
      </w:r>
    </w:p>
    <w:p w14:paraId="3ECF6CE2" w14:textId="35F87809" w:rsidR="00AC683C" w:rsidRPr="00DD638A" w:rsidRDefault="00AC683C" w:rsidP="00754416">
      <w:pPr>
        <w:rPr>
          <w:i/>
          <w:color w:val="auto"/>
        </w:rPr>
      </w:pPr>
      <w:r>
        <w:rPr>
          <w:iCs/>
          <w:color w:val="auto"/>
        </w:rPr>
        <w:t xml:space="preserve">Australian Government, </w:t>
      </w:r>
      <w:hyperlink r:id="rId20" w:history="1">
        <w:r w:rsidRPr="00DD638A">
          <w:rPr>
            <w:rStyle w:val="Hyperlink"/>
            <w:i/>
          </w:rPr>
          <w:t>Find and use public data</w:t>
        </w:r>
      </w:hyperlink>
      <w:hyperlink r:id="rId21" w:history="1">
        <w:r w:rsidR="0007780E">
          <w:rPr>
            <w:rStyle w:val="Hyperlink"/>
          </w:rPr>
          <w:t>|</w:t>
        </w:r>
        <w:r w:rsidR="0064167F">
          <w:rPr>
            <w:rStyle w:val="Hyperlink"/>
          </w:rPr>
          <w:t>data.gov.au</w:t>
        </w:r>
      </w:hyperlink>
      <w:r w:rsidR="002A2D84">
        <w:rPr>
          <w:i/>
          <w:color w:val="auto"/>
        </w:rPr>
        <w:t xml:space="preserve">, </w:t>
      </w:r>
      <w:r w:rsidR="002A2D84" w:rsidRPr="00DD638A">
        <w:rPr>
          <w:iCs/>
          <w:color w:val="auto"/>
        </w:rPr>
        <w:t>A</w:t>
      </w:r>
      <w:r w:rsidR="0064167F" w:rsidRPr="00DD638A">
        <w:rPr>
          <w:iCs/>
          <w:color w:val="auto"/>
        </w:rPr>
        <w:t>ustralia</w:t>
      </w:r>
      <w:r w:rsidR="004A6191" w:rsidRPr="00DD638A">
        <w:rPr>
          <w:iCs/>
          <w:color w:val="auto"/>
        </w:rPr>
        <w:t>n Government.</w:t>
      </w:r>
    </w:p>
    <w:p w14:paraId="3A946D80" w14:textId="109B881D" w:rsidR="00156803" w:rsidRDefault="00156803" w:rsidP="00754416">
      <w:pPr>
        <w:rPr>
          <w:iCs/>
          <w:color w:val="auto"/>
        </w:rPr>
      </w:pPr>
      <w:r>
        <w:rPr>
          <w:iCs/>
          <w:color w:val="auto"/>
        </w:rPr>
        <w:t xml:space="preserve">Australian Government, </w:t>
      </w:r>
      <w:r w:rsidR="00DD5415" w:rsidRPr="00647E87">
        <w:t>various</w:t>
      </w:r>
      <w:r w:rsidR="00DD5415" w:rsidRPr="00197FC1">
        <w:rPr>
          <w:i/>
        </w:rPr>
        <w:t xml:space="preserve"> </w:t>
      </w:r>
      <w:hyperlink r:id="rId22" w:history="1">
        <w:r w:rsidR="000F0507" w:rsidRPr="00B95041">
          <w:rPr>
            <w:rStyle w:val="Hyperlink"/>
            <w:i/>
          </w:rPr>
          <w:t xml:space="preserve">Portfolio </w:t>
        </w:r>
        <w:r w:rsidR="00DD5415" w:rsidRPr="00B95041">
          <w:rPr>
            <w:rStyle w:val="Hyperlink"/>
            <w:i/>
          </w:rPr>
          <w:t xml:space="preserve">Budget </w:t>
        </w:r>
        <w:r w:rsidR="000F0507" w:rsidRPr="00B95041">
          <w:rPr>
            <w:rStyle w:val="Hyperlink"/>
            <w:i/>
          </w:rPr>
          <w:t>Statements</w:t>
        </w:r>
      </w:hyperlink>
      <w:r w:rsidR="00DD5415">
        <w:rPr>
          <w:iCs/>
          <w:color w:val="auto"/>
        </w:rPr>
        <w:t xml:space="preserve">, </w:t>
      </w:r>
      <w:r w:rsidR="00585531">
        <w:rPr>
          <w:iCs/>
          <w:color w:val="auto"/>
        </w:rPr>
        <w:t>Australian Government.</w:t>
      </w:r>
    </w:p>
    <w:p w14:paraId="715FA56B" w14:textId="111047F7" w:rsidR="00E63379" w:rsidRPr="00DD638A" w:rsidRDefault="004C468C" w:rsidP="00754416">
      <w:r>
        <w:rPr>
          <w:color w:val="auto"/>
        </w:rPr>
        <w:t xml:space="preserve">Australian Government, </w:t>
      </w:r>
      <w:hyperlink r:id="rId23" w:history="1">
        <w:r w:rsidRPr="00F55236">
          <w:rPr>
            <w:rStyle w:val="Hyperlink"/>
            <w:i/>
          </w:rPr>
          <w:t>2021-22 Budget</w:t>
        </w:r>
        <w:r w:rsidR="00F55236">
          <w:rPr>
            <w:rStyle w:val="Hyperlink"/>
            <w:i/>
            <w:iCs/>
          </w:rPr>
          <w:t xml:space="preserve"> –</w:t>
        </w:r>
        <w:r w:rsidRPr="004C468C">
          <w:rPr>
            <w:rStyle w:val="Hyperlink"/>
          </w:rPr>
          <w:t xml:space="preserve"> </w:t>
        </w:r>
        <w:r w:rsidRPr="004C468C">
          <w:rPr>
            <w:rStyle w:val="Hyperlink"/>
            <w:i/>
            <w:iCs/>
          </w:rPr>
          <w:t>Budget Paper No. 2</w:t>
        </w:r>
      </w:hyperlink>
      <w:r w:rsidR="00F55236">
        <w:t>, Australian Government</w:t>
      </w:r>
      <w:r w:rsidR="00812BED">
        <w:t>.</w:t>
      </w:r>
      <w:r w:rsidR="00F55236">
        <w:t xml:space="preserve"> </w:t>
      </w:r>
    </w:p>
    <w:p w14:paraId="692243FD" w14:textId="6EE22334" w:rsidR="001E15B5" w:rsidRDefault="001E15B5" w:rsidP="00754416">
      <w:pPr>
        <w:rPr>
          <w:iCs/>
          <w:color w:val="auto"/>
        </w:rPr>
      </w:pPr>
      <w:r>
        <w:rPr>
          <w:color w:val="auto"/>
        </w:rPr>
        <w:t>Department of Education Skills and Employment</w:t>
      </w:r>
      <w:r w:rsidR="007F2C48">
        <w:rPr>
          <w:color w:val="auto"/>
        </w:rPr>
        <w:t xml:space="preserve"> (2019)</w:t>
      </w:r>
      <w:r>
        <w:rPr>
          <w:color w:val="auto"/>
        </w:rPr>
        <w:t xml:space="preserve">, </w:t>
      </w:r>
      <w:hyperlink r:id="rId24" w:history="1">
        <w:r w:rsidRPr="00C934D2">
          <w:rPr>
            <w:rStyle w:val="Hyperlink"/>
            <w:i/>
            <w:iCs/>
          </w:rPr>
          <w:t>New Employment Services Model - Regulation Impact Statement</w:t>
        </w:r>
      </w:hyperlink>
      <w:r>
        <w:rPr>
          <w:i/>
          <w:iCs/>
          <w:color w:val="auto"/>
        </w:rPr>
        <w:t xml:space="preserve">, </w:t>
      </w:r>
      <w:r w:rsidRPr="00933780">
        <w:rPr>
          <w:color w:val="auto"/>
        </w:rPr>
        <w:t>Australian Government</w:t>
      </w:r>
      <w:r>
        <w:rPr>
          <w:color w:val="auto"/>
        </w:rPr>
        <w:t>.</w:t>
      </w:r>
    </w:p>
    <w:p w14:paraId="61004019" w14:textId="25BB9E62" w:rsidR="009159BD" w:rsidRDefault="009159BD" w:rsidP="00754416">
      <w:pPr>
        <w:rPr>
          <w:color w:val="auto"/>
        </w:rPr>
      </w:pPr>
      <w:r>
        <w:rPr>
          <w:color w:val="auto"/>
        </w:rPr>
        <w:t>DSS,</w:t>
      </w:r>
      <w:r w:rsidR="00AE3C94">
        <w:rPr>
          <w:color w:val="auto"/>
        </w:rPr>
        <w:t xml:space="preserve"> </w:t>
      </w:r>
      <w:r>
        <w:rPr>
          <w:color w:val="auto"/>
        </w:rPr>
        <w:t>various annual reports</w:t>
      </w:r>
      <w:r w:rsidR="00411285">
        <w:rPr>
          <w:color w:val="auto"/>
        </w:rPr>
        <w:t xml:space="preserve"> including </w:t>
      </w:r>
      <w:hyperlink r:id="rId25" w:history="1">
        <w:r w:rsidR="00411285" w:rsidRPr="00411285">
          <w:rPr>
            <w:rStyle w:val="Hyperlink"/>
            <w:i/>
            <w:iCs/>
          </w:rPr>
          <w:t>Annual Report 2021-22</w:t>
        </w:r>
      </w:hyperlink>
      <w:r w:rsidR="00411285">
        <w:rPr>
          <w:color w:val="auto"/>
        </w:rPr>
        <w:t>, Australian Government.</w:t>
      </w:r>
    </w:p>
    <w:p w14:paraId="29F6B633" w14:textId="24916E99" w:rsidR="00E94465" w:rsidRPr="00E94465" w:rsidRDefault="005268A3" w:rsidP="00754416">
      <w:pPr>
        <w:rPr>
          <w:iCs/>
          <w:color w:val="auto"/>
        </w:rPr>
      </w:pPr>
      <w:r>
        <w:rPr>
          <w:color w:val="auto"/>
        </w:rPr>
        <w:t xml:space="preserve">OECD (2022), </w:t>
      </w:r>
      <w:hyperlink r:id="rId26" w:history="1">
        <w:r w:rsidRPr="00D227B1">
          <w:rPr>
            <w:rStyle w:val="Hyperlink"/>
            <w:i/>
            <w:iCs/>
          </w:rPr>
          <w:t>Public expenditure and participant stocks on LMP</w:t>
        </w:r>
      </w:hyperlink>
      <w:r w:rsidRPr="00D227B1">
        <w:rPr>
          <w:i/>
          <w:iCs/>
          <w:color w:val="auto"/>
        </w:rPr>
        <w:t>,</w:t>
      </w:r>
      <w:r>
        <w:rPr>
          <w:color w:val="auto"/>
        </w:rPr>
        <w:t xml:space="preserve"> OECD.</w:t>
      </w:r>
    </w:p>
    <w:p w14:paraId="286A06BE" w14:textId="6AC26628" w:rsidR="00236C8A" w:rsidRDefault="00236C8A" w:rsidP="00754416">
      <w:pPr>
        <w:rPr>
          <w:iCs/>
        </w:rPr>
      </w:pPr>
      <w:r>
        <w:rPr>
          <w:iCs/>
        </w:rPr>
        <w:t xml:space="preserve">Services Australia (2022), </w:t>
      </w:r>
      <w:hyperlink r:id="rId27" w:history="1">
        <w:proofErr w:type="spellStart"/>
        <w:r w:rsidR="00602D81" w:rsidRPr="00C60DE5">
          <w:rPr>
            <w:rStyle w:val="Hyperlink"/>
            <w:i/>
          </w:rPr>
          <w:t>JobSeeker</w:t>
        </w:r>
        <w:proofErr w:type="spellEnd"/>
        <w:r w:rsidR="00602D81" w:rsidRPr="00C60DE5">
          <w:rPr>
            <w:rStyle w:val="Hyperlink"/>
            <w:i/>
          </w:rPr>
          <w:t xml:space="preserve"> Payment</w:t>
        </w:r>
      </w:hyperlink>
      <w:r w:rsidR="00602D81">
        <w:rPr>
          <w:iCs/>
        </w:rPr>
        <w:t>, Australian Government.</w:t>
      </w:r>
    </w:p>
    <w:p w14:paraId="3B143BEB" w14:textId="77777777" w:rsidR="00236C8A" w:rsidRDefault="00236C8A" w:rsidP="00754416">
      <w:pPr>
        <w:rPr>
          <w:iCs/>
        </w:rPr>
      </w:pPr>
    </w:p>
    <w:p w14:paraId="3C597528" w14:textId="36B0CF82" w:rsidR="00E94465" w:rsidRPr="00E94465" w:rsidRDefault="00E94465" w:rsidP="00754416">
      <w:pPr>
        <w:rPr>
          <w:iCs/>
        </w:rPr>
        <w:sectPr w:rsidR="00E94465" w:rsidRPr="00E94465" w:rsidSect="007C4069">
          <w:headerReference w:type="even" r:id="rId28"/>
          <w:headerReference w:type="default" r:id="rId29"/>
          <w:footerReference w:type="even" r:id="rId30"/>
          <w:footerReference w:type="default" r:id="rId31"/>
          <w:headerReference w:type="first" r:id="rId32"/>
          <w:footerReference w:type="first" r:id="rId33"/>
          <w:pgSz w:w="11907" w:h="16839" w:code="9"/>
          <w:pgMar w:top="907" w:right="1418" w:bottom="1134" w:left="1418" w:header="284" w:footer="454" w:gutter="0"/>
          <w:pgNumType w:start="1"/>
          <w:cols w:space="708"/>
          <w:formProt w:val="0"/>
          <w:titlePg/>
          <w:docGrid w:linePitch="360"/>
        </w:sectPr>
      </w:pPr>
    </w:p>
    <w:p w14:paraId="4EF061D6" w14:textId="61A46E31" w:rsidR="00087777" w:rsidRDefault="00EA1AD9" w:rsidP="00087777">
      <w:pPr>
        <w:pStyle w:val="Heading8"/>
        <w:spacing w:before="240" w:after="120"/>
      </w:pPr>
      <w:r>
        <w:rPr>
          <w:noProof/>
        </w:rPr>
        <w:lastRenderedPageBreak/>
        <w:fldChar w:fldCharType="begin"/>
      </w:r>
      <w:r>
        <w:rPr>
          <w:noProof/>
        </w:rPr>
        <w:instrText xml:space="preserve"> STYLEREF  "Name of proposal"  \* MERGEFORMAT </w:instrText>
      </w:r>
      <w:r>
        <w:rPr>
          <w:noProof/>
        </w:rPr>
        <w:fldChar w:fldCharType="separate"/>
      </w:r>
      <w:r w:rsidR="005E499A">
        <w:rPr>
          <w:noProof/>
        </w:rPr>
        <w:t>Expenditure on employment services</w:t>
      </w:r>
      <w:r>
        <w:rPr>
          <w:noProof/>
        </w:rPr>
        <w:fldChar w:fldCharType="end"/>
      </w:r>
      <w:r w:rsidR="00087777">
        <w:t xml:space="preserve"> </w:t>
      </w:r>
      <w:r>
        <w:t>– financial im</w:t>
      </w:r>
      <w:r w:rsidR="004E377D">
        <w:t>pacts</w:t>
      </w:r>
    </w:p>
    <w:p w14:paraId="546E6351" w14:textId="510841D8" w:rsidR="0058576C" w:rsidRDefault="0058576C" w:rsidP="0058576C">
      <w:pPr>
        <w:pStyle w:val="Caption"/>
        <w:widowControl w:val="0"/>
        <w:tabs>
          <w:tab w:val="left" w:pos="9356"/>
        </w:tabs>
        <w:rPr>
          <w:vertAlign w:val="superscript"/>
        </w:rPr>
      </w:pPr>
      <w:r w:rsidRPr="002D239A">
        <w:t xml:space="preserve">Table </w:t>
      </w:r>
      <w:r>
        <w:rPr>
          <w:noProof/>
        </w:rPr>
        <w:fldChar w:fldCharType="begin"/>
      </w:r>
      <w:r>
        <w:rPr>
          <w:noProof/>
        </w:rPr>
        <w:instrText xml:space="preserve"> STYLEREF 8 \s </w:instrText>
      </w:r>
      <w:r>
        <w:rPr>
          <w:noProof/>
        </w:rPr>
        <w:fldChar w:fldCharType="separate"/>
      </w:r>
      <w:r w:rsidR="005E499A">
        <w:rPr>
          <w:noProof/>
        </w:rPr>
        <w:t>A</w:t>
      </w:r>
      <w:r>
        <w:rPr>
          <w:noProof/>
        </w:rPr>
        <w:fldChar w:fldCharType="end"/>
      </w:r>
      <w:r>
        <w:rPr>
          <w:noProof/>
        </w:rPr>
        <w:fldChar w:fldCharType="begin"/>
      </w:r>
      <w:r>
        <w:rPr>
          <w:noProof/>
        </w:rPr>
        <w:instrText xml:space="preserve"> SEQ AppendixTable\s 8 </w:instrText>
      </w:r>
      <w:r>
        <w:rPr>
          <w:noProof/>
        </w:rPr>
        <w:fldChar w:fldCharType="separate"/>
      </w:r>
      <w:r w:rsidR="005E499A">
        <w:rPr>
          <w:noProof/>
        </w:rPr>
        <w:t>1</w:t>
      </w:r>
      <w:r>
        <w:rPr>
          <w:noProof/>
        </w:rPr>
        <w:fldChar w:fldCharType="end"/>
      </w:r>
      <w:r w:rsidRPr="002D239A">
        <w:t xml:space="preserve">: </w:t>
      </w:r>
      <w:r>
        <w:rPr>
          <w:noProof/>
        </w:rPr>
        <w:fldChar w:fldCharType="begin"/>
      </w:r>
      <w:r>
        <w:rPr>
          <w:noProof/>
        </w:rPr>
        <w:instrText xml:space="preserve"> STYLEREF  "Name of Proposal"  \* MERGEFORMAT </w:instrText>
      </w:r>
      <w:r>
        <w:rPr>
          <w:noProof/>
        </w:rPr>
        <w:fldChar w:fldCharType="separate"/>
      </w:r>
      <w:r w:rsidR="005E499A">
        <w:rPr>
          <w:noProof/>
        </w:rPr>
        <w:t>Expenditure on employment services</w:t>
      </w:r>
      <w:r>
        <w:rPr>
          <w:noProof/>
        </w:rPr>
        <w:fldChar w:fldCharType="end"/>
      </w:r>
      <w:r>
        <w:rPr>
          <w:noProof/>
        </w:rPr>
        <w:t xml:space="preserve"> – aggregate </w:t>
      </w:r>
      <w:r w:rsidR="007E12BA">
        <w:rPr>
          <w:noProof/>
        </w:rPr>
        <w:t>expenditure (</w:t>
      </w:r>
      <w:r>
        <w:rPr>
          <w:noProof/>
        </w:rPr>
        <w:t>level</w:t>
      </w:r>
      <w:r>
        <w:t xml:space="preserve"> </w:t>
      </w:r>
      <w:r w:rsidR="00BC2DBE">
        <w:t xml:space="preserve">and </w:t>
      </w:r>
      <w:r w:rsidR="00444B86">
        <w:t xml:space="preserve">as </w:t>
      </w:r>
      <w:r>
        <w:t>a</w:t>
      </w:r>
      <w:r w:rsidR="00444B86">
        <w:t xml:space="preserve"> </w:t>
      </w:r>
      <w:r>
        <w:t>share of GDP)</w:t>
      </w:r>
      <w:r>
        <w:rPr>
          <w:vertAlign w:val="superscript"/>
        </w:rPr>
        <w:t>(a)</w:t>
      </w:r>
    </w:p>
    <w:p w14:paraId="29E4FF81" w14:textId="6B78ACF5" w:rsidR="0058576C" w:rsidRDefault="003D3105" w:rsidP="0058576C">
      <w:pPr>
        <w:pStyle w:val="PRRfootnote1"/>
        <w:rPr>
          <w:color w:val="FF0000"/>
        </w:rPr>
      </w:pPr>
      <w:r>
        <w:rPr>
          <w:color w:val="FF0000"/>
        </w:rPr>
        <w:object w:dxaOrig="14760" w:dyaOrig="1140" w14:anchorId="0F901A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1.55pt;height:57.85pt" o:ole="">
            <v:imagedata r:id="rId34" o:title=""/>
          </v:shape>
          <o:OLEObject Type="Embed" ProgID="Excel.Sheet.12" ShapeID="_x0000_i1025" DrawAspect="Content" ObjectID="_1739194650" r:id="rId35"/>
        </w:object>
      </w:r>
    </w:p>
    <w:p w14:paraId="72EC95DC" w14:textId="036CE95E" w:rsidR="0058576C" w:rsidRDefault="0058576C" w:rsidP="0058576C">
      <w:pPr>
        <w:pStyle w:val="PRRfootnote2"/>
      </w:pPr>
      <w:r w:rsidRPr="00CD1811">
        <w:t>(a)</w:t>
      </w:r>
      <w:r w:rsidRPr="00CD1811">
        <w:tab/>
      </w:r>
      <w:r>
        <w:t xml:space="preserve">Figures </w:t>
      </w:r>
      <w:r w:rsidR="00314307">
        <w:t>were provided by the D</w:t>
      </w:r>
      <w:r w:rsidR="00A62256">
        <w:t>EWR</w:t>
      </w:r>
      <w:r w:rsidR="00314307">
        <w:t>, the D</w:t>
      </w:r>
      <w:r w:rsidR="00A62256">
        <w:t>SS</w:t>
      </w:r>
      <w:r w:rsidR="00314307">
        <w:t xml:space="preserve"> and the N</w:t>
      </w:r>
      <w:r w:rsidR="00A62256">
        <w:t>IAA</w:t>
      </w:r>
      <w:r w:rsidRPr="00816E26">
        <w:t xml:space="preserve">. </w:t>
      </w:r>
      <w:r w:rsidR="00AC241C">
        <w:t xml:space="preserve">Figures for the 2022-23 financial year are as at the March </w:t>
      </w:r>
      <w:r w:rsidR="00AC241C">
        <w:rPr>
          <w:i/>
          <w:iCs/>
        </w:rPr>
        <w:t>Budget 2022-23</w:t>
      </w:r>
      <w:r w:rsidR="00AC241C" w:rsidRPr="00816E26">
        <w:t xml:space="preserve">. </w:t>
      </w:r>
      <w:r w:rsidR="00AC241C" w:rsidRPr="00CD1811">
        <w:t xml:space="preserve"> </w:t>
      </w:r>
      <w:r w:rsidRPr="00CD1811">
        <w:t xml:space="preserve"> </w:t>
      </w:r>
    </w:p>
    <w:bookmarkEnd w:id="0"/>
    <w:p w14:paraId="444B5F34" w14:textId="13FE8ED7" w:rsidR="00BE69BC" w:rsidRDefault="00BE69BC">
      <w:pPr>
        <w:pStyle w:val="Caption"/>
        <w:widowControl w:val="0"/>
        <w:tabs>
          <w:tab w:val="left" w:pos="9356"/>
        </w:tabs>
        <w:rPr>
          <w:vertAlign w:val="superscript"/>
        </w:rPr>
      </w:pPr>
      <w:r w:rsidRPr="002D239A">
        <w:t xml:space="preserve">Table </w:t>
      </w:r>
      <w:r>
        <w:rPr>
          <w:noProof/>
        </w:rPr>
        <w:fldChar w:fldCharType="begin"/>
      </w:r>
      <w:r>
        <w:rPr>
          <w:noProof/>
        </w:rPr>
        <w:instrText xml:space="preserve"> STYLEREF 8 \s </w:instrText>
      </w:r>
      <w:r>
        <w:rPr>
          <w:noProof/>
        </w:rPr>
        <w:fldChar w:fldCharType="separate"/>
      </w:r>
      <w:r w:rsidR="005E499A">
        <w:rPr>
          <w:noProof/>
        </w:rPr>
        <w:t>A</w:t>
      </w:r>
      <w:r>
        <w:rPr>
          <w:noProof/>
        </w:rPr>
        <w:fldChar w:fldCharType="end"/>
      </w:r>
      <w:r>
        <w:rPr>
          <w:noProof/>
        </w:rPr>
        <w:fldChar w:fldCharType="begin"/>
      </w:r>
      <w:r>
        <w:rPr>
          <w:noProof/>
        </w:rPr>
        <w:instrText xml:space="preserve"> SEQ AppendixTable\s 8 </w:instrText>
      </w:r>
      <w:r>
        <w:rPr>
          <w:noProof/>
        </w:rPr>
        <w:fldChar w:fldCharType="separate"/>
      </w:r>
      <w:r w:rsidR="005E499A">
        <w:rPr>
          <w:noProof/>
        </w:rPr>
        <w:t>2</w:t>
      </w:r>
      <w:r>
        <w:rPr>
          <w:noProof/>
        </w:rPr>
        <w:fldChar w:fldCharType="end"/>
      </w:r>
      <w:r w:rsidRPr="002D239A">
        <w:t xml:space="preserve">: </w:t>
      </w:r>
      <w:r>
        <w:rPr>
          <w:noProof/>
        </w:rPr>
        <w:fldChar w:fldCharType="begin"/>
      </w:r>
      <w:r>
        <w:rPr>
          <w:noProof/>
        </w:rPr>
        <w:instrText xml:space="preserve"> STYLEREF  "Name of Proposal"  \* MERGEFORMAT </w:instrText>
      </w:r>
      <w:r>
        <w:rPr>
          <w:noProof/>
        </w:rPr>
        <w:fldChar w:fldCharType="separate"/>
      </w:r>
      <w:r w:rsidR="005E499A">
        <w:rPr>
          <w:noProof/>
        </w:rPr>
        <w:t>Expenditure on employment services</w:t>
      </w:r>
      <w:r>
        <w:rPr>
          <w:noProof/>
        </w:rPr>
        <w:fldChar w:fldCharType="end"/>
      </w:r>
      <w:r w:rsidR="0058576C">
        <w:rPr>
          <w:noProof/>
        </w:rPr>
        <w:t xml:space="preserve"> – </w:t>
      </w:r>
      <w:r w:rsidR="00E77B23">
        <w:rPr>
          <w:noProof/>
        </w:rPr>
        <w:t>expenditure</w:t>
      </w:r>
      <w:r>
        <w:t xml:space="preserve"> </w:t>
      </w:r>
      <w:r w:rsidR="00A215D9">
        <w:t xml:space="preserve">for selected programs </w:t>
      </w:r>
      <w:r>
        <w:t>($m)</w:t>
      </w:r>
      <w:r>
        <w:rPr>
          <w:vertAlign w:val="superscript"/>
        </w:rPr>
        <w:t>(a)</w:t>
      </w:r>
    </w:p>
    <w:p w14:paraId="70295585" w14:textId="5F381F7B" w:rsidR="004E377D" w:rsidRDefault="00F12BB3">
      <w:pPr>
        <w:pStyle w:val="PRRfootnote1"/>
        <w:rPr>
          <w:color w:val="FF0000"/>
        </w:rPr>
      </w:pPr>
      <w:r>
        <w:rPr>
          <w:color w:val="FF0000"/>
        </w:rPr>
        <w:object w:dxaOrig="14760" w:dyaOrig="5940" w14:anchorId="071C8BD3">
          <v:shape id="_x0000_i1026" type="#_x0000_t75" style="width:741.55pt;height:295.4pt" o:ole="">
            <v:imagedata r:id="rId36" o:title=""/>
          </v:shape>
          <o:OLEObject Type="Embed" ProgID="Excel.Sheet.12" ShapeID="_x0000_i1026" DrawAspect="Content" ObjectID="_1739194651" r:id="rId37"/>
        </w:object>
      </w:r>
    </w:p>
    <w:p w14:paraId="4A7D7F75" w14:textId="7512232C" w:rsidR="00D30485" w:rsidRDefault="00F90669">
      <w:pPr>
        <w:pStyle w:val="PRRfootnote1"/>
        <w:rPr>
          <w:color w:val="FF0000"/>
        </w:rPr>
      </w:pPr>
      <w:r>
        <w:rPr>
          <w:color w:val="FF0000"/>
        </w:rPr>
        <w:object w:dxaOrig="14760" w:dyaOrig="4140" w14:anchorId="26ADD3B0">
          <v:shape id="_x0000_i1027" type="#_x0000_t75" style="width:741.55pt;height:208.6pt" o:ole="">
            <v:imagedata r:id="rId38" o:title=""/>
          </v:shape>
          <o:OLEObject Type="Embed" ProgID="Excel.Sheet.12" ShapeID="_x0000_i1027" DrawAspect="Content" ObjectID="_1739194652" r:id="rId39"/>
        </w:object>
      </w:r>
    </w:p>
    <w:p w14:paraId="297BC9A6" w14:textId="3FC9A7C8" w:rsidR="00BE69BC" w:rsidRDefault="00BE69BC">
      <w:pPr>
        <w:pStyle w:val="PRRfootnote2"/>
      </w:pPr>
      <w:r w:rsidRPr="00CD1811">
        <w:t>(a)</w:t>
      </w:r>
      <w:r w:rsidRPr="00CD1811">
        <w:tab/>
      </w:r>
      <w:r w:rsidR="001770CE">
        <w:t>Figures for</w:t>
      </w:r>
      <w:r w:rsidR="005B6335">
        <w:t xml:space="preserve"> </w:t>
      </w:r>
      <w:r w:rsidR="008423CF">
        <w:t>2017-18 to 2021-22 were</w:t>
      </w:r>
      <w:r w:rsidR="005B6335">
        <w:t xml:space="preserve"> provided by the D</w:t>
      </w:r>
      <w:r w:rsidR="00A862F4">
        <w:t xml:space="preserve">EWR, </w:t>
      </w:r>
      <w:r w:rsidR="005B6335">
        <w:t xml:space="preserve">the </w:t>
      </w:r>
      <w:r w:rsidR="00A862F4">
        <w:t>DSS</w:t>
      </w:r>
      <w:r w:rsidR="005B6335">
        <w:t xml:space="preserve"> and the </w:t>
      </w:r>
      <w:r w:rsidR="000F0220">
        <w:t>NIAA</w:t>
      </w:r>
      <w:r w:rsidR="00A75F48">
        <w:t xml:space="preserve"> and based on portfolio </w:t>
      </w:r>
      <w:r w:rsidR="00CC52DA">
        <w:t>budget</w:t>
      </w:r>
      <w:r w:rsidR="00A75F48">
        <w:t xml:space="preserve"> statements</w:t>
      </w:r>
      <w:r w:rsidR="005B6335">
        <w:t xml:space="preserve">. </w:t>
      </w:r>
      <w:r w:rsidR="007C1830">
        <w:t xml:space="preserve">Figures for the 2022-23 financial year are as at the March </w:t>
      </w:r>
      <w:r w:rsidR="007C1830">
        <w:rPr>
          <w:i/>
          <w:iCs/>
        </w:rPr>
        <w:t>Budget 2022-23</w:t>
      </w:r>
      <w:r w:rsidRPr="00816E26">
        <w:t xml:space="preserve">. </w:t>
      </w:r>
      <w:r w:rsidRPr="00CD1811">
        <w:t xml:space="preserve"> </w:t>
      </w:r>
    </w:p>
    <w:p w14:paraId="41D332E5" w14:textId="780D165A" w:rsidR="00A4113B" w:rsidRDefault="00D77A35" w:rsidP="007F6921">
      <w:pPr>
        <w:pStyle w:val="PRRfootnote2"/>
      </w:pPr>
      <w:r>
        <w:t>(b)</w:t>
      </w:r>
      <w:r>
        <w:tab/>
      </w:r>
      <w:r w:rsidR="00530A74" w:rsidRPr="00530A74">
        <w:t xml:space="preserve">Figures comprise </w:t>
      </w:r>
      <w:r w:rsidR="00530A74">
        <w:t xml:space="preserve">the </w:t>
      </w:r>
      <w:r w:rsidR="00530A74" w:rsidRPr="00530A74">
        <w:rPr>
          <w:i/>
          <w:iCs/>
        </w:rPr>
        <w:t>Employer Assistance and Other Services</w:t>
      </w:r>
      <w:r w:rsidR="00A3219A">
        <w:t xml:space="preserve"> component</w:t>
      </w:r>
      <w:r w:rsidR="008F3092">
        <w:t xml:space="preserve"> </w:t>
      </w:r>
      <w:r w:rsidR="001B27D9">
        <w:t>under</w:t>
      </w:r>
      <w:r w:rsidR="008F3092">
        <w:t xml:space="preserve"> employment services</w:t>
      </w:r>
      <w:r w:rsidR="001B27D9">
        <w:t xml:space="preserve"> within </w:t>
      </w:r>
      <w:r w:rsidR="00C523A1">
        <w:t>Program</w:t>
      </w:r>
      <w:r w:rsidR="001B27D9">
        <w:t xml:space="preserve"> 3</w:t>
      </w:r>
      <w:r w:rsidR="00530804">
        <w:t>.1.</w:t>
      </w:r>
      <w:r w:rsidR="00C73EDB">
        <w:t>1</w:t>
      </w:r>
      <w:r w:rsidR="00530804">
        <w:t>.</w:t>
      </w:r>
    </w:p>
    <w:p w14:paraId="1112CDFE" w14:textId="3EE90ABE" w:rsidR="00E67291" w:rsidRDefault="00E67291" w:rsidP="007F6921">
      <w:pPr>
        <w:pStyle w:val="PRRfootnote2"/>
      </w:pPr>
      <w:r>
        <w:t>(c)</w:t>
      </w:r>
      <w:r>
        <w:tab/>
      </w:r>
      <w:r w:rsidR="00DB352D" w:rsidRPr="00DB352D">
        <w:t>The departmental total is for the equivalent employment services outcome for each financial year, noting the scope of the outcome differs across each financial year. Further information can be found in the relevant financial year's Annual Report</w:t>
      </w:r>
      <w:r w:rsidR="00DB352D">
        <w:t xml:space="preserve"> for Program 4.1</w:t>
      </w:r>
      <w:r w:rsidR="00DB352D" w:rsidRPr="00DB352D">
        <w:t>.</w:t>
      </w:r>
      <w:r w:rsidR="007445E9">
        <w:t xml:space="preserve"> For the 2022-23 </w:t>
      </w:r>
      <w:r w:rsidR="000F0220">
        <w:t>financial</w:t>
      </w:r>
      <w:r w:rsidR="007445E9">
        <w:t xml:space="preserve"> year, d</w:t>
      </w:r>
      <w:r w:rsidR="00E964EF">
        <w:t>epartmental appropriation splits and total</w:t>
      </w:r>
      <w:r w:rsidR="00E165E0">
        <w:t>s</w:t>
      </w:r>
      <w:r w:rsidR="00E964EF">
        <w:t xml:space="preserve"> </w:t>
      </w:r>
      <w:r w:rsidR="00D022A5">
        <w:t xml:space="preserve">for </w:t>
      </w:r>
      <w:r w:rsidR="00E964EF">
        <w:t>are</w:t>
      </w:r>
      <w:r w:rsidR="00BD0FCE">
        <w:t xml:space="preserve"> indicative estimates</w:t>
      </w:r>
      <w:r w:rsidR="00B90C6F">
        <w:t xml:space="preserve"> by the Department of Employment and Workplace Relations</w:t>
      </w:r>
      <w:r w:rsidR="002D51F5">
        <w:t xml:space="preserve"> </w:t>
      </w:r>
      <w:r w:rsidR="002D51F5" w:rsidRPr="002D51F5">
        <w:t xml:space="preserve">and may change </w:t>
      </w:r>
      <w:proofErr w:type="gramStart"/>
      <w:r w:rsidR="002D51F5" w:rsidRPr="002D51F5">
        <w:t>in the course of</w:t>
      </w:r>
      <w:proofErr w:type="gramEnd"/>
      <w:r w:rsidR="002D51F5" w:rsidRPr="002D51F5">
        <w:t xml:space="preserve"> the budget year as government priorities change</w:t>
      </w:r>
      <w:r w:rsidR="00B90C6F">
        <w:t>.</w:t>
      </w:r>
      <w:r w:rsidR="00D65E27">
        <w:t xml:space="preserve"> </w:t>
      </w:r>
      <w:r w:rsidR="00D65E27" w:rsidRPr="00D65E27">
        <w:t xml:space="preserve">Figures are provided at the </w:t>
      </w:r>
      <w:r w:rsidR="00B751A7">
        <w:t>outcome</w:t>
      </w:r>
      <w:r w:rsidR="00DA4910">
        <w:t xml:space="preserve"> </w:t>
      </w:r>
      <w:r w:rsidR="00D65E27" w:rsidRPr="00D65E27">
        <w:t>level and include corporate resourcing and corporate overheads, including depreciation, property, leasing and IT costs. In addition, these disclosures include impairments and actuarial adjustments to the department</w:t>
      </w:r>
      <w:r w:rsidR="00D65E27">
        <w:t>’s</w:t>
      </w:r>
      <w:r w:rsidR="00D65E27" w:rsidRPr="00D65E27">
        <w:t xml:space="preserve"> balance sheet in accordance with applicable accounting standards.</w:t>
      </w:r>
    </w:p>
    <w:p w14:paraId="336FD578" w14:textId="6A100BAF" w:rsidR="00D77A35" w:rsidRPr="00CD1811" w:rsidRDefault="00A4113B">
      <w:pPr>
        <w:pStyle w:val="PRRfootnote2"/>
      </w:pPr>
      <w:r>
        <w:t>(</w:t>
      </w:r>
      <w:r w:rsidR="00E67291">
        <w:t>d</w:t>
      </w:r>
      <w:r w:rsidR="00D77A35">
        <w:t>)</w:t>
      </w:r>
      <w:r w:rsidR="00D77A35">
        <w:tab/>
      </w:r>
      <w:r w:rsidR="009C3BC8">
        <w:t>D</w:t>
      </w:r>
      <w:r w:rsidR="00D77A35">
        <w:t xml:space="preserve">epartmental expenses </w:t>
      </w:r>
      <w:r w:rsidR="00F40BC2">
        <w:t xml:space="preserve">for </w:t>
      </w:r>
      <w:r w:rsidR="00D77A35">
        <w:t>DSS are estimate</w:t>
      </w:r>
      <w:r w:rsidR="00EC7CF1">
        <w:t>s</w:t>
      </w:r>
      <w:r w:rsidR="00D77A35">
        <w:t xml:space="preserve"> by the PBO</w:t>
      </w:r>
      <w:r w:rsidR="006B7D58">
        <w:t xml:space="preserve">, informed by </w:t>
      </w:r>
      <w:r w:rsidR="00275C38" w:rsidRPr="00275C38">
        <w:t xml:space="preserve">the administered </w:t>
      </w:r>
      <w:r w:rsidR="003E78CD">
        <w:t>to departmental</w:t>
      </w:r>
      <w:r w:rsidR="00275C38" w:rsidRPr="00275C38">
        <w:t xml:space="preserve"> expenses </w:t>
      </w:r>
      <w:r w:rsidR="003E78CD">
        <w:t>ratios</w:t>
      </w:r>
      <w:r w:rsidR="00275C38" w:rsidRPr="00275C38">
        <w:t xml:space="preserve"> for </w:t>
      </w:r>
      <w:r w:rsidR="00FA1920">
        <w:t xml:space="preserve">all </w:t>
      </w:r>
      <w:r w:rsidR="00275C38" w:rsidRPr="00275C38">
        <w:t>Outcome 3 program</w:t>
      </w:r>
      <w:r w:rsidR="003E78CD">
        <w:t>s</w:t>
      </w:r>
      <w:r w:rsidR="008747EB">
        <w:t xml:space="preserve"> </w:t>
      </w:r>
      <w:r w:rsidR="003F0B3A">
        <w:t xml:space="preserve">after </w:t>
      </w:r>
      <w:r w:rsidR="00FA1920">
        <w:t>subtracting</w:t>
      </w:r>
      <w:r w:rsidR="009D0F14">
        <w:t xml:space="preserve"> the</w:t>
      </w:r>
      <w:r w:rsidR="00C72476">
        <w:t xml:space="preserve"> admini</w:t>
      </w:r>
      <w:r w:rsidR="009D0F14">
        <w:t>stered funds for the National Disability Insurance Scheme</w:t>
      </w:r>
      <w:r w:rsidR="00D50A64">
        <w:t xml:space="preserve"> as</w:t>
      </w:r>
      <w:r w:rsidR="003F0B3A">
        <w:t xml:space="preserve"> </w:t>
      </w:r>
      <w:r w:rsidR="008747EB">
        <w:t>published</w:t>
      </w:r>
      <w:r w:rsidR="005F1727">
        <w:t xml:space="preserve"> in </w:t>
      </w:r>
      <w:r w:rsidR="001C5DD3">
        <w:t xml:space="preserve">the </w:t>
      </w:r>
      <w:r w:rsidR="005F1727">
        <w:t>DSS 2022-23 Portfolio Budget Statements</w:t>
      </w:r>
      <w:r w:rsidR="00C35777">
        <w:t xml:space="preserve"> and </w:t>
      </w:r>
      <w:r w:rsidR="00C90420">
        <w:t xml:space="preserve">actuals from </w:t>
      </w:r>
      <w:r w:rsidR="00C35777">
        <w:t>earlier years</w:t>
      </w:r>
      <w:r w:rsidR="00275C38" w:rsidRPr="00275C38">
        <w:t>.</w:t>
      </w:r>
    </w:p>
    <w:p w14:paraId="56FAB751" w14:textId="04A6F210" w:rsidR="00BE69BC" w:rsidRDefault="00BE69BC" w:rsidP="0091671D">
      <w:pPr>
        <w:pStyle w:val="PRRfootnote2"/>
        <w:numPr>
          <w:ilvl w:val="0"/>
          <w:numId w:val="45"/>
        </w:numPr>
        <w:ind w:left="284" w:hanging="284"/>
      </w:pPr>
      <w:r w:rsidRPr="00CD1811">
        <w:t>Indicates nil.</w:t>
      </w:r>
    </w:p>
    <w:p w14:paraId="6CB646B1" w14:textId="418B0305" w:rsidR="00AA03F5" w:rsidRDefault="00DA3265" w:rsidP="00AA03F5">
      <w:pPr>
        <w:pStyle w:val="Caption"/>
        <w:widowControl w:val="0"/>
        <w:tabs>
          <w:tab w:val="left" w:pos="9356"/>
        </w:tabs>
        <w:rPr>
          <w:vertAlign w:val="superscript"/>
        </w:rPr>
      </w:pPr>
      <w:r>
        <w:br w:type="page"/>
      </w:r>
      <w:r w:rsidR="00AA03F5" w:rsidRPr="002D239A">
        <w:lastRenderedPageBreak/>
        <w:t xml:space="preserve">Table </w:t>
      </w:r>
      <w:r w:rsidR="00AA03F5">
        <w:rPr>
          <w:noProof/>
        </w:rPr>
        <w:fldChar w:fldCharType="begin"/>
      </w:r>
      <w:r w:rsidR="00AA03F5">
        <w:rPr>
          <w:noProof/>
        </w:rPr>
        <w:instrText xml:space="preserve"> STYLEREF 8 \s </w:instrText>
      </w:r>
      <w:r w:rsidR="00AA03F5">
        <w:rPr>
          <w:noProof/>
        </w:rPr>
        <w:fldChar w:fldCharType="separate"/>
      </w:r>
      <w:r w:rsidR="005E499A">
        <w:rPr>
          <w:noProof/>
        </w:rPr>
        <w:t>A</w:t>
      </w:r>
      <w:r w:rsidR="00AA03F5">
        <w:rPr>
          <w:noProof/>
        </w:rPr>
        <w:fldChar w:fldCharType="end"/>
      </w:r>
      <w:r w:rsidR="00AA03F5">
        <w:rPr>
          <w:noProof/>
        </w:rPr>
        <w:fldChar w:fldCharType="begin"/>
      </w:r>
      <w:r w:rsidR="00AA03F5">
        <w:rPr>
          <w:noProof/>
        </w:rPr>
        <w:instrText xml:space="preserve"> SEQ AppendixTable\s 8 </w:instrText>
      </w:r>
      <w:r w:rsidR="00AA03F5">
        <w:rPr>
          <w:noProof/>
        </w:rPr>
        <w:fldChar w:fldCharType="separate"/>
      </w:r>
      <w:r w:rsidR="005E499A">
        <w:rPr>
          <w:noProof/>
        </w:rPr>
        <w:t>3</w:t>
      </w:r>
      <w:r w:rsidR="00AA03F5">
        <w:rPr>
          <w:noProof/>
        </w:rPr>
        <w:fldChar w:fldCharType="end"/>
      </w:r>
      <w:r w:rsidR="00AA03F5" w:rsidRPr="002D239A">
        <w:t xml:space="preserve">: </w:t>
      </w:r>
      <w:r w:rsidR="00AA03F5">
        <w:rPr>
          <w:noProof/>
        </w:rPr>
        <w:fldChar w:fldCharType="begin"/>
      </w:r>
      <w:r w:rsidR="00AA03F5">
        <w:rPr>
          <w:noProof/>
        </w:rPr>
        <w:instrText xml:space="preserve"> STYLEREF  "Name of Proposal"  \* MERGEFORMAT </w:instrText>
      </w:r>
      <w:r w:rsidR="00AA03F5">
        <w:rPr>
          <w:noProof/>
        </w:rPr>
        <w:fldChar w:fldCharType="separate"/>
      </w:r>
      <w:r w:rsidR="005E499A">
        <w:rPr>
          <w:noProof/>
        </w:rPr>
        <w:t>Expenditure on employment services</w:t>
      </w:r>
      <w:r w:rsidR="00AA03F5">
        <w:rPr>
          <w:noProof/>
        </w:rPr>
        <w:fldChar w:fldCharType="end"/>
      </w:r>
      <w:r w:rsidR="00AA03F5">
        <w:t xml:space="preserve"> – </w:t>
      </w:r>
      <w:r w:rsidR="00F008E6">
        <w:t>S</w:t>
      </w:r>
      <w:r w:rsidR="00AA03F5">
        <w:t xml:space="preserve">elected Australian Government employment programs and whether they </w:t>
      </w:r>
      <w:r w:rsidR="00132D5D">
        <w:t xml:space="preserve">are intended to </w:t>
      </w:r>
      <w:r w:rsidR="00AA03F5">
        <w:t>support the long-term unemployed</w:t>
      </w:r>
      <w:r w:rsidR="00AA03F5">
        <w:rPr>
          <w:vertAlign w:val="superscript"/>
        </w:rPr>
        <w:t>(a)</w:t>
      </w:r>
    </w:p>
    <w:p w14:paraId="27C2EC0A" w14:textId="54592A8F" w:rsidR="00AA03F5" w:rsidRPr="00E87B51" w:rsidRDefault="00310695" w:rsidP="00AA03F5">
      <w:r>
        <w:object w:dxaOrig="14685" w:dyaOrig="5040" w14:anchorId="7BC29061">
          <v:shape id="_x0000_i1028" type="#_x0000_t75" style="width:734.15pt;height:252.3pt" o:ole="">
            <v:imagedata r:id="rId40" o:title=""/>
          </v:shape>
          <o:OLEObject Type="Embed" ProgID="Excel.Sheet.12" ShapeID="_x0000_i1028" DrawAspect="Content" ObjectID="_1739194653" r:id="rId41"/>
        </w:object>
      </w:r>
    </w:p>
    <w:p w14:paraId="2937D85B" w14:textId="77FC50F3" w:rsidR="00305565" w:rsidRDefault="00305565" w:rsidP="00305565">
      <w:pPr>
        <w:pStyle w:val="PRRfootnote2"/>
        <w:spacing w:line="240" w:lineRule="auto"/>
      </w:pPr>
      <w:r w:rsidRPr="00CD1811">
        <w:t>(a)</w:t>
      </w:r>
      <w:r w:rsidRPr="00CD1811">
        <w:tab/>
      </w:r>
      <w:r>
        <w:t xml:space="preserve">Data </w:t>
      </w:r>
      <w:r w:rsidR="0047202D">
        <w:t xml:space="preserve">was </w:t>
      </w:r>
      <w:r>
        <w:t xml:space="preserve">provided by the </w:t>
      </w:r>
      <w:r w:rsidR="000F0220">
        <w:t>DEWR</w:t>
      </w:r>
      <w:r>
        <w:t xml:space="preserve">, </w:t>
      </w:r>
      <w:r w:rsidR="00030509">
        <w:t xml:space="preserve">the </w:t>
      </w:r>
      <w:r>
        <w:t>D</w:t>
      </w:r>
      <w:r w:rsidR="000F0220">
        <w:t>SS</w:t>
      </w:r>
      <w:r>
        <w:t xml:space="preserve"> and </w:t>
      </w:r>
      <w:r w:rsidR="00030509">
        <w:t>the N</w:t>
      </w:r>
      <w:r w:rsidR="000F0220">
        <w:t>IAA</w:t>
      </w:r>
      <w:r>
        <w:t>.</w:t>
      </w:r>
    </w:p>
    <w:p w14:paraId="4F02DCA7" w14:textId="7B37EEBF" w:rsidR="00DA3265" w:rsidRDefault="00305565" w:rsidP="00305565">
      <w:pPr>
        <w:spacing w:after="60" w:line="240" w:lineRule="auto"/>
      </w:pPr>
      <w:r>
        <w:br w:type="page"/>
      </w:r>
    </w:p>
    <w:p w14:paraId="296E2DB4" w14:textId="45C4AA40" w:rsidR="00BE69BC" w:rsidRDefault="00A617D3" w:rsidP="00A617D3">
      <w:pPr>
        <w:pStyle w:val="Heading8"/>
        <w:spacing w:before="240" w:after="120"/>
      </w:pPr>
      <w:r>
        <w:rPr>
          <w:noProof/>
        </w:rPr>
        <w:lastRenderedPageBreak/>
        <w:fldChar w:fldCharType="begin"/>
      </w:r>
      <w:r>
        <w:rPr>
          <w:noProof/>
        </w:rPr>
        <w:instrText xml:space="preserve"> STYLEREF  "Name of proposal"  \* MERGEFORMAT </w:instrText>
      </w:r>
      <w:r>
        <w:rPr>
          <w:noProof/>
        </w:rPr>
        <w:fldChar w:fldCharType="separate"/>
      </w:r>
      <w:r w:rsidR="005E499A">
        <w:rPr>
          <w:noProof/>
        </w:rPr>
        <w:t>Expenditure on employment services</w:t>
      </w:r>
      <w:r>
        <w:rPr>
          <w:noProof/>
        </w:rPr>
        <w:fldChar w:fldCharType="end"/>
      </w:r>
      <w:r>
        <w:t xml:space="preserve"> – </w:t>
      </w:r>
      <w:r w:rsidR="00054A41">
        <w:t>comparison with OECD average and selected OECD countries</w:t>
      </w:r>
    </w:p>
    <w:p w14:paraId="4BF005CE" w14:textId="28E83577" w:rsidR="00CF3FBE" w:rsidRDefault="00CF3FBE" w:rsidP="00CF3FBE">
      <w:pPr>
        <w:pStyle w:val="Caption"/>
        <w:widowControl w:val="0"/>
        <w:tabs>
          <w:tab w:val="left" w:pos="9356"/>
        </w:tabs>
        <w:rPr>
          <w:vertAlign w:val="superscript"/>
        </w:rPr>
      </w:pPr>
      <w:r w:rsidRPr="002D239A">
        <w:t xml:space="preserve">Table </w:t>
      </w:r>
      <w:r>
        <w:rPr>
          <w:noProof/>
        </w:rPr>
        <w:fldChar w:fldCharType="begin"/>
      </w:r>
      <w:r>
        <w:rPr>
          <w:noProof/>
        </w:rPr>
        <w:instrText xml:space="preserve"> STYLEREF 8 \s </w:instrText>
      </w:r>
      <w:r>
        <w:rPr>
          <w:noProof/>
        </w:rPr>
        <w:fldChar w:fldCharType="separate"/>
      </w:r>
      <w:r w:rsidR="005E499A">
        <w:rPr>
          <w:noProof/>
        </w:rPr>
        <w:t>B</w:t>
      </w:r>
      <w:r>
        <w:rPr>
          <w:noProof/>
        </w:rPr>
        <w:fldChar w:fldCharType="end"/>
      </w:r>
      <w:r>
        <w:rPr>
          <w:noProof/>
        </w:rPr>
        <w:fldChar w:fldCharType="begin"/>
      </w:r>
      <w:r>
        <w:rPr>
          <w:noProof/>
        </w:rPr>
        <w:instrText xml:space="preserve"> SEQ AppendixTable\s 8 </w:instrText>
      </w:r>
      <w:r>
        <w:rPr>
          <w:noProof/>
        </w:rPr>
        <w:fldChar w:fldCharType="separate"/>
      </w:r>
      <w:r w:rsidR="005E499A">
        <w:rPr>
          <w:noProof/>
        </w:rPr>
        <w:t>1</w:t>
      </w:r>
      <w:r>
        <w:rPr>
          <w:noProof/>
        </w:rPr>
        <w:fldChar w:fldCharType="end"/>
      </w:r>
      <w:r w:rsidRPr="002D239A">
        <w:t>:</w:t>
      </w:r>
      <w:r>
        <w:t xml:space="preserve"> </w:t>
      </w:r>
      <w:r w:rsidR="000C461D">
        <w:t>Australian Government expenditure on</w:t>
      </w:r>
      <w:r>
        <w:t xml:space="preserve"> employment services </w:t>
      </w:r>
      <w:r w:rsidR="00BD3DFD">
        <w:t xml:space="preserve">comparison </w:t>
      </w:r>
      <w:r>
        <w:t>with OECD average and selected OECD countries </w:t>
      </w:r>
      <w:r w:rsidR="000C461D">
        <w:t>–</w:t>
      </w:r>
      <w:r>
        <w:t xml:space="preserve"> </w:t>
      </w:r>
      <w:r w:rsidR="000C461D">
        <w:t xml:space="preserve">Active programs excluding employment maintenance incentives </w:t>
      </w:r>
      <w:r>
        <w:t>(</w:t>
      </w:r>
      <w:r w:rsidR="00C841E0">
        <w:t xml:space="preserve">in </w:t>
      </w:r>
      <w:r>
        <w:t xml:space="preserve">local currencies and </w:t>
      </w:r>
      <w:r w:rsidR="00C841E0">
        <w:t>as</w:t>
      </w:r>
      <w:r w:rsidR="00DA19E8">
        <w:t xml:space="preserve"> a </w:t>
      </w:r>
      <w:r>
        <w:t xml:space="preserve">share of </w:t>
      </w:r>
      <w:proofErr w:type="gramStart"/>
      <w:r>
        <w:t>GDP)</w:t>
      </w:r>
      <w:r>
        <w:rPr>
          <w:vertAlign w:val="superscript"/>
        </w:rPr>
        <w:t>(</w:t>
      </w:r>
      <w:proofErr w:type="gramEnd"/>
      <w:r>
        <w:rPr>
          <w:vertAlign w:val="superscript"/>
        </w:rPr>
        <w:t>a)</w:t>
      </w:r>
    </w:p>
    <w:p w14:paraId="521B9510" w14:textId="702925BD" w:rsidR="00CF3FBE" w:rsidRDefault="003D32B0" w:rsidP="00CF3FBE">
      <w:pPr>
        <w:pStyle w:val="PRRfootnote2"/>
      </w:pPr>
      <w:r>
        <w:object w:dxaOrig="14760" w:dyaOrig="3405" w14:anchorId="7599C2BC">
          <v:shape id="_x0000_i1029" type="#_x0000_t75" style="width:741.55pt;height:172.9pt" o:ole="">
            <v:imagedata r:id="rId42" o:title=""/>
          </v:shape>
          <o:OLEObject Type="Embed" ProgID="Excel.Sheet.12" ShapeID="_x0000_i1029" DrawAspect="Content" ObjectID="_1739194654" r:id="rId43"/>
        </w:object>
      </w:r>
    </w:p>
    <w:p w14:paraId="07326FDE" w14:textId="435E9C6C" w:rsidR="00CF3FBE" w:rsidRPr="00CD1811" w:rsidRDefault="00CF3FBE" w:rsidP="00CF3FBE">
      <w:pPr>
        <w:pStyle w:val="PRRfootnote2"/>
      </w:pPr>
      <w:r w:rsidRPr="00CD1811">
        <w:t>(a)</w:t>
      </w:r>
      <w:r w:rsidRPr="00CD1811">
        <w:tab/>
      </w:r>
      <w:r>
        <w:t xml:space="preserve">Employment </w:t>
      </w:r>
      <w:bookmarkStart w:id="1" w:name="_Hlk117789743"/>
      <w:r>
        <w:t>data sourced on 2</w:t>
      </w:r>
      <w:r w:rsidR="00352BA0">
        <w:t>5 October</w:t>
      </w:r>
      <w:r>
        <w:t xml:space="preserve"> 2022 from the </w:t>
      </w:r>
      <w:hyperlink r:id="rId44" w:history="1">
        <w:r w:rsidRPr="00C80AE3">
          <w:rPr>
            <w:rStyle w:val="Hyperlink"/>
          </w:rPr>
          <w:t>OECD online portal</w:t>
        </w:r>
      </w:hyperlink>
      <w:r>
        <w:t>.</w:t>
      </w:r>
      <w:bookmarkEnd w:id="1"/>
    </w:p>
    <w:p w14:paraId="34FA3E16" w14:textId="77777777" w:rsidR="00CF3FBE" w:rsidRPr="00CD1811" w:rsidRDefault="00CF3FBE" w:rsidP="00CF3FBE">
      <w:pPr>
        <w:pStyle w:val="PRRfootnote2"/>
      </w:pPr>
      <w:r w:rsidRPr="00300162">
        <w:t>n/a</w:t>
      </w:r>
      <w:r w:rsidRPr="00300162">
        <w:tab/>
        <w:t>Not</w:t>
      </w:r>
      <w:r>
        <w:t xml:space="preserve"> </w:t>
      </w:r>
      <w:r w:rsidRPr="00300162">
        <w:t>available.</w:t>
      </w:r>
    </w:p>
    <w:p w14:paraId="3E9049D8" w14:textId="77777777" w:rsidR="002358BC" w:rsidRDefault="002358BC">
      <w:pPr>
        <w:spacing w:after="60" w:line="240" w:lineRule="auto"/>
        <w:rPr>
          <w:b/>
          <w:iCs/>
          <w:color w:val="3D4D7D" w:themeColor="background2"/>
          <w:szCs w:val="18"/>
        </w:rPr>
      </w:pPr>
      <w:r>
        <w:br w:type="page"/>
      </w:r>
    </w:p>
    <w:p w14:paraId="209EFE29" w14:textId="7F351550" w:rsidR="00AA7C6E" w:rsidRDefault="00AA7C6E" w:rsidP="00AA7C6E">
      <w:pPr>
        <w:pStyle w:val="Caption"/>
        <w:widowControl w:val="0"/>
        <w:tabs>
          <w:tab w:val="left" w:pos="9356"/>
        </w:tabs>
        <w:rPr>
          <w:vertAlign w:val="superscript"/>
        </w:rPr>
      </w:pPr>
      <w:r w:rsidRPr="002D239A">
        <w:lastRenderedPageBreak/>
        <w:t xml:space="preserve">Table </w:t>
      </w:r>
      <w:r w:rsidR="00352BA0">
        <w:rPr>
          <w:noProof/>
        </w:rPr>
        <w:fldChar w:fldCharType="begin"/>
      </w:r>
      <w:r w:rsidR="00352BA0">
        <w:rPr>
          <w:noProof/>
        </w:rPr>
        <w:instrText xml:space="preserve"> STYLEREF 8 \s </w:instrText>
      </w:r>
      <w:r w:rsidR="00352BA0">
        <w:rPr>
          <w:noProof/>
        </w:rPr>
        <w:fldChar w:fldCharType="separate"/>
      </w:r>
      <w:r w:rsidR="005E499A">
        <w:rPr>
          <w:noProof/>
        </w:rPr>
        <w:t>B</w:t>
      </w:r>
      <w:r w:rsidR="00352BA0">
        <w:rPr>
          <w:noProof/>
        </w:rPr>
        <w:fldChar w:fldCharType="end"/>
      </w:r>
      <w:r w:rsidR="00352BA0">
        <w:rPr>
          <w:noProof/>
        </w:rPr>
        <w:fldChar w:fldCharType="begin"/>
      </w:r>
      <w:r w:rsidR="00352BA0">
        <w:rPr>
          <w:noProof/>
        </w:rPr>
        <w:instrText xml:space="preserve"> SEQ AppendixTable\s 8 </w:instrText>
      </w:r>
      <w:r w:rsidR="00352BA0">
        <w:rPr>
          <w:noProof/>
        </w:rPr>
        <w:fldChar w:fldCharType="separate"/>
      </w:r>
      <w:r w:rsidR="005E499A">
        <w:rPr>
          <w:noProof/>
        </w:rPr>
        <w:t>2</w:t>
      </w:r>
      <w:r w:rsidR="00352BA0">
        <w:rPr>
          <w:noProof/>
        </w:rPr>
        <w:fldChar w:fldCharType="end"/>
      </w:r>
      <w:r w:rsidRPr="002D239A">
        <w:t xml:space="preserve">: </w:t>
      </w:r>
      <w:r w:rsidR="002358BC">
        <w:t>Australian Government expenditure on employment services</w:t>
      </w:r>
      <w:r w:rsidR="00BD3DFD">
        <w:t xml:space="preserve"> comparison</w:t>
      </w:r>
      <w:r w:rsidR="002358BC">
        <w:t xml:space="preserve"> with OECD average and selected OECD countries – Employment maintenance incentives only</w:t>
      </w:r>
      <w:r>
        <w:t> (</w:t>
      </w:r>
      <w:r w:rsidR="00D01101">
        <w:t xml:space="preserve">in </w:t>
      </w:r>
      <w:r>
        <w:t xml:space="preserve">local currencies and </w:t>
      </w:r>
      <w:r w:rsidR="00D01101">
        <w:t xml:space="preserve">as a </w:t>
      </w:r>
      <w:r>
        <w:t xml:space="preserve">share of </w:t>
      </w:r>
      <w:proofErr w:type="gramStart"/>
      <w:r>
        <w:t>GDP)</w:t>
      </w:r>
      <w:r>
        <w:rPr>
          <w:vertAlign w:val="superscript"/>
        </w:rPr>
        <w:t>(</w:t>
      </w:r>
      <w:proofErr w:type="gramEnd"/>
      <w:r>
        <w:rPr>
          <w:vertAlign w:val="superscript"/>
        </w:rPr>
        <w:t>a)</w:t>
      </w:r>
    </w:p>
    <w:p w14:paraId="0E893CB8" w14:textId="454CDBB2" w:rsidR="00AA7C6E" w:rsidRDefault="00CB2D80" w:rsidP="00AA7C6E">
      <w:pPr>
        <w:pStyle w:val="PRRfootnote2"/>
      </w:pPr>
      <w:r>
        <w:object w:dxaOrig="14760" w:dyaOrig="3315" w14:anchorId="0D6E0079">
          <v:shape id="_x0000_i1030" type="#_x0000_t75" style="width:737.85pt;height:166.15pt" o:ole="">
            <v:imagedata r:id="rId45" o:title=""/>
          </v:shape>
          <o:OLEObject Type="Embed" ProgID="Excel.Sheet.12" ShapeID="_x0000_i1030" DrawAspect="Content" ObjectID="_1739194655" r:id="rId46"/>
        </w:object>
      </w:r>
    </w:p>
    <w:p w14:paraId="41EB1FCF" w14:textId="0219320D" w:rsidR="00AA7C6E" w:rsidRPr="00CD1811" w:rsidRDefault="00AA7C6E" w:rsidP="00AA7C6E">
      <w:pPr>
        <w:pStyle w:val="PRRfootnote2"/>
      </w:pPr>
      <w:r w:rsidRPr="00CD1811">
        <w:t>(a)</w:t>
      </w:r>
      <w:r w:rsidRPr="00CD1811">
        <w:tab/>
      </w:r>
      <w:r>
        <w:t>Employment data sourced on 2</w:t>
      </w:r>
      <w:r w:rsidR="00352BA0">
        <w:t>5 October</w:t>
      </w:r>
      <w:r>
        <w:t xml:space="preserve"> 2022 from the </w:t>
      </w:r>
      <w:hyperlink r:id="rId47" w:history="1">
        <w:r w:rsidRPr="00C80AE3">
          <w:rPr>
            <w:rStyle w:val="Hyperlink"/>
          </w:rPr>
          <w:t>OECD online portal</w:t>
        </w:r>
      </w:hyperlink>
      <w:r>
        <w:t>.</w:t>
      </w:r>
    </w:p>
    <w:p w14:paraId="74300E2E" w14:textId="77777777" w:rsidR="00AA7C6E" w:rsidRPr="00CD1811" w:rsidRDefault="00AA7C6E" w:rsidP="00AA7C6E">
      <w:pPr>
        <w:pStyle w:val="PRRfootnote2"/>
      </w:pPr>
      <w:r w:rsidRPr="00300162">
        <w:t>n/a</w:t>
      </w:r>
      <w:r w:rsidRPr="00300162">
        <w:tab/>
        <w:t>Not</w:t>
      </w:r>
      <w:r>
        <w:t xml:space="preserve"> </w:t>
      </w:r>
      <w:r w:rsidRPr="00300162">
        <w:t>available.</w:t>
      </w:r>
    </w:p>
    <w:p w14:paraId="293E5B93" w14:textId="351D1F37" w:rsidR="00456D5F" w:rsidRDefault="00456D5F">
      <w:pPr>
        <w:pStyle w:val="Caption"/>
        <w:widowControl w:val="0"/>
        <w:tabs>
          <w:tab w:val="left" w:pos="9356"/>
        </w:tabs>
        <w:rPr>
          <w:vertAlign w:val="superscript"/>
        </w:rPr>
      </w:pPr>
      <w:r w:rsidRPr="002D239A">
        <w:t xml:space="preserve">Table </w:t>
      </w:r>
      <w:r>
        <w:rPr>
          <w:noProof/>
        </w:rPr>
        <w:fldChar w:fldCharType="begin"/>
      </w:r>
      <w:r>
        <w:rPr>
          <w:noProof/>
        </w:rPr>
        <w:instrText xml:space="preserve"> STYLEREF 8 \s </w:instrText>
      </w:r>
      <w:r>
        <w:rPr>
          <w:noProof/>
        </w:rPr>
        <w:fldChar w:fldCharType="separate"/>
      </w:r>
      <w:r w:rsidR="005E499A">
        <w:rPr>
          <w:noProof/>
        </w:rPr>
        <w:t>B</w:t>
      </w:r>
      <w:r>
        <w:rPr>
          <w:noProof/>
        </w:rPr>
        <w:fldChar w:fldCharType="end"/>
      </w:r>
      <w:r>
        <w:rPr>
          <w:noProof/>
        </w:rPr>
        <w:fldChar w:fldCharType="begin"/>
      </w:r>
      <w:r>
        <w:rPr>
          <w:noProof/>
        </w:rPr>
        <w:instrText xml:space="preserve"> SEQ AppendixTable\s 8 </w:instrText>
      </w:r>
      <w:r>
        <w:rPr>
          <w:noProof/>
        </w:rPr>
        <w:fldChar w:fldCharType="separate"/>
      </w:r>
      <w:r w:rsidR="005E499A">
        <w:rPr>
          <w:noProof/>
        </w:rPr>
        <w:t>3</w:t>
      </w:r>
      <w:r>
        <w:rPr>
          <w:noProof/>
        </w:rPr>
        <w:fldChar w:fldCharType="end"/>
      </w:r>
      <w:r w:rsidRPr="002D239A">
        <w:t xml:space="preserve">: </w:t>
      </w:r>
      <w:r w:rsidR="002358BC">
        <w:t xml:space="preserve">Australian Government expenditure on employment services </w:t>
      </w:r>
      <w:r w:rsidR="00BD3DFD">
        <w:t xml:space="preserve">comparison </w:t>
      </w:r>
      <w:r w:rsidR="002358BC">
        <w:t>with OECD average and selected OECD countries – Active programs including employment maintenance incentives</w:t>
      </w:r>
      <w:r>
        <w:t> (</w:t>
      </w:r>
      <w:r w:rsidR="000F6269">
        <w:t xml:space="preserve">in </w:t>
      </w:r>
      <w:r w:rsidR="006066AD">
        <w:t xml:space="preserve">local currencies and </w:t>
      </w:r>
      <w:r w:rsidR="000F6269">
        <w:t xml:space="preserve">as a </w:t>
      </w:r>
      <w:r w:rsidR="006066AD">
        <w:t xml:space="preserve">share of </w:t>
      </w:r>
      <w:proofErr w:type="gramStart"/>
      <w:r w:rsidR="006066AD">
        <w:t>GDP</w:t>
      </w:r>
      <w:r>
        <w:t>)</w:t>
      </w:r>
      <w:r>
        <w:rPr>
          <w:vertAlign w:val="superscript"/>
        </w:rPr>
        <w:t>(</w:t>
      </w:r>
      <w:proofErr w:type="gramEnd"/>
      <w:r>
        <w:rPr>
          <w:vertAlign w:val="superscript"/>
        </w:rPr>
        <w:t>a)</w:t>
      </w:r>
    </w:p>
    <w:p w14:paraId="2D52019C" w14:textId="3B421B2E" w:rsidR="0078469E" w:rsidRDefault="00E438D2">
      <w:pPr>
        <w:pStyle w:val="PRRfootnote2"/>
      </w:pPr>
      <w:r>
        <w:object w:dxaOrig="14760" w:dyaOrig="3315" w14:anchorId="721989A7">
          <v:shape id="_x0000_i1031" type="#_x0000_t75" style="width:737.85pt;height:166.15pt" o:ole="">
            <v:imagedata r:id="rId48" o:title=""/>
          </v:shape>
          <o:OLEObject Type="Embed" ProgID="Excel.Sheet.12" ShapeID="_x0000_i1031" DrawAspect="Content" ObjectID="_1739194656" r:id="rId49"/>
        </w:object>
      </w:r>
    </w:p>
    <w:p w14:paraId="6FE57EE3" w14:textId="16FDAE3E" w:rsidR="00456D5F" w:rsidRPr="00CD1811" w:rsidRDefault="00456D5F">
      <w:pPr>
        <w:pStyle w:val="PRRfootnote2"/>
      </w:pPr>
      <w:r w:rsidRPr="00CD1811">
        <w:t>(a)</w:t>
      </w:r>
      <w:r w:rsidRPr="00CD1811">
        <w:tab/>
      </w:r>
      <w:r w:rsidR="007F6374">
        <w:t>Employment d</w:t>
      </w:r>
      <w:r w:rsidR="00AD54FF">
        <w:t>ata sourced</w:t>
      </w:r>
      <w:r w:rsidR="00300162">
        <w:t xml:space="preserve"> on 2</w:t>
      </w:r>
      <w:r w:rsidR="000E37C3">
        <w:t>5 October</w:t>
      </w:r>
      <w:r w:rsidR="00300162">
        <w:t xml:space="preserve"> 2022</w:t>
      </w:r>
      <w:r w:rsidR="00AD54FF">
        <w:t xml:space="preserve"> from </w:t>
      </w:r>
      <w:r w:rsidR="00300162">
        <w:t xml:space="preserve">the </w:t>
      </w:r>
      <w:hyperlink r:id="rId50" w:history="1">
        <w:r w:rsidR="00300162" w:rsidRPr="00C80AE3">
          <w:rPr>
            <w:rStyle w:val="Hyperlink"/>
          </w:rPr>
          <w:t>OECD online portal</w:t>
        </w:r>
      </w:hyperlink>
      <w:r w:rsidR="00300162">
        <w:t>.</w:t>
      </w:r>
    </w:p>
    <w:p w14:paraId="5241CE6A" w14:textId="6C0D5C4C" w:rsidR="00456D5F" w:rsidRPr="00CD1811" w:rsidRDefault="00456D5F">
      <w:pPr>
        <w:pStyle w:val="PRRfootnote2"/>
      </w:pPr>
      <w:r w:rsidRPr="00300162">
        <w:t>n</w:t>
      </w:r>
      <w:r w:rsidR="00300162" w:rsidRPr="00300162">
        <w:t>/a</w:t>
      </w:r>
      <w:r w:rsidRPr="00300162">
        <w:tab/>
        <w:t>Not</w:t>
      </w:r>
      <w:r w:rsidR="00300162">
        <w:t xml:space="preserve"> </w:t>
      </w:r>
      <w:r w:rsidR="00300162" w:rsidRPr="00300162">
        <w:t>available</w:t>
      </w:r>
      <w:r w:rsidRPr="00300162">
        <w:t>.</w:t>
      </w:r>
    </w:p>
    <w:p w14:paraId="422BF1F5" w14:textId="77777777" w:rsidR="00456D5F" w:rsidRDefault="00456D5F">
      <w:pPr>
        <w:pStyle w:val="PRRfootnote2"/>
        <w:ind w:left="0" w:firstLine="0"/>
      </w:pPr>
    </w:p>
    <w:p w14:paraId="3D2F7F0E" w14:textId="1263465E" w:rsidR="00BD3DFD" w:rsidRDefault="00BD3DFD" w:rsidP="00BD3DFD">
      <w:pPr>
        <w:pStyle w:val="Caption"/>
        <w:widowControl w:val="0"/>
        <w:tabs>
          <w:tab w:val="left" w:pos="9356"/>
        </w:tabs>
        <w:rPr>
          <w:vertAlign w:val="superscript"/>
        </w:rPr>
      </w:pPr>
      <w:r w:rsidRPr="002D239A">
        <w:lastRenderedPageBreak/>
        <w:t xml:space="preserve">Table </w:t>
      </w:r>
      <w:r>
        <w:rPr>
          <w:noProof/>
        </w:rPr>
        <w:fldChar w:fldCharType="begin"/>
      </w:r>
      <w:r>
        <w:rPr>
          <w:noProof/>
        </w:rPr>
        <w:instrText xml:space="preserve"> STYLEREF 8 \s </w:instrText>
      </w:r>
      <w:r>
        <w:rPr>
          <w:noProof/>
        </w:rPr>
        <w:fldChar w:fldCharType="separate"/>
      </w:r>
      <w:r w:rsidR="005E499A">
        <w:rPr>
          <w:noProof/>
        </w:rPr>
        <w:t>B</w:t>
      </w:r>
      <w:r>
        <w:rPr>
          <w:noProof/>
        </w:rPr>
        <w:fldChar w:fldCharType="end"/>
      </w:r>
      <w:r>
        <w:rPr>
          <w:noProof/>
        </w:rPr>
        <w:fldChar w:fldCharType="begin"/>
      </w:r>
      <w:r>
        <w:rPr>
          <w:noProof/>
        </w:rPr>
        <w:instrText xml:space="preserve"> SEQ AppendixTable\s 8 </w:instrText>
      </w:r>
      <w:r>
        <w:rPr>
          <w:noProof/>
        </w:rPr>
        <w:fldChar w:fldCharType="separate"/>
      </w:r>
      <w:r w:rsidR="005E499A">
        <w:rPr>
          <w:noProof/>
        </w:rPr>
        <w:t>4</w:t>
      </w:r>
      <w:r>
        <w:rPr>
          <w:noProof/>
        </w:rPr>
        <w:fldChar w:fldCharType="end"/>
      </w:r>
      <w:r w:rsidRPr="002D239A">
        <w:t xml:space="preserve">: </w:t>
      </w:r>
      <w:r>
        <w:t>Australian Government expenditure on employment services comparison with OECD average</w:t>
      </w:r>
      <w:r w:rsidR="00B01445">
        <w:t xml:space="preserve"> </w:t>
      </w:r>
      <w:r>
        <w:t xml:space="preserve">– </w:t>
      </w:r>
      <w:r w:rsidR="00242336">
        <w:t>at the a</w:t>
      </w:r>
      <w:r>
        <w:t>ctive program</w:t>
      </w:r>
      <w:r w:rsidR="00242336">
        <w:t>s level (</w:t>
      </w:r>
      <w:r w:rsidR="00A031B1">
        <w:t xml:space="preserve">as a </w:t>
      </w:r>
      <w:r>
        <w:t xml:space="preserve">share of </w:t>
      </w:r>
      <w:proofErr w:type="gramStart"/>
      <w:r>
        <w:t>GDP)</w:t>
      </w:r>
      <w:r>
        <w:rPr>
          <w:vertAlign w:val="superscript"/>
        </w:rPr>
        <w:t>(</w:t>
      </w:r>
      <w:proofErr w:type="gramEnd"/>
      <w:r>
        <w:rPr>
          <w:vertAlign w:val="superscript"/>
        </w:rPr>
        <w:t>a)</w:t>
      </w:r>
    </w:p>
    <w:p w14:paraId="535EA151" w14:textId="4C16B94E" w:rsidR="00A154E6" w:rsidRDefault="00F8108F" w:rsidP="007D3D18">
      <w:pPr>
        <w:pStyle w:val="PRRfootnote2"/>
      </w:pPr>
      <w:r>
        <w:object w:dxaOrig="14715" w:dyaOrig="5115" w14:anchorId="1ECFC180">
          <v:shape id="_x0000_i1032" type="#_x0000_t75" style="width:736pt;height:256pt" o:ole="">
            <v:imagedata r:id="rId51" o:title=""/>
          </v:shape>
          <o:OLEObject Type="Embed" ProgID="Excel.Sheet.12" ShapeID="_x0000_i1032" DrawAspect="Content" ObjectID="_1739194657" r:id="rId52"/>
        </w:object>
      </w:r>
    </w:p>
    <w:p w14:paraId="554D3435" w14:textId="77777777" w:rsidR="007D3D18" w:rsidRPr="00CD1811" w:rsidRDefault="007D3D18" w:rsidP="007D3D18">
      <w:pPr>
        <w:pStyle w:val="PRRfootnote2"/>
      </w:pPr>
      <w:r w:rsidRPr="00CD1811">
        <w:t>(a)</w:t>
      </w:r>
      <w:r w:rsidRPr="00CD1811">
        <w:tab/>
      </w:r>
      <w:r>
        <w:t xml:space="preserve">Employment data sourced on 25 October 2022 from the </w:t>
      </w:r>
      <w:hyperlink r:id="rId53" w:history="1">
        <w:r w:rsidRPr="00C80AE3">
          <w:rPr>
            <w:rStyle w:val="Hyperlink"/>
          </w:rPr>
          <w:t>OECD online portal</w:t>
        </w:r>
      </w:hyperlink>
      <w:r>
        <w:t>.</w:t>
      </w:r>
    </w:p>
    <w:p w14:paraId="4B96DA46" w14:textId="691805B2" w:rsidR="00607BCD" w:rsidRDefault="00607BCD" w:rsidP="007D3D18">
      <w:pPr>
        <w:pStyle w:val="PRRfootnote2"/>
      </w:pPr>
      <w:r>
        <w:t>(b)</w:t>
      </w:r>
      <w:r>
        <w:tab/>
      </w:r>
      <w:r w:rsidR="00F62492">
        <w:t xml:space="preserve">For Australia, the data include </w:t>
      </w:r>
      <w:r w:rsidR="00F62492">
        <w:rPr>
          <w:i/>
          <w:iCs/>
        </w:rPr>
        <w:t>Disability Employment Services</w:t>
      </w:r>
      <w:r w:rsidR="00F62492">
        <w:t>.</w:t>
      </w:r>
    </w:p>
    <w:p w14:paraId="750B9B12" w14:textId="2BAC3050" w:rsidR="00FB29AD" w:rsidRDefault="00FB29AD" w:rsidP="007D3D18">
      <w:pPr>
        <w:pStyle w:val="PRRfootnote2"/>
      </w:pPr>
      <w:r>
        <w:t>(c)</w:t>
      </w:r>
      <w:r>
        <w:tab/>
      </w:r>
      <w:r w:rsidR="00F62492" w:rsidRPr="00607BCD">
        <w:t>For Australia, the</w:t>
      </w:r>
      <w:r w:rsidR="00F62492">
        <w:t xml:space="preserve"> data are</w:t>
      </w:r>
      <w:r w:rsidR="00F62492" w:rsidRPr="00607BCD">
        <w:t xml:space="preserve"> estimated as 1/20 of expenditure on Newstart Allowance</w:t>
      </w:r>
      <w:r w:rsidR="00861546">
        <w:t xml:space="preserve"> </w:t>
      </w:r>
      <w:r w:rsidR="00861546" w:rsidRPr="00861546">
        <w:t xml:space="preserve">(now </w:t>
      </w:r>
      <w:proofErr w:type="spellStart"/>
      <w:r w:rsidR="00861546" w:rsidRPr="00861546">
        <w:rPr>
          <w:i/>
          <w:iCs/>
        </w:rPr>
        <w:t>JobSeeker</w:t>
      </w:r>
      <w:proofErr w:type="spellEnd"/>
      <w:r w:rsidR="00861546" w:rsidRPr="00861546">
        <w:rPr>
          <w:i/>
          <w:iCs/>
        </w:rPr>
        <w:t xml:space="preserve"> Payment</w:t>
      </w:r>
      <w:r w:rsidR="00861546" w:rsidRPr="00861546">
        <w:t>)</w:t>
      </w:r>
      <w:r w:rsidR="00F62492" w:rsidRPr="00607BCD">
        <w:t xml:space="preserve"> plus 1/8 of Department of Human Services departmental expenses for social security and welfare</w:t>
      </w:r>
      <w:r w:rsidR="00F62492">
        <w:t>.</w:t>
      </w:r>
    </w:p>
    <w:p w14:paraId="46EF4A64" w14:textId="15BFED5E" w:rsidR="00FB29AD" w:rsidRPr="00FB29AD" w:rsidRDefault="00FB29AD" w:rsidP="007D3D18">
      <w:pPr>
        <w:pStyle w:val="PRRfootnote2"/>
      </w:pPr>
      <w:r>
        <w:t>(</w:t>
      </w:r>
      <w:r w:rsidR="00582EF0">
        <w:t>d</w:t>
      </w:r>
      <w:r>
        <w:t>)</w:t>
      </w:r>
      <w:r>
        <w:tab/>
        <w:t xml:space="preserve">For Australia, </w:t>
      </w:r>
      <w:r w:rsidR="00E90DDE">
        <w:t>the</w:t>
      </w:r>
      <w:r>
        <w:t xml:space="preserve"> </w:t>
      </w:r>
      <w:r w:rsidR="00180D08" w:rsidRPr="00180D08">
        <w:t xml:space="preserve">2019 data include </w:t>
      </w:r>
      <w:r w:rsidR="00AC0212">
        <w:t>the first 3 months (</w:t>
      </w:r>
      <w:r w:rsidR="00180D08" w:rsidRPr="00180D08">
        <w:t>April 2020 to June 2020</w:t>
      </w:r>
      <w:r w:rsidR="00AC0212">
        <w:t>)</w:t>
      </w:r>
      <w:r w:rsidR="00180D08" w:rsidRPr="00180D08">
        <w:t xml:space="preserve"> </w:t>
      </w:r>
      <w:r w:rsidR="00DB4C8C" w:rsidRPr="00180D08">
        <w:t xml:space="preserve">of the </w:t>
      </w:r>
      <w:proofErr w:type="spellStart"/>
      <w:r w:rsidR="00DB4C8C" w:rsidRPr="00861546">
        <w:rPr>
          <w:i/>
          <w:iCs/>
        </w:rPr>
        <w:t>JobKeeper</w:t>
      </w:r>
      <w:proofErr w:type="spellEnd"/>
      <w:r w:rsidR="00DB4C8C" w:rsidRPr="00180D08">
        <w:t xml:space="preserve"> </w:t>
      </w:r>
      <w:proofErr w:type="gramStart"/>
      <w:r w:rsidR="00DB4C8C" w:rsidRPr="00180D08">
        <w:t>program</w:t>
      </w:r>
      <w:proofErr w:type="gramEnd"/>
      <w:r w:rsidR="00DB4C8C">
        <w:t xml:space="preserve"> </w:t>
      </w:r>
      <w:r w:rsidR="00180D08" w:rsidRPr="00180D08">
        <w:t xml:space="preserve">and </w:t>
      </w:r>
      <w:r w:rsidR="00AC0212">
        <w:t xml:space="preserve">the </w:t>
      </w:r>
      <w:r w:rsidR="00180D08" w:rsidRPr="00180D08">
        <w:t xml:space="preserve">2020 data include </w:t>
      </w:r>
      <w:r w:rsidR="00AC0212">
        <w:t xml:space="preserve">the final </w:t>
      </w:r>
      <w:r w:rsidR="00B80B23">
        <w:t xml:space="preserve">9 months </w:t>
      </w:r>
      <w:r w:rsidR="00AC0212">
        <w:t>(</w:t>
      </w:r>
      <w:r w:rsidR="00180D08" w:rsidRPr="00180D08">
        <w:t>July 2020 to March 2021</w:t>
      </w:r>
      <w:r w:rsidR="00B80B23">
        <w:t>)</w:t>
      </w:r>
      <w:r w:rsidR="00180D08" w:rsidRPr="00180D08">
        <w:t xml:space="preserve"> of the </w:t>
      </w:r>
      <w:proofErr w:type="spellStart"/>
      <w:r w:rsidR="00180D08" w:rsidRPr="00180D08">
        <w:t>JobKeeper</w:t>
      </w:r>
      <w:proofErr w:type="spellEnd"/>
      <w:r w:rsidR="00180D08" w:rsidRPr="00180D08">
        <w:t xml:space="preserve"> program, which ran between April 2020 and March 2021.</w:t>
      </w:r>
    </w:p>
    <w:p w14:paraId="0DD8BEC2" w14:textId="77777777" w:rsidR="007D3D18" w:rsidRPr="00CD1811" w:rsidRDefault="007D3D18" w:rsidP="007D3D18">
      <w:pPr>
        <w:pStyle w:val="PRRfootnote2"/>
      </w:pPr>
      <w:r w:rsidRPr="00300162">
        <w:t>n/a</w:t>
      </w:r>
      <w:r w:rsidRPr="00300162">
        <w:tab/>
        <w:t>Not</w:t>
      </w:r>
      <w:r>
        <w:t xml:space="preserve"> </w:t>
      </w:r>
      <w:r w:rsidRPr="00300162">
        <w:t>available.</w:t>
      </w:r>
    </w:p>
    <w:p w14:paraId="3504BDC7" w14:textId="77777777" w:rsidR="003E5F45" w:rsidRDefault="003E5F45" w:rsidP="003E5F45">
      <w:pPr>
        <w:pStyle w:val="PRRfootnote2"/>
      </w:pPr>
      <w:r w:rsidRPr="003E5F45">
        <w:t>..</w:t>
      </w:r>
      <w:r w:rsidRPr="003E5F45">
        <w:tab/>
        <w:t>Not zero but rounded to zero.</w:t>
      </w:r>
    </w:p>
    <w:p w14:paraId="389C06AA" w14:textId="77777777" w:rsidR="00627275" w:rsidRDefault="00627275">
      <w:pPr>
        <w:spacing w:after="60" w:line="240" w:lineRule="auto"/>
        <w:rPr>
          <w:b/>
          <w:iCs/>
          <w:color w:val="3D4D7D" w:themeColor="background2"/>
          <w:szCs w:val="18"/>
        </w:rPr>
      </w:pPr>
      <w:r>
        <w:br w:type="page"/>
      </w:r>
    </w:p>
    <w:p w14:paraId="664F19FB" w14:textId="1EE5F7DE" w:rsidR="00215393" w:rsidRDefault="00215393" w:rsidP="00215393">
      <w:pPr>
        <w:pStyle w:val="Caption"/>
        <w:widowControl w:val="0"/>
        <w:tabs>
          <w:tab w:val="left" w:pos="9356"/>
        </w:tabs>
        <w:rPr>
          <w:vertAlign w:val="superscript"/>
        </w:rPr>
      </w:pPr>
      <w:r w:rsidRPr="002D239A">
        <w:lastRenderedPageBreak/>
        <w:t xml:space="preserve">Table </w:t>
      </w:r>
      <w:r>
        <w:rPr>
          <w:noProof/>
        </w:rPr>
        <w:fldChar w:fldCharType="begin"/>
      </w:r>
      <w:r>
        <w:rPr>
          <w:noProof/>
        </w:rPr>
        <w:instrText xml:space="preserve"> STYLEREF 8 \s </w:instrText>
      </w:r>
      <w:r>
        <w:rPr>
          <w:noProof/>
        </w:rPr>
        <w:fldChar w:fldCharType="separate"/>
      </w:r>
      <w:r w:rsidR="005E499A">
        <w:rPr>
          <w:noProof/>
        </w:rPr>
        <w:t>B</w:t>
      </w:r>
      <w:r>
        <w:rPr>
          <w:noProof/>
        </w:rPr>
        <w:fldChar w:fldCharType="end"/>
      </w:r>
      <w:r>
        <w:rPr>
          <w:noProof/>
        </w:rPr>
        <w:fldChar w:fldCharType="begin"/>
      </w:r>
      <w:r>
        <w:rPr>
          <w:noProof/>
        </w:rPr>
        <w:instrText xml:space="preserve"> SEQ AppendixTable\s 8 </w:instrText>
      </w:r>
      <w:r>
        <w:rPr>
          <w:noProof/>
        </w:rPr>
        <w:fldChar w:fldCharType="separate"/>
      </w:r>
      <w:r w:rsidR="005E499A">
        <w:rPr>
          <w:noProof/>
        </w:rPr>
        <w:t>5</w:t>
      </w:r>
      <w:r>
        <w:rPr>
          <w:noProof/>
        </w:rPr>
        <w:fldChar w:fldCharType="end"/>
      </w:r>
      <w:r w:rsidRPr="002D239A">
        <w:t>:</w:t>
      </w:r>
      <w:r>
        <w:t xml:space="preserve"> Australian Government expenditure on employment services comparison with OECD average and selected OECD countries – Active programs excluding employment maintenance incentives </w:t>
      </w:r>
      <w:r w:rsidR="00082D07">
        <w:t>– historical time series</w:t>
      </w:r>
      <w:r>
        <w:t xml:space="preserve"> (as a share of </w:t>
      </w:r>
      <w:proofErr w:type="gramStart"/>
      <w:r>
        <w:t>GDP)</w:t>
      </w:r>
      <w:r>
        <w:rPr>
          <w:vertAlign w:val="superscript"/>
        </w:rPr>
        <w:t>(</w:t>
      </w:r>
      <w:proofErr w:type="gramEnd"/>
      <w:r>
        <w:rPr>
          <w:vertAlign w:val="superscript"/>
        </w:rPr>
        <w:t>a)</w:t>
      </w:r>
    </w:p>
    <w:p w14:paraId="03A4A906" w14:textId="0234BD92" w:rsidR="00215393" w:rsidRDefault="007816DE" w:rsidP="00215393">
      <w:pPr>
        <w:pStyle w:val="PRRfootnote2"/>
      </w:pPr>
      <w:r>
        <w:object w:dxaOrig="14685" w:dyaOrig="3120" w14:anchorId="2107DC9C">
          <v:shape id="_x0000_i1033" type="#_x0000_t75" style="width:734.15pt;height:156.3pt" o:ole="">
            <v:imagedata r:id="rId54" o:title=""/>
          </v:shape>
          <o:OLEObject Type="Embed" ProgID="Excel.Sheet.12" ShapeID="_x0000_i1033" DrawAspect="Content" ObjectID="_1739194658" r:id="rId55"/>
        </w:object>
      </w:r>
    </w:p>
    <w:p w14:paraId="5EF501CD" w14:textId="77777777" w:rsidR="00215393" w:rsidRPr="00CD1811" w:rsidRDefault="00215393" w:rsidP="00215393">
      <w:pPr>
        <w:pStyle w:val="PRRfootnote2"/>
      </w:pPr>
      <w:r w:rsidRPr="00CD1811">
        <w:t>(a)</w:t>
      </w:r>
      <w:r w:rsidRPr="00CD1811">
        <w:tab/>
      </w:r>
      <w:r>
        <w:t xml:space="preserve">Employment data sourced on 25 October 2022 from the </w:t>
      </w:r>
      <w:hyperlink r:id="rId56" w:history="1">
        <w:r w:rsidRPr="00C80AE3">
          <w:rPr>
            <w:rStyle w:val="Hyperlink"/>
          </w:rPr>
          <w:t>OECD online portal</w:t>
        </w:r>
      </w:hyperlink>
      <w:r>
        <w:t>.</w:t>
      </w:r>
    </w:p>
    <w:p w14:paraId="7852FF45" w14:textId="77777777" w:rsidR="00215393" w:rsidRPr="00CD1811" w:rsidRDefault="00215393" w:rsidP="00215393">
      <w:pPr>
        <w:pStyle w:val="PRRfootnote2"/>
      </w:pPr>
      <w:r w:rsidRPr="00300162">
        <w:t>n/a</w:t>
      </w:r>
      <w:r w:rsidRPr="00300162">
        <w:tab/>
        <w:t>Not</w:t>
      </w:r>
      <w:r>
        <w:t xml:space="preserve"> </w:t>
      </w:r>
      <w:r w:rsidRPr="00300162">
        <w:t>available.</w:t>
      </w:r>
    </w:p>
    <w:p w14:paraId="7B618D59" w14:textId="77777777" w:rsidR="00B02584" w:rsidRPr="00CD1811" w:rsidRDefault="00B02584" w:rsidP="007D3D18">
      <w:pPr>
        <w:pStyle w:val="PRRfootnote2"/>
      </w:pPr>
    </w:p>
    <w:p w14:paraId="40E277C8" w14:textId="3A9B10D6" w:rsidR="00F90300" w:rsidRDefault="00F90300">
      <w:pPr>
        <w:spacing w:after="60" w:line="240" w:lineRule="auto"/>
      </w:pPr>
      <w:r>
        <w:br w:type="page"/>
      </w:r>
    </w:p>
    <w:p w14:paraId="714C1E0B" w14:textId="2133BC27" w:rsidR="00F90300" w:rsidRDefault="00F90300" w:rsidP="00F90300">
      <w:pPr>
        <w:pStyle w:val="Heading8"/>
        <w:spacing w:before="240" w:after="120"/>
      </w:pPr>
      <w:r>
        <w:rPr>
          <w:noProof/>
        </w:rPr>
        <w:lastRenderedPageBreak/>
        <w:fldChar w:fldCharType="begin"/>
      </w:r>
      <w:r>
        <w:rPr>
          <w:noProof/>
        </w:rPr>
        <w:instrText xml:space="preserve"> STYLEREF  "Name of proposal"  \* MERGEFORMAT </w:instrText>
      </w:r>
      <w:r>
        <w:rPr>
          <w:noProof/>
        </w:rPr>
        <w:fldChar w:fldCharType="separate"/>
      </w:r>
      <w:r w:rsidR="005E499A">
        <w:rPr>
          <w:noProof/>
        </w:rPr>
        <w:t>Expenditure on employment services</w:t>
      </w:r>
      <w:r>
        <w:rPr>
          <w:noProof/>
        </w:rPr>
        <w:fldChar w:fldCharType="end"/>
      </w:r>
      <w:r>
        <w:t xml:space="preserve"> – </w:t>
      </w:r>
      <w:r w:rsidR="007107CC">
        <w:t xml:space="preserve">funding implications from ceasing </w:t>
      </w:r>
      <w:proofErr w:type="spellStart"/>
      <w:r w:rsidR="007107CC" w:rsidRPr="003E63DB">
        <w:rPr>
          <w:i/>
        </w:rPr>
        <w:t>jobactive</w:t>
      </w:r>
      <w:proofErr w:type="spellEnd"/>
      <w:r w:rsidR="007107CC">
        <w:t xml:space="preserve"> and commencing </w:t>
      </w:r>
      <w:r w:rsidR="00FE7692" w:rsidRPr="003E63DB">
        <w:rPr>
          <w:i/>
        </w:rPr>
        <w:t>Workforce Australia</w:t>
      </w:r>
    </w:p>
    <w:p w14:paraId="455CEB59" w14:textId="0B919019" w:rsidR="00E87B51" w:rsidRDefault="00E87B51">
      <w:pPr>
        <w:pStyle w:val="Caption"/>
        <w:widowControl w:val="0"/>
        <w:tabs>
          <w:tab w:val="left" w:pos="9356"/>
        </w:tabs>
        <w:rPr>
          <w:vertAlign w:val="superscript"/>
        </w:rPr>
      </w:pPr>
      <w:r w:rsidRPr="002D239A">
        <w:t xml:space="preserve">Table </w:t>
      </w:r>
      <w:r>
        <w:rPr>
          <w:noProof/>
        </w:rPr>
        <w:fldChar w:fldCharType="begin"/>
      </w:r>
      <w:r>
        <w:rPr>
          <w:noProof/>
        </w:rPr>
        <w:instrText xml:space="preserve"> STYLEREF 8 \s </w:instrText>
      </w:r>
      <w:r>
        <w:rPr>
          <w:noProof/>
        </w:rPr>
        <w:fldChar w:fldCharType="separate"/>
      </w:r>
      <w:r w:rsidR="005E499A">
        <w:rPr>
          <w:noProof/>
        </w:rPr>
        <w:t>C</w:t>
      </w:r>
      <w:r>
        <w:rPr>
          <w:noProof/>
        </w:rPr>
        <w:fldChar w:fldCharType="end"/>
      </w:r>
      <w:r>
        <w:rPr>
          <w:noProof/>
        </w:rPr>
        <w:fldChar w:fldCharType="begin"/>
      </w:r>
      <w:r>
        <w:rPr>
          <w:noProof/>
        </w:rPr>
        <w:instrText xml:space="preserve"> SEQ AppendixTable\s 8 </w:instrText>
      </w:r>
      <w:r>
        <w:rPr>
          <w:noProof/>
        </w:rPr>
        <w:fldChar w:fldCharType="separate"/>
      </w:r>
      <w:r w:rsidR="005E499A">
        <w:rPr>
          <w:noProof/>
        </w:rPr>
        <w:t>1</w:t>
      </w:r>
      <w:r>
        <w:rPr>
          <w:noProof/>
        </w:rPr>
        <w:fldChar w:fldCharType="end"/>
      </w:r>
      <w:r w:rsidRPr="002D239A">
        <w:t xml:space="preserve">: </w:t>
      </w:r>
      <w:r>
        <w:rPr>
          <w:noProof/>
        </w:rPr>
        <w:fldChar w:fldCharType="begin"/>
      </w:r>
      <w:r>
        <w:rPr>
          <w:noProof/>
        </w:rPr>
        <w:instrText xml:space="preserve"> STYLEREF  "Name of Proposal"  \* MERGEFORMAT </w:instrText>
      </w:r>
      <w:r>
        <w:rPr>
          <w:noProof/>
        </w:rPr>
        <w:fldChar w:fldCharType="separate"/>
      </w:r>
      <w:r w:rsidR="005E499A">
        <w:rPr>
          <w:noProof/>
        </w:rPr>
        <w:t>Expenditure on employment services</w:t>
      </w:r>
      <w:r>
        <w:rPr>
          <w:noProof/>
        </w:rPr>
        <w:fldChar w:fldCharType="end"/>
      </w:r>
      <w:r>
        <w:t xml:space="preserve"> – </w:t>
      </w:r>
      <w:r w:rsidR="005E1961">
        <w:t>Cost per commencement</w:t>
      </w:r>
      <w:r w:rsidR="009F7C3E">
        <w:t xml:space="preserve"> </w:t>
      </w:r>
      <w:r w:rsidR="001D2E2F">
        <w:t>– selected programs</w:t>
      </w:r>
      <w:r>
        <w:t> ($)</w:t>
      </w:r>
      <w:r>
        <w:rPr>
          <w:vertAlign w:val="superscript"/>
        </w:rPr>
        <w:t>(a)</w:t>
      </w:r>
    </w:p>
    <w:p w14:paraId="58A05666" w14:textId="653D3976" w:rsidR="00B47472" w:rsidRDefault="00061177">
      <w:pPr>
        <w:pStyle w:val="PRRfootnote2"/>
      </w:pPr>
      <w:r>
        <w:object w:dxaOrig="14730" w:dyaOrig="2415" w14:anchorId="136833E3">
          <v:shape id="_x0000_i1034" type="#_x0000_t75" style="width:736.6pt;height:121.25pt" o:ole="">
            <v:imagedata r:id="rId57" o:title=""/>
          </v:shape>
          <o:OLEObject Type="Embed" ProgID="Excel.Sheet.12" ShapeID="_x0000_i1034" DrawAspect="Content" ObjectID="_1739194659" r:id="rId58"/>
        </w:object>
      </w:r>
    </w:p>
    <w:p w14:paraId="1B556218" w14:textId="49F9FBCE" w:rsidR="004D6091" w:rsidRDefault="00E87B51">
      <w:pPr>
        <w:pStyle w:val="PRRfootnote2"/>
      </w:pPr>
      <w:r w:rsidRPr="00CD1811">
        <w:t>(a)</w:t>
      </w:r>
      <w:r w:rsidRPr="00CD1811">
        <w:tab/>
      </w:r>
      <w:r w:rsidR="004D6091">
        <w:t xml:space="preserve">Data for 2015-16 to 2021-22 </w:t>
      </w:r>
      <w:r w:rsidR="004D2EAB">
        <w:t xml:space="preserve">are </w:t>
      </w:r>
      <w:r w:rsidR="004D6091">
        <w:t>actual, data for 2022-23 to 2025-26 are estimates.</w:t>
      </w:r>
      <w:r w:rsidR="00D77D15">
        <w:t xml:space="preserve"> Data was provided by the DEWR</w:t>
      </w:r>
      <w:r w:rsidR="00D77D15" w:rsidRPr="00CD1811">
        <w:t>.</w:t>
      </w:r>
    </w:p>
    <w:p w14:paraId="44272EBB" w14:textId="2CC071DC" w:rsidR="00093196" w:rsidRDefault="00093196">
      <w:pPr>
        <w:pStyle w:val="PRRfootnote2"/>
      </w:pPr>
      <w:r>
        <w:t>(b)</w:t>
      </w:r>
      <w:r>
        <w:tab/>
      </w:r>
      <w:r w:rsidR="007C5F27">
        <w:t>T</w:t>
      </w:r>
      <w:r w:rsidR="005215A2">
        <w:t xml:space="preserve">he costs </w:t>
      </w:r>
      <w:r w:rsidR="00D3575F">
        <w:t xml:space="preserve">per commencement </w:t>
      </w:r>
      <w:r w:rsidR="005215A2">
        <w:t xml:space="preserve">are particularly low for 2015-16 and 2022-23 as commencements for those </w:t>
      </w:r>
      <w:r w:rsidR="005067B5">
        <w:t>2</w:t>
      </w:r>
      <w:r w:rsidR="005215A2">
        <w:t xml:space="preserve"> financial years include caseloads rolled over from previous programs</w:t>
      </w:r>
      <w:r w:rsidR="0021172B">
        <w:t>.</w:t>
      </w:r>
    </w:p>
    <w:p w14:paraId="6A4D8D95" w14:textId="77777777" w:rsidR="00E87B51" w:rsidRDefault="00E87B51" w:rsidP="00E87B51">
      <w:pPr>
        <w:pStyle w:val="PRRfootnote2"/>
        <w:numPr>
          <w:ilvl w:val="0"/>
          <w:numId w:val="45"/>
        </w:numPr>
        <w:ind w:left="284" w:hanging="284"/>
      </w:pPr>
      <w:r w:rsidRPr="00CD1811">
        <w:t>Indicates nil.</w:t>
      </w:r>
    </w:p>
    <w:p w14:paraId="2FBB91D3" w14:textId="2EFEA35E" w:rsidR="00F566B8" w:rsidRDefault="00F566B8" w:rsidP="00F566B8">
      <w:pPr>
        <w:pStyle w:val="Caption"/>
        <w:widowControl w:val="0"/>
        <w:tabs>
          <w:tab w:val="left" w:pos="9356"/>
        </w:tabs>
        <w:rPr>
          <w:vertAlign w:val="superscript"/>
        </w:rPr>
      </w:pPr>
      <w:r w:rsidRPr="002D239A">
        <w:t xml:space="preserve">Table </w:t>
      </w:r>
      <w:r>
        <w:rPr>
          <w:noProof/>
        </w:rPr>
        <w:fldChar w:fldCharType="begin"/>
      </w:r>
      <w:r>
        <w:rPr>
          <w:noProof/>
        </w:rPr>
        <w:instrText xml:space="preserve"> STYLEREF 8 \s </w:instrText>
      </w:r>
      <w:r>
        <w:rPr>
          <w:noProof/>
        </w:rPr>
        <w:fldChar w:fldCharType="separate"/>
      </w:r>
      <w:r w:rsidR="005E499A">
        <w:rPr>
          <w:noProof/>
        </w:rPr>
        <w:t>C</w:t>
      </w:r>
      <w:r>
        <w:rPr>
          <w:noProof/>
        </w:rPr>
        <w:fldChar w:fldCharType="end"/>
      </w:r>
      <w:r>
        <w:rPr>
          <w:noProof/>
        </w:rPr>
        <w:fldChar w:fldCharType="begin"/>
      </w:r>
      <w:r>
        <w:rPr>
          <w:noProof/>
        </w:rPr>
        <w:instrText xml:space="preserve"> SEQ AppendixTable\s 8 </w:instrText>
      </w:r>
      <w:r>
        <w:rPr>
          <w:noProof/>
        </w:rPr>
        <w:fldChar w:fldCharType="separate"/>
      </w:r>
      <w:r w:rsidR="005E499A">
        <w:rPr>
          <w:noProof/>
        </w:rPr>
        <w:t>2</w:t>
      </w:r>
      <w:r>
        <w:rPr>
          <w:noProof/>
        </w:rPr>
        <w:fldChar w:fldCharType="end"/>
      </w:r>
      <w:r w:rsidRPr="002D239A">
        <w:t xml:space="preserve">: </w:t>
      </w:r>
      <w:r>
        <w:rPr>
          <w:noProof/>
        </w:rPr>
        <w:fldChar w:fldCharType="begin"/>
      </w:r>
      <w:r>
        <w:rPr>
          <w:noProof/>
        </w:rPr>
        <w:instrText xml:space="preserve"> STYLEREF  "Name of Proposal"  \* MERGEFORMAT </w:instrText>
      </w:r>
      <w:r>
        <w:rPr>
          <w:noProof/>
        </w:rPr>
        <w:fldChar w:fldCharType="separate"/>
      </w:r>
      <w:r w:rsidR="005E499A">
        <w:rPr>
          <w:noProof/>
        </w:rPr>
        <w:t>Expenditure on employment services</w:t>
      </w:r>
      <w:r>
        <w:rPr>
          <w:noProof/>
        </w:rPr>
        <w:fldChar w:fldCharType="end"/>
      </w:r>
      <w:r>
        <w:t xml:space="preserve"> – A</w:t>
      </w:r>
      <w:r w:rsidR="009D5A39">
        <w:t xml:space="preserve">ustralian Government expenditure </w:t>
      </w:r>
      <w:r w:rsidR="00C3293A">
        <w:t>–</w:t>
      </w:r>
      <w:r w:rsidR="001D2E2F">
        <w:t xml:space="preserve"> </w:t>
      </w:r>
      <w:r w:rsidR="009D5A39">
        <w:t>selected programs</w:t>
      </w:r>
      <w:r w:rsidR="001D2E2F">
        <w:t xml:space="preserve"> </w:t>
      </w:r>
      <w:r>
        <w:t>($m)</w:t>
      </w:r>
      <w:r>
        <w:rPr>
          <w:vertAlign w:val="superscript"/>
        </w:rPr>
        <w:t>(a)</w:t>
      </w:r>
      <w:r w:rsidR="003130C5">
        <w:rPr>
          <w:vertAlign w:val="superscript"/>
        </w:rPr>
        <w:t>(b)</w:t>
      </w:r>
    </w:p>
    <w:p w14:paraId="49D61023" w14:textId="53BD371E" w:rsidR="00F566B8" w:rsidRDefault="00021262" w:rsidP="00F566B8">
      <w:pPr>
        <w:pStyle w:val="PRRfootnote2"/>
      </w:pPr>
      <w:r>
        <w:object w:dxaOrig="14730" w:dyaOrig="2100" w14:anchorId="1E23A979">
          <v:shape id="_x0000_i1035" type="#_x0000_t75" style="width:736.6pt;height:105.25pt" o:ole="">
            <v:imagedata r:id="rId59" o:title=""/>
          </v:shape>
          <o:OLEObject Type="Embed" ProgID="Excel.Sheet.12" ShapeID="_x0000_i1035" DrawAspect="Content" ObjectID="_1739194660" r:id="rId60"/>
        </w:object>
      </w:r>
    </w:p>
    <w:p w14:paraId="3435E94E" w14:textId="13A45C72" w:rsidR="00F566B8" w:rsidRDefault="00F566B8" w:rsidP="008D0B64">
      <w:pPr>
        <w:pStyle w:val="PRRfootnote2"/>
        <w:spacing w:line="240" w:lineRule="atLeast"/>
      </w:pPr>
      <w:r w:rsidRPr="00CD1811">
        <w:t>(a)</w:t>
      </w:r>
      <w:r w:rsidRPr="00CD1811">
        <w:tab/>
      </w:r>
      <w:r>
        <w:t xml:space="preserve">Data for 2015-16 to 2021-22 </w:t>
      </w:r>
      <w:r w:rsidR="00692C36">
        <w:t xml:space="preserve">are </w:t>
      </w:r>
      <w:r>
        <w:t>actual, data for 2022-23 to 2025-26 are estimates.</w:t>
      </w:r>
      <w:r w:rsidR="00D77D15">
        <w:t xml:space="preserve"> Data was provided by the DEWR</w:t>
      </w:r>
      <w:r w:rsidR="00D77D15" w:rsidRPr="00CD1811">
        <w:t>.</w:t>
      </w:r>
    </w:p>
    <w:p w14:paraId="27189C1E" w14:textId="1551B2B3" w:rsidR="0064378E" w:rsidRDefault="003130C5" w:rsidP="008D0B64">
      <w:pPr>
        <w:pStyle w:val="PRRfootnote2"/>
        <w:spacing w:line="240" w:lineRule="atLeast"/>
      </w:pPr>
      <w:r>
        <w:t>(b)</w:t>
      </w:r>
      <w:r>
        <w:tab/>
      </w:r>
      <w:r w:rsidRPr="003130C5">
        <w:t xml:space="preserve">Data only includes expenditure and forecasts related to participation in </w:t>
      </w:r>
      <w:proofErr w:type="spellStart"/>
      <w:r w:rsidRPr="006B3EA3">
        <w:rPr>
          <w:i/>
        </w:rPr>
        <w:t>jobactive</w:t>
      </w:r>
      <w:proofErr w:type="spellEnd"/>
      <w:r w:rsidRPr="003130C5">
        <w:t xml:space="preserve"> and </w:t>
      </w:r>
      <w:r w:rsidRPr="006B3EA3">
        <w:rPr>
          <w:i/>
        </w:rPr>
        <w:t>Workforce Australia</w:t>
      </w:r>
      <w:r w:rsidRPr="003130C5">
        <w:t xml:space="preserve">. Expenditure and forecasts exclude New Business Assistance with </w:t>
      </w:r>
      <w:r w:rsidR="00084213">
        <w:t>New Enterprise Incentive Scheme (</w:t>
      </w:r>
      <w:r w:rsidRPr="003130C5">
        <w:t>NEIS</w:t>
      </w:r>
      <w:r w:rsidR="00084213">
        <w:t>)</w:t>
      </w:r>
      <w:r w:rsidRPr="003130C5">
        <w:t xml:space="preserve">, Harvest Trial Services, Self-Employment Assistance and other small non-demand driven programs. Forecasts for </w:t>
      </w:r>
      <w:r w:rsidRPr="003A740E">
        <w:rPr>
          <w:i/>
          <w:iCs/>
        </w:rPr>
        <w:t>Workforce Australia</w:t>
      </w:r>
      <w:r w:rsidRPr="003130C5">
        <w:t xml:space="preserve"> will not align to the most recent DEWR Portfolio Budget Statements.</w:t>
      </w:r>
    </w:p>
    <w:p w14:paraId="3BC1A631" w14:textId="627717C8" w:rsidR="00FE084B" w:rsidRPr="00613B49" w:rsidRDefault="00F566B8" w:rsidP="008D0B64">
      <w:pPr>
        <w:pStyle w:val="PRRfootnote2"/>
        <w:numPr>
          <w:ilvl w:val="0"/>
          <w:numId w:val="45"/>
        </w:numPr>
        <w:spacing w:after="60" w:line="240" w:lineRule="atLeast"/>
        <w:ind w:left="284" w:hanging="284"/>
        <w:rPr>
          <w:b/>
          <w:iCs/>
          <w:color w:val="3D4D7D" w:themeColor="background2"/>
          <w:szCs w:val="18"/>
        </w:rPr>
      </w:pPr>
      <w:r w:rsidRPr="00CD1811">
        <w:t>Indicates nil.</w:t>
      </w:r>
    </w:p>
    <w:p w14:paraId="3ED59BE2" w14:textId="77777777" w:rsidR="00AC1FC0" w:rsidRDefault="00AC1FC0">
      <w:pPr>
        <w:spacing w:after="60" w:line="240" w:lineRule="auto"/>
        <w:rPr>
          <w:b/>
          <w:iCs/>
          <w:color w:val="3D4D7D" w:themeColor="background2"/>
          <w:szCs w:val="18"/>
        </w:rPr>
      </w:pPr>
      <w:r>
        <w:br w:type="page"/>
      </w:r>
    </w:p>
    <w:p w14:paraId="7C8E1E03" w14:textId="09ADF6C9" w:rsidR="00FE084B" w:rsidRDefault="00FE084B" w:rsidP="00FE084B">
      <w:pPr>
        <w:pStyle w:val="Caption"/>
        <w:widowControl w:val="0"/>
        <w:tabs>
          <w:tab w:val="left" w:pos="9356"/>
        </w:tabs>
        <w:rPr>
          <w:vertAlign w:val="superscript"/>
        </w:rPr>
      </w:pPr>
      <w:r w:rsidRPr="002D239A">
        <w:lastRenderedPageBreak/>
        <w:t xml:space="preserve">Table </w:t>
      </w:r>
      <w:r>
        <w:rPr>
          <w:noProof/>
        </w:rPr>
        <w:fldChar w:fldCharType="begin"/>
      </w:r>
      <w:r>
        <w:rPr>
          <w:noProof/>
        </w:rPr>
        <w:instrText xml:space="preserve"> STYLEREF 8 \s </w:instrText>
      </w:r>
      <w:r>
        <w:rPr>
          <w:noProof/>
        </w:rPr>
        <w:fldChar w:fldCharType="separate"/>
      </w:r>
      <w:r w:rsidR="005E499A">
        <w:rPr>
          <w:noProof/>
        </w:rPr>
        <w:t>C</w:t>
      </w:r>
      <w:r>
        <w:rPr>
          <w:noProof/>
        </w:rPr>
        <w:fldChar w:fldCharType="end"/>
      </w:r>
      <w:r w:rsidR="00AB1234">
        <w:rPr>
          <w:noProof/>
        </w:rPr>
        <w:fldChar w:fldCharType="begin"/>
      </w:r>
      <w:r w:rsidR="00AB1234">
        <w:rPr>
          <w:noProof/>
        </w:rPr>
        <w:instrText xml:space="preserve"> SEQ AppendixTable\s 8 </w:instrText>
      </w:r>
      <w:r w:rsidR="00AB1234">
        <w:rPr>
          <w:noProof/>
        </w:rPr>
        <w:fldChar w:fldCharType="separate"/>
      </w:r>
      <w:r w:rsidR="005E499A">
        <w:rPr>
          <w:noProof/>
        </w:rPr>
        <w:t>3</w:t>
      </w:r>
      <w:r w:rsidR="00AB1234">
        <w:rPr>
          <w:noProof/>
        </w:rPr>
        <w:fldChar w:fldCharType="end"/>
      </w:r>
      <w:r w:rsidRPr="002D239A">
        <w:t xml:space="preserve">: </w:t>
      </w:r>
      <w:r>
        <w:rPr>
          <w:noProof/>
        </w:rPr>
        <w:fldChar w:fldCharType="begin"/>
      </w:r>
      <w:r>
        <w:rPr>
          <w:noProof/>
        </w:rPr>
        <w:instrText xml:space="preserve"> STYLEREF  "Name of Proposal"  \* MERGEFORMAT </w:instrText>
      </w:r>
      <w:r>
        <w:rPr>
          <w:noProof/>
        </w:rPr>
        <w:fldChar w:fldCharType="separate"/>
      </w:r>
      <w:r w:rsidR="005E499A">
        <w:rPr>
          <w:noProof/>
        </w:rPr>
        <w:t>Expenditure on employment services</w:t>
      </w:r>
      <w:r>
        <w:rPr>
          <w:noProof/>
        </w:rPr>
        <w:fldChar w:fldCharType="end"/>
      </w:r>
      <w:r>
        <w:t xml:space="preserve"> – </w:t>
      </w:r>
      <w:r w:rsidR="008B4738">
        <w:t>Caseload transfers and n</w:t>
      </w:r>
      <w:r>
        <w:t xml:space="preserve">ew </w:t>
      </w:r>
      <w:r w:rsidR="008B4738">
        <w:t xml:space="preserve">job seeker </w:t>
      </w:r>
      <w:r>
        <w:t>entrants – selected programs (number)</w:t>
      </w:r>
      <w:r>
        <w:rPr>
          <w:vertAlign w:val="superscript"/>
        </w:rPr>
        <w:t>(a)</w:t>
      </w:r>
    </w:p>
    <w:p w14:paraId="73224D73" w14:textId="761D8E48" w:rsidR="00FE084B" w:rsidRDefault="00C3293A" w:rsidP="00FE084B">
      <w:pPr>
        <w:pStyle w:val="PRRfootnote2"/>
      </w:pPr>
      <w:r>
        <w:object w:dxaOrig="14730" w:dyaOrig="3810" w14:anchorId="45AA4622">
          <v:shape id="_x0000_i1036" type="#_x0000_t75" style="width:736.6pt;height:190.75pt" o:ole="">
            <v:imagedata r:id="rId61" o:title=""/>
          </v:shape>
          <o:OLEObject Type="Embed" ProgID="Excel.Sheet.12" ShapeID="_x0000_i1036" DrawAspect="Content" ObjectID="_1739194661" r:id="rId62"/>
        </w:object>
      </w:r>
    </w:p>
    <w:p w14:paraId="4C0EDF42" w14:textId="283D4634" w:rsidR="008863FD" w:rsidRDefault="00FE084B" w:rsidP="008863FD">
      <w:pPr>
        <w:pStyle w:val="PRRfootnote2"/>
      </w:pPr>
      <w:r w:rsidRPr="00CD1811">
        <w:t>(a)</w:t>
      </w:r>
      <w:r w:rsidRPr="00CD1811">
        <w:tab/>
      </w:r>
      <w:r>
        <w:t>Data for 2015-16 to 2021-22 are actual, data for 2022-23 to 2025-26 are estimates</w:t>
      </w:r>
      <w:r w:rsidR="00A15263">
        <w:t xml:space="preserve"> as </w:t>
      </w:r>
      <w:proofErr w:type="gramStart"/>
      <w:r w:rsidR="00A15263">
        <w:t>at</w:t>
      </w:r>
      <w:proofErr w:type="gramEnd"/>
      <w:r w:rsidR="002C333A">
        <w:t xml:space="preserve"> 30 June 2022</w:t>
      </w:r>
      <w:r>
        <w:t>.</w:t>
      </w:r>
      <w:r w:rsidR="008863FD" w:rsidRPr="008863FD">
        <w:t xml:space="preserve"> </w:t>
      </w:r>
      <w:r w:rsidR="008863FD">
        <w:t>Data was provided by the DEWR</w:t>
      </w:r>
      <w:r w:rsidR="008863FD" w:rsidRPr="00CD1811">
        <w:t>.</w:t>
      </w:r>
      <w:r w:rsidR="008863FD">
        <w:t xml:space="preserve"> </w:t>
      </w:r>
    </w:p>
    <w:p w14:paraId="458D99DE" w14:textId="003172C5" w:rsidR="00614CCF" w:rsidRDefault="00B0370D" w:rsidP="00FE084B">
      <w:pPr>
        <w:pStyle w:val="PRRfootnote2"/>
      </w:pPr>
      <w:r>
        <w:t>(b)</w:t>
      </w:r>
      <w:r>
        <w:tab/>
      </w:r>
      <w:r w:rsidR="00BD66C4" w:rsidRPr="00BD66C4">
        <w:t xml:space="preserve">New entrants </w:t>
      </w:r>
      <w:r w:rsidR="00BD66C4">
        <w:t xml:space="preserve">under </w:t>
      </w:r>
      <w:proofErr w:type="spellStart"/>
      <w:r w:rsidR="00BD66C4" w:rsidRPr="00BD66C4">
        <w:rPr>
          <w:i/>
          <w:iCs/>
        </w:rPr>
        <w:t>jobactive</w:t>
      </w:r>
      <w:proofErr w:type="spellEnd"/>
      <w:r w:rsidR="00BD66C4">
        <w:t xml:space="preserve"> </w:t>
      </w:r>
      <w:r w:rsidR="00BD66C4" w:rsidRPr="00BD66C4">
        <w:t xml:space="preserve">include those job seekers who commenced with a </w:t>
      </w:r>
      <w:proofErr w:type="spellStart"/>
      <w:r w:rsidR="00BD66C4" w:rsidRPr="00016756">
        <w:rPr>
          <w:i/>
          <w:iCs/>
        </w:rPr>
        <w:t>jobactive</w:t>
      </w:r>
      <w:proofErr w:type="spellEnd"/>
      <w:r w:rsidR="00BD66C4" w:rsidRPr="00BD66C4">
        <w:t xml:space="preserve"> provider</w:t>
      </w:r>
      <w:r w:rsidR="00FA72C8">
        <w:t xml:space="preserve"> and</w:t>
      </w:r>
      <w:r w:rsidR="00BD66C4">
        <w:t xml:space="preserve"> do not include </w:t>
      </w:r>
      <w:r w:rsidR="00D847EC">
        <w:t>job seekers who used OES</w:t>
      </w:r>
      <w:r w:rsidR="00B758C7">
        <w:t xml:space="preserve"> in 2020-21 and 2021-22</w:t>
      </w:r>
      <w:r w:rsidR="00D847EC">
        <w:t>.</w:t>
      </w:r>
    </w:p>
    <w:p w14:paraId="2032ADD9" w14:textId="709AF7C2" w:rsidR="00B0370D" w:rsidRPr="00B0370D" w:rsidRDefault="00614CCF" w:rsidP="008863FD">
      <w:pPr>
        <w:pStyle w:val="PRRfootnote2"/>
      </w:pPr>
      <w:r>
        <w:t>(c)</w:t>
      </w:r>
      <w:r w:rsidR="00846C06">
        <w:tab/>
      </w:r>
      <w:r w:rsidR="00324115">
        <w:t>DEWR advised that t</w:t>
      </w:r>
      <w:r w:rsidR="00B0370D">
        <w:t>he</w:t>
      </w:r>
      <w:r w:rsidR="008863FD">
        <w:t xml:space="preserve"> transition caseload at the start of </w:t>
      </w:r>
      <w:proofErr w:type="spellStart"/>
      <w:r w:rsidR="008863FD">
        <w:rPr>
          <w:i/>
          <w:iCs/>
        </w:rPr>
        <w:t>jobactive</w:t>
      </w:r>
      <w:proofErr w:type="spellEnd"/>
      <w:r w:rsidR="008863FD">
        <w:t xml:space="preserve"> in 2015</w:t>
      </w:r>
      <w:r w:rsidR="006A20EA">
        <w:t>-16</w:t>
      </w:r>
      <w:r w:rsidR="008863FD">
        <w:t xml:space="preserve"> and </w:t>
      </w:r>
      <w:r w:rsidR="008863FD" w:rsidRPr="00B05405">
        <w:rPr>
          <w:i/>
          <w:iCs/>
        </w:rPr>
        <w:t>Workforce Australia</w:t>
      </w:r>
      <w:r w:rsidR="008863FD">
        <w:t xml:space="preserve"> in 2022</w:t>
      </w:r>
      <w:r w:rsidR="006A20EA">
        <w:t>-23</w:t>
      </w:r>
      <w:r w:rsidR="008863FD">
        <w:t xml:space="preserve"> </w:t>
      </w:r>
      <w:r w:rsidR="00D1101A">
        <w:t xml:space="preserve">should be included </w:t>
      </w:r>
      <w:r w:rsidR="0028742E">
        <w:t>into commencements</w:t>
      </w:r>
      <w:r w:rsidR="008863FD">
        <w:t>.</w:t>
      </w:r>
    </w:p>
    <w:p w14:paraId="1E3B8CFC" w14:textId="114118D9" w:rsidR="00FE084B" w:rsidRDefault="00FE084B" w:rsidP="00FE084B">
      <w:pPr>
        <w:pStyle w:val="PRRfootnote2"/>
        <w:numPr>
          <w:ilvl w:val="0"/>
          <w:numId w:val="45"/>
        </w:numPr>
        <w:ind w:left="284" w:hanging="284"/>
      </w:pPr>
      <w:r w:rsidRPr="00CD1811">
        <w:t>Indicates nil.</w:t>
      </w:r>
    </w:p>
    <w:p w14:paraId="7604613B" w14:textId="1DDDC0BD" w:rsidR="00E87B51" w:rsidRDefault="00E87B51" w:rsidP="00E87B51"/>
    <w:p w14:paraId="03198D95" w14:textId="5B50DF7D" w:rsidR="0011085E" w:rsidRDefault="0011085E" w:rsidP="0011085E">
      <w:pPr>
        <w:pStyle w:val="Caption"/>
        <w:widowControl w:val="0"/>
        <w:tabs>
          <w:tab w:val="left" w:pos="9356"/>
        </w:tabs>
        <w:rPr>
          <w:vertAlign w:val="superscript"/>
        </w:rPr>
      </w:pPr>
      <w:r w:rsidRPr="002D239A">
        <w:lastRenderedPageBreak/>
        <w:t xml:space="preserve">Table </w:t>
      </w:r>
      <w:r>
        <w:rPr>
          <w:noProof/>
        </w:rPr>
        <w:fldChar w:fldCharType="begin"/>
      </w:r>
      <w:r>
        <w:rPr>
          <w:noProof/>
        </w:rPr>
        <w:instrText xml:space="preserve"> STYLEREF 8 \s </w:instrText>
      </w:r>
      <w:r>
        <w:rPr>
          <w:noProof/>
        </w:rPr>
        <w:fldChar w:fldCharType="separate"/>
      </w:r>
      <w:r w:rsidR="005E499A">
        <w:rPr>
          <w:noProof/>
        </w:rPr>
        <w:t>C</w:t>
      </w:r>
      <w:r>
        <w:rPr>
          <w:noProof/>
        </w:rPr>
        <w:fldChar w:fldCharType="end"/>
      </w:r>
      <w:r>
        <w:rPr>
          <w:noProof/>
        </w:rPr>
        <w:fldChar w:fldCharType="begin"/>
      </w:r>
      <w:r>
        <w:rPr>
          <w:noProof/>
        </w:rPr>
        <w:instrText xml:space="preserve"> SEQ AppendixTable\s 8 </w:instrText>
      </w:r>
      <w:r>
        <w:rPr>
          <w:noProof/>
        </w:rPr>
        <w:fldChar w:fldCharType="separate"/>
      </w:r>
      <w:r w:rsidR="005E499A">
        <w:rPr>
          <w:noProof/>
        </w:rPr>
        <w:t>4</w:t>
      </w:r>
      <w:r>
        <w:rPr>
          <w:noProof/>
        </w:rPr>
        <w:fldChar w:fldCharType="end"/>
      </w:r>
      <w:r w:rsidRPr="002D239A">
        <w:t xml:space="preserve">: </w:t>
      </w:r>
      <w:r>
        <w:rPr>
          <w:noProof/>
        </w:rPr>
        <w:fldChar w:fldCharType="begin"/>
      </w:r>
      <w:r>
        <w:rPr>
          <w:noProof/>
        </w:rPr>
        <w:instrText xml:space="preserve"> STYLEREF  "Name of Proposal"  \* MERGEFORMAT </w:instrText>
      </w:r>
      <w:r>
        <w:rPr>
          <w:noProof/>
        </w:rPr>
        <w:fldChar w:fldCharType="separate"/>
      </w:r>
      <w:r w:rsidR="005E499A">
        <w:rPr>
          <w:noProof/>
        </w:rPr>
        <w:t>Expenditure on employment services</w:t>
      </w:r>
      <w:r>
        <w:rPr>
          <w:noProof/>
        </w:rPr>
        <w:fldChar w:fldCharType="end"/>
      </w:r>
      <w:r>
        <w:t xml:space="preserve"> –Reallocation of savings from the </w:t>
      </w:r>
      <w:r w:rsidRPr="008A183C">
        <w:rPr>
          <w:i/>
          <w:iCs w:val="0"/>
        </w:rPr>
        <w:t>Budget 2020</w:t>
      </w:r>
      <w:r w:rsidRPr="008A183C">
        <w:rPr>
          <w:i/>
          <w:iCs w:val="0"/>
        </w:rPr>
        <w:noBreakHyphen/>
        <w:t>21</w:t>
      </w:r>
      <w:r>
        <w:t> from expanding OES services to all job-ready job seekers</w:t>
      </w:r>
      <w:r>
        <w:rPr>
          <w:vertAlign w:val="superscript"/>
        </w:rPr>
        <w:t>(a)</w:t>
      </w:r>
    </w:p>
    <w:p w14:paraId="06593BBD" w14:textId="7AA68E7E" w:rsidR="0011085E" w:rsidRPr="00CB012E" w:rsidRDefault="00D5240D" w:rsidP="0011085E">
      <w:pPr>
        <w:pStyle w:val="PRRfootnote1"/>
        <w:rPr>
          <w:color w:val="FF0000"/>
        </w:rPr>
      </w:pPr>
      <w:r>
        <w:rPr>
          <w:color w:val="FF0000"/>
        </w:rPr>
        <w:object w:dxaOrig="14715" w:dyaOrig="7140" w14:anchorId="62B582D7">
          <v:shape id="_x0000_i1037" type="#_x0000_t75" style="width:736pt;height:356.9pt" o:ole="">
            <v:imagedata r:id="rId63" o:title=""/>
          </v:shape>
          <o:OLEObject Type="Embed" ProgID="Excel.Sheet.12" ShapeID="_x0000_i1037" DrawAspect="Content" ObjectID="_1739194662" r:id="rId64"/>
        </w:object>
      </w:r>
    </w:p>
    <w:p w14:paraId="28557464" w14:textId="6E2FAC63" w:rsidR="0011085E" w:rsidRPr="00CD1811" w:rsidRDefault="0011085E" w:rsidP="0011085E">
      <w:pPr>
        <w:pStyle w:val="PRRfootnote2"/>
      </w:pPr>
      <w:r w:rsidRPr="00CD1811">
        <w:t>(a)</w:t>
      </w:r>
      <w:r w:rsidRPr="00CD1811">
        <w:tab/>
      </w:r>
      <w:r>
        <w:t>Data was provided by the DEWR</w:t>
      </w:r>
      <w:r w:rsidRPr="00CD1811">
        <w:t xml:space="preserve">. </w:t>
      </w:r>
      <w:r w:rsidR="00887976">
        <w:t xml:space="preserve">In the </w:t>
      </w:r>
      <w:r w:rsidR="00887976" w:rsidRPr="00F71620">
        <w:t>2020-21 Budget</w:t>
      </w:r>
      <w:r w:rsidR="00887976">
        <w:t xml:space="preserve"> measure to expand OES, </w:t>
      </w:r>
      <w:r w:rsidR="003A67A3">
        <w:t>the $1.1 billion savings were used to offset the costs of expenditure measures totalling $810.2 million. Residual savings were used by the Australian Government to fund other policy priorities including in the portfolio.</w:t>
      </w:r>
      <w:r w:rsidRPr="00CD1811">
        <w:t xml:space="preserve"> </w:t>
      </w:r>
    </w:p>
    <w:p w14:paraId="715EE9AC" w14:textId="59FEE323" w:rsidR="0011085E" w:rsidRDefault="0011085E" w:rsidP="006A7C4A">
      <w:pPr>
        <w:pStyle w:val="PRRfootnote1"/>
      </w:pPr>
    </w:p>
    <w:p w14:paraId="6F236256" w14:textId="2CB8B0E5" w:rsidR="00CD7197" w:rsidRDefault="0011085E">
      <w:pPr>
        <w:spacing w:after="60" w:line="240" w:lineRule="auto"/>
      </w:pPr>
      <w:r>
        <w:br w:type="page"/>
      </w:r>
    </w:p>
    <w:p w14:paraId="66A648EF" w14:textId="6C3D0B39" w:rsidR="00593B99" w:rsidRDefault="00593B99" w:rsidP="00593B99">
      <w:pPr>
        <w:pStyle w:val="Caption"/>
        <w:widowControl w:val="0"/>
        <w:tabs>
          <w:tab w:val="left" w:pos="9356"/>
        </w:tabs>
        <w:rPr>
          <w:vertAlign w:val="superscript"/>
        </w:rPr>
      </w:pPr>
      <w:r w:rsidRPr="002D239A">
        <w:lastRenderedPageBreak/>
        <w:t xml:space="preserve">Table </w:t>
      </w:r>
      <w:r>
        <w:rPr>
          <w:noProof/>
        </w:rPr>
        <w:fldChar w:fldCharType="begin"/>
      </w:r>
      <w:r>
        <w:rPr>
          <w:noProof/>
        </w:rPr>
        <w:instrText xml:space="preserve"> STYLEREF 8 \s </w:instrText>
      </w:r>
      <w:r>
        <w:rPr>
          <w:noProof/>
        </w:rPr>
        <w:fldChar w:fldCharType="separate"/>
      </w:r>
      <w:r w:rsidR="005E499A">
        <w:rPr>
          <w:noProof/>
        </w:rPr>
        <w:t>C</w:t>
      </w:r>
      <w:r>
        <w:rPr>
          <w:noProof/>
        </w:rPr>
        <w:fldChar w:fldCharType="end"/>
      </w:r>
      <w:r>
        <w:rPr>
          <w:noProof/>
        </w:rPr>
        <w:fldChar w:fldCharType="begin"/>
      </w:r>
      <w:r>
        <w:rPr>
          <w:noProof/>
        </w:rPr>
        <w:instrText xml:space="preserve"> SEQ AppendixTable\s 8 </w:instrText>
      </w:r>
      <w:r>
        <w:rPr>
          <w:noProof/>
        </w:rPr>
        <w:fldChar w:fldCharType="separate"/>
      </w:r>
      <w:r w:rsidR="005E499A">
        <w:rPr>
          <w:noProof/>
        </w:rPr>
        <w:t>5</w:t>
      </w:r>
      <w:r>
        <w:rPr>
          <w:noProof/>
        </w:rPr>
        <w:fldChar w:fldCharType="end"/>
      </w:r>
      <w:r w:rsidRPr="002D239A">
        <w:t xml:space="preserve">: </w:t>
      </w:r>
      <w:r>
        <w:rPr>
          <w:noProof/>
        </w:rPr>
        <w:fldChar w:fldCharType="begin"/>
      </w:r>
      <w:r>
        <w:rPr>
          <w:noProof/>
        </w:rPr>
        <w:instrText xml:space="preserve"> STYLEREF  "Name of Proposal"  \* MERGEFORMAT </w:instrText>
      </w:r>
      <w:r>
        <w:rPr>
          <w:noProof/>
        </w:rPr>
        <w:fldChar w:fldCharType="separate"/>
      </w:r>
      <w:r w:rsidR="005E499A">
        <w:rPr>
          <w:noProof/>
        </w:rPr>
        <w:t>Expenditure on employment services</w:t>
      </w:r>
      <w:r>
        <w:rPr>
          <w:noProof/>
        </w:rPr>
        <w:fldChar w:fldCharType="end"/>
      </w:r>
      <w:r>
        <w:t xml:space="preserve"> – </w:t>
      </w:r>
      <w:r w:rsidRPr="008A183C">
        <w:rPr>
          <w:i/>
          <w:iCs w:val="0"/>
        </w:rPr>
        <w:t>Budget 202</w:t>
      </w:r>
      <w:r w:rsidR="00AC229F">
        <w:rPr>
          <w:i/>
          <w:iCs w:val="0"/>
        </w:rPr>
        <w:t>1</w:t>
      </w:r>
      <w:r w:rsidRPr="008A183C">
        <w:rPr>
          <w:i/>
          <w:iCs w:val="0"/>
        </w:rPr>
        <w:noBreakHyphen/>
        <w:t>2</w:t>
      </w:r>
      <w:r w:rsidR="00AC229F">
        <w:rPr>
          <w:i/>
          <w:iCs w:val="0"/>
        </w:rPr>
        <w:t>2</w:t>
      </w:r>
      <w:r w:rsidR="00BA4B60">
        <w:t xml:space="preserve"> measure </w:t>
      </w:r>
      <w:r w:rsidR="007A111C">
        <w:rPr>
          <w:i/>
          <w:iCs w:val="0"/>
        </w:rPr>
        <w:t>New Employment Services Model</w:t>
      </w:r>
      <w:r>
        <w:t> ($m)</w:t>
      </w:r>
      <w:r>
        <w:rPr>
          <w:vertAlign w:val="superscript"/>
        </w:rPr>
        <w:t>(a)</w:t>
      </w:r>
    </w:p>
    <w:p w14:paraId="5CF0A805" w14:textId="2ADEA5AB" w:rsidR="00F37429" w:rsidRPr="00CB012E" w:rsidRDefault="002B75DC" w:rsidP="00593B99">
      <w:pPr>
        <w:pStyle w:val="PRRfootnote1"/>
        <w:rPr>
          <w:color w:val="FF0000"/>
        </w:rPr>
      </w:pPr>
      <w:r>
        <w:rPr>
          <w:color w:val="FF0000"/>
        </w:rPr>
        <w:object w:dxaOrig="14715" w:dyaOrig="5340" w14:anchorId="3A8649B1">
          <v:shape id="_x0000_i1038" type="#_x0000_t75" style="width:736pt;height:267.1pt" o:ole="">
            <v:imagedata r:id="rId65" o:title=""/>
          </v:shape>
          <o:OLEObject Type="Embed" ProgID="Excel.Sheet.12" ShapeID="_x0000_i1038" DrawAspect="Content" ObjectID="_1739194663" r:id="rId66"/>
        </w:object>
      </w:r>
    </w:p>
    <w:p w14:paraId="4D3EA1F5" w14:textId="20F8419E" w:rsidR="00593B99" w:rsidRPr="00CD1811" w:rsidRDefault="00593B99" w:rsidP="00593B99">
      <w:pPr>
        <w:pStyle w:val="PRRfootnote2"/>
      </w:pPr>
      <w:r w:rsidRPr="00CD1811">
        <w:t>(a)</w:t>
      </w:r>
      <w:r w:rsidRPr="00CD1811">
        <w:tab/>
      </w:r>
      <w:r>
        <w:t xml:space="preserve">Data </w:t>
      </w:r>
      <w:r w:rsidR="00004D47">
        <w:t xml:space="preserve">from </w:t>
      </w:r>
      <w:r w:rsidR="005211BF">
        <w:rPr>
          <w:i/>
          <w:iCs/>
        </w:rPr>
        <w:t>Budget 2021-22</w:t>
      </w:r>
      <w:r w:rsidR="001D227A">
        <w:rPr>
          <w:i/>
          <w:iCs/>
        </w:rPr>
        <w:t xml:space="preserve"> </w:t>
      </w:r>
      <w:r w:rsidR="001C4E09" w:rsidRPr="00296F72">
        <w:rPr>
          <w:i/>
        </w:rPr>
        <w:t>Budget Paper 2</w:t>
      </w:r>
      <w:r w:rsidR="00296F72">
        <w:t xml:space="preserve"> and confirmed</w:t>
      </w:r>
      <w:r>
        <w:t xml:space="preserve"> by the DEWR on 30 September 2022</w:t>
      </w:r>
      <w:r w:rsidRPr="00CD1811">
        <w:t xml:space="preserve">.  </w:t>
      </w:r>
    </w:p>
    <w:p w14:paraId="024FC664" w14:textId="74F663D6" w:rsidR="00520A2D" w:rsidRPr="00CD1811" w:rsidRDefault="00520A2D" w:rsidP="00593B99">
      <w:pPr>
        <w:pStyle w:val="PRRfootnote2"/>
      </w:pPr>
    </w:p>
    <w:p w14:paraId="76D816D5" w14:textId="77777777" w:rsidR="00593B99" w:rsidRDefault="00593B99" w:rsidP="00593B99">
      <w:pPr>
        <w:pStyle w:val="PRRfootnote2"/>
        <w:ind w:left="0" w:firstLine="0"/>
      </w:pPr>
    </w:p>
    <w:p w14:paraId="78A81017" w14:textId="77777777" w:rsidR="00CD7197" w:rsidRDefault="00CD7197">
      <w:pPr>
        <w:spacing w:after="60" w:line="240" w:lineRule="auto"/>
      </w:pPr>
    </w:p>
    <w:sectPr w:rsidR="00CD7197" w:rsidSect="00FA2FB4">
      <w:headerReference w:type="default" r:id="rId67"/>
      <w:footerReference w:type="default" r:id="rId68"/>
      <w:pgSz w:w="16839" w:h="11907" w:orient="landscape" w:code="9"/>
      <w:pgMar w:top="992" w:right="907" w:bottom="992" w:left="1134" w:header="284" w:footer="454"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ADAE8" w14:textId="77777777" w:rsidR="00BB224B" w:rsidRDefault="00BB224B" w:rsidP="00A20802">
      <w:r>
        <w:separator/>
      </w:r>
    </w:p>
    <w:p w14:paraId="514CDD28" w14:textId="77777777" w:rsidR="00BB224B" w:rsidRDefault="00BB224B"/>
    <w:p w14:paraId="0CCD3082" w14:textId="77777777" w:rsidR="00BB224B" w:rsidRDefault="00BB224B"/>
  </w:endnote>
  <w:endnote w:type="continuationSeparator" w:id="0">
    <w:p w14:paraId="18F77161" w14:textId="77777777" w:rsidR="00BB224B" w:rsidRDefault="00BB224B" w:rsidP="00A20802">
      <w:r>
        <w:continuationSeparator/>
      </w:r>
    </w:p>
    <w:p w14:paraId="67C5636A" w14:textId="77777777" w:rsidR="00BB224B" w:rsidRDefault="00BB224B"/>
    <w:p w14:paraId="1A83B6CC" w14:textId="77777777" w:rsidR="00BB224B" w:rsidRDefault="00BB224B"/>
  </w:endnote>
  <w:endnote w:type="continuationNotice" w:id="1">
    <w:p w14:paraId="3FB319B9" w14:textId="77777777" w:rsidR="00BB224B" w:rsidRDefault="00BB224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81EE0" w14:textId="77777777" w:rsidR="00E25BFB" w:rsidRDefault="00E25B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DEF7D" w14:textId="57FC7D19" w:rsidR="008838DF" w:rsidRPr="004B52AF" w:rsidRDefault="00724E22" w:rsidP="00F91A0D">
    <w:pPr>
      <w:pStyle w:val="Footer"/>
      <w:tabs>
        <w:tab w:val="clear" w:pos="4513"/>
        <w:tab w:val="center" w:pos="4535"/>
        <w:tab w:val="right" w:pos="9071"/>
      </w:tabs>
      <w:rPr>
        <w:b/>
        <w:bCs/>
        <w:sz w:val="22"/>
      </w:rPr>
    </w:pPr>
    <w:r>
      <w:rPr>
        <w:b/>
        <w:bCs/>
        <w:noProof/>
        <w:sz w:val="22"/>
      </w:rPr>
      <mc:AlternateContent>
        <mc:Choice Requires="wps">
          <w:drawing>
            <wp:anchor distT="0" distB="0" distL="114300" distR="114300" simplePos="0" relativeHeight="251663046" behindDoc="0" locked="0" layoutInCell="0" allowOverlap="1" wp14:anchorId="729B3D82" wp14:editId="04B84CC8">
              <wp:simplePos x="0" y="0"/>
              <wp:positionH relativeFrom="margin">
                <wp:align>center</wp:align>
              </wp:positionH>
              <wp:positionV relativeFrom="page">
                <wp:align>bottom</wp:align>
              </wp:positionV>
              <wp:extent cx="7772400" cy="463550"/>
              <wp:effectExtent l="0" t="0" r="0" b="12700"/>
              <wp:wrapNone/>
              <wp:docPr id="5" name="MSIPCM9be0420d8311b6ae2f41e183" descr="{&quot;HashCode&quot;:-414943542,&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24330F3" w14:textId="426E9B25" w:rsidR="00724E22" w:rsidRPr="008B2E25" w:rsidRDefault="005E499A" w:rsidP="005E499A">
                          <w:pPr>
                            <w:spacing w:before="0" w:after="0"/>
                            <w:jc w:val="center"/>
                            <w:rPr>
                              <w:rFonts w:ascii="Calibri" w:hAnsi="Calibri" w:cs="Calibri"/>
                              <w:strike/>
                              <w:color w:val="FF0000"/>
                              <w:sz w:val="20"/>
                            </w:rPr>
                          </w:pPr>
                          <w:r w:rsidRPr="008B2E25">
                            <w:rPr>
                              <w:rFonts w:ascii="Calibri" w:hAnsi="Calibri" w:cs="Calibri"/>
                              <w:strike/>
                              <w:color w:val="FF0000"/>
                              <w:sz w:val="20"/>
                            </w:rPr>
                            <w:t>OFFICIAL: Sensitive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29B3D82" id="_x0000_t202" coordsize="21600,21600" o:spt="202" path="m,l,21600r21600,l21600,xe">
              <v:stroke joinstyle="miter"/>
              <v:path gradientshapeok="t" o:connecttype="rect"/>
            </v:shapetype>
            <v:shape id="MSIPCM9be0420d8311b6ae2f41e183" o:spid="_x0000_s1026" type="#_x0000_t202" alt="{&quot;HashCode&quot;:-414943542,&quot;Height&quot;:9999999.0,&quot;Width&quot;:9999999.0,&quot;Placement&quot;:&quot;Footer&quot;,&quot;Index&quot;:&quot;Primary&quot;,&quot;Section&quot;:2,&quot;Top&quot;:0.0,&quot;Left&quot;:0.0}" style="position:absolute;margin-left:0;margin-top:0;width:612pt;height:36.5pt;z-index:251663046;visibility:visible;mso-wrap-style:square;mso-wrap-distance-left:9pt;mso-wrap-distance-top:0;mso-wrap-distance-right:9pt;mso-wrap-distance-bottom:0;mso-position-horizontal:center;mso-position-horizontal-relative:margin;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424330F3" w14:textId="426E9B25" w:rsidR="00724E22" w:rsidRPr="008B2E25" w:rsidRDefault="005E499A" w:rsidP="005E499A">
                    <w:pPr>
                      <w:spacing w:before="0" w:after="0"/>
                      <w:jc w:val="center"/>
                      <w:rPr>
                        <w:rFonts w:ascii="Calibri" w:hAnsi="Calibri" w:cs="Calibri"/>
                        <w:strike/>
                        <w:color w:val="FF0000"/>
                        <w:sz w:val="20"/>
                      </w:rPr>
                    </w:pPr>
                    <w:r w:rsidRPr="008B2E25">
                      <w:rPr>
                        <w:rFonts w:ascii="Calibri" w:hAnsi="Calibri" w:cs="Calibri"/>
                        <w:strike/>
                        <w:color w:val="FF0000"/>
                        <w:sz w:val="20"/>
                      </w:rPr>
                      <w:t>OFFICIAL: Sensitive</w:t>
                    </w:r>
                  </w:p>
                </w:txbxContent>
              </v:textbox>
              <w10:wrap anchorx="margin" anchory="page"/>
            </v:shape>
          </w:pict>
        </mc:Fallback>
      </mc:AlternateContent>
    </w:r>
    <w:r w:rsidR="00416252">
      <w:rPr>
        <w:rStyle w:val="FooterChar"/>
        <w:b/>
        <w:bCs/>
        <w:sz w:val="22"/>
      </w:rPr>
      <w:tab/>
    </w:r>
    <w:r w:rsidR="008838DF">
      <w:rPr>
        <w:rStyle w:val="FooterChar"/>
        <w:b/>
        <w:bCs/>
        <w:sz w:val="22"/>
      </w:rPr>
      <w:tab/>
    </w:r>
    <w:r w:rsidR="008838DF" w:rsidRPr="007C4069">
      <w:rPr>
        <w:rStyle w:val="FooterChar"/>
        <w:b/>
        <w:bCs/>
        <w:sz w:val="22"/>
      </w:rPr>
      <w:t xml:space="preserve">Page </w:t>
    </w:r>
    <w:r w:rsidR="008838DF" w:rsidRPr="007C4069">
      <w:rPr>
        <w:rStyle w:val="FooterChar"/>
        <w:b/>
        <w:bCs/>
        <w:sz w:val="22"/>
      </w:rPr>
      <w:fldChar w:fldCharType="begin"/>
    </w:r>
    <w:r w:rsidR="008838DF" w:rsidRPr="007C4069">
      <w:rPr>
        <w:rStyle w:val="FooterChar"/>
        <w:b/>
        <w:bCs/>
        <w:sz w:val="22"/>
      </w:rPr>
      <w:instrText xml:space="preserve"> PAGE  \* Arabic  \* MERGEFORMAT </w:instrText>
    </w:r>
    <w:r w:rsidR="008838DF" w:rsidRPr="007C4069">
      <w:rPr>
        <w:rStyle w:val="FooterChar"/>
        <w:b/>
        <w:bCs/>
        <w:sz w:val="22"/>
      </w:rPr>
      <w:fldChar w:fldCharType="separate"/>
    </w:r>
    <w:r w:rsidR="00C50AF7">
      <w:rPr>
        <w:rStyle w:val="FooterChar"/>
        <w:b/>
        <w:bCs/>
        <w:noProof/>
        <w:sz w:val="22"/>
      </w:rPr>
      <w:t>2</w:t>
    </w:r>
    <w:r w:rsidR="008838DF" w:rsidRPr="007C4069">
      <w:rPr>
        <w:rStyle w:val="FooterChar"/>
        <w:b/>
        <w:bCs/>
        <w:sz w:val="22"/>
      </w:rPr>
      <w:fldChar w:fldCharType="end"/>
    </w:r>
    <w:r w:rsidR="008838DF" w:rsidRPr="007C4069">
      <w:rPr>
        <w:rStyle w:val="FooterChar"/>
        <w:b/>
        <w:bCs/>
        <w:sz w:val="22"/>
      </w:rPr>
      <w:t xml:space="preserve"> of</w:t>
    </w:r>
    <w:r w:rsidR="008838DF">
      <w:rPr>
        <w:rStyle w:val="FooterChar"/>
        <w:b/>
        <w:bCs/>
        <w:sz w:val="22"/>
      </w:rPr>
      <w:t xml:space="preserve"> </w:t>
    </w:r>
    <w:r w:rsidR="00E25BFB">
      <w:rPr>
        <w:rStyle w:val="FooterChar"/>
        <w:b/>
        <w:bCs/>
        <w:sz w:val="22"/>
      </w:rPr>
      <w:t>19</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426F5" w14:textId="609599DA" w:rsidR="008838DF" w:rsidRPr="00F91A0D" w:rsidRDefault="00D11623" w:rsidP="00F91A0D">
    <w:pPr>
      <w:pStyle w:val="Footer"/>
      <w:rPr>
        <w:b/>
        <w:sz w:val="22"/>
      </w:rPr>
    </w:pPr>
    <w:r>
      <w:rPr>
        <w:rFonts w:ascii="Calibri" w:hAnsi="Calibri" w:cs="Arial"/>
        <w:b/>
        <w:noProof/>
        <w:sz w:val="22"/>
      </w:rPr>
      <mc:AlternateContent>
        <mc:Choice Requires="wps">
          <w:drawing>
            <wp:anchor distT="0" distB="0" distL="114300" distR="114300" simplePos="0" relativeHeight="251663718" behindDoc="0" locked="0" layoutInCell="0" allowOverlap="1" wp14:anchorId="6B3F399A" wp14:editId="7AE4E2C3">
              <wp:simplePos x="0" y="0"/>
              <wp:positionH relativeFrom="margin">
                <wp:align>center</wp:align>
              </wp:positionH>
              <wp:positionV relativeFrom="page">
                <wp:align>bottom</wp:align>
              </wp:positionV>
              <wp:extent cx="7772400" cy="457331"/>
              <wp:effectExtent l="0" t="0" r="0" b="0"/>
              <wp:wrapNone/>
              <wp:docPr id="4" name="MSIPCMefc14305b0c1fe70e4841702" descr="{&quot;HashCode&quot;:-414943542,&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57331"/>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53A828" w14:textId="7B1E7382" w:rsidR="00D11623" w:rsidRPr="008B2E25" w:rsidRDefault="005E499A" w:rsidP="005E499A">
                          <w:pPr>
                            <w:spacing w:before="0" w:after="0"/>
                            <w:jc w:val="center"/>
                            <w:rPr>
                              <w:rFonts w:ascii="Calibri" w:hAnsi="Calibri" w:cs="Calibri"/>
                              <w:strike/>
                              <w:color w:val="FF0000"/>
                              <w:sz w:val="20"/>
                            </w:rPr>
                          </w:pPr>
                          <w:r w:rsidRPr="008B2E25">
                            <w:rPr>
                              <w:rFonts w:ascii="Calibri" w:hAnsi="Calibri" w:cs="Calibri"/>
                              <w:strike/>
                              <w:color w:val="FF0000"/>
                              <w:sz w:val="20"/>
                            </w:rPr>
                            <w:t>OFFICIAL: Sensitive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B3F399A" id="_x0000_t202" coordsize="21600,21600" o:spt="202" path="m,l,21600r21600,l21600,xe">
              <v:stroke joinstyle="miter"/>
              <v:path gradientshapeok="t" o:connecttype="rect"/>
            </v:shapetype>
            <v:shape id="MSIPCMefc14305b0c1fe70e4841702" o:spid="_x0000_s1027" type="#_x0000_t202" alt="{&quot;HashCode&quot;:-414943542,&quot;Height&quot;:9999999.0,&quot;Width&quot;:9999999.0,&quot;Placement&quot;:&quot;Footer&quot;,&quot;Index&quot;:&quot;FirstPage&quot;,&quot;Section&quot;:2,&quot;Top&quot;:0.0,&quot;Left&quot;:0.0}" style="position:absolute;margin-left:0;margin-top:0;width:612pt;height:36pt;z-index:251663718;visibility:visible;mso-wrap-style:square;mso-height-percent:0;mso-wrap-distance-left:9pt;mso-wrap-distance-top:0;mso-wrap-distance-right:9pt;mso-wrap-distance-bottom:0;mso-position-horizontal:center;mso-position-horizontal-relative:margin;mso-position-vertical:bottom;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" o:allowincell="f" filled="f" stroked="f" strokeweight=".5pt">
              <v:textbox inset=",0,,0">
                <w:txbxContent>
                  <w:p w14:paraId="3E53A828" w14:textId="7B1E7382" w:rsidR="00D11623" w:rsidRPr="008B2E25" w:rsidRDefault="005E499A" w:rsidP="005E499A">
                    <w:pPr>
                      <w:spacing w:before="0" w:after="0"/>
                      <w:jc w:val="center"/>
                      <w:rPr>
                        <w:rFonts w:ascii="Calibri" w:hAnsi="Calibri" w:cs="Calibri"/>
                        <w:strike/>
                        <w:color w:val="FF0000"/>
                        <w:sz w:val="20"/>
                      </w:rPr>
                    </w:pPr>
                    <w:r w:rsidRPr="008B2E25">
                      <w:rPr>
                        <w:rFonts w:ascii="Calibri" w:hAnsi="Calibri" w:cs="Calibri"/>
                        <w:strike/>
                        <w:color w:val="FF0000"/>
                        <w:sz w:val="20"/>
                      </w:rPr>
                      <w:t>OFFICIAL: Sensitive</w:t>
                    </w:r>
                  </w:p>
                </w:txbxContent>
              </v:textbox>
              <w10:wrap anchorx="margin" anchory="page"/>
            </v:shape>
          </w:pict>
        </mc:Fallback>
      </mc:AlternateContent>
    </w:r>
    <w:r w:rsidR="008838DF" w:rsidRPr="00FE655F">
      <w:rPr>
        <w:rStyle w:val="FooterChar"/>
        <w:rFonts w:ascii="Calibri" w:hAnsi="Calibri" w:cs="Arial"/>
        <w:b/>
        <w:sz w:val="22"/>
      </w:rPr>
      <w:t>PBO reference P</w:t>
    </w:r>
    <w:r>
      <w:rPr>
        <w:rStyle w:val="FooterChar"/>
        <w:rFonts w:ascii="Calibri" w:hAnsi="Calibri" w:cs="Arial"/>
        <w:b/>
        <w:sz w:val="22"/>
      </w:rPr>
      <w:t>R-</w:t>
    </w:r>
    <w:r w:rsidRPr="00C31B9F">
      <w:rPr>
        <w:rStyle w:val="FooterChar"/>
        <w:rFonts w:ascii="Calibri" w:hAnsi="Calibri" w:cs="Arial"/>
        <w:b/>
        <w:sz w:val="22"/>
      </w:rPr>
      <w:t>202</w:t>
    </w:r>
    <w:r w:rsidR="00C31B9F" w:rsidRPr="00C31B9F">
      <w:rPr>
        <w:rStyle w:val="FooterChar"/>
        <w:rFonts w:ascii="Calibri" w:hAnsi="Calibri" w:cs="Arial"/>
        <w:b/>
        <w:sz w:val="22"/>
      </w:rPr>
      <w:t>2-</w:t>
    </w:r>
    <w:r w:rsidR="00C31B9F">
      <w:rPr>
        <w:rStyle w:val="FooterChar"/>
        <w:rFonts w:ascii="Calibri" w:hAnsi="Calibri" w:cs="Arial"/>
        <w:b/>
        <w:sz w:val="22"/>
      </w:rPr>
      <w:t>068</w:t>
    </w:r>
    <w:r w:rsidR="008838DF" w:rsidRPr="00FE655F">
      <w:rPr>
        <w:rStyle w:val="FooterChar"/>
        <w:rFonts w:ascii="Calibri" w:hAnsi="Calibri" w:cs="Arial"/>
        <w:b/>
        <w:sz w:val="22"/>
      </w:rPr>
      <w:tab/>
    </w:r>
    <w:r w:rsidR="008838DF" w:rsidRPr="00FE655F">
      <w:rPr>
        <w:rStyle w:val="FooterChar"/>
        <w:rFonts w:ascii="Calibri" w:hAnsi="Calibri" w:cs="Arial"/>
        <w:b/>
        <w:color w:val="FF0000"/>
        <w:sz w:val="22"/>
      </w:rPr>
      <w:tab/>
    </w:r>
    <w:r w:rsidR="008838DF" w:rsidRPr="00FE655F">
      <w:rPr>
        <w:rStyle w:val="FooterChar"/>
        <w:b/>
        <w:sz w:val="22"/>
      </w:rPr>
      <w:t xml:space="preserve">Page </w:t>
    </w:r>
    <w:r w:rsidR="008838DF" w:rsidRPr="00FE655F">
      <w:rPr>
        <w:rStyle w:val="FooterChar"/>
        <w:b/>
        <w:sz w:val="22"/>
      </w:rPr>
      <w:fldChar w:fldCharType="begin"/>
    </w:r>
    <w:r w:rsidR="008838DF" w:rsidRPr="00FE655F">
      <w:rPr>
        <w:rStyle w:val="FooterChar"/>
        <w:b/>
        <w:sz w:val="22"/>
      </w:rPr>
      <w:instrText xml:space="preserve"> PAGE  \* Arabic  \* MERGEFORMAT </w:instrText>
    </w:r>
    <w:r w:rsidR="008838DF" w:rsidRPr="00FE655F">
      <w:rPr>
        <w:rStyle w:val="FooterChar"/>
        <w:b/>
        <w:sz w:val="22"/>
      </w:rPr>
      <w:fldChar w:fldCharType="separate"/>
    </w:r>
    <w:r w:rsidR="00C50AF7">
      <w:rPr>
        <w:rStyle w:val="FooterChar"/>
        <w:b/>
        <w:noProof/>
        <w:sz w:val="22"/>
      </w:rPr>
      <w:t>1</w:t>
    </w:r>
    <w:r w:rsidR="008838DF" w:rsidRPr="00FE655F">
      <w:rPr>
        <w:rStyle w:val="FooterChar"/>
        <w:b/>
        <w:sz w:val="22"/>
      </w:rPr>
      <w:fldChar w:fldCharType="end"/>
    </w:r>
    <w:r w:rsidR="008838DF" w:rsidRPr="00FE655F">
      <w:rPr>
        <w:rStyle w:val="FooterChar"/>
        <w:b/>
        <w:sz w:val="22"/>
      </w:rPr>
      <w:t xml:space="preserve"> of </w:t>
    </w:r>
    <w:r w:rsidR="00E25BFB">
      <w:rPr>
        <w:rStyle w:val="FooterChar"/>
        <w:b/>
        <w:sz w:val="22"/>
      </w:rPr>
      <w:t>1</w:t>
    </w:r>
    <w:r w:rsidR="00E25BFB">
      <w:rPr>
        <w:rStyle w:val="FooterChar"/>
        <w:b/>
        <w:bCs/>
        <w:sz w:val="22"/>
      </w:rPr>
      <w:t>9</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02082" w14:textId="46B513FF" w:rsidR="00070AAE" w:rsidRPr="004B52AF" w:rsidRDefault="006219BA" w:rsidP="00F91A0D">
    <w:pPr>
      <w:pStyle w:val="Footer"/>
      <w:tabs>
        <w:tab w:val="clear" w:pos="4513"/>
        <w:tab w:val="center" w:pos="4535"/>
        <w:tab w:val="right" w:pos="9071"/>
      </w:tabs>
      <w:rPr>
        <w:b/>
        <w:bCs/>
        <w:sz w:val="22"/>
      </w:rPr>
    </w:pPr>
    <w:r>
      <w:rPr>
        <w:b/>
        <w:bCs/>
        <w:noProof/>
        <w:sz w:val="22"/>
      </w:rPr>
      <mc:AlternateContent>
        <mc:Choice Requires="wps">
          <w:drawing>
            <wp:anchor distT="0" distB="0" distL="114300" distR="114300" simplePos="0" relativeHeight="251666439" behindDoc="0" locked="0" layoutInCell="0" allowOverlap="1" wp14:anchorId="53DA19AA" wp14:editId="51FE7FD7">
              <wp:simplePos x="0" y="0"/>
              <wp:positionH relativeFrom="page">
                <wp:align>center</wp:align>
              </wp:positionH>
              <wp:positionV relativeFrom="page">
                <wp:align>bottom</wp:align>
              </wp:positionV>
              <wp:extent cx="7772400" cy="463550"/>
              <wp:effectExtent l="0" t="0" r="0" b="12700"/>
              <wp:wrapNone/>
              <wp:docPr id="2" name="MSIPCMf34c4c688b68598519ef5f27" descr="{&quot;HashCode&quot;:-414943542,&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6E96CD7" w14:textId="4456C910" w:rsidR="006219BA" w:rsidRPr="00056837" w:rsidRDefault="005E499A" w:rsidP="005E499A">
                          <w:pPr>
                            <w:spacing w:before="0" w:after="0"/>
                            <w:jc w:val="center"/>
                            <w:rPr>
                              <w:rFonts w:ascii="Calibri" w:hAnsi="Calibri" w:cs="Calibri"/>
                              <w:strike/>
                              <w:color w:val="FF0000"/>
                              <w:sz w:val="20"/>
                            </w:rPr>
                          </w:pPr>
                          <w:r w:rsidRPr="00056837">
                            <w:rPr>
                              <w:rFonts w:ascii="Calibri" w:hAnsi="Calibri" w:cs="Calibri"/>
                              <w:strike/>
                              <w:color w:val="FF0000"/>
                              <w:sz w:val="20"/>
                            </w:rPr>
                            <w:t>OFFICIAL: Sensitive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3DA19AA" id="_x0000_t202" coordsize="21600,21600" o:spt="202" path="m,l,21600r21600,l21600,xe">
              <v:stroke joinstyle="miter"/>
              <v:path gradientshapeok="t" o:connecttype="rect"/>
            </v:shapetype>
            <v:shape id="MSIPCMf34c4c688b68598519ef5f27" o:spid="_x0000_s1029" type="#_x0000_t202" alt="{&quot;HashCode&quot;:-414943542,&quot;Height&quot;:9999999.0,&quot;Width&quot;:9999999.0,&quot;Placement&quot;:&quot;Footer&quot;,&quot;Index&quot;:&quot;Primary&quot;,&quot;Section&quot;:3,&quot;Top&quot;:0.0,&quot;Left&quot;:0.0}" style="position:absolute;margin-left:0;margin-top:0;width:612pt;height:36.5pt;z-index:25166643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16E96CD7" w14:textId="4456C910" w:rsidR="006219BA" w:rsidRPr="00056837" w:rsidRDefault="005E499A" w:rsidP="005E499A">
                    <w:pPr>
                      <w:spacing w:before="0" w:after="0"/>
                      <w:jc w:val="center"/>
                      <w:rPr>
                        <w:rFonts w:ascii="Calibri" w:hAnsi="Calibri" w:cs="Calibri"/>
                        <w:strike/>
                        <w:color w:val="FF0000"/>
                        <w:sz w:val="20"/>
                      </w:rPr>
                    </w:pPr>
                    <w:r w:rsidRPr="00056837">
                      <w:rPr>
                        <w:rFonts w:ascii="Calibri" w:hAnsi="Calibri" w:cs="Calibri"/>
                        <w:strike/>
                        <w:color w:val="FF0000"/>
                        <w:sz w:val="20"/>
                      </w:rPr>
                      <w:t>OFFICIAL: Sensitive</w:t>
                    </w:r>
                  </w:p>
                </w:txbxContent>
              </v:textbox>
              <w10:wrap anchorx="page" anchory="page"/>
            </v:shape>
          </w:pict>
        </mc:Fallback>
      </mc:AlternateContent>
    </w:r>
    <w:r w:rsidR="00070AAE">
      <w:rPr>
        <w:rStyle w:val="FooterChar"/>
        <w:b/>
        <w:bCs/>
        <w:sz w:val="22"/>
      </w:rPr>
      <w:tab/>
    </w:r>
    <w:r w:rsidR="00070AAE">
      <w:rPr>
        <w:rStyle w:val="FooterChar"/>
        <w:b/>
        <w:bCs/>
        <w:sz w:val="22"/>
      </w:rPr>
      <w:tab/>
    </w:r>
    <w:r w:rsidR="00070AAE">
      <w:rPr>
        <w:rStyle w:val="FooterChar"/>
        <w:b/>
        <w:bCs/>
        <w:sz w:val="22"/>
      </w:rPr>
      <w:tab/>
    </w:r>
    <w:r w:rsidR="00070AAE">
      <w:rPr>
        <w:rStyle w:val="FooterChar"/>
        <w:b/>
        <w:bCs/>
        <w:sz w:val="22"/>
      </w:rPr>
      <w:tab/>
    </w:r>
    <w:r w:rsidR="00070AAE">
      <w:rPr>
        <w:rStyle w:val="FooterChar"/>
        <w:b/>
        <w:bCs/>
        <w:sz w:val="22"/>
      </w:rPr>
      <w:tab/>
    </w:r>
    <w:r w:rsidR="00070AAE">
      <w:rPr>
        <w:rStyle w:val="FooterChar"/>
        <w:b/>
        <w:bCs/>
        <w:sz w:val="22"/>
      </w:rPr>
      <w:tab/>
    </w:r>
    <w:r w:rsidR="00070AAE">
      <w:rPr>
        <w:rStyle w:val="FooterChar"/>
        <w:b/>
        <w:bCs/>
        <w:sz w:val="22"/>
      </w:rPr>
      <w:tab/>
    </w:r>
    <w:r w:rsidR="00070AAE">
      <w:rPr>
        <w:rStyle w:val="FooterChar"/>
        <w:b/>
        <w:bCs/>
        <w:sz w:val="22"/>
      </w:rPr>
      <w:tab/>
    </w:r>
    <w:r w:rsidR="00070AAE">
      <w:rPr>
        <w:rStyle w:val="FooterChar"/>
        <w:b/>
        <w:bCs/>
        <w:sz w:val="22"/>
      </w:rPr>
      <w:tab/>
    </w:r>
    <w:r w:rsidR="00070AAE" w:rsidRPr="007C4069">
      <w:rPr>
        <w:rStyle w:val="FooterChar"/>
        <w:b/>
        <w:bCs/>
        <w:sz w:val="22"/>
      </w:rPr>
      <w:t xml:space="preserve">Page </w:t>
    </w:r>
    <w:r w:rsidR="00070AAE" w:rsidRPr="007C4069">
      <w:rPr>
        <w:rStyle w:val="FooterChar"/>
        <w:b/>
        <w:bCs/>
        <w:sz w:val="22"/>
      </w:rPr>
      <w:fldChar w:fldCharType="begin"/>
    </w:r>
    <w:r w:rsidR="00070AAE" w:rsidRPr="007C4069">
      <w:rPr>
        <w:rStyle w:val="FooterChar"/>
        <w:b/>
        <w:bCs/>
        <w:sz w:val="22"/>
      </w:rPr>
      <w:instrText xml:space="preserve"> PAGE  \* Arabic  \* MERGEFORMAT </w:instrText>
    </w:r>
    <w:r w:rsidR="00070AAE" w:rsidRPr="007C4069">
      <w:rPr>
        <w:rStyle w:val="FooterChar"/>
        <w:b/>
        <w:bCs/>
        <w:sz w:val="22"/>
      </w:rPr>
      <w:fldChar w:fldCharType="separate"/>
    </w:r>
    <w:r w:rsidR="00070AAE">
      <w:rPr>
        <w:rStyle w:val="FooterChar"/>
        <w:b/>
        <w:bCs/>
        <w:noProof/>
        <w:sz w:val="22"/>
      </w:rPr>
      <w:t>2</w:t>
    </w:r>
    <w:r w:rsidR="00070AAE" w:rsidRPr="007C4069">
      <w:rPr>
        <w:rStyle w:val="FooterChar"/>
        <w:b/>
        <w:bCs/>
        <w:sz w:val="22"/>
      </w:rPr>
      <w:fldChar w:fldCharType="end"/>
    </w:r>
    <w:r w:rsidR="00070AAE" w:rsidRPr="007C4069">
      <w:rPr>
        <w:rStyle w:val="FooterChar"/>
        <w:b/>
        <w:bCs/>
        <w:sz w:val="22"/>
      </w:rPr>
      <w:t xml:space="preserve"> of</w:t>
    </w:r>
    <w:r w:rsidR="00070AAE">
      <w:rPr>
        <w:rStyle w:val="FooterChar"/>
        <w:b/>
        <w:bCs/>
        <w:sz w:val="22"/>
      </w:rPr>
      <w:t xml:space="preserve"> </w:t>
    </w:r>
    <w:r w:rsidR="00CF4A86">
      <w:rPr>
        <w:rStyle w:val="FooterChar"/>
        <w:b/>
        <w:bCs/>
        <w:sz w:val="22"/>
      </w:rPr>
      <w:t>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DC1A4D" w14:textId="77777777" w:rsidR="00BB224B" w:rsidRPr="000557A7" w:rsidRDefault="00BB224B" w:rsidP="008D5A11">
      <w:pPr>
        <w:pBdr>
          <w:top w:val="single" w:sz="4" w:space="1" w:color="auto"/>
        </w:pBdr>
        <w:spacing w:before="240" w:line="60" w:lineRule="exact"/>
        <w:rPr>
          <w:sz w:val="16"/>
          <w:szCs w:val="16"/>
        </w:rPr>
      </w:pPr>
    </w:p>
  </w:footnote>
  <w:footnote w:type="continuationSeparator" w:id="0">
    <w:p w14:paraId="091DC2D2" w14:textId="77777777" w:rsidR="00BB224B" w:rsidRDefault="00BB224B" w:rsidP="00A20802">
      <w:r>
        <w:continuationSeparator/>
      </w:r>
    </w:p>
    <w:p w14:paraId="55C7AE02" w14:textId="77777777" w:rsidR="00BB224B" w:rsidRDefault="00BB224B"/>
    <w:p w14:paraId="686B53A6" w14:textId="77777777" w:rsidR="00BB224B" w:rsidRDefault="00BB224B"/>
  </w:footnote>
  <w:footnote w:type="continuationNotice" w:id="1">
    <w:p w14:paraId="37EB0EBC" w14:textId="77777777" w:rsidR="00BB224B" w:rsidRDefault="00BB224B">
      <w:pPr>
        <w:spacing w:before="0" w:after="0" w:line="240" w:lineRule="auto"/>
      </w:pPr>
    </w:p>
  </w:footnote>
  <w:footnote w:id="2">
    <w:p w14:paraId="3D5671AE" w14:textId="77777777" w:rsidR="00563B54" w:rsidRPr="00A30D60" w:rsidRDefault="00563B54" w:rsidP="00563B54">
      <w:pPr>
        <w:pStyle w:val="FootnoteText"/>
        <w:rPr>
          <w:lang w:val="en-US"/>
        </w:rPr>
      </w:pPr>
      <w:r>
        <w:rPr>
          <w:rStyle w:val="FootnoteReference"/>
        </w:rPr>
        <w:footnoteRef/>
      </w:r>
      <w:r>
        <w:t xml:space="preserve"> 2021-22 Budget, </w:t>
      </w:r>
      <w:hyperlink r:id="rId1" w:history="1">
        <w:r w:rsidRPr="004C468C">
          <w:rPr>
            <w:rStyle w:val="Hyperlink"/>
            <w:i/>
            <w:iCs/>
          </w:rPr>
          <w:t>Budget Paper No. 2</w:t>
        </w:r>
      </w:hyperlink>
      <w:r>
        <w:t xml:space="preserve">, p 92 -93 </w:t>
      </w:r>
    </w:p>
  </w:footnote>
  <w:footnote w:id="3">
    <w:p w14:paraId="119FD5C2" w14:textId="29355E56" w:rsidR="001D6417" w:rsidRPr="001D6417" w:rsidRDefault="001D6417">
      <w:pPr>
        <w:pStyle w:val="FootnoteText"/>
        <w:rPr>
          <w:lang w:val="en-US"/>
        </w:rPr>
      </w:pPr>
      <w:r>
        <w:rPr>
          <w:rStyle w:val="FootnoteReference"/>
        </w:rPr>
        <w:footnoteRef/>
      </w:r>
      <w:r>
        <w:t xml:space="preserve"> </w:t>
      </w:r>
      <w:hyperlink r:id="rId2" w:history="1">
        <w:r>
          <w:rPr>
            <w:rStyle w:val="Hyperlink"/>
          </w:rPr>
          <w:t>JobSeeker Payment - Services Australia</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FE361" w14:textId="77777777" w:rsidR="00E25BFB" w:rsidRDefault="00E25BF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042A2" w14:textId="77777777" w:rsidR="008B2E25" w:rsidRPr="008B2E25" w:rsidRDefault="008B2E25" w:rsidP="008B2E25">
    <w:pPr>
      <w:spacing w:before="0" w:after="0"/>
      <w:jc w:val="center"/>
      <w:rPr>
        <w:rFonts w:ascii="Calibri" w:hAnsi="Calibri" w:cs="Calibri"/>
        <w:strike/>
        <w:color w:val="FF0000"/>
        <w:sz w:val="20"/>
      </w:rPr>
    </w:pPr>
    <w:r w:rsidRPr="008B2E25">
      <w:rPr>
        <w:rFonts w:ascii="Calibri" w:hAnsi="Calibri" w:cs="Calibri"/>
        <w:strike/>
        <w:color w:val="FF0000"/>
        <w:sz w:val="20"/>
      </w:rPr>
      <w:t>OFFICIAL: Sensitive</w:t>
    </w:r>
  </w:p>
  <w:p w14:paraId="548C6585" w14:textId="77777777" w:rsidR="008B2E25" w:rsidRDefault="008B2E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7CE76" w14:textId="77777777" w:rsidR="00724E22" w:rsidRPr="008B2E25" w:rsidRDefault="00724E22" w:rsidP="00724E22">
    <w:pPr>
      <w:spacing w:before="0" w:after="0"/>
      <w:jc w:val="center"/>
      <w:rPr>
        <w:rFonts w:ascii="Calibri" w:hAnsi="Calibri" w:cs="Calibri"/>
        <w:strike/>
        <w:color w:val="FF0000"/>
        <w:sz w:val="20"/>
      </w:rPr>
    </w:pPr>
    <w:r w:rsidRPr="008B2E25">
      <w:rPr>
        <w:rFonts w:ascii="Calibri" w:hAnsi="Calibri" w:cs="Calibri"/>
        <w:strike/>
        <w:color w:val="FF0000"/>
        <w:sz w:val="20"/>
      </w:rPr>
      <w:t>OFFICIAL: Sensitive</w:t>
    </w:r>
  </w:p>
  <w:p w14:paraId="3568830C" w14:textId="77777777" w:rsidR="008838DF" w:rsidRDefault="008838DF" w:rsidP="00F91A0D">
    <w:pPr>
      <w:pStyle w:val="Header"/>
      <w:spacing w:before="400" w:after="680"/>
    </w:pPr>
    <w:r>
      <w:rPr>
        <w:noProof/>
        <w:lang w:eastAsia="en-AU"/>
      </w:rPr>
      <w:drawing>
        <wp:inline distT="0" distB="0" distL="0" distR="0" wp14:anchorId="643474FA" wp14:editId="4B789028">
          <wp:extent cx="1880382" cy="576000"/>
          <wp:effectExtent l="0" t="0" r="5715" b="0"/>
          <wp:docPr id="36" name="Picture 36" descr="Parliamentary Budget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arliamentary Budget Offic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80382" cy="5760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46813" w14:textId="0108C579" w:rsidR="00416252" w:rsidRDefault="006219BA" w:rsidP="00416252">
    <w:pPr>
      <w:pStyle w:val="Header"/>
      <w:tabs>
        <w:tab w:val="center" w:pos="7399"/>
        <w:tab w:val="right" w:pos="14798"/>
      </w:tabs>
    </w:pPr>
    <w:r>
      <w:rPr>
        <w:noProof/>
      </w:rPr>
      <mc:AlternateContent>
        <mc:Choice Requires="wps">
          <w:drawing>
            <wp:anchor distT="0" distB="0" distL="114300" distR="114300" simplePos="0" relativeHeight="251667463" behindDoc="0" locked="0" layoutInCell="0" allowOverlap="1" wp14:anchorId="488C6469" wp14:editId="1712EC8A">
              <wp:simplePos x="0" y="0"/>
              <wp:positionH relativeFrom="page">
                <wp:align>center</wp:align>
              </wp:positionH>
              <wp:positionV relativeFrom="page">
                <wp:align>top</wp:align>
              </wp:positionV>
              <wp:extent cx="7772400" cy="463550"/>
              <wp:effectExtent l="0" t="0" r="0" b="12700"/>
              <wp:wrapNone/>
              <wp:docPr id="6" name="MSIPCM84484baf85c95868385f3fdb" descr="{&quot;HashCode&quot;:-439081111,&quot;Height&quot;:9999999.0,&quot;Width&quot;:9999999.0,&quot;Placement&quot;:&quot;Head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13FD05B" w14:textId="64299199" w:rsidR="006219BA" w:rsidRPr="00056837" w:rsidRDefault="005E499A" w:rsidP="005E499A">
                          <w:pPr>
                            <w:spacing w:before="0" w:after="0"/>
                            <w:jc w:val="center"/>
                            <w:rPr>
                              <w:rFonts w:ascii="Calibri" w:hAnsi="Calibri" w:cs="Calibri"/>
                              <w:strike/>
                              <w:color w:val="FF0000"/>
                              <w:sz w:val="20"/>
                            </w:rPr>
                          </w:pPr>
                          <w:r w:rsidRPr="00056837">
                            <w:rPr>
                              <w:rFonts w:ascii="Calibri" w:hAnsi="Calibri" w:cs="Calibri"/>
                              <w:strike/>
                              <w:color w:val="FF0000"/>
                              <w:sz w:val="20"/>
                            </w:rPr>
                            <w:t>OFFICIAL: Sensitive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88C6469" id="_x0000_t202" coordsize="21600,21600" o:spt="202" path="m,l,21600r21600,l21600,xe">
              <v:stroke joinstyle="miter"/>
              <v:path gradientshapeok="t" o:connecttype="rect"/>
            </v:shapetype>
            <v:shape id="MSIPCM84484baf85c95868385f3fdb" o:spid="_x0000_s1028" type="#_x0000_t202" alt="{&quot;HashCode&quot;:-439081111,&quot;Height&quot;:9999999.0,&quot;Width&quot;:9999999.0,&quot;Placement&quot;:&quot;Header&quot;,&quot;Index&quot;:&quot;Primary&quot;,&quot;Section&quot;:3,&quot;Top&quot;:0.0,&quot;Left&quot;:0.0}" style="position:absolute;margin-left:0;margin-top:0;width:612pt;height:36.5pt;z-index:251667463;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513FD05B" w14:textId="64299199" w:rsidR="006219BA" w:rsidRPr="00056837" w:rsidRDefault="005E499A" w:rsidP="005E499A">
                    <w:pPr>
                      <w:spacing w:before="0" w:after="0"/>
                      <w:jc w:val="center"/>
                      <w:rPr>
                        <w:rFonts w:ascii="Calibri" w:hAnsi="Calibri" w:cs="Calibri"/>
                        <w:strike/>
                        <w:color w:val="FF0000"/>
                        <w:sz w:val="20"/>
                      </w:rPr>
                    </w:pPr>
                    <w:r w:rsidRPr="00056837">
                      <w:rPr>
                        <w:rFonts w:ascii="Calibri" w:hAnsi="Calibri" w:cs="Calibri"/>
                        <w:strike/>
                        <w:color w:val="FF0000"/>
                        <w:sz w:val="20"/>
                      </w:rPr>
                      <w:t>OFFICIAL: Sensitive</w:t>
                    </w:r>
                  </w:p>
                </w:txbxContent>
              </v:textbox>
              <w10:wrap anchorx="page" anchory="page"/>
            </v:shape>
          </w:pict>
        </mc:Fallback>
      </mc:AlternateContent>
    </w:r>
    <w:r w:rsidR="00416252">
      <w:tab/>
    </w:r>
    <w:r w:rsidR="00416252">
      <w:tab/>
    </w:r>
    <w:r w:rsidR="00416252">
      <w:tab/>
    </w:r>
    <w:r w:rsidR="00416252">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B37FE"/>
    <w:multiLevelType w:val="multilevel"/>
    <w:tmpl w:val="2CA8A22A"/>
    <w:name w:val="Bullets"/>
    <w:lvl w:ilvl="0">
      <w:start w:val="1"/>
      <w:numFmt w:val="bullet"/>
      <w:lvlText w:val="•"/>
      <w:lvlJc w:val="left"/>
      <w:pPr>
        <w:tabs>
          <w:tab w:val="num" w:pos="454"/>
        </w:tabs>
        <w:ind w:left="454" w:hanging="454"/>
      </w:pPr>
      <w:rPr>
        <w:rFonts w:ascii="Calibri" w:hAnsi="Calibri" w:hint="default"/>
        <w:b w:val="0"/>
        <w:i w:val="0"/>
        <w:color w:val="auto"/>
        <w:position w:val="0"/>
        <w:sz w:val="22"/>
      </w:rPr>
    </w:lvl>
    <w:lvl w:ilvl="1">
      <w:start w:val="1"/>
      <w:numFmt w:val="bullet"/>
      <w:lvlText w:val="–"/>
      <w:lvlJc w:val="left"/>
      <w:pPr>
        <w:tabs>
          <w:tab w:val="num" w:pos="907"/>
        </w:tabs>
        <w:ind w:left="907" w:hanging="453"/>
      </w:pPr>
      <w:rPr>
        <w:rFonts w:ascii="Calibri" w:hAnsi="Calibri" w:hint="default"/>
        <w:b w:val="0"/>
        <w:i w:val="0"/>
        <w:color w:val="auto"/>
        <w:position w:val="0"/>
        <w:sz w:val="22"/>
      </w:rPr>
    </w:lvl>
    <w:lvl w:ilvl="2">
      <w:start w:val="1"/>
      <w:numFmt w:val="bullet"/>
      <w:lvlText w:val=""/>
      <w:lvlJc w:val="left"/>
      <w:pPr>
        <w:tabs>
          <w:tab w:val="num" w:pos="1361"/>
        </w:tabs>
        <w:ind w:left="1361" w:hanging="454"/>
      </w:pPr>
      <w:rPr>
        <w:rFonts w:ascii="Wingdings" w:hAnsi="Wingdings" w:hint="default"/>
        <w:b w:val="0"/>
        <w:i w:val="0"/>
        <w:color w:val="auto"/>
        <w:spacing w:val="0"/>
        <w:w w:val="100"/>
        <w:position w:val="1"/>
        <w:sz w:val="22"/>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 w15:restartNumberingAfterBreak="0">
    <w:nsid w:val="0D745448"/>
    <w:multiLevelType w:val="multilevel"/>
    <w:tmpl w:val="B9B27878"/>
    <w:name w:val="PBOHeadings"/>
    <w:lvl w:ilvl="0">
      <w:start w:val="1"/>
      <w:numFmt w:val="none"/>
      <w:lvlRestart w:val="0"/>
      <w:suff w:val="nothing"/>
      <w:lvlText w:val=""/>
      <w:lvlJc w:val="left"/>
      <w:pPr>
        <w:tabs>
          <w:tab w:val="num" w:pos="0"/>
        </w:tabs>
        <w:ind w:left="0" w:firstLine="0"/>
      </w:pPr>
      <w:rPr>
        <w:rFonts w:hint="default"/>
      </w:rPr>
    </w:lvl>
    <w:lvl w:ilvl="1">
      <w:start w:val="1"/>
      <w:numFmt w:val="none"/>
      <w:suff w:val="nothing"/>
      <w:lvlText w:val=""/>
      <w:lvlJc w:val="left"/>
      <w:pPr>
        <w:tabs>
          <w:tab w:val="num" w:pos="0"/>
        </w:tabs>
        <w:ind w:left="0" w:firstLine="0"/>
      </w:pPr>
      <w:rPr>
        <w:rFonts w:hint="default"/>
      </w:rPr>
    </w:lvl>
    <w:lvl w:ilvl="2">
      <w:start w:val="1"/>
      <w:numFmt w:val="none"/>
      <w:suff w:val="nothing"/>
      <w:lvlText w:val=""/>
      <w:lvlJc w:val="left"/>
      <w:pPr>
        <w:tabs>
          <w:tab w:val="num" w:pos="0"/>
        </w:tabs>
        <w:ind w:left="0" w:firstLine="0"/>
      </w:pPr>
      <w:rPr>
        <w:rFonts w:hint="default"/>
      </w:rPr>
    </w:lvl>
    <w:lvl w:ilvl="3">
      <w:start w:val="1"/>
      <w:numFmt w:val="none"/>
      <w:lvlText w:val=""/>
      <w:lvlJc w:val="left"/>
      <w:pPr>
        <w:ind w:left="765" w:hanging="765"/>
      </w:pPr>
      <w:rPr>
        <w:rFonts w:hint="default"/>
      </w:rPr>
    </w:lvl>
    <w:lvl w:ilvl="4">
      <w:start w:val="1"/>
      <w:numFmt w:val="none"/>
      <w:lvlText w:val=""/>
      <w:lvlJc w:val="left"/>
      <w:pPr>
        <w:ind w:left="765" w:hanging="765"/>
      </w:pPr>
      <w:rPr>
        <w:rFonts w:hint="default"/>
      </w:rPr>
    </w:lvl>
    <w:lvl w:ilvl="5">
      <w:start w:val="1"/>
      <w:numFmt w:val="none"/>
      <w:lvlText w:val=""/>
      <w:lvlJc w:val="left"/>
      <w:pPr>
        <w:ind w:left="765" w:hanging="765"/>
      </w:pPr>
      <w:rPr>
        <w:rFonts w:hint="default"/>
      </w:rPr>
    </w:lvl>
    <w:lvl w:ilvl="6">
      <w:start w:val="1"/>
      <w:numFmt w:val="none"/>
      <w:lvlText w:val=""/>
      <w:lvlJc w:val="left"/>
      <w:pPr>
        <w:ind w:left="765" w:hanging="765"/>
      </w:pPr>
      <w:rPr>
        <w:rFonts w:hint="default"/>
      </w:rPr>
    </w:lvl>
    <w:lvl w:ilvl="7">
      <w:start w:val="1"/>
      <w:numFmt w:val="none"/>
      <w:lvlText w:val=""/>
      <w:lvlJc w:val="left"/>
      <w:pPr>
        <w:ind w:left="765" w:hanging="765"/>
      </w:pPr>
      <w:rPr>
        <w:rFonts w:hint="default"/>
      </w:rPr>
    </w:lvl>
    <w:lvl w:ilvl="8">
      <w:start w:val="1"/>
      <w:numFmt w:val="none"/>
      <w:lvlText w:val=""/>
      <w:lvlJc w:val="left"/>
      <w:pPr>
        <w:ind w:left="765" w:hanging="765"/>
      </w:pPr>
      <w:rPr>
        <w:rFonts w:hint="default"/>
      </w:rPr>
    </w:lvl>
  </w:abstractNum>
  <w:abstractNum w:abstractNumId="2" w15:restartNumberingAfterBreak="0">
    <w:nsid w:val="0E645256"/>
    <w:multiLevelType w:val="multilevel"/>
    <w:tmpl w:val="75FCCD40"/>
    <w:styleLink w:val="AttachementsNumbered"/>
    <w:lvl w:ilvl="0">
      <w:start w:val="1"/>
      <w:numFmt w:val="upperLetter"/>
      <w:pStyle w:val="Heading8"/>
      <w:suff w:val="space"/>
      <w:lvlText w:val="Attachment %1 –"/>
      <w:lvlJc w:val="left"/>
      <w:pPr>
        <w:ind w:left="2127"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F6C678D"/>
    <w:multiLevelType w:val="multilevel"/>
    <w:tmpl w:val="07629034"/>
    <w:styleLink w:val="KC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9778B4" w:themeColor="text2"/>
      </w:rPr>
    </w:lvl>
    <w:lvl w:ilvl="2">
      <w:start w:val="1"/>
      <w:numFmt w:val="bullet"/>
      <w:lvlText w:val="»"/>
      <w:lvlJc w:val="left"/>
      <w:pPr>
        <w:ind w:left="852" w:hanging="284"/>
      </w:pPr>
      <w:rPr>
        <w:rFonts w:ascii="Arial" w:hAnsi="Arial" w:hint="default"/>
        <w:color w:val="9778B4"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 w15:restartNumberingAfterBreak="0">
    <w:nsid w:val="0FB2573F"/>
    <w:multiLevelType w:val="multilevel"/>
    <w:tmpl w:val="CCB018EE"/>
    <w:lvl w:ilvl="0">
      <w:start w:val="1"/>
      <w:numFmt w:val="lowerLetter"/>
      <w:pStyle w:val="TableFootnotes"/>
      <w:lvlText w:val="(%1)"/>
      <w:lvlJc w:val="left"/>
      <w:pPr>
        <w:ind w:left="360" w:hanging="360"/>
      </w:pPr>
      <w:rPr>
        <w:rFonts w:hint="default"/>
        <w:color w:val="auto"/>
        <w:spacing w:val="0"/>
        <w:sz w:val="20"/>
        <w:vertAlign w:val="baseline"/>
      </w:rPr>
    </w:lvl>
    <w:lvl w:ilvl="1">
      <w:start w:val="1"/>
      <w:numFmt w:val="bullet"/>
      <w:lvlText w:val=""/>
      <w:lvlJc w:val="left"/>
      <w:pPr>
        <w:tabs>
          <w:tab w:val="num" w:pos="454"/>
        </w:tabs>
        <w:ind w:left="454" w:hanging="170"/>
      </w:pPr>
      <w:rPr>
        <w:rFonts w:ascii="Symbol" w:hAnsi="Symbol" w:hint="default"/>
        <w:spacing w:val="0"/>
        <w:w w:val="100"/>
        <w:kern w:val="0"/>
        <w:position w:val="0"/>
      </w:rPr>
    </w:lvl>
    <w:lvl w:ilvl="2">
      <w:start w:val="1"/>
      <w:numFmt w:val="bullet"/>
      <w:lvlRestart w:val="1"/>
      <w:lvlText w:val=""/>
      <w:lvlJc w:val="left"/>
      <w:pPr>
        <w:tabs>
          <w:tab w:val="num" w:pos="624"/>
        </w:tabs>
        <w:ind w:left="624" w:hanging="170"/>
      </w:pPr>
      <w:rPr>
        <w:rFonts w:ascii="Symbol" w:hAnsi="Symbol" w:hint="default"/>
        <w:color w:val="auto"/>
        <w:spacing w:val="-4"/>
      </w:rPr>
    </w:lvl>
    <w:lvl w:ilvl="3">
      <w:start w:val="1"/>
      <w:numFmt w:val="none"/>
      <w:lvlText w:val=""/>
      <w:lvlJc w:val="left"/>
      <w:pPr>
        <w:tabs>
          <w:tab w:val="num" w:pos="0"/>
        </w:tabs>
        <w:ind w:left="-709" w:firstLine="0"/>
      </w:pPr>
      <w:rPr>
        <w:rFonts w:hint="default"/>
        <w:spacing w:val="-10"/>
        <w:w w:val="100"/>
      </w:rPr>
    </w:lvl>
    <w:lvl w:ilvl="4">
      <w:start w:val="1"/>
      <w:numFmt w:val="none"/>
      <w:lvlText w:val=""/>
      <w:lvlJc w:val="left"/>
      <w:pPr>
        <w:tabs>
          <w:tab w:val="num" w:pos="2835"/>
        </w:tabs>
        <w:ind w:left="2835" w:hanging="567"/>
      </w:pPr>
      <w:rPr>
        <w:rFonts w:hint="default"/>
      </w:rPr>
    </w:lvl>
    <w:lvl w:ilvl="5">
      <w:start w:val="1"/>
      <w:numFmt w:val="none"/>
      <w:lvlText w:val=""/>
      <w:lvlJc w:val="left"/>
      <w:pPr>
        <w:tabs>
          <w:tab w:val="num" w:pos="2160"/>
        </w:tabs>
        <w:ind w:left="2016" w:hanging="936"/>
      </w:pPr>
      <w:rPr>
        <w:rFonts w:hint="default"/>
      </w:rPr>
    </w:lvl>
    <w:lvl w:ilvl="6">
      <w:start w:val="1"/>
      <w:numFmt w:val="lowerRoman"/>
      <w:lvlRestart w:val="1"/>
      <w:lvlText w:val="%7"/>
      <w:lvlJc w:val="left"/>
      <w:pPr>
        <w:tabs>
          <w:tab w:val="num" w:pos="369"/>
        </w:tabs>
        <w:ind w:left="369" w:hanging="369"/>
      </w:pPr>
      <w:rPr>
        <w:rFonts w:hint="default"/>
      </w:rPr>
    </w:lvl>
    <w:lvl w:ilvl="7">
      <w:start w:val="1"/>
      <w:numFmt w:val="lowerLetter"/>
      <w:lvlText w:val="%8."/>
      <w:lvlJc w:val="left"/>
      <w:pPr>
        <w:tabs>
          <w:tab w:val="num" w:pos="737"/>
        </w:tabs>
        <w:ind w:left="737" w:hanging="368"/>
      </w:pPr>
      <w:rPr>
        <w:rFonts w:hint="default"/>
        <w:position w:val="0"/>
      </w:rPr>
    </w:lvl>
    <w:lvl w:ilvl="8">
      <w:start w:val="1"/>
      <w:numFmt w:val="bullet"/>
      <w:lvlText w:val=""/>
      <w:lvlJc w:val="left"/>
      <w:pPr>
        <w:tabs>
          <w:tab w:val="num" w:pos="1106"/>
        </w:tabs>
        <w:ind w:left="1106" w:hanging="369"/>
      </w:pPr>
      <w:rPr>
        <w:rFonts w:ascii="Symbol" w:hAnsi="Symbol" w:hint="default"/>
        <w:position w:val="2"/>
        <w:sz w:val="20"/>
        <w:szCs w:val="20"/>
      </w:rPr>
    </w:lvl>
  </w:abstractNum>
  <w:abstractNum w:abstractNumId="5" w15:restartNumberingAfterBreak="0">
    <w:nsid w:val="15E92E39"/>
    <w:multiLevelType w:val="multilevel"/>
    <w:tmpl w:val="6C6E19E4"/>
    <w:styleLink w:val="NormalNumberedParas"/>
    <w:lvl w:ilvl="0">
      <w:start w:val="1"/>
      <w:numFmt w:val="decimal"/>
      <w:pStyle w:val="NormalNumbered"/>
      <w:lvlText w:val="%1."/>
      <w:lvlJc w:val="left"/>
      <w:pPr>
        <w:ind w:left="567" w:hanging="567"/>
      </w:pPr>
      <w:rPr>
        <w:rFonts w:hint="default"/>
        <w:b w:val="0"/>
        <w:i w:val="0"/>
        <w:caps w:val="0"/>
        <w:color w:val="000000" w:themeColor="tex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8C020AF"/>
    <w:multiLevelType w:val="hybridMultilevel"/>
    <w:tmpl w:val="0100DF4C"/>
    <w:lvl w:ilvl="0" w:tplc="8AE63CDA">
      <w:start w:val="1"/>
      <w:numFmt w:val="bullet"/>
      <w:lvlText w:val="–"/>
      <w:lvlJc w:val="left"/>
      <w:pPr>
        <w:ind w:left="417" w:hanging="360"/>
      </w:pPr>
      <w:rPr>
        <w:rFonts w:ascii="Calibri" w:eastAsiaTheme="minorHAnsi" w:hAnsi="Calibri" w:cstheme="minorBidi" w:hint="default"/>
      </w:rPr>
    </w:lvl>
    <w:lvl w:ilvl="1" w:tplc="0C090003" w:tentative="1">
      <w:start w:val="1"/>
      <w:numFmt w:val="bullet"/>
      <w:lvlText w:val="o"/>
      <w:lvlJc w:val="left"/>
      <w:pPr>
        <w:ind w:left="1137" w:hanging="360"/>
      </w:pPr>
      <w:rPr>
        <w:rFonts w:ascii="Courier New" w:hAnsi="Courier New" w:cs="Courier New" w:hint="default"/>
      </w:rPr>
    </w:lvl>
    <w:lvl w:ilvl="2" w:tplc="0C090005" w:tentative="1">
      <w:start w:val="1"/>
      <w:numFmt w:val="bullet"/>
      <w:lvlText w:val=""/>
      <w:lvlJc w:val="left"/>
      <w:pPr>
        <w:ind w:left="1857" w:hanging="360"/>
      </w:pPr>
      <w:rPr>
        <w:rFonts w:ascii="Wingdings" w:hAnsi="Wingdings" w:hint="default"/>
      </w:rPr>
    </w:lvl>
    <w:lvl w:ilvl="3" w:tplc="0C090001" w:tentative="1">
      <w:start w:val="1"/>
      <w:numFmt w:val="bullet"/>
      <w:lvlText w:val=""/>
      <w:lvlJc w:val="left"/>
      <w:pPr>
        <w:ind w:left="2577" w:hanging="360"/>
      </w:pPr>
      <w:rPr>
        <w:rFonts w:ascii="Symbol" w:hAnsi="Symbol" w:hint="default"/>
      </w:rPr>
    </w:lvl>
    <w:lvl w:ilvl="4" w:tplc="0C090003" w:tentative="1">
      <w:start w:val="1"/>
      <w:numFmt w:val="bullet"/>
      <w:lvlText w:val="o"/>
      <w:lvlJc w:val="left"/>
      <w:pPr>
        <w:ind w:left="3297" w:hanging="360"/>
      </w:pPr>
      <w:rPr>
        <w:rFonts w:ascii="Courier New" w:hAnsi="Courier New" w:cs="Courier New" w:hint="default"/>
      </w:rPr>
    </w:lvl>
    <w:lvl w:ilvl="5" w:tplc="0C090005" w:tentative="1">
      <w:start w:val="1"/>
      <w:numFmt w:val="bullet"/>
      <w:lvlText w:val=""/>
      <w:lvlJc w:val="left"/>
      <w:pPr>
        <w:ind w:left="4017" w:hanging="360"/>
      </w:pPr>
      <w:rPr>
        <w:rFonts w:ascii="Wingdings" w:hAnsi="Wingdings" w:hint="default"/>
      </w:rPr>
    </w:lvl>
    <w:lvl w:ilvl="6" w:tplc="0C090001" w:tentative="1">
      <w:start w:val="1"/>
      <w:numFmt w:val="bullet"/>
      <w:lvlText w:val=""/>
      <w:lvlJc w:val="left"/>
      <w:pPr>
        <w:ind w:left="4737" w:hanging="360"/>
      </w:pPr>
      <w:rPr>
        <w:rFonts w:ascii="Symbol" w:hAnsi="Symbol" w:hint="default"/>
      </w:rPr>
    </w:lvl>
    <w:lvl w:ilvl="7" w:tplc="0C090003" w:tentative="1">
      <w:start w:val="1"/>
      <w:numFmt w:val="bullet"/>
      <w:lvlText w:val="o"/>
      <w:lvlJc w:val="left"/>
      <w:pPr>
        <w:ind w:left="5457" w:hanging="360"/>
      </w:pPr>
      <w:rPr>
        <w:rFonts w:ascii="Courier New" w:hAnsi="Courier New" w:cs="Courier New" w:hint="default"/>
      </w:rPr>
    </w:lvl>
    <w:lvl w:ilvl="8" w:tplc="0C090005" w:tentative="1">
      <w:start w:val="1"/>
      <w:numFmt w:val="bullet"/>
      <w:lvlText w:val=""/>
      <w:lvlJc w:val="left"/>
      <w:pPr>
        <w:ind w:left="6177" w:hanging="360"/>
      </w:pPr>
      <w:rPr>
        <w:rFonts w:ascii="Wingdings" w:hAnsi="Wingdings" w:hint="default"/>
      </w:rPr>
    </w:lvl>
  </w:abstractNum>
  <w:abstractNum w:abstractNumId="7" w15:restartNumberingAfterBreak="0">
    <w:nsid w:val="194A695C"/>
    <w:multiLevelType w:val="multilevel"/>
    <w:tmpl w:val="9710D28A"/>
    <w:name w:val="TableBullets"/>
    <w:lvl w:ilvl="0">
      <w:start w:val="1"/>
      <w:numFmt w:val="bullet"/>
      <w:lvlText w:val="•"/>
      <w:lvlJc w:val="left"/>
      <w:pPr>
        <w:tabs>
          <w:tab w:val="num" w:pos="284"/>
        </w:tabs>
        <w:ind w:left="284" w:hanging="171"/>
      </w:pPr>
      <w:rPr>
        <w:rFonts w:ascii="Calibri" w:hAnsi="Calibri" w:hint="default"/>
        <w:color w:val="auto"/>
        <w:position w:val="2"/>
        <w:sz w:val="20"/>
        <w:szCs w:val="12"/>
      </w:rPr>
    </w:lvl>
    <w:lvl w:ilvl="1">
      <w:start w:val="1"/>
      <w:numFmt w:val="bullet"/>
      <w:lvlText w:val="–"/>
      <w:lvlJc w:val="left"/>
      <w:pPr>
        <w:tabs>
          <w:tab w:val="num" w:pos="454"/>
        </w:tabs>
        <w:ind w:left="454" w:hanging="170"/>
      </w:pPr>
      <w:rPr>
        <w:rFonts w:ascii="Times New Roman" w:hAnsi="Times New Roman" w:cs="Times New Roman" w:hint="default"/>
        <w:b w:val="0"/>
        <w:i w:val="0"/>
        <w:color w:val="auto"/>
        <w:sz w:val="20"/>
        <w:szCs w:val="18"/>
      </w:rPr>
    </w:lvl>
    <w:lvl w:ilvl="2">
      <w:start w:val="1"/>
      <w:numFmt w:val="bullet"/>
      <w:lvlText w:val=""/>
      <w:lvlJc w:val="left"/>
      <w:pPr>
        <w:tabs>
          <w:tab w:val="num" w:pos="624"/>
        </w:tabs>
        <w:ind w:left="624" w:hanging="170"/>
      </w:pPr>
      <w:rPr>
        <w:rFonts w:ascii="Wingdings" w:hAnsi="Wingdings" w:hint="default"/>
        <w:color w:val="auto"/>
        <w:position w:val="1"/>
        <w:sz w:val="20"/>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8" w15:restartNumberingAfterBreak="0">
    <w:nsid w:val="19F1618D"/>
    <w:multiLevelType w:val="multilevel"/>
    <w:tmpl w:val="DB9A36FA"/>
    <w:styleLink w:val="List1Numbered"/>
    <w:lvl w:ilvl="0">
      <w:start w:val="1"/>
      <w:numFmt w:val="decimal"/>
      <w:pStyle w:val="List1Numbered1"/>
      <w:lvlText w:val="%1."/>
      <w:lvlJc w:val="left"/>
      <w:pPr>
        <w:ind w:left="851" w:hanging="284"/>
      </w:pPr>
      <w:rPr>
        <w:rFonts w:hint="default"/>
        <w:b w:val="0"/>
        <w:i w:val="0"/>
        <w:color w:val="auto"/>
      </w:rPr>
    </w:lvl>
    <w:lvl w:ilvl="1">
      <w:start w:val="1"/>
      <w:numFmt w:val="lowerLetter"/>
      <w:pStyle w:val="List1Numbered2"/>
      <w:lvlText w:val="%2."/>
      <w:lvlJc w:val="left"/>
      <w:pPr>
        <w:ind w:left="1135" w:hanging="284"/>
      </w:pPr>
      <w:rPr>
        <w:rFonts w:hint="default"/>
      </w:rPr>
    </w:lvl>
    <w:lvl w:ilvl="2">
      <w:start w:val="1"/>
      <w:numFmt w:val="lowerRoman"/>
      <w:pStyle w:val="List1Numbered3"/>
      <w:lvlText w:val="%3."/>
      <w:lvlJc w:val="left"/>
      <w:pPr>
        <w:ind w:left="1419" w:hanging="284"/>
      </w:pPr>
      <w:rPr>
        <w:rFonts w:hint="default"/>
      </w:rPr>
    </w:lvl>
    <w:lvl w:ilvl="3">
      <w:start w:val="1"/>
      <w:numFmt w:val="decimal"/>
      <w:lvlText w:val="(%4)"/>
      <w:lvlJc w:val="left"/>
      <w:pPr>
        <w:ind w:left="1703" w:hanging="284"/>
      </w:pPr>
      <w:rPr>
        <w:rFonts w:hint="default"/>
      </w:rPr>
    </w:lvl>
    <w:lvl w:ilvl="4">
      <w:start w:val="1"/>
      <w:numFmt w:val="lowerLetter"/>
      <w:lvlText w:val="(%5)"/>
      <w:lvlJc w:val="left"/>
      <w:pPr>
        <w:ind w:left="1987" w:hanging="284"/>
      </w:pPr>
      <w:rPr>
        <w:rFonts w:hint="default"/>
      </w:rPr>
    </w:lvl>
    <w:lvl w:ilvl="5">
      <w:start w:val="1"/>
      <w:numFmt w:val="lowerRoman"/>
      <w:lvlText w:val="(%6)"/>
      <w:lvlJc w:val="left"/>
      <w:pPr>
        <w:ind w:left="2271" w:hanging="284"/>
      </w:pPr>
      <w:rPr>
        <w:rFonts w:hint="default"/>
      </w:rPr>
    </w:lvl>
    <w:lvl w:ilvl="6">
      <w:start w:val="1"/>
      <w:numFmt w:val="decimal"/>
      <w:lvlText w:val="%7."/>
      <w:lvlJc w:val="left"/>
      <w:pPr>
        <w:ind w:left="2555" w:hanging="284"/>
      </w:pPr>
      <w:rPr>
        <w:rFonts w:hint="default"/>
      </w:rPr>
    </w:lvl>
    <w:lvl w:ilvl="7">
      <w:start w:val="1"/>
      <w:numFmt w:val="lowerLetter"/>
      <w:lvlText w:val="%8."/>
      <w:lvlJc w:val="left"/>
      <w:pPr>
        <w:ind w:left="2839" w:hanging="284"/>
      </w:pPr>
      <w:rPr>
        <w:rFonts w:hint="default"/>
      </w:rPr>
    </w:lvl>
    <w:lvl w:ilvl="8">
      <w:start w:val="1"/>
      <w:numFmt w:val="lowerRoman"/>
      <w:lvlText w:val="%9."/>
      <w:lvlJc w:val="left"/>
      <w:pPr>
        <w:ind w:left="3123" w:hanging="284"/>
      </w:pPr>
      <w:rPr>
        <w:rFonts w:hint="default"/>
      </w:rPr>
    </w:lvl>
  </w:abstractNum>
  <w:abstractNum w:abstractNumId="9" w15:restartNumberingAfterBreak="0">
    <w:nsid w:val="1CC862E1"/>
    <w:multiLevelType w:val="multilevel"/>
    <w:tmpl w:val="C284D0B0"/>
    <w:styleLink w:val="FigureNumbers"/>
    <w:lvl w:ilvl="0">
      <w:start w:val="1"/>
      <w:numFmt w:val="decimal"/>
      <w:lvlText w:val="Figure %1."/>
      <w:lvlJc w:val="left"/>
      <w:pPr>
        <w:ind w:left="1134" w:hanging="1134"/>
      </w:pPr>
      <w:rPr>
        <w:rFonts w:hint="default"/>
        <w:b/>
        <w:i w:val="0"/>
        <w:caps w:val="0"/>
        <w:color w:val="8D487F"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D975442"/>
    <w:multiLevelType w:val="hybridMultilevel"/>
    <w:tmpl w:val="7E50674C"/>
    <w:lvl w:ilvl="0" w:tplc="535C608E">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ED514BC"/>
    <w:multiLevelType w:val="hybridMultilevel"/>
    <w:tmpl w:val="C10EEC9C"/>
    <w:lvl w:ilvl="0" w:tplc="71BE18B8">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0336ADE"/>
    <w:multiLevelType w:val="multilevel"/>
    <w:tmpl w:val="131EEC6C"/>
    <w:styleLink w:val="TableNumbers"/>
    <w:lvl w:ilvl="0">
      <w:start w:val="1"/>
      <w:numFmt w:val="decimal"/>
      <w:lvlText w:val="Table %1."/>
      <w:lvlJc w:val="left"/>
      <w:pPr>
        <w:ind w:left="1134" w:hanging="1134"/>
      </w:pPr>
      <w:rPr>
        <w:rFonts w:hint="default"/>
        <w:b/>
        <w:i w:val="0"/>
        <w:caps w:val="0"/>
        <w:color w:val="8D487F"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70F2CCE"/>
    <w:multiLevelType w:val="multilevel"/>
    <w:tmpl w:val="DB9A36FA"/>
    <w:numStyleLink w:val="List1Numbered"/>
  </w:abstractNum>
  <w:abstractNum w:abstractNumId="14" w15:restartNumberingAfterBreak="0">
    <w:nsid w:val="2C72580B"/>
    <w:multiLevelType w:val="multilevel"/>
    <w:tmpl w:val="A1605A0E"/>
    <w:name w:val="PullOutNumbering"/>
    <w:lvl w:ilvl="0">
      <w:start w:val="1"/>
      <w:numFmt w:val="decimal"/>
      <w:lvlText w:val="%1"/>
      <w:lvlJc w:val="left"/>
      <w:pPr>
        <w:tabs>
          <w:tab w:val="num" w:pos="624"/>
        </w:tabs>
        <w:ind w:left="624" w:hanging="340"/>
      </w:pPr>
      <w:rPr>
        <w:rFonts w:hint="default"/>
      </w:rPr>
    </w:lvl>
    <w:lvl w:ilvl="1">
      <w:start w:val="1"/>
      <w:numFmt w:val="lowerLetter"/>
      <w:lvlText w:val="%2"/>
      <w:lvlJc w:val="left"/>
      <w:pPr>
        <w:tabs>
          <w:tab w:val="num" w:pos="964"/>
        </w:tabs>
        <w:ind w:left="964" w:hanging="340"/>
      </w:pPr>
      <w:rPr>
        <w:rFonts w:hint="default"/>
        <w:color w:val="auto"/>
      </w:rPr>
    </w:lvl>
    <w:lvl w:ilvl="2">
      <w:start w:val="1"/>
      <w:numFmt w:val="lowerRoman"/>
      <w:lvlText w:val="%3"/>
      <w:lvlJc w:val="left"/>
      <w:pPr>
        <w:tabs>
          <w:tab w:val="num" w:pos="1304"/>
        </w:tabs>
        <w:ind w:left="1304" w:hanging="340"/>
      </w:pPr>
      <w:rPr>
        <w:rFonts w:hint="default"/>
        <w:color w:val="auto"/>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5" w15:restartNumberingAfterBreak="0">
    <w:nsid w:val="2D890E47"/>
    <w:multiLevelType w:val="hybridMultilevel"/>
    <w:tmpl w:val="E628387E"/>
    <w:lvl w:ilvl="0" w:tplc="6B982C78">
      <w:start w:val="1"/>
      <w:numFmt w:val="decimal"/>
      <w:pStyle w:val="SourceNotesNumbered"/>
      <w:lvlText w:val="%1."/>
      <w:lvlJc w:val="left"/>
      <w:pPr>
        <w:ind w:left="720" w:hanging="360"/>
      </w:pPr>
      <w:rPr>
        <w:rFonts w:hint="default"/>
        <w:caps w:val="0"/>
        <w:vanish w:val="0"/>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7CD034B"/>
    <w:multiLevelType w:val="hybridMultilevel"/>
    <w:tmpl w:val="AC467CF0"/>
    <w:lvl w:ilvl="0" w:tplc="E8FC92EA">
      <w:numFmt w:val="bullet"/>
      <w:lvlText w:val="-"/>
      <w:lvlJc w:val="left"/>
      <w:pPr>
        <w:ind w:left="360" w:hanging="360"/>
      </w:pPr>
      <w:rPr>
        <w:rFonts w:ascii="Calibri" w:eastAsiaTheme="minorHAnsi" w:hAnsi="Calibri"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38723AD4"/>
    <w:multiLevelType w:val="multilevel"/>
    <w:tmpl w:val="CC2400A2"/>
    <w:name w:val="PullOutBullets"/>
    <w:lvl w:ilvl="0">
      <w:start w:val="1"/>
      <w:numFmt w:val="bullet"/>
      <w:lvlText w:val="•"/>
      <w:lvlJc w:val="left"/>
      <w:pPr>
        <w:tabs>
          <w:tab w:val="num" w:pos="624"/>
        </w:tabs>
        <w:ind w:left="624" w:hanging="340"/>
      </w:pPr>
      <w:rPr>
        <w:rFonts w:ascii="Calibri" w:hAnsi="Calibri" w:hint="default"/>
        <w:color w:val="auto"/>
        <w:sz w:val="22"/>
      </w:rPr>
    </w:lvl>
    <w:lvl w:ilvl="1">
      <w:start w:val="1"/>
      <w:numFmt w:val="bullet"/>
      <w:lvlText w:val="–"/>
      <w:lvlJc w:val="left"/>
      <w:pPr>
        <w:tabs>
          <w:tab w:val="num" w:pos="964"/>
        </w:tabs>
        <w:ind w:left="964" w:hanging="340"/>
      </w:pPr>
      <w:rPr>
        <w:rFonts w:ascii="Calibri" w:hAnsi="Calibri" w:hint="default"/>
        <w:color w:val="auto"/>
        <w:sz w:val="22"/>
      </w:rPr>
    </w:lvl>
    <w:lvl w:ilvl="2">
      <w:start w:val="1"/>
      <w:numFmt w:val="bullet"/>
      <w:lvlText w:val=""/>
      <w:lvlJc w:val="left"/>
      <w:pPr>
        <w:tabs>
          <w:tab w:val="num" w:pos="1304"/>
        </w:tabs>
        <w:ind w:left="1304" w:hanging="340"/>
      </w:pPr>
      <w:rPr>
        <w:rFonts w:ascii="Wingdings" w:hAnsi="Wingdings" w:hint="default"/>
        <w:color w:val="auto"/>
        <w:position w:val="0"/>
        <w:sz w:val="22"/>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8" w15:restartNumberingAfterBreak="0">
    <w:nsid w:val="41396E59"/>
    <w:multiLevelType w:val="multilevel"/>
    <w:tmpl w:val="4624390C"/>
    <w:styleLink w:val="BoxedBullets"/>
    <w:lvl w:ilvl="0">
      <w:start w:val="1"/>
      <w:numFmt w:val="bullet"/>
      <w:pStyle w:val="Box1Bullet"/>
      <w:lvlText w:val=""/>
      <w:lvlJc w:val="left"/>
      <w:pPr>
        <w:tabs>
          <w:tab w:val="num" w:pos="284"/>
        </w:tabs>
        <w:ind w:left="567" w:hanging="283"/>
      </w:pPr>
      <w:rPr>
        <w:rFonts w:ascii="Symbol" w:hAnsi="Symbol" w:hint="default"/>
        <w:color w:val="auto"/>
      </w:rPr>
    </w:lvl>
    <w:lvl w:ilvl="1">
      <w:start w:val="1"/>
      <w:numFmt w:val="bullet"/>
      <w:pStyle w:val="Box2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9778B4" w:themeColor="text2"/>
      </w:rPr>
    </w:lvl>
    <w:lvl w:ilvl="3">
      <w:start w:val="1"/>
      <w:numFmt w:val="bullet"/>
      <w:lvlText w:val="»"/>
      <w:lvlJc w:val="left"/>
      <w:pPr>
        <w:ind w:left="794" w:hanging="510"/>
      </w:pPr>
      <w:rPr>
        <w:rFonts w:ascii="Arial" w:hAnsi="Arial" w:hint="default"/>
        <w:color w:val="9778B4"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9" w15:restartNumberingAfterBreak="0">
    <w:nsid w:val="43705370"/>
    <w:multiLevelType w:val="hybridMultilevel"/>
    <w:tmpl w:val="8BE68176"/>
    <w:name w:val="TableFootnotes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62B34C1"/>
    <w:multiLevelType w:val="multilevel"/>
    <w:tmpl w:val="B0064A26"/>
    <w:numStyleLink w:val="DefaultBullets"/>
  </w:abstractNum>
  <w:abstractNum w:abstractNumId="21" w15:restartNumberingAfterBreak="0">
    <w:nsid w:val="483F501A"/>
    <w:multiLevelType w:val="multilevel"/>
    <w:tmpl w:val="75FCCD40"/>
    <w:numStyleLink w:val="AttachementsNumbered"/>
  </w:abstractNum>
  <w:abstractNum w:abstractNumId="22" w15:restartNumberingAfterBreak="0">
    <w:nsid w:val="535249AF"/>
    <w:multiLevelType w:val="multilevel"/>
    <w:tmpl w:val="A41689A2"/>
    <w:styleLink w:val="AppendixNumbers"/>
    <w:lvl w:ilvl="0">
      <w:start w:val="1"/>
      <w:numFmt w:val="upperLetter"/>
      <w:pStyle w:val="AppendixNumbered"/>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56DB5F4C"/>
    <w:multiLevelType w:val="multilevel"/>
    <w:tmpl w:val="4E929216"/>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76E5A01"/>
    <w:multiLevelType w:val="hybridMultilevel"/>
    <w:tmpl w:val="CAC6B7CC"/>
    <w:lvl w:ilvl="0" w:tplc="B1466414">
      <w:start w:val="1"/>
      <w:numFmt w:val="lowerLetter"/>
      <w:lvlText w:val="(%1)"/>
      <w:lvlJc w:val="left"/>
      <w:pPr>
        <w:ind w:left="417" w:hanging="360"/>
      </w:pPr>
      <w:rPr>
        <w:rFonts w:hint="default"/>
      </w:rPr>
    </w:lvl>
    <w:lvl w:ilvl="1" w:tplc="0C090019" w:tentative="1">
      <w:start w:val="1"/>
      <w:numFmt w:val="lowerLetter"/>
      <w:lvlText w:val="%2."/>
      <w:lvlJc w:val="left"/>
      <w:pPr>
        <w:ind w:left="1137" w:hanging="360"/>
      </w:pPr>
    </w:lvl>
    <w:lvl w:ilvl="2" w:tplc="0C09001B" w:tentative="1">
      <w:start w:val="1"/>
      <w:numFmt w:val="lowerRoman"/>
      <w:lvlText w:val="%3."/>
      <w:lvlJc w:val="right"/>
      <w:pPr>
        <w:ind w:left="1857" w:hanging="180"/>
      </w:pPr>
    </w:lvl>
    <w:lvl w:ilvl="3" w:tplc="0C09000F" w:tentative="1">
      <w:start w:val="1"/>
      <w:numFmt w:val="decimal"/>
      <w:lvlText w:val="%4."/>
      <w:lvlJc w:val="left"/>
      <w:pPr>
        <w:ind w:left="2577" w:hanging="360"/>
      </w:pPr>
    </w:lvl>
    <w:lvl w:ilvl="4" w:tplc="0C090019" w:tentative="1">
      <w:start w:val="1"/>
      <w:numFmt w:val="lowerLetter"/>
      <w:lvlText w:val="%5."/>
      <w:lvlJc w:val="left"/>
      <w:pPr>
        <w:ind w:left="3297" w:hanging="360"/>
      </w:pPr>
    </w:lvl>
    <w:lvl w:ilvl="5" w:tplc="0C09001B" w:tentative="1">
      <w:start w:val="1"/>
      <w:numFmt w:val="lowerRoman"/>
      <w:lvlText w:val="%6."/>
      <w:lvlJc w:val="right"/>
      <w:pPr>
        <w:ind w:left="4017" w:hanging="180"/>
      </w:pPr>
    </w:lvl>
    <w:lvl w:ilvl="6" w:tplc="0C09000F" w:tentative="1">
      <w:start w:val="1"/>
      <w:numFmt w:val="decimal"/>
      <w:lvlText w:val="%7."/>
      <w:lvlJc w:val="left"/>
      <w:pPr>
        <w:ind w:left="4737" w:hanging="360"/>
      </w:pPr>
    </w:lvl>
    <w:lvl w:ilvl="7" w:tplc="0C090019" w:tentative="1">
      <w:start w:val="1"/>
      <w:numFmt w:val="lowerLetter"/>
      <w:lvlText w:val="%8."/>
      <w:lvlJc w:val="left"/>
      <w:pPr>
        <w:ind w:left="5457" w:hanging="360"/>
      </w:pPr>
    </w:lvl>
    <w:lvl w:ilvl="8" w:tplc="0C09001B" w:tentative="1">
      <w:start w:val="1"/>
      <w:numFmt w:val="lowerRoman"/>
      <w:lvlText w:val="%9."/>
      <w:lvlJc w:val="right"/>
      <w:pPr>
        <w:ind w:left="6177" w:hanging="180"/>
      </w:pPr>
    </w:lvl>
  </w:abstractNum>
  <w:abstractNum w:abstractNumId="25" w15:restartNumberingAfterBreak="0">
    <w:nsid w:val="59EF7A30"/>
    <w:multiLevelType w:val="hybridMultilevel"/>
    <w:tmpl w:val="9CB677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D0540A9"/>
    <w:multiLevelType w:val="multilevel"/>
    <w:tmpl w:val="1A6297E2"/>
    <w:lvl w:ilvl="0">
      <w:start w:val="1"/>
      <w:numFmt w:val="upperLetter"/>
      <w:lvlRestart w:val="0"/>
      <w:suff w:val="space"/>
      <w:lvlText w:val="Appendix %1"/>
      <w:lvlJc w:val="left"/>
      <w:pPr>
        <w:ind w:left="0" w:firstLine="0"/>
      </w:pPr>
      <w:rPr>
        <w:rFonts w:hint="default"/>
        <w:b w:val="0"/>
        <w:i w:val="0"/>
        <w:sz w:val="40"/>
      </w:rPr>
    </w:lvl>
    <w:lvl w:ilvl="1">
      <w:start w:val="1"/>
      <w:numFmt w:val="none"/>
      <w:pStyle w:val="Heading9"/>
      <w:suff w:val="nothing"/>
      <w:lvlText w:val=""/>
      <w:lvlJc w:val="left"/>
      <w:pPr>
        <w:tabs>
          <w:tab w:val="num" w:pos="0"/>
        </w:tabs>
        <w:ind w:left="0" w:firstLine="0"/>
      </w:pPr>
      <w:rPr>
        <w:rFonts w:hint="default"/>
        <w:sz w:val="26"/>
      </w:rPr>
    </w:lvl>
    <w:lvl w:ilvl="2">
      <w:start w:val="1"/>
      <w:numFmt w:val="none"/>
      <w:suff w:val="nothing"/>
      <w:lvlText w:val=""/>
      <w:lvlJc w:val="left"/>
      <w:pPr>
        <w:tabs>
          <w:tab w:val="num" w:pos="0"/>
        </w:tabs>
        <w:ind w:left="0" w:firstLine="0"/>
      </w:pPr>
      <w:rPr>
        <w:rFonts w:hint="default"/>
      </w:rPr>
    </w:lvl>
    <w:lvl w:ilvl="3">
      <w:start w:val="1"/>
      <w:numFmt w:val="none"/>
      <w:lvlRestart w:val="2"/>
      <w:suff w:val="nothing"/>
      <w:lvlText w:val=""/>
      <w:lvlJc w:val="left"/>
      <w:pPr>
        <w:tabs>
          <w:tab w:val="num" w:pos="0"/>
        </w:tabs>
        <w:ind w:left="0" w:firstLine="0"/>
      </w:pPr>
      <w:rPr>
        <w:rFonts w:hint="default"/>
      </w:rPr>
    </w:lvl>
    <w:lvl w:ilvl="4">
      <w:start w:val="1"/>
      <w:numFmt w:val="decimal"/>
      <w:lvlText w:val="%1%2.%3.%4.%5"/>
      <w:lvlJc w:val="left"/>
      <w:pPr>
        <w:tabs>
          <w:tab w:val="num" w:pos="1134"/>
        </w:tabs>
        <w:ind w:left="765" w:hanging="765"/>
      </w:pPr>
      <w:rPr>
        <w:rFonts w:hint="default"/>
      </w:rPr>
    </w:lvl>
    <w:lvl w:ilvl="5">
      <w:start w:val="1"/>
      <w:numFmt w:val="none"/>
      <w:lvlText w:val=""/>
      <w:lvlJc w:val="right"/>
      <w:pPr>
        <w:ind w:left="765" w:hanging="765"/>
      </w:pPr>
      <w:rPr>
        <w:rFonts w:hint="default"/>
      </w:rPr>
    </w:lvl>
    <w:lvl w:ilvl="6">
      <w:start w:val="1"/>
      <w:numFmt w:val="none"/>
      <w:lvlText w:val=""/>
      <w:lvlJc w:val="left"/>
      <w:pPr>
        <w:ind w:left="765" w:hanging="765"/>
      </w:pPr>
      <w:rPr>
        <w:rFonts w:hint="default"/>
      </w:rPr>
    </w:lvl>
    <w:lvl w:ilvl="7">
      <w:start w:val="1"/>
      <w:numFmt w:val="none"/>
      <w:lvlText w:val=""/>
      <w:lvlJc w:val="left"/>
      <w:pPr>
        <w:ind w:left="765" w:hanging="765"/>
      </w:pPr>
      <w:rPr>
        <w:rFonts w:hint="default"/>
      </w:rPr>
    </w:lvl>
    <w:lvl w:ilvl="8">
      <w:start w:val="1"/>
      <w:numFmt w:val="none"/>
      <w:lvlText w:val=""/>
      <w:lvlJc w:val="right"/>
      <w:pPr>
        <w:ind w:left="765" w:hanging="765"/>
      </w:pPr>
      <w:rPr>
        <w:rFonts w:hint="default"/>
      </w:rPr>
    </w:lvl>
  </w:abstractNum>
  <w:abstractNum w:abstractNumId="27" w15:restartNumberingAfterBreak="0">
    <w:nsid w:val="60D05A3F"/>
    <w:multiLevelType w:val="multilevel"/>
    <w:tmpl w:val="6C6E19E4"/>
    <w:numStyleLink w:val="NormalNumberedParas"/>
  </w:abstractNum>
  <w:abstractNum w:abstractNumId="28" w15:restartNumberingAfterBreak="0">
    <w:nsid w:val="65262A39"/>
    <w:multiLevelType w:val="hybridMultilevel"/>
    <w:tmpl w:val="8AC2DF44"/>
    <w:lvl w:ilvl="0" w:tplc="F886F750">
      <w:start w:val="1"/>
      <w:numFmt w:val="bullet"/>
      <w:pStyle w:val="Bullet3"/>
      <w:lvlText w:val=""/>
      <w:lvlJc w:val="left"/>
      <w:pPr>
        <w:ind w:left="927" w:hanging="360"/>
      </w:pPr>
      <w:rPr>
        <w:rFonts w:ascii="Wingdings" w:hAnsi="Wingdings"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9" w15:restartNumberingAfterBreak="0">
    <w:nsid w:val="6D1D40AC"/>
    <w:multiLevelType w:val="multilevel"/>
    <w:tmpl w:val="D18C6390"/>
    <w:name w:val="TableNumbering"/>
    <w:lvl w:ilvl="0">
      <w:start w:val="1"/>
      <w:numFmt w:val="decimal"/>
      <w:lvlText w:val="%1"/>
      <w:lvlJc w:val="left"/>
      <w:pPr>
        <w:tabs>
          <w:tab w:val="num" w:pos="397"/>
        </w:tabs>
        <w:ind w:left="397" w:hanging="284"/>
      </w:pPr>
      <w:rPr>
        <w:rFonts w:hint="default"/>
      </w:rPr>
    </w:lvl>
    <w:lvl w:ilvl="1">
      <w:start w:val="1"/>
      <w:numFmt w:val="lowerLetter"/>
      <w:lvlText w:val="%2"/>
      <w:lvlJc w:val="left"/>
      <w:pPr>
        <w:tabs>
          <w:tab w:val="num" w:pos="709"/>
        </w:tabs>
        <w:ind w:left="709" w:hanging="283"/>
      </w:pPr>
      <w:rPr>
        <w:rFonts w:hint="default"/>
      </w:rPr>
    </w:lvl>
    <w:lvl w:ilvl="2">
      <w:start w:val="1"/>
      <w:numFmt w:val="lowerRoman"/>
      <w:lvlText w:val="%3"/>
      <w:lvlJc w:val="left"/>
      <w:pPr>
        <w:tabs>
          <w:tab w:val="num" w:pos="964"/>
        </w:tabs>
        <w:ind w:left="964" w:hanging="284"/>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0" w15:restartNumberingAfterBreak="0">
    <w:nsid w:val="70250B03"/>
    <w:multiLevelType w:val="multilevel"/>
    <w:tmpl w:val="5796740A"/>
    <w:name w:val="QuoteBullets"/>
    <w:lvl w:ilvl="0">
      <w:start w:val="1"/>
      <w:numFmt w:val="bullet"/>
      <w:lvlText w:val="•"/>
      <w:lvlJc w:val="left"/>
      <w:pPr>
        <w:tabs>
          <w:tab w:val="num" w:pos="567"/>
        </w:tabs>
        <w:ind w:left="567" w:hanging="283"/>
      </w:pPr>
      <w:rPr>
        <w:rFonts w:ascii="Arial" w:hAnsi="Arial" w:hint="default"/>
        <w:color w:val="auto"/>
        <w:sz w:val="18"/>
      </w:rPr>
    </w:lvl>
    <w:lvl w:ilvl="1">
      <w:start w:val="1"/>
      <w:numFmt w:val="bullet"/>
      <w:lvlText w:val="‒"/>
      <w:lvlJc w:val="left"/>
      <w:pPr>
        <w:tabs>
          <w:tab w:val="num" w:pos="851"/>
        </w:tabs>
        <w:ind w:left="851" w:hanging="284"/>
      </w:pPr>
      <w:rPr>
        <w:rFonts w:ascii="Calibri" w:hAnsi="Calibri" w:hint="default"/>
        <w:color w:val="auto"/>
      </w:rPr>
    </w:lvl>
    <w:lvl w:ilvl="2">
      <w:start w:val="1"/>
      <w:numFmt w:val="bullet"/>
      <w:lvlText w:val="‒"/>
      <w:lvlJc w:val="left"/>
      <w:pPr>
        <w:tabs>
          <w:tab w:val="num" w:pos="1418"/>
        </w:tabs>
        <w:ind w:left="1418" w:hanging="283"/>
      </w:pPr>
      <w:rPr>
        <w:rFonts w:ascii="Calibri" w:hAnsi="Calibri" w:hint="default"/>
        <w:color w:val="9778B4"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31" w15:restartNumberingAfterBreak="0">
    <w:nsid w:val="738A4D83"/>
    <w:multiLevelType w:val="multilevel"/>
    <w:tmpl w:val="B0064A26"/>
    <w:styleLink w:val="DefaultBullets"/>
    <w:lvl w:ilvl="0">
      <w:start w:val="1"/>
      <w:numFmt w:val="bullet"/>
      <w:pStyle w:val="Bullet1"/>
      <w:lvlText w:val=""/>
      <w:lvlJc w:val="left"/>
      <w:pPr>
        <w:ind w:left="851" w:hanging="284"/>
      </w:pPr>
      <w:rPr>
        <w:rFonts w:ascii="Symbol" w:hAnsi="Symbol" w:hint="default"/>
        <w:color w:val="auto"/>
      </w:rPr>
    </w:lvl>
    <w:lvl w:ilvl="1">
      <w:start w:val="1"/>
      <w:numFmt w:val="bullet"/>
      <w:pStyle w:val="Bullet2"/>
      <w:lvlText w:val="–"/>
      <w:lvlJc w:val="left"/>
      <w:pPr>
        <w:ind w:left="1135" w:hanging="284"/>
      </w:pPr>
      <w:rPr>
        <w:rFonts w:ascii="Arial" w:hAnsi="Arial" w:hint="default"/>
        <w:color w:val="auto"/>
      </w:rPr>
    </w:lvl>
    <w:lvl w:ilvl="2">
      <w:start w:val="1"/>
      <w:numFmt w:val="bullet"/>
      <w:lvlText w:val="»"/>
      <w:lvlJc w:val="left"/>
      <w:pPr>
        <w:ind w:left="1419" w:hanging="284"/>
      </w:pPr>
      <w:rPr>
        <w:rFonts w:ascii="Arial" w:hAnsi="Arial" w:hint="default"/>
        <w:color w:val="auto"/>
      </w:rPr>
    </w:lvl>
    <w:lvl w:ilvl="3">
      <w:start w:val="1"/>
      <w:numFmt w:val="decimal"/>
      <w:lvlText w:val="(%4)"/>
      <w:lvlJc w:val="left"/>
      <w:pPr>
        <w:ind w:left="1703" w:hanging="284"/>
      </w:pPr>
      <w:rPr>
        <w:rFonts w:hint="default"/>
      </w:rPr>
    </w:lvl>
    <w:lvl w:ilvl="4">
      <w:start w:val="1"/>
      <w:numFmt w:val="lowerLetter"/>
      <w:lvlText w:val="(%5)"/>
      <w:lvlJc w:val="left"/>
      <w:pPr>
        <w:ind w:left="1987" w:hanging="284"/>
      </w:pPr>
      <w:rPr>
        <w:rFonts w:hint="default"/>
      </w:rPr>
    </w:lvl>
    <w:lvl w:ilvl="5">
      <w:start w:val="1"/>
      <w:numFmt w:val="lowerRoman"/>
      <w:lvlText w:val="(%6)"/>
      <w:lvlJc w:val="left"/>
      <w:pPr>
        <w:ind w:left="2271" w:hanging="284"/>
      </w:pPr>
      <w:rPr>
        <w:rFonts w:hint="default"/>
      </w:rPr>
    </w:lvl>
    <w:lvl w:ilvl="6">
      <w:start w:val="1"/>
      <w:numFmt w:val="decimal"/>
      <w:lvlText w:val="%7."/>
      <w:lvlJc w:val="left"/>
      <w:pPr>
        <w:ind w:left="2555" w:hanging="284"/>
      </w:pPr>
      <w:rPr>
        <w:rFonts w:hint="default"/>
      </w:rPr>
    </w:lvl>
    <w:lvl w:ilvl="7">
      <w:start w:val="1"/>
      <w:numFmt w:val="lowerLetter"/>
      <w:lvlText w:val="%8."/>
      <w:lvlJc w:val="left"/>
      <w:pPr>
        <w:ind w:left="2839" w:hanging="284"/>
      </w:pPr>
      <w:rPr>
        <w:rFonts w:hint="default"/>
      </w:rPr>
    </w:lvl>
    <w:lvl w:ilvl="8">
      <w:start w:val="1"/>
      <w:numFmt w:val="lowerRoman"/>
      <w:lvlText w:val="%9."/>
      <w:lvlJc w:val="left"/>
      <w:pPr>
        <w:ind w:left="3123" w:hanging="284"/>
      </w:pPr>
      <w:rPr>
        <w:rFonts w:hint="default"/>
      </w:rPr>
    </w:lvl>
  </w:abstractNum>
  <w:abstractNum w:abstractNumId="32" w15:restartNumberingAfterBreak="0">
    <w:nsid w:val="7839021E"/>
    <w:multiLevelType w:val="multilevel"/>
    <w:tmpl w:val="C186E662"/>
    <w:name w:val="ListNumbering"/>
    <w:lvl w:ilvl="0">
      <w:start w:val="1"/>
      <w:numFmt w:val="decimal"/>
      <w:lvlText w:val="%1"/>
      <w:lvlJc w:val="left"/>
      <w:pPr>
        <w:tabs>
          <w:tab w:val="num" w:pos="454"/>
        </w:tabs>
        <w:ind w:left="454" w:hanging="454"/>
      </w:pPr>
      <w:rPr>
        <w:rFonts w:hint="default"/>
        <w:color w:val="auto"/>
        <w:spacing w:val="0"/>
        <w:sz w:val="22"/>
      </w:rPr>
    </w:lvl>
    <w:lvl w:ilvl="1">
      <w:start w:val="1"/>
      <w:numFmt w:val="lowerLetter"/>
      <w:lvlText w:val="%2"/>
      <w:lvlJc w:val="left"/>
      <w:pPr>
        <w:tabs>
          <w:tab w:val="num" w:pos="907"/>
        </w:tabs>
        <w:ind w:left="907" w:hanging="453"/>
      </w:pPr>
      <w:rPr>
        <w:rFonts w:hint="default"/>
        <w:color w:val="auto"/>
        <w:spacing w:val="0"/>
        <w:sz w:val="22"/>
      </w:rPr>
    </w:lvl>
    <w:lvl w:ilvl="2">
      <w:start w:val="1"/>
      <w:numFmt w:val="lowerRoman"/>
      <w:lvlText w:val="%3"/>
      <w:lvlJc w:val="left"/>
      <w:pPr>
        <w:tabs>
          <w:tab w:val="num" w:pos="1361"/>
        </w:tabs>
        <w:ind w:left="1361" w:hanging="454"/>
      </w:pPr>
      <w:rPr>
        <w:rFonts w:hint="default"/>
        <w:color w:val="auto"/>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16cid:durableId="1726028173">
    <w:abstractNumId w:val="22"/>
  </w:num>
  <w:num w:numId="2" w16cid:durableId="1036665067">
    <w:abstractNumId w:val="2"/>
  </w:num>
  <w:num w:numId="3" w16cid:durableId="585698715">
    <w:abstractNumId w:val="18"/>
  </w:num>
  <w:num w:numId="4" w16cid:durableId="521819963">
    <w:abstractNumId w:val="31"/>
  </w:num>
  <w:num w:numId="5" w16cid:durableId="902252079">
    <w:abstractNumId w:val="21"/>
  </w:num>
  <w:num w:numId="6" w16cid:durableId="1133716922">
    <w:abstractNumId w:val="26"/>
  </w:num>
  <w:num w:numId="7" w16cid:durableId="509563839">
    <w:abstractNumId w:val="8"/>
  </w:num>
  <w:num w:numId="8" w16cid:durableId="51196619">
    <w:abstractNumId w:val="13"/>
  </w:num>
  <w:num w:numId="9" w16cid:durableId="1595086545">
    <w:abstractNumId w:val="5"/>
  </w:num>
  <w:num w:numId="10" w16cid:durableId="294260774">
    <w:abstractNumId w:val="23"/>
  </w:num>
  <w:num w:numId="11" w16cid:durableId="156918352">
    <w:abstractNumId w:val="15"/>
  </w:num>
  <w:num w:numId="12" w16cid:durableId="442306254">
    <w:abstractNumId w:val="22"/>
  </w:num>
  <w:num w:numId="13" w16cid:durableId="1523009167">
    <w:abstractNumId w:val="22"/>
  </w:num>
  <w:num w:numId="14" w16cid:durableId="1702782405">
    <w:abstractNumId w:val="2"/>
  </w:num>
  <w:num w:numId="15" w16cid:durableId="157232717">
    <w:abstractNumId w:val="18"/>
  </w:num>
  <w:num w:numId="16" w16cid:durableId="1765371961">
    <w:abstractNumId w:val="18"/>
  </w:num>
  <w:num w:numId="17" w16cid:durableId="1247762264">
    <w:abstractNumId w:val="18"/>
  </w:num>
  <w:num w:numId="18" w16cid:durableId="1194072886">
    <w:abstractNumId w:val="20"/>
  </w:num>
  <w:num w:numId="19" w16cid:durableId="537667651">
    <w:abstractNumId w:val="20"/>
  </w:num>
  <w:num w:numId="20" w16cid:durableId="105009031">
    <w:abstractNumId w:val="20"/>
  </w:num>
  <w:num w:numId="21" w16cid:durableId="1843427635">
    <w:abstractNumId w:val="31"/>
  </w:num>
  <w:num w:numId="22" w16cid:durableId="448475528">
    <w:abstractNumId w:val="9"/>
  </w:num>
  <w:num w:numId="23" w16cid:durableId="2060737043">
    <w:abstractNumId w:val="23"/>
  </w:num>
  <w:num w:numId="24" w16cid:durableId="818427229">
    <w:abstractNumId w:val="23"/>
  </w:num>
  <w:num w:numId="25" w16cid:durableId="873233117">
    <w:abstractNumId w:val="23"/>
  </w:num>
  <w:num w:numId="26" w16cid:durableId="1322544180">
    <w:abstractNumId w:val="21"/>
  </w:num>
  <w:num w:numId="27" w16cid:durableId="2037929015">
    <w:abstractNumId w:val="26"/>
  </w:num>
  <w:num w:numId="28" w16cid:durableId="970017009">
    <w:abstractNumId w:val="3"/>
  </w:num>
  <w:num w:numId="29" w16cid:durableId="45766973">
    <w:abstractNumId w:val="8"/>
  </w:num>
  <w:num w:numId="30" w16cid:durableId="572468992">
    <w:abstractNumId w:val="13"/>
  </w:num>
  <w:num w:numId="31" w16cid:durableId="2136293866">
    <w:abstractNumId w:val="13"/>
  </w:num>
  <w:num w:numId="32" w16cid:durableId="1820927324">
    <w:abstractNumId w:val="13"/>
  </w:num>
  <w:num w:numId="33" w16cid:durableId="1162159854">
    <w:abstractNumId w:val="27"/>
  </w:num>
  <w:num w:numId="34" w16cid:durableId="649675264">
    <w:abstractNumId w:val="5"/>
  </w:num>
  <w:num w:numId="35" w16cid:durableId="182286777">
    <w:abstractNumId w:val="23"/>
  </w:num>
  <w:num w:numId="36" w16cid:durableId="1072240031">
    <w:abstractNumId w:val="15"/>
  </w:num>
  <w:num w:numId="37" w16cid:durableId="1940870152">
    <w:abstractNumId w:val="12"/>
  </w:num>
  <w:num w:numId="38" w16cid:durableId="385839211">
    <w:abstractNumId w:val="24"/>
  </w:num>
  <w:num w:numId="39" w16cid:durableId="1665160063">
    <w:abstractNumId w:val="6"/>
  </w:num>
  <w:num w:numId="40" w16cid:durableId="1610509456">
    <w:abstractNumId w:val="28"/>
  </w:num>
  <w:num w:numId="41" w16cid:durableId="1234505903">
    <w:abstractNumId w:val="10"/>
  </w:num>
  <w:num w:numId="42" w16cid:durableId="32535756">
    <w:abstractNumId w:val="4"/>
  </w:num>
  <w:num w:numId="43" w16cid:durableId="1928227501">
    <w:abstractNumId w:val="16"/>
  </w:num>
  <w:num w:numId="44" w16cid:durableId="1755082882">
    <w:abstractNumId w:val="25"/>
  </w:num>
  <w:num w:numId="45" w16cid:durableId="336735999">
    <w:abstractNumId w:val="1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2"/>
  <w:proofState w:spelling="clean" w:grammar="clean"/>
  <w:attachedTemplate r:id="rId1"/>
  <w:documentProtection w:edit="forms" w:enforcement="0"/>
  <w:defaultTabStop w:val="720"/>
  <w:characterSpacingControl w:val="doNotCompress"/>
  <w:hdrShapeDefaults>
    <o:shapedefaults v:ext="edit" spidmax="206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ppendices" w:val="True"/>
    <w:docVar w:name="AppendixName" w:val="Attachment"/>
    <w:docVar w:name="Disclaimer" w:val="False"/>
    <w:docVar w:name="Foreword" w:val="True"/>
    <w:docVar w:name="Heading1Numbered" w:val="False"/>
    <w:docVar w:name="Heading2Numbered" w:val="False"/>
    <w:docVar w:name="Heading3Numbered" w:val="False"/>
    <w:docVar w:name="IsWordingOverview" w:val="True"/>
    <w:docVar w:name="NumberedBodyText" w:val="False"/>
    <w:docVar w:name="optHeading1OddPage" w:val="False"/>
    <w:docVar w:name="Overview" w:val="False"/>
    <w:docVar w:name="PageSetup" w:val="Double"/>
    <w:docVar w:name="RibbonLabel" w:val="Appendix"/>
    <w:docVar w:name="TOC" w:val="True"/>
    <w:docVar w:name="TOCNew" w:val="True"/>
    <w:docVar w:name="Version" w:val="Version 1"/>
  </w:docVars>
  <w:rsids>
    <w:rsidRoot w:val="00D16A96"/>
    <w:rsid w:val="000006D7"/>
    <w:rsid w:val="0000071C"/>
    <w:rsid w:val="00000EE5"/>
    <w:rsid w:val="000010CA"/>
    <w:rsid w:val="0000131B"/>
    <w:rsid w:val="000015D4"/>
    <w:rsid w:val="00001773"/>
    <w:rsid w:val="00001D39"/>
    <w:rsid w:val="00001D4C"/>
    <w:rsid w:val="00001F6C"/>
    <w:rsid w:val="000021D9"/>
    <w:rsid w:val="00002316"/>
    <w:rsid w:val="00002E56"/>
    <w:rsid w:val="0000322C"/>
    <w:rsid w:val="0000351C"/>
    <w:rsid w:val="00003698"/>
    <w:rsid w:val="00003A17"/>
    <w:rsid w:val="00003AE4"/>
    <w:rsid w:val="00003CDD"/>
    <w:rsid w:val="00003D67"/>
    <w:rsid w:val="000042B7"/>
    <w:rsid w:val="00004485"/>
    <w:rsid w:val="00004748"/>
    <w:rsid w:val="00004D47"/>
    <w:rsid w:val="000055CB"/>
    <w:rsid w:val="00005645"/>
    <w:rsid w:val="00005D97"/>
    <w:rsid w:val="00005E7C"/>
    <w:rsid w:val="00005EAF"/>
    <w:rsid w:val="000060F2"/>
    <w:rsid w:val="00006457"/>
    <w:rsid w:val="00006ABF"/>
    <w:rsid w:val="00006DB8"/>
    <w:rsid w:val="00006E98"/>
    <w:rsid w:val="00006EDA"/>
    <w:rsid w:val="00007184"/>
    <w:rsid w:val="0000789E"/>
    <w:rsid w:val="0000793B"/>
    <w:rsid w:val="000109EC"/>
    <w:rsid w:val="00010E33"/>
    <w:rsid w:val="00010FF8"/>
    <w:rsid w:val="0001164B"/>
    <w:rsid w:val="00011B7B"/>
    <w:rsid w:val="00012209"/>
    <w:rsid w:val="00012575"/>
    <w:rsid w:val="00012693"/>
    <w:rsid w:val="000128D8"/>
    <w:rsid w:val="000131E3"/>
    <w:rsid w:val="00013620"/>
    <w:rsid w:val="0001406F"/>
    <w:rsid w:val="000140FC"/>
    <w:rsid w:val="00014263"/>
    <w:rsid w:val="00014E0C"/>
    <w:rsid w:val="00015516"/>
    <w:rsid w:val="00015573"/>
    <w:rsid w:val="000155D9"/>
    <w:rsid w:val="00015B07"/>
    <w:rsid w:val="00015E04"/>
    <w:rsid w:val="00016756"/>
    <w:rsid w:val="000168A7"/>
    <w:rsid w:val="000169FB"/>
    <w:rsid w:val="00016BA9"/>
    <w:rsid w:val="00016D53"/>
    <w:rsid w:val="0001712E"/>
    <w:rsid w:val="00017984"/>
    <w:rsid w:val="00017E9B"/>
    <w:rsid w:val="00020972"/>
    <w:rsid w:val="0002098A"/>
    <w:rsid w:val="00020D01"/>
    <w:rsid w:val="00020D0D"/>
    <w:rsid w:val="00021262"/>
    <w:rsid w:val="00021400"/>
    <w:rsid w:val="0002159A"/>
    <w:rsid w:val="00022B8F"/>
    <w:rsid w:val="00023034"/>
    <w:rsid w:val="00023036"/>
    <w:rsid w:val="00023541"/>
    <w:rsid w:val="00023862"/>
    <w:rsid w:val="000243B4"/>
    <w:rsid w:val="0002445F"/>
    <w:rsid w:val="000247EF"/>
    <w:rsid w:val="00024B48"/>
    <w:rsid w:val="00024C80"/>
    <w:rsid w:val="00024E73"/>
    <w:rsid w:val="0002511C"/>
    <w:rsid w:val="000253A6"/>
    <w:rsid w:val="00025546"/>
    <w:rsid w:val="000255E6"/>
    <w:rsid w:val="00025BC7"/>
    <w:rsid w:val="00025C5D"/>
    <w:rsid w:val="000261B9"/>
    <w:rsid w:val="00026419"/>
    <w:rsid w:val="000273F5"/>
    <w:rsid w:val="000277AD"/>
    <w:rsid w:val="000278D0"/>
    <w:rsid w:val="00027E62"/>
    <w:rsid w:val="00030231"/>
    <w:rsid w:val="00030509"/>
    <w:rsid w:val="000307C8"/>
    <w:rsid w:val="000308E5"/>
    <w:rsid w:val="00030AEF"/>
    <w:rsid w:val="00030F73"/>
    <w:rsid w:val="0003144B"/>
    <w:rsid w:val="000316D9"/>
    <w:rsid w:val="00031BB6"/>
    <w:rsid w:val="00031EC4"/>
    <w:rsid w:val="00032426"/>
    <w:rsid w:val="00033104"/>
    <w:rsid w:val="00033326"/>
    <w:rsid w:val="00033442"/>
    <w:rsid w:val="000334C0"/>
    <w:rsid w:val="00033889"/>
    <w:rsid w:val="000340D8"/>
    <w:rsid w:val="00034599"/>
    <w:rsid w:val="000346D7"/>
    <w:rsid w:val="00034A50"/>
    <w:rsid w:val="000350A0"/>
    <w:rsid w:val="00035ADE"/>
    <w:rsid w:val="00035B1B"/>
    <w:rsid w:val="00036668"/>
    <w:rsid w:val="0003693A"/>
    <w:rsid w:val="0003693D"/>
    <w:rsid w:val="0003701F"/>
    <w:rsid w:val="00037197"/>
    <w:rsid w:val="000375A9"/>
    <w:rsid w:val="000375EF"/>
    <w:rsid w:val="00037634"/>
    <w:rsid w:val="00040F9D"/>
    <w:rsid w:val="00041402"/>
    <w:rsid w:val="0004155B"/>
    <w:rsid w:val="00041758"/>
    <w:rsid w:val="000418F9"/>
    <w:rsid w:val="00041A3D"/>
    <w:rsid w:val="00041E51"/>
    <w:rsid w:val="00041E73"/>
    <w:rsid w:val="00041F7A"/>
    <w:rsid w:val="00041FD3"/>
    <w:rsid w:val="0004221D"/>
    <w:rsid w:val="0004224B"/>
    <w:rsid w:val="000423C0"/>
    <w:rsid w:val="0004243C"/>
    <w:rsid w:val="0004246F"/>
    <w:rsid w:val="000425B9"/>
    <w:rsid w:val="00042718"/>
    <w:rsid w:val="000430D7"/>
    <w:rsid w:val="00043314"/>
    <w:rsid w:val="0004369C"/>
    <w:rsid w:val="00043757"/>
    <w:rsid w:val="000439F2"/>
    <w:rsid w:val="00044466"/>
    <w:rsid w:val="00044715"/>
    <w:rsid w:val="00044AB3"/>
    <w:rsid w:val="00044C6A"/>
    <w:rsid w:val="00045687"/>
    <w:rsid w:val="00045C08"/>
    <w:rsid w:val="00046035"/>
    <w:rsid w:val="00046226"/>
    <w:rsid w:val="0004657F"/>
    <w:rsid w:val="00046D5B"/>
    <w:rsid w:val="000470AB"/>
    <w:rsid w:val="000475A9"/>
    <w:rsid w:val="00050146"/>
    <w:rsid w:val="00050445"/>
    <w:rsid w:val="000505FB"/>
    <w:rsid w:val="00050A3E"/>
    <w:rsid w:val="00050AC2"/>
    <w:rsid w:val="00050C39"/>
    <w:rsid w:val="0005100F"/>
    <w:rsid w:val="0005116E"/>
    <w:rsid w:val="00051171"/>
    <w:rsid w:val="00051458"/>
    <w:rsid w:val="00051CE2"/>
    <w:rsid w:val="00051D7A"/>
    <w:rsid w:val="0005266C"/>
    <w:rsid w:val="00052706"/>
    <w:rsid w:val="000527A4"/>
    <w:rsid w:val="00052A53"/>
    <w:rsid w:val="00052BFC"/>
    <w:rsid w:val="00053015"/>
    <w:rsid w:val="000530A8"/>
    <w:rsid w:val="0005330D"/>
    <w:rsid w:val="000533FF"/>
    <w:rsid w:val="000535C0"/>
    <w:rsid w:val="00053774"/>
    <w:rsid w:val="000538C7"/>
    <w:rsid w:val="00053AD9"/>
    <w:rsid w:val="00053C1A"/>
    <w:rsid w:val="00054A13"/>
    <w:rsid w:val="00054A41"/>
    <w:rsid w:val="0005567A"/>
    <w:rsid w:val="00055783"/>
    <w:rsid w:val="000557A7"/>
    <w:rsid w:val="00055805"/>
    <w:rsid w:val="000558C2"/>
    <w:rsid w:val="00055C97"/>
    <w:rsid w:val="00055D6C"/>
    <w:rsid w:val="00056242"/>
    <w:rsid w:val="00056837"/>
    <w:rsid w:val="00056970"/>
    <w:rsid w:val="00056CB3"/>
    <w:rsid w:val="00056DD3"/>
    <w:rsid w:val="000574E3"/>
    <w:rsid w:val="00057764"/>
    <w:rsid w:val="0005793B"/>
    <w:rsid w:val="00057991"/>
    <w:rsid w:val="00057A47"/>
    <w:rsid w:val="00057C72"/>
    <w:rsid w:val="00060003"/>
    <w:rsid w:val="00060313"/>
    <w:rsid w:val="00060539"/>
    <w:rsid w:val="00060E83"/>
    <w:rsid w:val="00060F32"/>
    <w:rsid w:val="00061177"/>
    <w:rsid w:val="00061758"/>
    <w:rsid w:val="00062AC0"/>
    <w:rsid w:val="00062E53"/>
    <w:rsid w:val="00063313"/>
    <w:rsid w:val="00063587"/>
    <w:rsid w:val="0006399D"/>
    <w:rsid w:val="00063ACB"/>
    <w:rsid w:val="00063FEF"/>
    <w:rsid w:val="00064199"/>
    <w:rsid w:val="0006424A"/>
    <w:rsid w:val="000646C8"/>
    <w:rsid w:val="00064A34"/>
    <w:rsid w:val="00064A3D"/>
    <w:rsid w:val="00064B90"/>
    <w:rsid w:val="00065125"/>
    <w:rsid w:val="0006539D"/>
    <w:rsid w:val="000654FC"/>
    <w:rsid w:val="00065E7C"/>
    <w:rsid w:val="00065F8A"/>
    <w:rsid w:val="0006637F"/>
    <w:rsid w:val="00066382"/>
    <w:rsid w:val="000669F9"/>
    <w:rsid w:val="00066A27"/>
    <w:rsid w:val="00066B49"/>
    <w:rsid w:val="00066D54"/>
    <w:rsid w:val="0006701D"/>
    <w:rsid w:val="000670F5"/>
    <w:rsid w:val="0006783C"/>
    <w:rsid w:val="00067A28"/>
    <w:rsid w:val="00067CFB"/>
    <w:rsid w:val="00067EAD"/>
    <w:rsid w:val="0007063E"/>
    <w:rsid w:val="00070AAE"/>
    <w:rsid w:val="00070DF3"/>
    <w:rsid w:val="00071547"/>
    <w:rsid w:val="000716BC"/>
    <w:rsid w:val="00071756"/>
    <w:rsid w:val="00071A14"/>
    <w:rsid w:val="00071CA3"/>
    <w:rsid w:val="0007260F"/>
    <w:rsid w:val="00072F1C"/>
    <w:rsid w:val="0007304F"/>
    <w:rsid w:val="0007336F"/>
    <w:rsid w:val="000739CB"/>
    <w:rsid w:val="00073C89"/>
    <w:rsid w:val="00074452"/>
    <w:rsid w:val="0007450D"/>
    <w:rsid w:val="0007488E"/>
    <w:rsid w:val="00074E79"/>
    <w:rsid w:val="00074F22"/>
    <w:rsid w:val="000754F1"/>
    <w:rsid w:val="00075CC5"/>
    <w:rsid w:val="000763D3"/>
    <w:rsid w:val="00076C29"/>
    <w:rsid w:val="00076F8B"/>
    <w:rsid w:val="00077456"/>
    <w:rsid w:val="00077481"/>
    <w:rsid w:val="0007780E"/>
    <w:rsid w:val="00077D5E"/>
    <w:rsid w:val="00077DDF"/>
    <w:rsid w:val="00080015"/>
    <w:rsid w:val="00080028"/>
    <w:rsid w:val="00080435"/>
    <w:rsid w:val="000805D5"/>
    <w:rsid w:val="00080794"/>
    <w:rsid w:val="0008103B"/>
    <w:rsid w:val="000813B3"/>
    <w:rsid w:val="0008142C"/>
    <w:rsid w:val="00081FC4"/>
    <w:rsid w:val="00082181"/>
    <w:rsid w:val="00082453"/>
    <w:rsid w:val="00082456"/>
    <w:rsid w:val="0008278F"/>
    <w:rsid w:val="00082B34"/>
    <w:rsid w:val="00082CBD"/>
    <w:rsid w:val="00082D07"/>
    <w:rsid w:val="000830E6"/>
    <w:rsid w:val="00083165"/>
    <w:rsid w:val="00083BB9"/>
    <w:rsid w:val="00084213"/>
    <w:rsid w:val="0008429A"/>
    <w:rsid w:val="00084655"/>
    <w:rsid w:val="00084D6B"/>
    <w:rsid w:val="00085139"/>
    <w:rsid w:val="000852F8"/>
    <w:rsid w:val="000855C9"/>
    <w:rsid w:val="00085796"/>
    <w:rsid w:val="00085D51"/>
    <w:rsid w:val="00085F97"/>
    <w:rsid w:val="00086B7F"/>
    <w:rsid w:val="00086E92"/>
    <w:rsid w:val="00087182"/>
    <w:rsid w:val="00087213"/>
    <w:rsid w:val="00087777"/>
    <w:rsid w:val="000879B1"/>
    <w:rsid w:val="00090013"/>
    <w:rsid w:val="00090286"/>
    <w:rsid w:val="000919C5"/>
    <w:rsid w:val="00092232"/>
    <w:rsid w:val="000927B4"/>
    <w:rsid w:val="00092A33"/>
    <w:rsid w:val="00093196"/>
    <w:rsid w:val="000931CC"/>
    <w:rsid w:val="000947D5"/>
    <w:rsid w:val="000954C1"/>
    <w:rsid w:val="0009550B"/>
    <w:rsid w:val="000955B4"/>
    <w:rsid w:val="00095723"/>
    <w:rsid w:val="0009599A"/>
    <w:rsid w:val="00095AB5"/>
    <w:rsid w:val="00095CC6"/>
    <w:rsid w:val="00095D19"/>
    <w:rsid w:val="00095E4F"/>
    <w:rsid w:val="00096936"/>
    <w:rsid w:val="00096BF0"/>
    <w:rsid w:val="00096C84"/>
    <w:rsid w:val="00096FB1"/>
    <w:rsid w:val="000973F9"/>
    <w:rsid w:val="00097A23"/>
    <w:rsid w:val="00097A83"/>
    <w:rsid w:val="00097E64"/>
    <w:rsid w:val="00097EBE"/>
    <w:rsid w:val="00097ED2"/>
    <w:rsid w:val="000A0848"/>
    <w:rsid w:val="000A08B1"/>
    <w:rsid w:val="000A08F7"/>
    <w:rsid w:val="000A0955"/>
    <w:rsid w:val="000A0FF3"/>
    <w:rsid w:val="000A197C"/>
    <w:rsid w:val="000A1CE2"/>
    <w:rsid w:val="000A2A15"/>
    <w:rsid w:val="000A2F41"/>
    <w:rsid w:val="000A2FEC"/>
    <w:rsid w:val="000A3335"/>
    <w:rsid w:val="000A348F"/>
    <w:rsid w:val="000A44B4"/>
    <w:rsid w:val="000A470D"/>
    <w:rsid w:val="000A48EA"/>
    <w:rsid w:val="000A4C5B"/>
    <w:rsid w:val="000A4D45"/>
    <w:rsid w:val="000A4E32"/>
    <w:rsid w:val="000A4FF3"/>
    <w:rsid w:val="000A574A"/>
    <w:rsid w:val="000A57CC"/>
    <w:rsid w:val="000A5809"/>
    <w:rsid w:val="000A6409"/>
    <w:rsid w:val="000A6CE1"/>
    <w:rsid w:val="000A78B0"/>
    <w:rsid w:val="000A7DBE"/>
    <w:rsid w:val="000B13F0"/>
    <w:rsid w:val="000B18EF"/>
    <w:rsid w:val="000B1B0C"/>
    <w:rsid w:val="000B1E52"/>
    <w:rsid w:val="000B252B"/>
    <w:rsid w:val="000B27BB"/>
    <w:rsid w:val="000B2A5C"/>
    <w:rsid w:val="000B3115"/>
    <w:rsid w:val="000B4345"/>
    <w:rsid w:val="000B45A2"/>
    <w:rsid w:val="000B4D82"/>
    <w:rsid w:val="000B5169"/>
    <w:rsid w:val="000B57EE"/>
    <w:rsid w:val="000B5856"/>
    <w:rsid w:val="000B5900"/>
    <w:rsid w:val="000B5EFB"/>
    <w:rsid w:val="000B60AE"/>
    <w:rsid w:val="000B6176"/>
    <w:rsid w:val="000B6556"/>
    <w:rsid w:val="000B68DC"/>
    <w:rsid w:val="000B6942"/>
    <w:rsid w:val="000B69A8"/>
    <w:rsid w:val="000B6D00"/>
    <w:rsid w:val="000B7591"/>
    <w:rsid w:val="000C07F2"/>
    <w:rsid w:val="000C0844"/>
    <w:rsid w:val="000C09FA"/>
    <w:rsid w:val="000C1030"/>
    <w:rsid w:val="000C12B8"/>
    <w:rsid w:val="000C1726"/>
    <w:rsid w:val="000C1AB0"/>
    <w:rsid w:val="000C1C3B"/>
    <w:rsid w:val="000C2095"/>
    <w:rsid w:val="000C2229"/>
    <w:rsid w:val="000C243B"/>
    <w:rsid w:val="000C2C1E"/>
    <w:rsid w:val="000C2E57"/>
    <w:rsid w:val="000C31AB"/>
    <w:rsid w:val="000C3307"/>
    <w:rsid w:val="000C34E7"/>
    <w:rsid w:val="000C366D"/>
    <w:rsid w:val="000C36E0"/>
    <w:rsid w:val="000C37A9"/>
    <w:rsid w:val="000C43E4"/>
    <w:rsid w:val="000C461D"/>
    <w:rsid w:val="000C46E2"/>
    <w:rsid w:val="000C4769"/>
    <w:rsid w:val="000C479B"/>
    <w:rsid w:val="000C49DE"/>
    <w:rsid w:val="000C4A91"/>
    <w:rsid w:val="000C5087"/>
    <w:rsid w:val="000C519D"/>
    <w:rsid w:val="000C52B2"/>
    <w:rsid w:val="000C53D4"/>
    <w:rsid w:val="000C5459"/>
    <w:rsid w:val="000C58C6"/>
    <w:rsid w:val="000C5C84"/>
    <w:rsid w:val="000C6728"/>
    <w:rsid w:val="000C7023"/>
    <w:rsid w:val="000C702E"/>
    <w:rsid w:val="000C7174"/>
    <w:rsid w:val="000C7A13"/>
    <w:rsid w:val="000D0BBF"/>
    <w:rsid w:val="000D0E73"/>
    <w:rsid w:val="000D107B"/>
    <w:rsid w:val="000D15E9"/>
    <w:rsid w:val="000D16E1"/>
    <w:rsid w:val="000D19A4"/>
    <w:rsid w:val="000D1A2D"/>
    <w:rsid w:val="000D1B5C"/>
    <w:rsid w:val="000D1ED1"/>
    <w:rsid w:val="000D211B"/>
    <w:rsid w:val="000D2606"/>
    <w:rsid w:val="000D2C8B"/>
    <w:rsid w:val="000D2D82"/>
    <w:rsid w:val="000D310F"/>
    <w:rsid w:val="000D3182"/>
    <w:rsid w:val="000D3228"/>
    <w:rsid w:val="000D3902"/>
    <w:rsid w:val="000D39E9"/>
    <w:rsid w:val="000D3D43"/>
    <w:rsid w:val="000D45C4"/>
    <w:rsid w:val="000D46B3"/>
    <w:rsid w:val="000D4CFE"/>
    <w:rsid w:val="000D4E25"/>
    <w:rsid w:val="000D5394"/>
    <w:rsid w:val="000D549B"/>
    <w:rsid w:val="000D5626"/>
    <w:rsid w:val="000D5938"/>
    <w:rsid w:val="000D6223"/>
    <w:rsid w:val="000D6543"/>
    <w:rsid w:val="000D6600"/>
    <w:rsid w:val="000D6ACA"/>
    <w:rsid w:val="000D7255"/>
    <w:rsid w:val="000D76B1"/>
    <w:rsid w:val="000D7C24"/>
    <w:rsid w:val="000E01F5"/>
    <w:rsid w:val="000E18F3"/>
    <w:rsid w:val="000E19AC"/>
    <w:rsid w:val="000E1E5A"/>
    <w:rsid w:val="000E20F1"/>
    <w:rsid w:val="000E2197"/>
    <w:rsid w:val="000E2490"/>
    <w:rsid w:val="000E266E"/>
    <w:rsid w:val="000E29CD"/>
    <w:rsid w:val="000E33C6"/>
    <w:rsid w:val="000E37C3"/>
    <w:rsid w:val="000E395B"/>
    <w:rsid w:val="000E3C32"/>
    <w:rsid w:val="000E3EFD"/>
    <w:rsid w:val="000E4065"/>
    <w:rsid w:val="000E4C7B"/>
    <w:rsid w:val="000E4FD8"/>
    <w:rsid w:val="000E5ED8"/>
    <w:rsid w:val="000E5EE8"/>
    <w:rsid w:val="000E5FD9"/>
    <w:rsid w:val="000E6068"/>
    <w:rsid w:val="000E65DF"/>
    <w:rsid w:val="000E6B9C"/>
    <w:rsid w:val="000E6C34"/>
    <w:rsid w:val="000E7253"/>
    <w:rsid w:val="000E75D4"/>
    <w:rsid w:val="000E7818"/>
    <w:rsid w:val="000E78F5"/>
    <w:rsid w:val="000E7DDC"/>
    <w:rsid w:val="000E7F4F"/>
    <w:rsid w:val="000E7FCD"/>
    <w:rsid w:val="000F0099"/>
    <w:rsid w:val="000F0175"/>
    <w:rsid w:val="000F0220"/>
    <w:rsid w:val="000F0507"/>
    <w:rsid w:val="000F0DD6"/>
    <w:rsid w:val="000F11F0"/>
    <w:rsid w:val="000F1515"/>
    <w:rsid w:val="000F15EB"/>
    <w:rsid w:val="000F1675"/>
    <w:rsid w:val="000F16B5"/>
    <w:rsid w:val="000F19FE"/>
    <w:rsid w:val="000F1CC6"/>
    <w:rsid w:val="000F236A"/>
    <w:rsid w:val="000F24F3"/>
    <w:rsid w:val="000F2685"/>
    <w:rsid w:val="000F2905"/>
    <w:rsid w:val="000F2A1B"/>
    <w:rsid w:val="000F2BD6"/>
    <w:rsid w:val="000F2D41"/>
    <w:rsid w:val="000F2E4C"/>
    <w:rsid w:val="000F38D2"/>
    <w:rsid w:val="000F3F74"/>
    <w:rsid w:val="000F4563"/>
    <w:rsid w:val="000F47EC"/>
    <w:rsid w:val="000F4911"/>
    <w:rsid w:val="000F4B07"/>
    <w:rsid w:val="000F5DCC"/>
    <w:rsid w:val="000F60C0"/>
    <w:rsid w:val="000F616E"/>
    <w:rsid w:val="000F6269"/>
    <w:rsid w:val="000F650B"/>
    <w:rsid w:val="000F6DEF"/>
    <w:rsid w:val="000F7249"/>
    <w:rsid w:val="000F7AE0"/>
    <w:rsid w:val="000F7C27"/>
    <w:rsid w:val="000F7D50"/>
    <w:rsid w:val="000F7D75"/>
    <w:rsid w:val="00100D47"/>
    <w:rsid w:val="00100FC9"/>
    <w:rsid w:val="00101014"/>
    <w:rsid w:val="00101463"/>
    <w:rsid w:val="00101528"/>
    <w:rsid w:val="001015C4"/>
    <w:rsid w:val="001015D0"/>
    <w:rsid w:val="00101BE7"/>
    <w:rsid w:val="0010261A"/>
    <w:rsid w:val="0010270E"/>
    <w:rsid w:val="0010272D"/>
    <w:rsid w:val="00102D94"/>
    <w:rsid w:val="00103253"/>
    <w:rsid w:val="001037EF"/>
    <w:rsid w:val="0010392A"/>
    <w:rsid w:val="00103C44"/>
    <w:rsid w:val="001040DB"/>
    <w:rsid w:val="00104A8F"/>
    <w:rsid w:val="001051A3"/>
    <w:rsid w:val="00105602"/>
    <w:rsid w:val="001058D3"/>
    <w:rsid w:val="00105B4C"/>
    <w:rsid w:val="0010657E"/>
    <w:rsid w:val="0010680F"/>
    <w:rsid w:val="001076BC"/>
    <w:rsid w:val="00107722"/>
    <w:rsid w:val="00107DBA"/>
    <w:rsid w:val="00107FEF"/>
    <w:rsid w:val="00110790"/>
    <w:rsid w:val="0011085E"/>
    <w:rsid w:val="00110C37"/>
    <w:rsid w:val="00110C79"/>
    <w:rsid w:val="00110D43"/>
    <w:rsid w:val="00110E2E"/>
    <w:rsid w:val="001113B9"/>
    <w:rsid w:val="00111543"/>
    <w:rsid w:val="00111A0B"/>
    <w:rsid w:val="00111B96"/>
    <w:rsid w:val="0011246D"/>
    <w:rsid w:val="001128DE"/>
    <w:rsid w:val="001129A5"/>
    <w:rsid w:val="00112A6A"/>
    <w:rsid w:val="0011301B"/>
    <w:rsid w:val="0011317C"/>
    <w:rsid w:val="001134E1"/>
    <w:rsid w:val="00113630"/>
    <w:rsid w:val="00114234"/>
    <w:rsid w:val="001142A4"/>
    <w:rsid w:val="001143A9"/>
    <w:rsid w:val="00114966"/>
    <w:rsid w:val="001149B9"/>
    <w:rsid w:val="001159EA"/>
    <w:rsid w:val="0011623F"/>
    <w:rsid w:val="0011674F"/>
    <w:rsid w:val="00117112"/>
    <w:rsid w:val="0011792D"/>
    <w:rsid w:val="00120571"/>
    <w:rsid w:val="00120A75"/>
    <w:rsid w:val="00120CCC"/>
    <w:rsid w:val="00121033"/>
    <w:rsid w:val="00121301"/>
    <w:rsid w:val="00121DD2"/>
    <w:rsid w:val="00121DD6"/>
    <w:rsid w:val="00121FB3"/>
    <w:rsid w:val="00122A25"/>
    <w:rsid w:val="00122FB2"/>
    <w:rsid w:val="00122FCC"/>
    <w:rsid w:val="00123FE9"/>
    <w:rsid w:val="00124F41"/>
    <w:rsid w:val="00125410"/>
    <w:rsid w:val="00126523"/>
    <w:rsid w:val="00126633"/>
    <w:rsid w:val="00126A90"/>
    <w:rsid w:val="001271B5"/>
    <w:rsid w:val="0012723B"/>
    <w:rsid w:val="0012747F"/>
    <w:rsid w:val="0012759E"/>
    <w:rsid w:val="00127912"/>
    <w:rsid w:val="00127BD6"/>
    <w:rsid w:val="00127C87"/>
    <w:rsid w:val="00127E24"/>
    <w:rsid w:val="001301BF"/>
    <w:rsid w:val="00130581"/>
    <w:rsid w:val="00130858"/>
    <w:rsid w:val="001309A4"/>
    <w:rsid w:val="00131861"/>
    <w:rsid w:val="00131C47"/>
    <w:rsid w:val="00131E31"/>
    <w:rsid w:val="001325ED"/>
    <w:rsid w:val="00132753"/>
    <w:rsid w:val="00132D5D"/>
    <w:rsid w:val="00132F88"/>
    <w:rsid w:val="001330D9"/>
    <w:rsid w:val="00134E4C"/>
    <w:rsid w:val="00134EDB"/>
    <w:rsid w:val="001351EC"/>
    <w:rsid w:val="00135D99"/>
    <w:rsid w:val="0013633E"/>
    <w:rsid w:val="00136C26"/>
    <w:rsid w:val="00136DF0"/>
    <w:rsid w:val="001371AE"/>
    <w:rsid w:val="001373FB"/>
    <w:rsid w:val="00137735"/>
    <w:rsid w:val="00137C39"/>
    <w:rsid w:val="00137FBD"/>
    <w:rsid w:val="0014059F"/>
    <w:rsid w:val="00140621"/>
    <w:rsid w:val="0014082B"/>
    <w:rsid w:val="00140A8E"/>
    <w:rsid w:val="00140FD6"/>
    <w:rsid w:val="00141516"/>
    <w:rsid w:val="00141551"/>
    <w:rsid w:val="001417CE"/>
    <w:rsid w:val="00141D46"/>
    <w:rsid w:val="001420BA"/>
    <w:rsid w:val="00142331"/>
    <w:rsid w:val="00142750"/>
    <w:rsid w:val="00143F9C"/>
    <w:rsid w:val="0014405F"/>
    <w:rsid w:val="00144712"/>
    <w:rsid w:val="0014479F"/>
    <w:rsid w:val="001447AD"/>
    <w:rsid w:val="001449DE"/>
    <w:rsid w:val="00144AE7"/>
    <w:rsid w:val="00144BB4"/>
    <w:rsid w:val="00144FBF"/>
    <w:rsid w:val="00144FC3"/>
    <w:rsid w:val="00145857"/>
    <w:rsid w:val="00145B85"/>
    <w:rsid w:val="00145BB7"/>
    <w:rsid w:val="00145C46"/>
    <w:rsid w:val="001465A9"/>
    <w:rsid w:val="00146851"/>
    <w:rsid w:val="00146B30"/>
    <w:rsid w:val="00146EAD"/>
    <w:rsid w:val="00147370"/>
    <w:rsid w:val="00147489"/>
    <w:rsid w:val="00147CCA"/>
    <w:rsid w:val="0015007D"/>
    <w:rsid w:val="00150663"/>
    <w:rsid w:val="00151400"/>
    <w:rsid w:val="001517AB"/>
    <w:rsid w:val="00151838"/>
    <w:rsid w:val="00151898"/>
    <w:rsid w:val="00153720"/>
    <w:rsid w:val="00153B6B"/>
    <w:rsid w:val="00153C2C"/>
    <w:rsid w:val="00153C6B"/>
    <w:rsid w:val="00153E5A"/>
    <w:rsid w:val="00153F87"/>
    <w:rsid w:val="001541BF"/>
    <w:rsid w:val="001546AF"/>
    <w:rsid w:val="0015480B"/>
    <w:rsid w:val="00154A65"/>
    <w:rsid w:val="00154DC5"/>
    <w:rsid w:val="00154DCD"/>
    <w:rsid w:val="00155D89"/>
    <w:rsid w:val="00155E07"/>
    <w:rsid w:val="00156803"/>
    <w:rsid w:val="00156A07"/>
    <w:rsid w:val="00157165"/>
    <w:rsid w:val="00157211"/>
    <w:rsid w:val="00157D73"/>
    <w:rsid w:val="001606A8"/>
    <w:rsid w:val="00160C8D"/>
    <w:rsid w:val="00160EE8"/>
    <w:rsid w:val="00160F31"/>
    <w:rsid w:val="00160FD1"/>
    <w:rsid w:val="0016110E"/>
    <w:rsid w:val="001614B1"/>
    <w:rsid w:val="001616E8"/>
    <w:rsid w:val="00161D22"/>
    <w:rsid w:val="00161E79"/>
    <w:rsid w:val="00162007"/>
    <w:rsid w:val="0016206D"/>
    <w:rsid w:val="001621C3"/>
    <w:rsid w:val="00162276"/>
    <w:rsid w:val="001626AB"/>
    <w:rsid w:val="001629BE"/>
    <w:rsid w:val="001629C0"/>
    <w:rsid w:val="00162A23"/>
    <w:rsid w:val="00163693"/>
    <w:rsid w:val="00163925"/>
    <w:rsid w:val="00163A63"/>
    <w:rsid w:val="00163FAE"/>
    <w:rsid w:val="0016409D"/>
    <w:rsid w:val="0016432D"/>
    <w:rsid w:val="00164AAB"/>
    <w:rsid w:val="001650D8"/>
    <w:rsid w:val="00165122"/>
    <w:rsid w:val="001652C9"/>
    <w:rsid w:val="00165854"/>
    <w:rsid w:val="001659E9"/>
    <w:rsid w:val="00165CDD"/>
    <w:rsid w:val="00165F89"/>
    <w:rsid w:val="00166078"/>
    <w:rsid w:val="00166183"/>
    <w:rsid w:val="00166A15"/>
    <w:rsid w:val="00166B9C"/>
    <w:rsid w:val="00166E5A"/>
    <w:rsid w:val="00167167"/>
    <w:rsid w:val="001674BA"/>
    <w:rsid w:val="001676E7"/>
    <w:rsid w:val="001678A9"/>
    <w:rsid w:val="00167A05"/>
    <w:rsid w:val="00170D41"/>
    <w:rsid w:val="00170DE4"/>
    <w:rsid w:val="00170E0A"/>
    <w:rsid w:val="001711BC"/>
    <w:rsid w:val="00171260"/>
    <w:rsid w:val="001712E5"/>
    <w:rsid w:val="0017160E"/>
    <w:rsid w:val="001716EB"/>
    <w:rsid w:val="0017220C"/>
    <w:rsid w:val="0017297A"/>
    <w:rsid w:val="0017327A"/>
    <w:rsid w:val="00173301"/>
    <w:rsid w:val="001734B2"/>
    <w:rsid w:val="001738DB"/>
    <w:rsid w:val="001738F5"/>
    <w:rsid w:val="00173DFD"/>
    <w:rsid w:val="0017451A"/>
    <w:rsid w:val="001747F1"/>
    <w:rsid w:val="0017490E"/>
    <w:rsid w:val="00174ECA"/>
    <w:rsid w:val="00175153"/>
    <w:rsid w:val="001753FD"/>
    <w:rsid w:val="0017548A"/>
    <w:rsid w:val="00175597"/>
    <w:rsid w:val="0017580D"/>
    <w:rsid w:val="00175AC8"/>
    <w:rsid w:val="00175DBF"/>
    <w:rsid w:val="00175FF8"/>
    <w:rsid w:val="00176283"/>
    <w:rsid w:val="00176818"/>
    <w:rsid w:val="00176C6A"/>
    <w:rsid w:val="00176E5D"/>
    <w:rsid w:val="001770CE"/>
    <w:rsid w:val="001777CA"/>
    <w:rsid w:val="001800F1"/>
    <w:rsid w:val="00180584"/>
    <w:rsid w:val="00180D08"/>
    <w:rsid w:val="00180F60"/>
    <w:rsid w:val="00180FF9"/>
    <w:rsid w:val="00181161"/>
    <w:rsid w:val="001817C8"/>
    <w:rsid w:val="00181C1A"/>
    <w:rsid w:val="00181CA4"/>
    <w:rsid w:val="00182066"/>
    <w:rsid w:val="0018212E"/>
    <w:rsid w:val="001824EC"/>
    <w:rsid w:val="0018250C"/>
    <w:rsid w:val="0018287B"/>
    <w:rsid w:val="00182A75"/>
    <w:rsid w:val="00182D48"/>
    <w:rsid w:val="00182F06"/>
    <w:rsid w:val="001832DD"/>
    <w:rsid w:val="001836EF"/>
    <w:rsid w:val="00184B9B"/>
    <w:rsid w:val="00184E66"/>
    <w:rsid w:val="0018541D"/>
    <w:rsid w:val="00186022"/>
    <w:rsid w:val="00186530"/>
    <w:rsid w:val="0018664B"/>
    <w:rsid w:val="001875D2"/>
    <w:rsid w:val="001876AE"/>
    <w:rsid w:val="00187716"/>
    <w:rsid w:val="00187CD6"/>
    <w:rsid w:val="00187CEE"/>
    <w:rsid w:val="00187F70"/>
    <w:rsid w:val="00190089"/>
    <w:rsid w:val="00190EF4"/>
    <w:rsid w:val="0019102B"/>
    <w:rsid w:val="00191050"/>
    <w:rsid w:val="001914ED"/>
    <w:rsid w:val="00191816"/>
    <w:rsid w:val="001919A5"/>
    <w:rsid w:val="0019204F"/>
    <w:rsid w:val="00193456"/>
    <w:rsid w:val="00193508"/>
    <w:rsid w:val="00193931"/>
    <w:rsid w:val="00193A55"/>
    <w:rsid w:val="00193B8E"/>
    <w:rsid w:val="0019430D"/>
    <w:rsid w:val="00194453"/>
    <w:rsid w:val="001947A9"/>
    <w:rsid w:val="00194851"/>
    <w:rsid w:val="00194BD7"/>
    <w:rsid w:val="00194FE9"/>
    <w:rsid w:val="00195228"/>
    <w:rsid w:val="0019523D"/>
    <w:rsid w:val="0019525B"/>
    <w:rsid w:val="00195435"/>
    <w:rsid w:val="00195696"/>
    <w:rsid w:val="001960EE"/>
    <w:rsid w:val="00196416"/>
    <w:rsid w:val="00196532"/>
    <w:rsid w:val="001966AB"/>
    <w:rsid w:val="001967B2"/>
    <w:rsid w:val="0019692A"/>
    <w:rsid w:val="0019699D"/>
    <w:rsid w:val="00196C5D"/>
    <w:rsid w:val="00196CB2"/>
    <w:rsid w:val="00196FFA"/>
    <w:rsid w:val="00197798"/>
    <w:rsid w:val="001977E6"/>
    <w:rsid w:val="00197EED"/>
    <w:rsid w:val="00197FC1"/>
    <w:rsid w:val="001A0274"/>
    <w:rsid w:val="001A02AA"/>
    <w:rsid w:val="001A0597"/>
    <w:rsid w:val="001A15B8"/>
    <w:rsid w:val="001A1EFC"/>
    <w:rsid w:val="001A2AAF"/>
    <w:rsid w:val="001A2DEF"/>
    <w:rsid w:val="001A3704"/>
    <w:rsid w:val="001A37E2"/>
    <w:rsid w:val="001A383D"/>
    <w:rsid w:val="001A3C60"/>
    <w:rsid w:val="001A4213"/>
    <w:rsid w:val="001A4686"/>
    <w:rsid w:val="001A48EF"/>
    <w:rsid w:val="001A49BF"/>
    <w:rsid w:val="001A49CC"/>
    <w:rsid w:val="001A4CD3"/>
    <w:rsid w:val="001A4E79"/>
    <w:rsid w:val="001A4EC0"/>
    <w:rsid w:val="001A5079"/>
    <w:rsid w:val="001A51A6"/>
    <w:rsid w:val="001A5553"/>
    <w:rsid w:val="001A565B"/>
    <w:rsid w:val="001A6812"/>
    <w:rsid w:val="001A716E"/>
    <w:rsid w:val="001A76B1"/>
    <w:rsid w:val="001A7798"/>
    <w:rsid w:val="001A77C0"/>
    <w:rsid w:val="001A79C9"/>
    <w:rsid w:val="001B0153"/>
    <w:rsid w:val="001B049C"/>
    <w:rsid w:val="001B06F0"/>
    <w:rsid w:val="001B0D4B"/>
    <w:rsid w:val="001B0F66"/>
    <w:rsid w:val="001B1846"/>
    <w:rsid w:val="001B18C6"/>
    <w:rsid w:val="001B25FE"/>
    <w:rsid w:val="001B266F"/>
    <w:rsid w:val="001B27D9"/>
    <w:rsid w:val="001B2C65"/>
    <w:rsid w:val="001B330C"/>
    <w:rsid w:val="001B395D"/>
    <w:rsid w:val="001B3ADE"/>
    <w:rsid w:val="001B3BA2"/>
    <w:rsid w:val="001B4255"/>
    <w:rsid w:val="001B446E"/>
    <w:rsid w:val="001B460A"/>
    <w:rsid w:val="001B4B51"/>
    <w:rsid w:val="001B52D4"/>
    <w:rsid w:val="001B5344"/>
    <w:rsid w:val="001B54E4"/>
    <w:rsid w:val="001B6042"/>
    <w:rsid w:val="001B6112"/>
    <w:rsid w:val="001B6CC4"/>
    <w:rsid w:val="001B6D91"/>
    <w:rsid w:val="001B7058"/>
    <w:rsid w:val="001B7179"/>
    <w:rsid w:val="001B76EF"/>
    <w:rsid w:val="001B77BA"/>
    <w:rsid w:val="001B7F4E"/>
    <w:rsid w:val="001C0E3F"/>
    <w:rsid w:val="001C12DC"/>
    <w:rsid w:val="001C16CB"/>
    <w:rsid w:val="001C1BEB"/>
    <w:rsid w:val="001C1C4D"/>
    <w:rsid w:val="001C2707"/>
    <w:rsid w:val="001C29C2"/>
    <w:rsid w:val="001C33FF"/>
    <w:rsid w:val="001C3A4F"/>
    <w:rsid w:val="001C4121"/>
    <w:rsid w:val="001C450B"/>
    <w:rsid w:val="001C4628"/>
    <w:rsid w:val="001C48DE"/>
    <w:rsid w:val="001C4B5E"/>
    <w:rsid w:val="001C4E09"/>
    <w:rsid w:val="001C4E99"/>
    <w:rsid w:val="001C52A9"/>
    <w:rsid w:val="001C5DD3"/>
    <w:rsid w:val="001C5F6E"/>
    <w:rsid w:val="001C5FEB"/>
    <w:rsid w:val="001C627C"/>
    <w:rsid w:val="001C66FC"/>
    <w:rsid w:val="001C6881"/>
    <w:rsid w:val="001C6915"/>
    <w:rsid w:val="001C6E83"/>
    <w:rsid w:val="001C74DB"/>
    <w:rsid w:val="001C7F8D"/>
    <w:rsid w:val="001D0D5B"/>
    <w:rsid w:val="001D18C9"/>
    <w:rsid w:val="001D1B44"/>
    <w:rsid w:val="001D1B94"/>
    <w:rsid w:val="001D1EFD"/>
    <w:rsid w:val="001D227A"/>
    <w:rsid w:val="001D282C"/>
    <w:rsid w:val="001D2ADD"/>
    <w:rsid w:val="001D2AFA"/>
    <w:rsid w:val="001D2E15"/>
    <w:rsid w:val="001D2E2F"/>
    <w:rsid w:val="001D300E"/>
    <w:rsid w:val="001D30C1"/>
    <w:rsid w:val="001D3136"/>
    <w:rsid w:val="001D317C"/>
    <w:rsid w:val="001D3191"/>
    <w:rsid w:val="001D3249"/>
    <w:rsid w:val="001D3B50"/>
    <w:rsid w:val="001D49A1"/>
    <w:rsid w:val="001D52E3"/>
    <w:rsid w:val="001D565E"/>
    <w:rsid w:val="001D5675"/>
    <w:rsid w:val="001D56FB"/>
    <w:rsid w:val="001D576F"/>
    <w:rsid w:val="001D5AD5"/>
    <w:rsid w:val="001D5B69"/>
    <w:rsid w:val="001D6417"/>
    <w:rsid w:val="001D6568"/>
    <w:rsid w:val="001D67DF"/>
    <w:rsid w:val="001D70ED"/>
    <w:rsid w:val="001D716C"/>
    <w:rsid w:val="001D7614"/>
    <w:rsid w:val="001D7814"/>
    <w:rsid w:val="001D7C29"/>
    <w:rsid w:val="001D7CCD"/>
    <w:rsid w:val="001D7F9D"/>
    <w:rsid w:val="001E0085"/>
    <w:rsid w:val="001E0475"/>
    <w:rsid w:val="001E15B5"/>
    <w:rsid w:val="001E17EB"/>
    <w:rsid w:val="001E1BBA"/>
    <w:rsid w:val="001E1E94"/>
    <w:rsid w:val="001E23F4"/>
    <w:rsid w:val="001E2853"/>
    <w:rsid w:val="001E2AD6"/>
    <w:rsid w:val="001E3090"/>
    <w:rsid w:val="001E33C2"/>
    <w:rsid w:val="001E347A"/>
    <w:rsid w:val="001E48AF"/>
    <w:rsid w:val="001E4CA3"/>
    <w:rsid w:val="001E536A"/>
    <w:rsid w:val="001E55FD"/>
    <w:rsid w:val="001E561B"/>
    <w:rsid w:val="001E5912"/>
    <w:rsid w:val="001E59FB"/>
    <w:rsid w:val="001E5CB6"/>
    <w:rsid w:val="001E5E25"/>
    <w:rsid w:val="001E6D9C"/>
    <w:rsid w:val="001E701C"/>
    <w:rsid w:val="001E708A"/>
    <w:rsid w:val="001E7497"/>
    <w:rsid w:val="001E760C"/>
    <w:rsid w:val="001F0AA5"/>
    <w:rsid w:val="001F0C77"/>
    <w:rsid w:val="001F1250"/>
    <w:rsid w:val="001F154C"/>
    <w:rsid w:val="001F178D"/>
    <w:rsid w:val="001F2890"/>
    <w:rsid w:val="001F2AAD"/>
    <w:rsid w:val="001F2FB5"/>
    <w:rsid w:val="001F3AB4"/>
    <w:rsid w:val="001F3F23"/>
    <w:rsid w:val="001F4065"/>
    <w:rsid w:val="001F4374"/>
    <w:rsid w:val="001F541E"/>
    <w:rsid w:val="001F5C90"/>
    <w:rsid w:val="001F62A8"/>
    <w:rsid w:val="001F62DF"/>
    <w:rsid w:val="001F6D43"/>
    <w:rsid w:val="001F70F9"/>
    <w:rsid w:val="001F712A"/>
    <w:rsid w:val="001F7355"/>
    <w:rsid w:val="001F7609"/>
    <w:rsid w:val="001F767C"/>
    <w:rsid w:val="001F79CB"/>
    <w:rsid w:val="001F7B10"/>
    <w:rsid w:val="001F7D65"/>
    <w:rsid w:val="00200060"/>
    <w:rsid w:val="0020036E"/>
    <w:rsid w:val="00200FD1"/>
    <w:rsid w:val="002013A9"/>
    <w:rsid w:val="00201424"/>
    <w:rsid w:val="00201D92"/>
    <w:rsid w:val="00201E07"/>
    <w:rsid w:val="00201EAE"/>
    <w:rsid w:val="00201F93"/>
    <w:rsid w:val="002022B2"/>
    <w:rsid w:val="00202622"/>
    <w:rsid w:val="002026B8"/>
    <w:rsid w:val="00203A7B"/>
    <w:rsid w:val="002043B1"/>
    <w:rsid w:val="00204508"/>
    <w:rsid w:val="00204773"/>
    <w:rsid w:val="00204B1D"/>
    <w:rsid w:val="0020560C"/>
    <w:rsid w:val="002057EF"/>
    <w:rsid w:val="00205A5B"/>
    <w:rsid w:val="00205C6E"/>
    <w:rsid w:val="00206122"/>
    <w:rsid w:val="002071A8"/>
    <w:rsid w:val="002071DF"/>
    <w:rsid w:val="00207941"/>
    <w:rsid w:val="00207F79"/>
    <w:rsid w:val="00210074"/>
    <w:rsid w:val="00210507"/>
    <w:rsid w:val="00210AA7"/>
    <w:rsid w:val="00210DD2"/>
    <w:rsid w:val="00210FCF"/>
    <w:rsid w:val="0021172B"/>
    <w:rsid w:val="00211BDA"/>
    <w:rsid w:val="0021218C"/>
    <w:rsid w:val="002129D2"/>
    <w:rsid w:val="00212E28"/>
    <w:rsid w:val="002133A8"/>
    <w:rsid w:val="0021380C"/>
    <w:rsid w:val="002138AC"/>
    <w:rsid w:val="002138EA"/>
    <w:rsid w:val="00213992"/>
    <w:rsid w:val="00214256"/>
    <w:rsid w:val="00214513"/>
    <w:rsid w:val="00214557"/>
    <w:rsid w:val="00214AF9"/>
    <w:rsid w:val="00214B72"/>
    <w:rsid w:val="00214D2D"/>
    <w:rsid w:val="00215393"/>
    <w:rsid w:val="00215464"/>
    <w:rsid w:val="002155F0"/>
    <w:rsid w:val="00215B5A"/>
    <w:rsid w:val="00216042"/>
    <w:rsid w:val="00216186"/>
    <w:rsid w:val="002165B3"/>
    <w:rsid w:val="00216D05"/>
    <w:rsid w:val="0021713E"/>
    <w:rsid w:val="002179B6"/>
    <w:rsid w:val="002202CE"/>
    <w:rsid w:val="002202EC"/>
    <w:rsid w:val="00220BD3"/>
    <w:rsid w:val="00221855"/>
    <w:rsid w:val="00221D8F"/>
    <w:rsid w:val="00221ED4"/>
    <w:rsid w:val="00222350"/>
    <w:rsid w:val="00222498"/>
    <w:rsid w:val="002225E2"/>
    <w:rsid w:val="002226F1"/>
    <w:rsid w:val="00222EE9"/>
    <w:rsid w:val="00222EED"/>
    <w:rsid w:val="00222EFF"/>
    <w:rsid w:val="0022363B"/>
    <w:rsid w:val="002236C9"/>
    <w:rsid w:val="002238E9"/>
    <w:rsid w:val="002239CC"/>
    <w:rsid w:val="00223B92"/>
    <w:rsid w:val="002240D5"/>
    <w:rsid w:val="002243B4"/>
    <w:rsid w:val="00224427"/>
    <w:rsid w:val="00224527"/>
    <w:rsid w:val="00224893"/>
    <w:rsid w:val="002248C5"/>
    <w:rsid w:val="00224AB2"/>
    <w:rsid w:val="00224AC9"/>
    <w:rsid w:val="00224BE6"/>
    <w:rsid w:val="00224EE9"/>
    <w:rsid w:val="00225162"/>
    <w:rsid w:val="0022569F"/>
    <w:rsid w:val="002256B8"/>
    <w:rsid w:val="0022589C"/>
    <w:rsid w:val="00225956"/>
    <w:rsid w:val="00225A5B"/>
    <w:rsid w:val="002261A7"/>
    <w:rsid w:val="00226AA1"/>
    <w:rsid w:val="00226AEC"/>
    <w:rsid w:val="00226BE0"/>
    <w:rsid w:val="00226CA6"/>
    <w:rsid w:val="00226E4D"/>
    <w:rsid w:val="00226E87"/>
    <w:rsid w:val="00227109"/>
    <w:rsid w:val="00227333"/>
    <w:rsid w:val="002274C4"/>
    <w:rsid w:val="00227963"/>
    <w:rsid w:val="00227C41"/>
    <w:rsid w:val="00227E22"/>
    <w:rsid w:val="0023033A"/>
    <w:rsid w:val="002305EB"/>
    <w:rsid w:val="0023077A"/>
    <w:rsid w:val="00230ADB"/>
    <w:rsid w:val="00230BA0"/>
    <w:rsid w:val="00231085"/>
    <w:rsid w:val="002316BB"/>
    <w:rsid w:val="00231BDC"/>
    <w:rsid w:val="00231C26"/>
    <w:rsid w:val="00231C87"/>
    <w:rsid w:val="00232098"/>
    <w:rsid w:val="00232344"/>
    <w:rsid w:val="0023241B"/>
    <w:rsid w:val="002328AF"/>
    <w:rsid w:val="002329E4"/>
    <w:rsid w:val="00232D15"/>
    <w:rsid w:val="00233779"/>
    <w:rsid w:val="002337A2"/>
    <w:rsid w:val="00233D50"/>
    <w:rsid w:val="00233F64"/>
    <w:rsid w:val="00233FB3"/>
    <w:rsid w:val="0023453A"/>
    <w:rsid w:val="00234818"/>
    <w:rsid w:val="00234C66"/>
    <w:rsid w:val="00235422"/>
    <w:rsid w:val="002358BC"/>
    <w:rsid w:val="00235C95"/>
    <w:rsid w:val="00236337"/>
    <w:rsid w:val="00236C8A"/>
    <w:rsid w:val="00237837"/>
    <w:rsid w:val="002408D4"/>
    <w:rsid w:val="002416B4"/>
    <w:rsid w:val="00241B2C"/>
    <w:rsid w:val="0024213C"/>
    <w:rsid w:val="00242336"/>
    <w:rsid w:val="002428FE"/>
    <w:rsid w:val="00243067"/>
    <w:rsid w:val="002432E7"/>
    <w:rsid w:val="002434C3"/>
    <w:rsid w:val="002437C5"/>
    <w:rsid w:val="0024380D"/>
    <w:rsid w:val="00243BB7"/>
    <w:rsid w:val="00243C33"/>
    <w:rsid w:val="00243E17"/>
    <w:rsid w:val="00243E70"/>
    <w:rsid w:val="00244A81"/>
    <w:rsid w:val="002451AA"/>
    <w:rsid w:val="00245B7E"/>
    <w:rsid w:val="00246086"/>
    <w:rsid w:val="00246218"/>
    <w:rsid w:val="002462B0"/>
    <w:rsid w:val="0024635C"/>
    <w:rsid w:val="00246503"/>
    <w:rsid w:val="002469BE"/>
    <w:rsid w:val="00246E30"/>
    <w:rsid w:val="00246E3C"/>
    <w:rsid w:val="002472CB"/>
    <w:rsid w:val="002476AB"/>
    <w:rsid w:val="00247920"/>
    <w:rsid w:val="00247DC9"/>
    <w:rsid w:val="002503EF"/>
    <w:rsid w:val="00250A7F"/>
    <w:rsid w:val="00251A96"/>
    <w:rsid w:val="00252028"/>
    <w:rsid w:val="00252D20"/>
    <w:rsid w:val="0025366A"/>
    <w:rsid w:val="00253C1D"/>
    <w:rsid w:val="002543D3"/>
    <w:rsid w:val="002545F3"/>
    <w:rsid w:val="0025477E"/>
    <w:rsid w:val="00254794"/>
    <w:rsid w:val="00254C33"/>
    <w:rsid w:val="00254FF9"/>
    <w:rsid w:val="002550FE"/>
    <w:rsid w:val="002552F6"/>
    <w:rsid w:val="0025532F"/>
    <w:rsid w:val="002555DE"/>
    <w:rsid w:val="002559FB"/>
    <w:rsid w:val="00255BB7"/>
    <w:rsid w:val="00255F4F"/>
    <w:rsid w:val="00257157"/>
    <w:rsid w:val="0025726E"/>
    <w:rsid w:val="00257BE9"/>
    <w:rsid w:val="00257FA8"/>
    <w:rsid w:val="0026042E"/>
    <w:rsid w:val="002604A9"/>
    <w:rsid w:val="00260759"/>
    <w:rsid w:val="00260B56"/>
    <w:rsid w:val="00260D5F"/>
    <w:rsid w:val="002614F3"/>
    <w:rsid w:val="002615F1"/>
    <w:rsid w:val="00261B2A"/>
    <w:rsid w:val="00261DE1"/>
    <w:rsid w:val="002622ED"/>
    <w:rsid w:val="0026257E"/>
    <w:rsid w:val="002632C9"/>
    <w:rsid w:val="0026340D"/>
    <w:rsid w:val="0026344F"/>
    <w:rsid w:val="00263603"/>
    <w:rsid w:val="002636AE"/>
    <w:rsid w:val="00264BB1"/>
    <w:rsid w:val="00265DAE"/>
    <w:rsid w:val="002660C6"/>
    <w:rsid w:val="00266434"/>
    <w:rsid w:val="00266A17"/>
    <w:rsid w:val="00266A1D"/>
    <w:rsid w:val="00266F14"/>
    <w:rsid w:val="00267598"/>
    <w:rsid w:val="002675C2"/>
    <w:rsid w:val="00267BB7"/>
    <w:rsid w:val="00270372"/>
    <w:rsid w:val="00270409"/>
    <w:rsid w:val="00270673"/>
    <w:rsid w:val="00270AEB"/>
    <w:rsid w:val="00271123"/>
    <w:rsid w:val="002713F9"/>
    <w:rsid w:val="002715A6"/>
    <w:rsid w:val="00271BC5"/>
    <w:rsid w:val="002724F9"/>
    <w:rsid w:val="002728D2"/>
    <w:rsid w:val="002729B7"/>
    <w:rsid w:val="00272B24"/>
    <w:rsid w:val="00272E36"/>
    <w:rsid w:val="0027303E"/>
    <w:rsid w:val="00273620"/>
    <w:rsid w:val="00273872"/>
    <w:rsid w:val="002740B2"/>
    <w:rsid w:val="00274373"/>
    <w:rsid w:val="0027454C"/>
    <w:rsid w:val="00274F42"/>
    <w:rsid w:val="00274FF5"/>
    <w:rsid w:val="0027508B"/>
    <w:rsid w:val="002752A8"/>
    <w:rsid w:val="002754DB"/>
    <w:rsid w:val="00275534"/>
    <w:rsid w:val="00275615"/>
    <w:rsid w:val="00275853"/>
    <w:rsid w:val="00275C38"/>
    <w:rsid w:val="002763D8"/>
    <w:rsid w:val="00276A20"/>
    <w:rsid w:val="00277075"/>
    <w:rsid w:val="0027740C"/>
    <w:rsid w:val="0027745A"/>
    <w:rsid w:val="0027747F"/>
    <w:rsid w:val="002775D2"/>
    <w:rsid w:val="0027768B"/>
    <w:rsid w:val="00277756"/>
    <w:rsid w:val="00277934"/>
    <w:rsid w:val="002779CA"/>
    <w:rsid w:val="00277A3F"/>
    <w:rsid w:val="00280072"/>
    <w:rsid w:val="002800A7"/>
    <w:rsid w:val="00280296"/>
    <w:rsid w:val="0028039B"/>
    <w:rsid w:val="002803A1"/>
    <w:rsid w:val="0028045F"/>
    <w:rsid w:val="0028051C"/>
    <w:rsid w:val="00280E65"/>
    <w:rsid w:val="002815A6"/>
    <w:rsid w:val="00281868"/>
    <w:rsid w:val="0028187B"/>
    <w:rsid w:val="00281A7A"/>
    <w:rsid w:val="00281ADD"/>
    <w:rsid w:val="00281DE7"/>
    <w:rsid w:val="00282163"/>
    <w:rsid w:val="002821E3"/>
    <w:rsid w:val="00282584"/>
    <w:rsid w:val="00282881"/>
    <w:rsid w:val="00283166"/>
    <w:rsid w:val="002831DD"/>
    <w:rsid w:val="00283214"/>
    <w:rsid w:val="00283471"/>
    <w:rsid w:val="00283995"/>
    <w:rsid w:val="002839E2"/>
    <w:rsid w:val="00283F95"/>
    <w:rsid w:val="00284FA1"/>
    <w:rsid w:val="0028563E"/>
    <w:rsid w:val="00285940"/>
    <w:rsid w:val="00285B8D"/>
    <w:rsid w:val="002862AD"/>
    <w:rsid w:val="0028662B"/>
    <w:rsid w:val="00286656"/>
    <w:rsid w:val="002871CE"/>
    <w:rsid w:val="0028742E"/>
    <w:rsid w:val="00287674"/>
    <w:rsid w:val="00287823"/>
    <w:rsid w:val="0028792D"/>
    <w:rsid w:val="00290C82"/>
    <w:rsid w:val="00290CC1"/>
    <w:rsid w:val="00290E32"/>
    <w:rsid w:val="002917D4"/>
    <w:rsid w:val="002924D4"/>
    <w:rsid w:val="00293117"/>
    <w:rsid w:val="00293BEC"/>
    <w:rsid w:val="00293DB3"/>
    <w:rsid w:val="00293E0D"/>
    <w:rsid w:val="00293E80"/>
    <w:rsid w:val="00293EFD"/>
    <w:rsid w:val="00293FC4"/>
    <w:rsid w:val="002943C8"/>
    <w:rsid w:val="00294621"/>
    <w:rsid w:val="00294637"/>
    <w:rsid w:val="00294B2B"/>
    <w:rsid w:val="00294FA3"/>
    <w:rsid w:val="002952B3"/>
    <w:rsid w:val="00296146"/>
    <w:rsid w:val="00296E93"/>
    <w:rsid w:val="00296F72"/>
    <w:rsid w:val="002973B0"/>
    <w:rsid w:val="0029784A"/>
    <w:rsid w:val="00297C14"/>
    <w:rsid w:val="00297ED0"/>
    <w:rsid w:val="002A07A7"/>
    <w:rsid w:val="002A0C7D"/>
    <w:rsid w:val="002A124B"/>
    <w:rsid w:val="002A1416"/>
    <w:rsid w:val="002A17DF"/>
    <w:rsid w:val="002A220F"/>
    <w:rsid w:val="002A2484"/>
    <w:rsid w:val="002A24F1"/>
    <w:rsid w:val="002A28D8"/>
    <w:rsid w:val="002A2984"/>
    <w:rsid w:val="002A2D84"/>
    <w:rsid w:val="002A3034"/>
    <w:rsid w:val="002A3B57"/>
    <w:rsid w:val="002A3DF3"/>
    <w:rsid w:val="002A4057"/>
    <w:rsid w:val="002A434C"/>
    <w:rsid w:val="002A43A0"/>
    <w:rsid w:val="002A4ABC"/>
    <w:rsid w:val="002A4E38"/>
    <w:rsid w:val="002A5778"/>
    <w:rsid w:val="002A5869"/>
    <w:rsid w:val="002A59AB"/>
    <w:rsid w:val="002A5B1C"/>
    <w:rsid w:val="002A62BB"/>
    <w:rsid w:val="002A65DE"/>
    <w:rsid w:val="002A69D3"/>
    <w:rsid w:val="002A6E3B"/>
    <w:rsid w:val="002A7018"/>
    <w:rsid w:val="002A74B2"/>
    <w:rsid w:val="002A75B8"/>
    <w:rsid w:val="002A7A75"/>
    <w:rsid w:val="002A7AF1"/>
    <w:rsid w:val="002A7C56"/>
    <w:rsid w:val="002A7E29"/>
    <w:rsid w:val="002A7F67"/>
    <w:rsid w:val="002B075E"/>
    <w:rsid w:val="002B1649"/>
    <w:rsid w:val="002B1724"/>
    <w:rsid w:val="002B1897"/>
    <w:rsid w:val="002B18D0"/>
    <w:rsid w:val="002B18EC"/>
    <w:rsid w:val="002B1C24"/>
    <w:rsid w:val="002B1E84"/>
    <w:rsid w:val="002B2085"/>
    <w:rsid w:val="002B208B"/>
    <w:rsid w:val="002B2530"/>
    <w:rsid w:val="002B25BD"/>
    <w:rsid w:val="002B2681"/>
    <w:rsid w:val="002B2F7E"/>
    <w:rsid w:val="002B3299"/>
    <w:rsid w:val="002B3BFD"/>
    <w:rsid w:val="002B3EC4"/>
    <w:rsid w:val="002B3FBA"/>
    <w:rsid w:val="002B4703"/>
    <w:rsid w:val="002B4D0B"/>
    <w:rsid w:val="002B5408"/>
    <w:rsid w:val="002B636F"/>
    <w:rsid w:val="002B6FDB"/>
    <w:rsid w:val="002B75DC"/>
    <w:rsid w:val="002B79AE"/>
    <w:rsid w:val="002B7EEC"/>
    <w:rsid w:val="002C07E7"/>
    <w:rsid w:val="002C081E"/>
    <w:rsid w:val="002C0E03"/>
    <w:rsid w:val="002C1ABC"/>
    <w:rsid w:val="002C1EA6"/>
    <w:rsid w:val="002C293B"/>
    <w:rsid w:val="002C3038"/>
    <w:rsid w:val="002C30E1"/>
    <w:rsid w:val="002C333A"/>
    <w:rsid w:val="002C3660"/>
    <w:rsid w:val="002C37D5"/>
    <w:rsid w:val="002C3A7E"/>
    <w:rsid w:val="002C3DD3"/>
    <w:rsid w:val="002C43AA"/>
    <w:rsid w:val="002C4DA6"/>
    <w:rsid w:val="002C5367"/>
    <w:rsid w:val="002C60A0"/>
    <w:rsid w:val="002C7115"/>
    <w:rsid w:val="002C7624"/>
    <w:rsid w:val="002C79F6"/>
    <w:rsid w:val="002C7B64"/>
    <w:rsid w:val="002C7B88"/>
    <w:rsid w:val="002D03BF"/>
    <w:rsid w:val="002D0BAB"/>
    <w:rsid w:val="002D0CE1"/>
    <w:rsid w:val="002D0D11"/>
    <w:rsid w:val="002D108A"/>
    <w:rsid w:val="002D166E"/>
    <w:rsid w:val="002D18E1"/>
    <w:rsid w:val="002D19C9"/>
    <w:rsid w:val="002D1E95"/>
    <w:rsid w:val="002D2212"/>
    <w:rsid w:val="002D239A"/>
    <w:rsid w:val="002D2486"/>
    <w:rsid w:val="002D287A"/>
    <w:rsid w:val="002D317B"/>
    <w:rsid w:val="002D3263"/>
    <w:rsid w:val="002D3400"/>
    <w:rsid w:val="002D3490"/>
    <w:rsid w:val="002D34DB"/>
    <w:rsid w:val="002D382E"/>
    <w:rsid w:val="002D3BB5"/>
    <w:rsid w:val="002D444C"/>
    <w:rsid w:val="002D48BE"/>
    <w:rsid w:val="002D4997"/>
    <w:rsid w:val="002D4B11"/>
    <w:rsid w:val="002D4EBB"/>
    <w:rsid w:val="002D5026"/>
    <w:rsid w:val="002D51F5"/>
    <w:rsid w:val="002D565C"/>
    <w:rsid w:val="002D5DB2"/>
    <w:rsid w:val="002D74A0"/>
    <w:rsid w:val="002D7973"/>
    <w:rsid w:val="002E0CD6"/>
    <w:rsid w:val="002E0CF6"/>
    <w:rsid w:val="002E136E"/>
    <w:rsid w:val="002E14BE"/>
    <w:rsid w:val="002E1512"/>
    <w:rsid w:val="002E16F1"/>
    <w:rsid w:val="002E1B84"/>
    <w:rsid w:val="002E2C85"/>
    <w:rsid w:val="002E2D33"/>
    <w:rsid w:val="002E3354"/>
    <w:rsid w:val="002E34DF"/>
    <w:rsid w:val="002E3BF1"/>
    <w:rsid w:val="002E4002"/>
    <w:rsid w:val="002E41F7"/>
    <w:rsid w:val="002E5170"/>
    <w:rsid w:val="002E5633"/>
    <w:rsid w:val="002E576B"/>
    <w:rsid w:val="002E5788"/>
    <w:rsid w:val="002E580C"/>
    <w:rsid w:val="002E592A"/>
    <w:rsid w:val="002E5CE6"/>
    <w:rsid w:val="002E6659"/>
    <w:rsid w:val="002E6726"/>
    <w:rsid w:val="002E6A0E"/>
    <w:rsid w:val="002E761B"/>
    <w:rsid w:val="002E7C83"/>
    <w:rsid w:val="002E7EA1"/>
    <w:rsid w:val="002F0E63"/>
    <w:rsid w:val="002F1069"/>
    <w:rsid w:val="002F11A9"/>
    <w:rsid w:val="002F14AC"/>
    <w:rsid w:val="002F1963"/>
    <w:rsid w:val="002F20AE"/>
    <w:rsid w:val="002F28FC"/>
    <w:rsid w:val="002F2F2B"/>
    <w:rsid w:val="002F3C35"/>
    <w:rsid w:val="002F3D02"/>
    <w:rsid w:val="002F3EED"/>
    <w:rsid w:val="002F441A"/>
    <w:rsid w:val="002F46DC"/>
    <w:rsid w:val="002F4C7B"/>
    <w:rsid w:val="002F4C8D"/>
    <w:rsid w:val="002F4E3A"/>
    <w:rsid w:val="002F5037"/>
    <w:rsid w:val="002F5A1A"/>
    <w:rsid w:val="002F5B3B"/>
    <w:rsid w:val="002F5B6E"/>
    <w:rsid w:val="002F5E5E"/>
    <w:rsid w:val="002F61B5"/>
    <w:rsid w:val="002F65ED"/>
    <w:rsid w:val="002F7331"/>
    <w:rsid w:val="002F743B"/>
    <w:rsid w:val="002F7A6A"/>
    <w:rsid w:val="002F7C42"/>
    <w:rsid w:val="002F7ED7"/>
    <w:rsid w:val="00300066"/>
    <w:rsid w:val="00300162"/>
    <w:rsid w:val="00300869"/>
    <w:rsid w:val="00300BBC"/>
    <w:rsid w:val="00300C96"/>
    <w:rsid w:val="0030105C"/>
    <w:rsid w:val="003013A3"/>
    <w:rsid w:val="003014D9"/>
    <w:rsid w:val="003016E0"/>
    <w:rsid w:val="0030176F"/>
    <w:rsid w:val="00301785"/>
    <w:rsid w:val="00301E04"/>
    <w:rsid w:val="00302018"/>
    <w:rsid w:val="0030209B"/>
    <w:rsid w:val="00302437"/>
    <w:rsid w:val="00303151"/>
    <w:rsid w:val="003038FC"/>
    <w:rsid w:val="003039BC"/>
    <w:rsid w:val="00304E2D"/>
    <w:rsid w:val="00304EE0"/>
    <w:rsid w:val="00305565"/>
    <w:rsid w:val="00306F1B"/>
    <w:rsid w:val="003071E9"/>
    <w:rsid w:val="00307912"/>
    <w:rsid w:val="003103FD"/>
    <w:rsid w:val="00310695"/>
    <w:rsid w:val="003110B7"/>
    <w:rsid w:val="00311440"/>
    <w:rsid w:val="003114BC"/>
    <w:rsid w:val="003116DE"/>
    <w:rsid w:val="003118C4"/>
    <w:rsid w:val="00311EE6"/>
    <w:rsid w:val="00311F3D"/>
    <w:rsid w:val="00312494"/>
    <w:rsid w:val="003127E4"/>
    <w:rsid w:val="00312920"/>
    <w:rsid w:val="00312C42"/>
    <w:rsid w:val="003130C5"/>
    <w:rsid w:val="0031311E"/>
    <w:rsid w:val="00313215"/>
    <w:rsid w:val="00313DA1"/>
    <w:rsid w:val="0031423B"/>
    <w:rsid w:val="00314307"/>
    <w:rsid w:val="00314F40"/>
    <w:rsid w:val="003151C2"/>
    <w:rsid w:val="00315DC0"/>
    <w:rsid w:val="00316030"/>
    <w:rsid w:val="0031701A"/>
    <w:rsid w:val="00317081"/>
    <w:rsid w:val="00317432"/>
    <w:rsid w:val="00317488"/>
    <w:rsid w:val="003174C3"/>
    <w:rsid w:val="00317A27"/>
    <w:rsid w:val="00317B7D"/>
    <w:rsid w:val="00320086"/>
    <w:rsid w:val="00320289"/>
    <w:rsid w:val="0032040F"/>
    <w:rsid w:val="00320656"/>
    <w:rsid w:val="003206C0"/>
    <w:rsid w:val="0032075A"/>
    <w:rsid w:val="00320B91"/>
    <w:rsid w:val="00320CCF"/>
    <w:rsid w:val="0032151C"/>
    <w:rsid w:val="003219C7"/>
    <w:rsid w:val="00321B51"/>
    <w:rsid w:val="00321E02"/>
    <w:rsid w:val="00321EB7"/>
    <w:rsid w:val="0032281F"/>
    <w:rsid w:val="00322C2F"/>
    <w:rsid w:val="00322E56"/>
    <w:rsid w:val="00322E99"/>
    <w:rsid w:val="003230B6"/>
    <w:rsid w:val="003230D5"/>
    <w:rsid w:val="00323B0A"/>
    <w:rsid w:val="00324115"/>
    <w:rsid w:val="003241C2"/>
    <w:rsid w:val="003241E3"/>
    <w:rsid w:val="00324A81"/>
    <w:rsid w:val="00324B8A"/>
    <w:rsid w:val="00324DA3"/>
    <w:rsid w:val="0032557A"/>
    <w:rsid w:val="003257C1"/>
    <w:rsid w:val="00325981"/>
    <w:rsid w:val="00326129"/>
    <w:rsid w:val="003262C0"/>
    <w:rsid w:val="003265CE"/>
    <w:rsid w:val="00326D8C"/>
    <w:rsid w:val="00326E3E"/>
    <w:rsid w:val="00326F34"/>
    <w:rsid w:val="00327665"/>
    <w:rsid w:val="0032792D"/>
    <w:rsid w:val="00327A73"/>
    <w:rsid w:val="00327BF2"/>
    <w:rsid w:val="00327F17"/>
    <w:rsid w:val="00330334"/>
    <w:rsid w:val="003303C1"/>
    <w:rsid w:val="00330622"/>
    <w:rsid w:val="00330C81"/>
    <w:rsid w:val="003312B0"/>
    <w:rsid w:val="00331340"/>
    <w:rsid w:val="0033149E"/>
    <w:rsid w:val="003318BA"/>
    <w:rsid w:val="00331A0F"/>
    <w:rsid w:val="00332519"/>
    <w:rsid w:val="003326F7"/>
    <w:rsid w:val="003328C2"/>
    <w:rsid w:val="00332AA8"/>
    <w:rsid w:val="00332CE1"/>
    <w:rsid w:val="00332DB2"/>
    <w:rsid w:val="00332E05"/>
    <w:rsid w:val="003334FA"/>
    <w:rsid w:val="00333599"/>
    <w:rsid w:val="003337AD"/>
    <w:rsid w:val="00333963"/>
    <w:rsid w:val="0033406E"/>
    <w:rsid w:val="0033497F"/>
    <w:rsid w:val="00334CB5"/>
    <w:rsid w:val="003352D2"/>
    <w:rsid w:val="00335756"/>
    <w:rsid w:val="00335DF4"/>
    <w:rsid w:val="00336183"/>
    <w:rsid w:val="0033619C"/>
    <w:rsid w:val="00336436"/>
    <w:rsid w:val="00336883"/>
    <w:rsid w:val="00336B3E"/>
    <w:rsid w:val="00336D1B"/>
    <w:rsid w:val="0033724A"/>
    <w:rsid w:val="003374FB"/>
    <w:rsid w:val="00337B91"/>
    <w:rsid w:val="00337E8A"/>
    <w:rsid w:val="00340074"/>
    <w:rsid w:val="00340229"/>
    <w:rsid w:val="003402C7"/>
    <w:rsid w:val="003402EB"/>
    <w:rsid w:val="00340778"/>
    <w:rsid w:val="003407B9"/>
    <w:rsid w:val="003409F7"/>
    <w:rsid w:val="00340E36"/>
    <w:rsid w:val="0034110A"/>
    <w:rsid w:val="003427AB"/>
    <w:rsid w:val="003429DD"/>
    <w:rsid w:val="00342FAF"/>
    <w:rsid w:val="00343183"/>
    <w:rsid w:val="00343205"/>
    <w:rsid w:val="0034382E"/>
    <w:rsid w:val="003441C2"/>
    <w:rsid w:val="00344262"/>
    <w:rsid w:val="003443FA"/>
    <w:rsid w:val="003449A0"/>
    <w:rsid w:val="00344D2C"/>
    <w:rsid w:val="00345091"/>
    <w:rsid w:val="003452A5"/>
    <w:rsid w:val="003458CE"/>
    <w:rsid w:val="0034592C"/>
    <w:rsid w:val="00345A57"/>
    <w:rsid w:val="00345B45"/>
    <w:rsid w:val="00345BA1"/>
    <w:rsid w:val="00346464"/>
    <w:rsid w:val="00346CE2"/>
    <w:rsid w:val="00346D90"/>
    <w:rsid w:val="00346DEC"/>
    <w:rsid w:val="00347647"/>
    <w:rsid w:val="003476AA"/>
    <w:rsid w:val="00347CA5"/>
    <w:rsid w:val="00350050"/>
    <w:rsid w:val="003507D0"/>
    <w:rsid w:val="0035181A"/>
    <w:rsid w:val="0035186E"/>
    <w:rsid w:val="003519D8"/>
    <w:rsid w:val="00351F62"/>
    <w:rsid w:val="00352020"/>
    <w:rsid w:val="0035224B"/>
    <w:rsid w:val="003523B8"/>
    <w:rsid w:val="003523F1"/>
    <w:rsid w:val="003526D1"/>
    <w:rsid w:val="00352BA0"/>
    <w:rsid w:val="0035373D"/>
    <w:rsid w:val="0035382A"/>
    <w:rsid w:val="00353985"/>
    <w:rsid w:val="00354275"/>
    <w:rsid w:val="0035442C"/>
    <w:rsid w:val="00355077"/>
    <w:rsid w:val="00355946"/>
    <w:rsid w:val="00356173"/>
    <w:rsid w:val="0035651E"/>
    <w:rsid w:val="0035696C"/>
    <w:rsid w:val="00356AE7"/>
    <w:rsid w:val="00356C87"/>
    <w:rsid w:val="003571DE"/>
    <w:rsid w:val="0035792C"/>
    <w:rsid w:val="00357A5A"/>
    <w:rsid w:val="00357D09"/>
    <w:rsid w:val="003601F4"/>
    <w:rsid w:val="0036088D"/>
    <w:rsid w:val="00360AE1"/>
    <w:rsid w:val="00360AEE"/>
    <w:rsid w:val="00360C2F"/>
    <w:rsid w:val="00361150"/>
    <w:rsid w:val="00361210"/>
    <w:rsid w:val="0036137C"/>
    <w:rsid w:val="003613FB"/>
    <w:rsid w:val="00361440"/>
    <w:rsid w:val="003614E9"/>
    <w:rsid w:val="00362091"/>
    <w:rsid w:val="003628ED"/>
    <w:rsid w:val="00362A85"/>
    <w:rsid w:val="00363029"/>
    <w:rsid w:val="00363882"/>
    <w:rsid w:val="00363A50"/>
    <w:rsid w:val="00363B69"/>
    <w:rsid w:val="00363F1B"/>
    <w:rsid w:val="00364AD4"/>
    <w:rsid w:val="00364E31"/>
    <w:rsid w:val="00365CE8"/>
    <w:rsid w:val="003669AC"/>
    <w:rsid w:val="003671E2"/>
    <w:rsid w:val="00367504"/>
    <w:rsid w:val="00370320"/>
    <w:rsid w:val="003704B2"/>
    <w:rsid w:val="00370A93"/>
    <w:rsid w:val="00370AB5"/>
    <w:rsid w:val="00370D23"/>
    <w:rsid w:val="0037183C"/>
    <w:rsid w:val="00371A1C"/>
    <w:rsid w:val="00371EB4"/>
    <w:rsid w:val="00372072"/>
    <w:rsid w:val="003722B8"/>
    <w:rsid w:val="00372A94"/>
    <w:rsid w:val="00372AE6"/>
    <w:rsid w:val="00372FFE"/>
    <w:rsid w:val="0037333A"/>
    <w:rsid w:val="00374078"/>
    <w:rsid w:val="00374131"/>
    <w:rsid w:val="00374167"/>
    <w:rsid w:val="003747CE"/>
    <w:rsid w:val="00374C17"/>
    <w:rsid w:val="00374CBD"/>
    <w:rsid w:val="00374E86"/>
    <w:rsid w:val="00375581"/>
    <w:rsid w:val="003755D1"/>
    <w:rsid w:val="003759FF"/>
    <w:rsid w:val="003761A6"/>
    <w:rsid w:val="00376651"/>
    <w:rsid w:val="00376AD0"/>
    <w:rsid w:val="00376BB3"/>
    <w:rsid w:val="00376C3A"/>
    <w:rsid w:val="00377247"/>
    <w:rsid w:val="0037753B"/>
    <w:rsid w:val="00377BDB"/>
    <w:rsid w:val="0038023D"/>
    <w:rsid w:val="0038082C"/>
    <w:rsid w:val="00380B25"/>
    <w:rsid w:val="003810E5"/>
    <w:rsid w:val="00381665"/>
    <w:rsid w:val="00381933"/>
    <w:rsid w:val="00381BE0"/>
    <w:rsid w:val="00381D34"/>
    <w:rsid w:val="00381D9B"/>
    <w:rsid w:val="003820E4"/>
    <w:rsid w:val="00382735"/>
    <w:rsid w:val="003829A0"/>
    <w:rsid w:val="00382D4E"/>
    <w:rsid w:val="0038316C"/>
    <w:rsid w:val="003835F5"/>
    <w:rsid w:val="003837E1"/>
    <w:rsid w:val="00383CCB"/>
    <w:rsid w:val="00383E34"/>
    <w:rsid w:val="003841F2"/>
    <w:rsid w:val="003843DE"/>
    <w:rsid w:val="00384422"/>
    <w:rsid w:val="0038474A"/>
    <w:rsid w:val="0038542D"/>
    <w:rsid w:val="0038584D"/>
    <w:rsid w:val="00385B00"/>
    <w:rsid w:val="00385B92"/>
    <w:rsid w:val="00385D60"/>
    <w:rsid w:val="0038606C"/>
    <w:rsid w:val="0038612B"/>
    <w:rsid w:val="00386EB9"/>
    <w:rsid w:val="00387170"/>
    <w:rsid w:val="00387311"/>
    <w:rsid w:val="00387B89"/>
    <w:rsid w:val="00387E05"/>
    <w:rsid w:val="003907E3"/>
    <w:rsid w:val="00390BB7"/>
    <w:rsid w:val="00390D1C"/>
    <w:rsid w:val="00390D6C"/>
    <w:rsid w:val="003915D1"/>
    <w:rsid w:val="0039188E"/>
    <w:rsid w:val="003919F4"/>
    <w:rsid w:val="00391D42"/>
    <w:rsid w:val="003923E2"/>
    <w:rsid w:val="0039257F"/>
    <w:rsid w:val="003925C5"/>
    <w:rsid w:val="00392F64"/>
    <w:rsid w:val="003931DE"/>
    <w:rsid w:val="003933BC"/>
    <w:rsid w:val="003933C3"/>
    <w:rsid w:val="0039375F"/>
    <w:rsid w:val="00393B9F"/>
    <w:rsid w:val="00393F80"/>
    <w:rsid w:val="0039402E"/>
    <w:rsid w:val="00394405"/>
    <w:rsid w:val="00394842"/>
    <w:rsid w:val="003949BC"/>
    <w:rsid w:val="00394A7D"/>
    <w:rsid w:val="0039533D"/>
    <w:rsid w:val="00395A07"/>
    <w:rsid w:val="00395E00"/>
    <w:rsid w:val="00395F65"/>
    <w:rsid w:val="00396080"/>
    <w:rsid w:val="00396C43"/>
    <w:rsid w:val="00397504"/>
    <w:rsid w:val="00397D1A"/>
    <w:rsid w:val="003A0389"/>
    <w:rsid w:val="003A0CEE"/>
    <w:rsid w:val="003A1071"/>
    <w:rsid w:val="003A163C"/>
    <w:rsid w:val="003A1BCC"/>
    <w:rsid w:val="003A2280"/>
    <w:rsid w:val="003A23C0"/>
    <w:rsid w:val="003A24FB"/>
    <w:rsid w:val="003A2B4E"/>
    <w:rsid w:val="003A2FBB"/>
    <w:rsid w:val="003A304A"/>
    <w:rsid w:val="003A3098"/>
    <w:rsid w:val="003A3140"/>
    <w:rsid w:val="003A31CA"/>
    <w:rsid w:val="003A3358"/>
    <w:rsid w:val="003A34E7"/>
    <w:rsid w:val="003A3799"/>
    <w:rsid w:val="003A399A"/>
    <w:rsid w:val="003A440B"/>
    <w:rsid w:val="003A4673"/>
    <w:rsid w:val="003A4913"/>
    <w:rsid w:val="003A4999"/>
    <w:rsid w:val="003A4D2D"/>
    <w:rsid w:val="003A52F5"/>
    <w:rsid w:val="003A52FA"/>
    <w:rsid w:val="003A544B"/>
    <w:rsid w:val="003A54A9"/>
    <w:rsid w:val="003A5729"/>
    <w:rsid w:val="003A60AA"/>
    <w:rsid w:val="003A6170"/>
    <w:rsid w:val="003A62A5"/>
    <w:rsid w:val="003A6310"/>
    <w:rsid w:val="003A64AD"/>
    <w:rsid w:val="003A6731"/>
    <w:rsid w:val="003A67A3"/>
    <w:rsid w:val="003A7083"/>
    <w:rsid w:val="003A71CB"/>
    <w:rsid w:val="003A740E"/>
    <w:rsid w:val="003A752D"/>
    <w:rsid w:val="003A787B"/>
    <w:rsid w:val="003B175B"/>
    <w:rsid w:val="003B17C0"/>
    <w:rsid w:val="003B19BE"/>
    <w:rsid w:val="003B23EA"/>
    <w:rsid w:val="003B2CF2"/>
    <w:rsid w:val="003B2F1D"/>
    <w:rsid w:val="003B2FB9"/>
    <w:rsid w:val="003B30C1"/>
    <w:rsid w:val="003B3103"/>
    <w:rsid w:val="003B33EB"/>
    <w:rsid w:val="003B3761"/>
    <w:rsid w:val="003B38B3"/>
    <w:rsid w:val="003B3A97"/>
    <w:rsid w:val="003B3AAD"/>
    <w:rsid w:val="003B3BCF"/>
    <w:rsid w:val="003B3D44"/>
    <w:rsid w:val="003B40A5"/>
    <w:rsid w:val="003B40CE"/>
    <w:rsid w:val="003B4116"/>
    <w:rsid w:val="003B47BC"/>
    <w:rsid w:val="003B4C9F"/>
    <w:rsid w:val="003B518A"/>
    <w:rsid w:val="003B5419"/>
    <w:rsid w:val="003B5DD8"/>
    <w:rsid w:val="003B6048"/>
    <w:rsid w:val="003B67C8"/>
    <w:rsid w:val="003B6B4D"/>
    <w:rsid w:val="003B6BAB"/>
    <w:rsid w:val="003B726C"/>
    <w:rsid w:val="003B75FF"/>
    <w:rsid w:val="003B7664"/>
    <w:rsid w:val="003B7698"/>
    <w:rsid w:val="003B7CED"/>
    <w:rsid w:val="003C0B29"/>
    <w:rsid w:val="003C0E5D"/>
    <w:rsid w:val="003C10C5"/>
    <w:rsid w:val="003C1584"/>
    <w:rsid w:val="003C18CF"/>
    <w:rsid w:val="003C1A36"/>
    <w:rsid w:val="003C1FDC"/>
    <w:rsid w:val="003C2245"/>
    <w:rsid w:val="003C2540"/>
    <w:rsid w:val="003C25EA"/>
    <w:rsid w:val="003C2DCB"/>
    <w:rsid w:val="003C2EAE"/>
    <w:rsid w:val="003C306F"/>
    <w:rsid w:val="003C32BF"/>
    <w:rsid w:val="003C3346"/>
    <w:rsid w:val="003C387C"/>
    <w:rsid w:val="003C4245"/>
    <w:rsid w:val="003C4657"/>
    <w:rsid w:val="003C4759"/>
    <w:rsid w:val="003C4DF1"/>
    <w:rsid w:val="003C5813"/>
    <w:rsid w:val="003C58AC"/>
    <w:rsid w:val="003C5C77"/>
    <w:rsid w:val="003C5E55"/>
    <w:rsid w:val="003C5FD3"/>
    <w:rsid w:val="003C6756"/>
    <w:rsid w:val="003C6837"/>
    <w:rsid w:val="003C6907"/>
    <w:rsid w:val="003C6BB5"/>
    <w:rsid w:val="003C71F0"/>
    <w:rsid w:val="003C7A88"/>
    <w:rsid w:val="003C7CC2"/>
    <w:rsid w:val="003C7CE8"/>
    <w:rsid w:val="003D0503"/>
    <w:rsid w:val="003D05AF"/>
    <w:rsid w:val="003D0611"/>
    <w:rsid w:val="003D0716"/>
    <w:rsid w:val="003D0FE3"/>
    <w:rsid w:val="003D1977"/>
    <w:rsid w:val="003D22AF"/>
    <w:rsid w:val="003D3105"/>
    <w:rsid w:val="003D32B0"/>
    <w:rsid w:val="003D3379"/>
    <w:rsid w:val="003D351E"/>
    <w:rsid w:val="003D3899"/>
    <w:rsid w:val="003D3BF8"/>
    <w:rsid w:val="003D402A"/>
    <w:rsid w:val="003D4329"/>
    <w:rsid w:val="003D49BD"/>
    <w:rsid w:val="003D4AB0"/>
    <w:rsid w:val="003D4B0B"/>
    <w:rsid w:val="003D50B6"/>
    <w:rsid w:val="003D5442"/>
    <w:rsid w:val="003D5473"/>
    <w:rsid w:val="003D5947"/>
    <w:rsid w:val="003D5C60"/>
    <w:rsid w:val="003D65AE"/>
    <w:rsid w:val="003D69E2"/>
    <w:rsid w:val="003D69E8"/>
    <w:rsid w:val="003D771D"/>
    <w:rsid w:val="003D7A34"/>
    <w:rsid w:val="003D7EA4"/>
    <w:rsid w:val="003E05DF"/>
    <w:rsid w:val="003E0B2B"/>
    <w:rsid w:val="003E1562"/>
    <w:rsid w:val="003E18C9"/>
    <w:rsid w:val="003E19EE"/>
    <w:rsid w:val="003E24C6"/>
    <w:rsid w:val="003E2F27"/>
    <w:rsid w:val="003E2F77"/>
    <w:rsid w:val="003E3407"/>
    <w:rsid w:val="003E41B2"/>
    <w:rsid w:val="003E4306"/>
    <w:rsid w:val="003E4426"/>
    <w:rsid w:val="003E486C"/>
    <w:rsid w:val="003E4B74"/>
    <w:rsid w:val="003E4E28"/>
    <w:rsid w:val="003E5F45"/>
    <w:rsid w:val="003E6085"/>
    <w:rsid w:val="003E6281"/>
    <w:rsid w:val="003E63DB"/>
    <w:rsid w:val="003E65D6"/>
    <w:rsid w:val="003E673E"/>
    <w:rsid w:val="003E67AE"/>
    <w:rsid w:val="003E6CA3"/>
    <w:rsid w:val="003E6F8C"/>
    <w:rsid w:val="003E7276"/>
    <w:rsid w:val="003E7480"/>
    <w:rsid w:val="003E78CD"/>
    <w:rsid w:val="003E7E58"/>
    <w:rsid w:val="003F0248"/>
    <w:rsid w:val="003F0540"/>
    <w:rsid w:val="003F0B3A"/>
    <w:rsid w:val="003F0B3D"/>
    <w:rsid w:val="003F1C15"/>
    <w:rsid w:val="003F1D94"/>
    <w:rsid w:val="003F214E"/>
    <w:rsid w:val="003F23B6"/>
    <w:rsid w:val="003F2DD4"/>
    <w:rsid w:val="003F3031"/>
    <w:rsid w:val="003F37CD"/>
    <w:rsid w:val="003F3A32"/>
    <w:rsid w:val="003F3B3F"/>
    <w:rsid w:val="003F3F09"/>
    <w:rsid w:val="003F4499"/>
    <w:rsid w:val="003F4C96"/>
    <w:rsid w:val="003F67FD"/>
    <w:rsid w:val="003F6A22"/>
    <w:rsid w:val="003F792B"/>
    <w:rsid w:val="003F7B3D"/>
    <w:rsid w:val="00400900"/>
    <w:rsid w:val="00400C97"/>
    <w:rsid w:val="00400CC6"/>
    <w:rsid w:val="004014E7"/>
    <w:rsid w:val="004016FD"/>
    <w:rsid w:val="0040174A"/>
    <w:rsid w:val="00401C49"/>
    <w:rsid w:val="0040236A"/>
    <w:rsid w:val="00402ABF"/>
    <w:rsid w:val="00402B39"/>
    <w:rsid w:val="00402E95"/>
    <w:rsid w:val="00403201"/>
    <w:rsid w:val="004033EB"/>
    <w:rsid w:val="00404808"/>
    <w:rsid w:val="00404CFE"/>
    <w:rsid w:val="00404F52"/>
    <w:rsid w:val="004053B6"/>
    <w:rsid w:val="00405409"/>
    <w:rsid w:val="004055FB"/>
    <w:rsid w:val="00405930"/>
    <w:rsid w:val="00405A92"/>
    <w:rsid w:val="00406002"/>
    <w:rsid w:val="004066E5"/>
    <w:rsid w:val="00406AD3"/>
    <w:rsid w:val="00406F56"/>
    <w:rsid w:val="004071A0"/>
    <w:rsid w:val="004071F7"/>
    <w:rsid w:val="00407244"/>
    <w:rsid w:val="0040767F"/>
    <w:rsid w:val="00407C61"/>
    <w:rsid w:val="004104CA"/>
    <w:rsid w:val="00410731"/>
    <w:rsid w:val="00410BE3"/>
    <w:rsid w:val="00410DE8"/>
    <w:rsid w:val="00410DEF"/>
    <w:rsid w:val="00410FAC"/>
    <w:rsid w:val="00411285"/>
    <w:rsid w:val="004115A5"/>
    <w:rsid w:val="00411998"/>
    <w:rsid w:val="00411AE3"/>
    <w:rsid w:val="00411C79"/>
    <w:rsid w:val="00411E72"/>
    <w:rsid w:val="00411EF1"/>
    <w:rsid w:val="004121E8"/>
    <w:rsid w:val="00412257"/>
    <w:rsid w:val="0041261B"/>
    <w:rsid w:val="00412A80"/>
    <w:rsid w:val="00412E42"/>
    <w:rsid w:val="00412E57"/>
    <w:rsid w:val="00413C4E"/>
    <w:rsid w:val="00413EC1"/>
    <w:rsid w:val="00414A13"/>
    <w:rsid w:val="00414E37"/>
    <w:rsid w:val="00414E9F"/>
    <w:rsid w:val="00415408"/>
    <w:rsid w:val="00415667"/>
    <w:rsid w:val="00415729"/>
    <w:rsid w:val="00415776"/>
    <w:rsid w:val="00415C64"/>
    <w:rsid w:val="00416252"/>
    <w:rsid w:val="004164CD"/>
    <w:rsid w:val="0041679C"/>
    <w:rsid w:val="00416B59"/>
    <w:rsid w:val="004173C3"/>
    <w:rsid w:val="00417442"/>
    <w:rsid w:val="00417995"/>
    <w:rsid w:val="00420236"/>
    <w:rsid w:val="00420BF8"/>
    <w:rsid w:val="00420DE5"/>
    <w:rsid w:val="00420F44"/>
    <w:rsid w:val="0042112A"/>
    <w:rsid w:val="00421223"/>
    <w:rsid w:val="00421DF9"/>
    <w:rsid w:val="0042257B"/>
    <w:rsid w:val="004230A6"/>
    <w:rsid w:val="00423414"/>
    <w:rsid w:val="00423765"/>
    <w:rsid w:val="00423989"/>
    <w:rsid w:val="00423C98"/>
    <w:rsid w:val="00423F20"/>
    <w:rsid w:val="00425534"/>
    <w:rsid w:val="0042590F"/>
    <w:rsid w:val="00425C05"/>
    <w:rsid w:val="00426356"/>
    <w:rsid w:val="00426929"/>
    <w:rsid w:val="00426A36"/>
    <w:rsid w:val="00426A92"/>
    <w:rsid w:val="004273DC"/>
    <w:rsid w:val="004276EC"/>
    <w:rsid w:val="004278FC"/>
    <w:rsid w:val="00430083"/>
    <w:rsid w:val="00430146"/>
    <w:rsid w:val="00430334"/>
    <w:rsid w:val="00430582"/>
    <w:rsid w:val="00430667"/>
    <w:rsid w:val="00430765"/>
    <w:rsid w:val="0043083F"/>
    <w:rsid w:val="00430F3D"/>
    <w:rsid w:val="004317DF"/>
    <w:rsid w:val="00431ED0"/>
    <w:rsid w:val="0043201E"/>
    <w:rsid w:val="00433469"/>
    <w:rsid w:val="00433AAA"/>
    <w:rsid w:val="00433B0F"/>
    <w:rsid w:val="00433C36"/>
    <w:rsid w:val="00433D11"/>
    <w:rsid w:val="0043461E"/>
    <w:rsid w:val="00434B78"/>
    <w:rsid w:val="00434F97"/>
    <w:rsid w:val="004357E2"/>
    <w:rsid w:val="0043593F"/>
    <w:rsid w:val="00435C23"/>
    <w:rsid w:val="00436111"/>
    <w:rsid w:val="00436403"/>
    <w:rsid w:val="0043649D"/>
    <w:rsid w:val="004364C1"/>
    <w:rsid w:val="00436A93"/>
    <w:rsid w:val="00436C9D"/>
    <w:rsid w:val="00436CCA"/>
    <w:rsid w:val="00436E43"/>
    <w:rsid w:val="0043703E"/>
    <w:rsid w:val="0043718E"/>
    <w:rsid w:val="004371E4"/>
    <w:rsid w:val="004371E9"/>
    <w:rsid w:val="0043740C"/>
    <w:rsid w:val="00437B09"/>
    <w:rsid w:val="00437B62"/>
    <w:rsid w:val="00437B67"/>
    <w:rsid w:val="00437E57"/>
    <w:rsid w:val="0044001D"/>
    <w:rsid w:val="004400DD"/>
    <w:rsid w:val="00440108"/>
    <w:rsid w:val="00440A54"/>
    <w:rsid w:val="00440CF0"/>
    <w:rsid w:val="00441429"/>
    <w:rsid w:val="00441448"/>
    <w:rsid w:val="00441A6D"/>
    <w:rsid w:val="00441AA2"/>
    <w:rsid w:val="00441DC5"/>
    <w:rsid w:val="00442180"/>
    <w:rsid w:val="004423BB"/>
    <w:rsid w:val="00442C16"/>
    <w:rsid w:val="00442D07"/>
    <w:rsid w:val="00442FD1"/>
    <w:rsid w:val="00443370"/>
    <w:rsid w:val="0044393F"/>
    <w:rsid w:val="00443B19"/>
    <w:rsid w:val="00444155"/>
    <w:rsid w:val="00444552"/>
    <w:rsid w:val="00444645"/>
    <w:rsid w:val="00444B86"/>
    <w:rsid w:val="00444E70"/>
    <w:rsid w:val="00445105"/>
    <w:rsid w:val="00445270"/>
    <w:rsid w:val="00445410"/>
    <w:rsid w:val="004458C0"/>
    <w:rsid w:val="00445FC8"/>
    <w:rsid w:val="0044604A"/>
    <w:rsid w:val="00446439"/>
    <w:rsid w:val="00447A06"/>
    <w:rsid w:val="004500FE"/>
    <w:rsid w:val="00450544"/>
    <w:rsid w:val="00450653"/>
    <w:rsid w:val="00450BDA"/>
    <w:rsid w:val="00450DBF"/>
    <w:rsid w:val="004517E5"/>
    <w:rsid w:val="00451EBF"/>
    <w:rsid w:val="00452415"/>
    <w:rsid w:val="00452497"/>
    <w:rsid w:val="004525B5"/>
    <w:rsid w:val="004529B0"/>
    <w:rsid w:val="00452BC2"/>
    <w:rsid w:val="00452E3F"/>
    <w:rsid w:val="00453A3E"/>
    <w:rsid w:val="00454153"/>
    <w:rsid w:val="00454178"/>
    <w:rsid w:val="0045431F"/>
    <w:rsid w:val="00454451"/>
    <w:rsid w:val="0045452F"/>
    <w:rsid w:val="00454696"/>
    <w:rsid w:val="00454769"/>
    <w:rsid w:val="00454AA4"/>
    <w:rsid w:val="00454E5D"/>
    <w:rsid w:val="004557A4"/>
    <w:rsid w:val="00455C86"/>
    <w:rsid w:val="00455E8C"/>
    <w:rsid w:val="004563B6"/>
    <w:rsid w:val="00456557"/>
    <w:rsid w:val="00456D5F"/>
    <w:rsid w:val="00456E01"/>
    <w:rsid w:val="0045724C"/>
    <w:rsid w:val="0045766B"/>
    <w:rsid w:val="00457BC7"/>
    <w:rsid w:val="00457CAD"/>
    <w:rsid w:val="00457EA9"/>
    <w:rsid w:val="004606B7"/>
    <w:rsid w:val="00460B5A"/>
    <w:rsid w:val="00460BAA"/>
    <w:rsid w:val="004618A2"/>
    <w:rsid w:val="004624A9"/>
    <w:rsid w:val="004626A3"/>
    <w:rsid w:val="00462BDF"/>
    <w:rsid w:val="004630D8"/>
    <w:rsid w:val="00463393"/>
    <w:rsid w:val="004633DA"/>
    <w:rsid w:val="0046344B"/>
    <w:rsid w:val="0046388F"/>
    <w:rsid w:val="004639A7"/>
    <w:rsid w:val="00463E9A"/>
    <w:rsid w:val="00463EE2"/>
    <w:rsid w:val="00463F34"/>
    <w:rsid w:val="0046444F"/>
    <w:rsid w:val="0046478F"/>
    <w:rsid w:val="00464FF9"/>
    <w:rsid w:val="00465DAB"/>
    <w:rsid w:val="00465E04"/>
    <w:rsid w:val="00465EF8"/>
    <w:rsid w:val="00466310"/>
    <w:rsid w:val="004668E3"/>
    <w:rsid w:val="00470054"/>
    <w:rsid w:val="0047078B"/>
    <w:rsid w:val="00470C41"/>
    <w:rsid w:val="00470E0E"/>
    <w:rsid w:val="00470E94"/>
    <w:rsid w:val="00470F46"/>
    <w:rsid w:val="0047127F"/>
    <w:rsid w:val="004716E3"/>
    <w:rsid w:val="00471A4D"/>
    <w:rsid w:val="00471DB4"/>
    <w:rsid w:val="0047202D"/>
    <w:rsid w:val="00472502"/>
    <w:rsid w:val="00472DBB"/>
    <w:rsid w:val="00472E24"/>
    <w:rsid w:val="00472E4B"/>
    <w:rsid w:val="00473063"/>
    <w:rsid w:val="004734FE"/>
    <w:rsid w:val="00473504"/>
    <w:rsid w:val="00473CB0"/>
    <w:rsid w:val="00473D4D"/>
    <w:rsid w:val="00473E9D"/>
    <w:rsid w:val="00474493"/>
    <w:rsid w:val="00474784"/>
    <w:rsid w:val="0047483D"/>
    <w:rsid w:val="00474891"/>
    <w:rsid w:val="00474BB7"/>
    <w:rsid w:val="00474C13"/>
    <w:rsid w:val="004752A1"/>
    <w:rsid w:val="004752D5"/>
    <w:rsid w:val="00475A69"/>
    <w:rsid w:val="00476133"/>
    <w:rsid w:val="00476800"/>
    <w:rsid w:val="004768DD"/>
    <w:rsid w:val="00476B58"/>
    <w:rsid w:val="00476BFA"/>
    <w:rsid w:val="004770AA"/>
    <w:rsid w:val="004771A5"/>
    <w:rsid w:val="004771DE"/>
    <w:rsid w:val="004776E2"/>
    <w:rsid w:val="004777FA"/>
    <w:rsid w:val="00477D61"/>
    <w:rsid w:val="00477D7C"/>
    <w:rsid w:val="004807B2"/>
    <w:rsid w:val="00480B11"/>
    <w:rsid w:val="00480F8F"/>
    <w:rsid w:val="00480FE7"/>
    <w:rsid w:val="00481016"/>
    <w:rsid w:val="0048103F"/>
    <w:rsid w:val="004810E8"/>
    <w:rsid w:val="0048119D"/>
    <w:rsid w:val="00481249"/>
    <w:rsid w:val="004814C9"/>
    <w:rsid w:val="004816D7"/>
    <w:rsid w:val="00481B5B"/>
    <w:rsid w:val="0048210B"/>
    <w:rsid w:val="0048215B"/>
    <w:rsid w:val="00482555"/>
    <w:rsid w:val="00482CF6"/>
    <w:rsid w:val="00482F63"/>
    <w:rsid w:val="0048342E"/>
    <w:rsid w:val="0048343F"/>
    <w:rsid w:val="0048396D"/>
    <w:rsid w:val="00483FF8"/>
    <w:rsid w:val="004843FD"/>
    <w:rsid w:val="00484D7D"/>
    <w:rsid w:val="00484EB7"/>
    <w:rsid w:val="00485B70"/>
    <w:rsid w:val="00486211"/>
    <w:rsid w:val="00486FCE"/>
    <w:rsid w:val="00487478"/>
    <w:rsid w:val="004874AD"/>
    <w:rsid w:val="0048782D"/>
    <w:rsid w:val="0049062C"/>
    <w:rsid w:val="00490873"/>
    <w:rsid w:val="00490B78"/>
    <w:rsid w:val="00491157"/>
    <w:rsid w:val="004911A0"/>
    <w:rsid w:val="004911FB"/>
    <w:rsid w:val="00491703"/>
    <w:rsid w:val="00491762"/>
    <w:rsid w:val="004917B2"/>
    <w:rsid w:val="00491926"/>
    <w:rsid w:val="00491985"/>
    <w:rsid w:val="00491A8A"/>
    <w:rsid w:val="00491BBD"/>
    <w:rsid w:val="004920B0"/>
    <w:rsid w:val="004922F8"/>
    <w:rsid w:val="004925DA"/>
    <w:rsid w:val="0049289C"/>
    <w:rsid w:val="00492D2B"/>
    <w:rsid w:val="00492E1A"/>
    <w:rsid w:val="004937AA"/>
    <w:rsid w:val="00493B13"/>
    <w:rsid w:val="00493E88"/>
    <w:rsid w:val="00493F68"/>
    <w:rsid w:val="0049460D"/>
    <w:rsid w:val="00494C6C"/>
    <w:rsid w:val="00494DC1"/>
    <w:rsid w:val="004950F8"/>
    <w:rsid w:val="00495D9D"/>
    <w:rsid w:val="00496845"/>
    <w:rsid w:val="00496C66"/>
    <w:rsid w:val="00497067"/>
    <w:rsid w:val="00497307"/>
    <w:rsid w:val="00497308"/>
    <w:rsid w:val="0049734B"/>
    <w:rsid w:val="004A09FA"/>
    <w:rsid w:val="004A0E36"/>
    <w:rsid w:val="004A0EB5"/>
    <w:rsid w:val="004A1076"/>
    <w:rsid w:val="004A152C"/>
    <w:rsid w:val="004A1796"/>
    <w:rsid w:val="004A1D33"/>
    <w:rsid w:val="004A1FD8"/>
    <w:rsid w:val="004A2559"/>
    <w:rsid w:val="004A255D"/>
    <w:rsid w:val="004A2E51"/>
    <w:rsid w:val="004A316A"/>
    <w:rsid w:val="004A397D"/>
    <w:rsid w:val="004A3E92"/>
    <w:rsid w:val="004A3F56"/>
    <w:rsid w:val="004A42BB"/>
    <w:rsid w:val="004A48C1"/>
    <w:rsid w:val="004A4AB8"/>
    <w:rsid w:val="004A4F1C"/>
    <w:rsid w:val="004A519C"/>
    <w:rsid w:val="004A53E5"/>
    <w:rsid w:val="004A5459"/>
    <w:rsid w:val="004A59F8"/>
    <w:rsid w:val="004A5E21"/>
    <w:rsid w:val="004A6191"/>
    <w:rsid w:val="004A64E4"/>
    <w:rsid w:val="004A654C"/>
    <w:rsid w:val="004A666A"/>
    <w:rsid w:val="004A69B3"/>
    <w:rsid w:val="004A6E48"/>
    <w:rsid w:val="004A77FA"/>
    <w:rsid w:val="004A7A04"/>
    <w:rsid w:val="004B0D0E"/>
    <w:rsid w:val="004B0DB2"/>
    <w:rsid w:val="004B11A6"/>
    <w:rsid w:val="004B137B"/>
    <w:rsid w:val="004B143F"/>
    <w:rsid w:val="004B207B"/>
    <w:rsid w:val="004B28CC"/>
    <w:rsid w:val="004B2EC8"/>
    <w:rsid w:val="004B3022"/>
    <w:rsid w:val="004B316E"/>
    <w:rsid w:val="004B3489"/>
    <w:rsid w:val="004B3502"/>
    <w:rsid w:val="004B388B"/>
    <w:rsid w:val="004B40E2"/>
    <w:rsid w:val="004B4164"/>
    <w:rsid w:val="004B428B"/>
    <w:rsid w:val="004B45BF"/>
    <w:rsid w:val="004B4674"/>
    <w:rsid w:val="004B4933"/>
    <w:rsid w:val="004B49A0"/>
    <w:rsid w:val="004B49C7"/>
    <w:rsid w:val="004B504C"/>
    <w:rsid w:val="004B52AF"/>
    <w:rsid w:val="004B5717"/>
    <w:rsid w:val="004B5EBF"/>
    <w:rsid w:val="004B61B9"/>
    <w:rsid w:val="004B6276"/>
    <w:rsid w:val="004B6C2D"/>
    <w:rsid w:val="004B6DBB"/>
    <w:rsid w:val="004B75B9"/>
    <w:rsid w:val="004B75BE"/>
    <w:rsid w:val="004B776A"/>
    <w:rsid w:val="004B7E0B"/>
    <w:rsid w:val="004C017C"/>
    <w:rsid w:val="004C0709"/>
    <w:rsid w:val="004C0C2A"/>
    <w:rsid w:val="004C0E67"/>
    <w:rsid w:val="004C0E76"/>
    <w:rsid w:val="004C11A1"/>
    <w:rsid w:val="004C1381"/>
    <w:rsid w:val="004C1CD0"/>
    <w:rsid w:val="004C2379"/>
    <w:rsid w:val="004C2414"/>
    <w:rsid w:val="004C2848"/>
    <w:rsid w:val="004C2878"/>
    <w:rsid w:val="004C2967"/>
    <w:rsid w:val="004C29E9"/>
    <w:rsid w:val="004C2BD0"/>
    <w:rsid w:val="004C2E6F"/>
    <w:rsid w:val="004C2E8B"/>
    <w:rsid w:val="004C2F31"/>
    <w:rsid w:val="004C3BDA"/>
    <w:rsid w:val="004C3C09"/>
    <w:rsid w:val="004C468C"/>
    <w:rsid w:val="004C549F"/>
    <w:rsid w:val="004C554F"/>
    <w:rsid w:val="004C5641"/>
    <w:rsid w:val="004C5B3A"/>
    <w:rsid w:val="004C6306"/>
    <w:rsid w:val="004C691F"/>
    <w:rsid w:val="004C6F5E"/>
    <w:rsid w:val="004C75C9"/>
    <w:rsid w:val="004C76D9"/>
    <w:rsid w:val="004C7709"/>
    <w:rsid w:val="004C7A73"/>
    <w:rsid w:val="004C7C44"/>
    <w:rsid w:val="004C7D4F"/>
    <w:rsid w:val="004C7E94"/>
    <w:rsid w:val="004D0228"/>
    <w:rsid w:val="004D0768"/>
    <w:rsid w:val="004D08C9"/>
    <w:rsid w:val="004D1112"/>
    <w:rsid w:val="004D1B32"/>
    <w:rsid w:val="004D1F79"/>
    <w:rsid w:val="004D2006"/>
    <w:rsid w:val="004D2937"/>
    <w:rsid w:val="004D2E2C"/>
    <w:rsid w:val="004D2E86"/>
    <w:rsid w:val="004D2EAB"/>
    <w:rsid w:val="004D39FF"/>
    <w:rsid w:val="004D3ADB"/>
    <w:rsid w:val="004D3B76"/>
    <w:rsid w:val="004D3CF7"/>
    <w:rsid w:val="004D4551"/>
    <w:rsid w:val="004D48C7"/>
    <w:rsid w:val="004D4991"/>
    <w:rsid w:val="004D4DB1"/>
    <w:rsid w:val="004D58F3"/>
    <w:rsid w:val="004D59C4"/>
    <w:rsid w:val="004D5A64"/>
    <w:rsid w:val="004D5BD8"/>
    <w:rsid w:val="004D6091"/>
    <w:rsid w:val="004D6913"/>
    <w:rsid w:val="004D6ED2"/>
    <w:rsid w:val="004D76BF"/>
    <w:rsid w:val="004D77E6"/>
    <w:rsid w:val="004D7A05"/>
    <w:rsid w:val="004D7CF8"/>
    <w:rsid w:val="004D7EDA"/>
    <w:rsid w:val="004E0A67"/>
    <w:rsid w:val="004E0E49"/>
    <w:rsid w:val="004E12CB"/>
    <w:rsid w:val="004E130E"/>
    <w:rsid w:val="004E142D"/>
    <w:rsid w:val="004E1560"/>
    <w:rsid w:val="004E15C0"/>
    <w:rsid w:val="004E197A"/>
    <w:rsid w:val="004E1F59"/>
    <w:rsid w:val="004E21CF"/>
    <w:rsid w:val="004E227A"/>
    <w:rsid w:val="004E22E8"/>
    <w:rsid w:val="004E28E6"/>
    <w:rsid w:val="004E2B21"/>
    <w:rsid w:val="004E2EA2"/>
    <w:rsid w:val="004E3441"/>
    <w:rsid w:val="004E377D"/>
    <w:rsid w:val="004E377F"/>
    <w:rsid w:val="004E3F0B"/>
    <w:rsid w:val="004E5154"/>
    <w:rsid w:val="004E53B1"/>
    <w:rsid w:val="004E53CF"/>
    <w:rsid w:val="004E5408"/>
    <w:rsid w:val="004E5943"/>
    <w:rsid w:val="004E5984"/>
    <w:rsid w:val="004E5A9D"/>
    <w:rsid w:val="004E5AE9"/>
    <w:rsid w:val="004E5D1C"/>
    <w:rsid w:val="004E5D52"/>
    <w:rsid w:val="004E5DC6"/>
    <w:rsid w:val="004E63D7"/>
    <w:rsid w:val="004E6676"/>
    <w:rsid w:val="004E6705"/>
    <w:rsid w:val="004E6A64"/>
    <w:rsid w:val="004E6C41"/>
    <w:rsid w:val="004E766D"/>
    <w:rsid w:val="004E7BC1"/>
    <w:rsid w:val="004F07D7"/>
    <w:rsid w:val="004F0C55"/>
    <w:rsid w:val="004F1297"/>
    <w:rsid w:val="004F1651"/>
    <w:rsid w:val="004F16DB"/>
    <w:rsid w:val="004F19B3"/>
    <w:rsid w:val="004F2F5F"/>
    <w:rsid w:val="004F2FEA"/>
    <w:rsid w:val="004F31EB"/>
    <w:rsid w:val="004F3CE7"/>
    <w:rsid w:val="004F42AE"/>
    <w:rsid w:val="004F443A"/>
    <w:rsid w:val="004F4CA6"/>
    <w:rsid w:val="004F4D7E"/>
    <w:rsid w:val="004F4DBA"/>
    <w:rsid w:val="004F5081"/>
    <w:rsid w:val="004F525A"/>
    <w:rsid w:val="004F554D"/>
    <w:rsid w:val="004F5B16"/>
    <w:rsid w:val="004F5C84"/>
    <w:rsid w:val="004F5D9D"/>
    <w:rsid w:val="004F5F28"/>
    <w:rsid w:val="004F661A"/>
    <w:rsid w:val="004F679A"/>
    <w:rsid w:val="004F68E5"/>
    <w:rsid w:val="004F6A0E"/>
    <w:rsid w:val="004F6D83"/>
    <w:rsid w:val="004F6E86"/>
    <w:rsid w:val="004F7037"/>
    <w:rsid w:val="004F741B"/>
    <w:rsid w:val="004F745C"/>
    <w:rsid w:val="004F7803"/>
    <w:rsid w:val="004F7CA5"/>
    <w:rsid w:val="004F7D03"/>
    <w:rsid w:val="00500214"/>
    <w:rsid w:val="0050028C"/>
    <w:rsid w:val="005003ED"/>
    <w:rsid w:val="00500F08"/>
    <w:rsid w:val="0050132A"/>
    <w:rsid w:val="00501AF6"/>
    <w:rsid w:val="0050223E"/>
    <w:rsid w:val="00502A44"/>
    <w:rsid w:val="00502B39"/>
    <w:rsid w:val="00502D71"/>
    <w:rsid w:val="00503253"/>
    <w:rsid w:val="00503389"/>
    <w:rsid w:val="005034CC"/>
    <w:rsid w:val="00503597"/>
    <w:rsid w:val="00503BB0"/>
    <w:rsid w:val="00503C87"/>
    <w:rsid w:val="00503E03"/>
    <w:rsid w:val="0050417D"/>
    <w:rsid w:val="005041E4"/>
    <w:rsid w:val="005042E4"/>
    <w:rsid w:val="00504928"/>
    <w:rsid w:val="00505811"/>
    <w:rsid w:val="00505F85"/>
    <w:rsid w:val="005067B5"/>
    <w:rsid w:val="00506DB6"/>
    <w:rsid w:val="005070DD"/>
    <w:rsid w:val="00507997"/>
    <w:rsid w:val="005079AE"/>
    <w:rsid w:val="00507AFE"/>
    <w:rsid w:val="00507CBA"/>
    <w:rsid w:val="0051054F"/>
    <w:rsid w:val="00510F01"/>
    <w:rsid w:val="00511118"/>
    <w:rsid w:val="00511310"/>
    <w:rsid w:val="0051172F"/>
    <w:rsid w:val="00511B5D"/>
    <w:rsid w:val="00511C1C"/>
    <w:rsid w:val="00511F0B"/>
    <w:rsid w:val="00511F18"/>
    <w:rsid w:val="00512226"/>
    <w:rsid w:val="00512329"/>
    <w:rsid w:val="0051295C"/>
    <w:rsid w:val="00512B31"/>
    <w:rsid w:val="0051310D"/>
    <w:rsid w:val="0051315A"/>
    <w:rsid w:val="00513523"/>
    <w:rsid w:val="00513949"/>
    <w:rsid w:val="00513ACE"/>
    <w:rsid w:val="00514182"/>
    <w:rsid w:val="00514571"/>
    <w:rsid w:val="005147C6"/>
    <w:rsid w:val="00514ACA"/>
    <w:rsid w:val="00514F9D"/>
    <w:rsid w:val="005159B1"/>
    <w:rsid w:val="00515A32"/>
    <w:rsid w:val="00515B4F"/>
    <w:rsid w:val="005169A2"/>
    <w:rsid w:val="00516DF2"/>
    <w:rsid w:val="00516EAB"/>
    <w:rsid w:val="005170F8"/>
    <w:rsid w:val="00517122"/>
    <w:rsid w:val="005179B1"/>
    <w:rsid w:val="00517DF5"/>
    <w:rsid w:val="00517FEB"/>
    <w:rsid w:val="00520668"/>
    <w:rsid w:val="00520A2D"/>
    <w:rsid w:val="005211BF"/>
    <w:rsid w:val="00521285"/>
    <w:rsid w:val="005215A2"/>
    <w:rsid w:val="00521FEA"/>
    <w:rsid w:val="00522502"/>
    <w:rsid w:val="00522530"/>
    <w:rsid w:val="0052365E"/>
    <w:rsid w:val="00523DF4"/>
    <w:rsid w:val="00523F29"/>
    <w:rsid w:val="005240A1"/>
    <w:rsid w:val="005243A1"/>
    <w:rsid w:val="00524409"/>
    <w:rsid w:val="0052483F"/>
    <w:rsid w:val="00524922"/>
    <w:rsid w:val="0052492F"/>
    <w:rsid w:val="00524DA9"/>
    <w:rsid w:val="00524F6D"/>
    <w:rsid w:val="00525224"/>
    <w:rsid w:val="00525423"/>
    <w:rsid w:val="005255A1"/>
    <w:rsid w:val="00525759"/>
    <w:rsid w:val="00525825"/>
    <w:rsid w:val="00525AFC"/>
    <w:rsid w:val="00525E13"/>
    <w:rsid w:val="0052641C"/>
    <w:rsid w:val="005267AD"/>
    <w:rsid w:val="005268A3"/>
    <w:rsid w:val="0052708C"/>
    <w:rsid w:val="00527115"/>
    <w:rsid w:val="00527AF6"/>
    <w:rsid w:val="00530162"/>
    <w:rsid w:val="005301DC"/>
    <w:rsid w:val="00530804"/>
    <w:rsid w:val="00530A74"/>
    <w:rsid w:val="00530E00"/>
    <w:rsid w:val="00530E03"/>
    <w:rsid w:val="00530EBE"/>
    <w:rsid w:val="005311C2"/>
    <w:rsid w:val="00531B13"/>
    <w:rsid w:val="00531CF6"/>
    <w:rsid w:val="00531DD9"/>
    <w:rsid w:val="005321DD"/>
    <w:rsid w:val="0053298E"/>
    <w:rsid w:val="00532C77"/>
    <w:rsid w:val="00532E06"/>
    <w:rsid w:val="0053326D"/>
    <w:rsid w:val="00533964"/>
    <w:rsid w:val="00533F39"/>
    <w:rsid w:val="00534260"/>
    <w:rsid w:val="0053449C"/>
    <w:rsid w:val="0053532C"/>
    <w:rsid w:val="00535585"/>
    <w:rsid w:val="00535BA6"/>
    <w:rsid w:val="0053630F"/>
    <w:rsid w:val="00537664"/>
    <w:rsid w:val="0053795D"/>
    <w:rsid w:val="00537989"/>
    <w:rsid w:val="00537ACD"/>
    <w:rsid w:val="005400B2"/>
    <w:rsid w:val="005409BF"/>
    <w:rsid w:val="00540B1C"/>
    <w:rsid w:val="005410C9"/>
    <w:rsid w:val="005418A7"/>
    <w:rsid w:val="00541AAE"/>
    <w:rsid w:val="00541F2B"/>
    <w:rsid w:val="00541F50"/>
    <w:rsid w:val="0054204D"/>
    <w:rsid w:val="005422CF"/>
    <w:rsid w:val="00542D94"/>
    <w:rsid w:val="00542FCC"/>
    <w:rsid w:val="005439B3"/>
    <w:rsid w:val="00543A94"/>
    <w:rsid w:val="005441BD"/>
    <w:rsid w:val="005444A6"/>
    <w:rsid w:val="00544522"/>
    <w:rsid w:val="00544590"/>
    <w:rsid w:val="0054498C"/>
    <w:rsid w:val="00544B58"/>
    <w:rsid w:val="00545BC3"/>
    <w:rsid w:val="00545D37"/>
    <w:rsid w:val="0054605E"/>
    <w:rsid w:val="00546198"/>
    <w:rsid w:val="005467E2"/>
    <w:rsid w:val="005468AB"/>
    <w:rsid w:val="00547360"/>
    <w:rsid w:val="00547F75"/>
    <w:rsid w:val="00547FF1"/>
    <w:rsid w:val="00550065"/>
    <w:rsid w:val="005501A0"/>
    <w:rsid w:val="0055026B"/>
    <w:rsid w:val="005504D7"/>
    <w:rsid w:val="00550831"/>
    <w:rsid w:val="00550A6C"/>
    <w:rsid w:val="0055145E"/>
    <w:rsid w:val="005516AA"/>
    <w:rsid w:val="00551802"/>
    <w:rsid w:val="00551FC3"/>
    <w:rsid w:val="0055258B"/>
    <w:rsid w:val="005525B0"/>
    <w:rsid w:val="00552BC9"/>
    <w:rsid w:val="00552F9A"/>
    <w:rsid w:val="005533CA"/>
    <w:rsid w:val="005533D4"/>
    <w:rsid w:val="00553E90"/>
    <w:rsid w:val="00553F23"/>
    <w:rsid w:val="00553FEB"/>
    <w:rsid w:val="00554157"/>
    <w:rsid w:val="00554273"/>
    <w:rsid w:val="005544C5"/>
    <w:rsid w:val="00555000"/>
    <w:rsid w:val="005556F2"/>
    <w:rsid w:val="00555BF1"/>
    <w:rsid w:val="00555D32"/>
    <w:rsid w:val="00555E99"/>
    <w:rsid w:val="00556952"/>
    <w:rsid w:val="00556F59"/>
    <w:rsid w:val="005576FA"/>
    <w:rsid w:val="0056001A"/>
    <w:rsid w:val="005604F1"/>
    <w:rsid w:val="0056076C"/>
    <w:rsid w:val="00560AB7"/>
    <w:rsid w:val="00560EE0"/>
    <w:rsid w:val="005612BB"/>
    <w:rsid w:val="00561496"/>
    <w:rsid w:val="0056161A"/>
    <w:rsid w:val="00561AB5"/>
    <w:rsid w:val="00561E53"/>
    <w:rsid w:val="00561F9F"/>
    <w:rsid w:val="00562073"/>
    <w:rsid w:val="005626FE"/>
    <w:rsid w:val="005628CD"/>
    <w:rsid w:val="00562B14"/>
    <w:rsid w:val="005636F2"/>
    <w:rsid w:val="00563ABD"/>
    <w:rsid w:val="00563AEA"/>
    <w:rsid w:val="00563B06"/>
    <w:rsid w:val="00563B4C"/>
    <w:rsid w:val="00563B54"/>
    <w:rsid w:val="005642B6"/>
    <w:rsid w:val="005646F7"/>
    <w:rsid w:val="0056477B"/>
    <w:rsid w:val="00564BCD"/>
    <w:rsid w:val="00564E0B"/>
    <w:rsid w:val="005658C2"/>
    <w:rsid w:val="00565DE3"/>
    <w:rsid w:val="00566277"/>
    <w:rsid w:val="00566376"/>
    <w:rsid w:val="005667F1"/>
    <w:rsid w:val="00566A97"/>
    <w:rsid w:val="00567478"/>
    <w:rsid w:val="00567652"/>
    <w:rsid w:val="00567B1B"/>
    <w:rsid w:val="005704AB"/>
    <w:rsid w:val="00570622"/>
    <w:rsid w:val="005706C4"/>
    <w:rsid w:val="005707E5"/>
    <w:rsid w:val="005707EA"/>
    <w:rsid w:val="00570849"/>
    <w:rsid w:val="00570DD5"/>
    <w:rsid w:val="00570E8C"/>
    <w:rsid w:val="00571D5E"/>
    <w:rsid w:val="00571EA5"/>
    <w:rsid w:val="00572408"/>
    <w:rsid w:val="0057267C"/>
    <w:rsid w:val="005728BC"/>
    <w:rsid w:val="00572916"/>
    <w:rsid w:val="00572A61"/>
    <w:rsid w:val="00572CD4"/>
    <w:rsid w:val="00572D96"/>
    <w:rsid w:val="0057321C"/>
    <w:rsid w:val="00573461"/>
    <w:rsid w:val="005738D2"/>
    <w:rsid w:val="00573CD3"/>
    <w:rsid w:val="00573E21"/>
    <w:rsid w:val="00573FDB"/>
    <w:rsid w:val="0057448A"/>
    <w:rsid w:val="005748A6"/>
    <w:rsid w:val="00574E51"/>
    <w:rsid w:val="005752C1"/>
    <w:rsid w:val="00575E2A"/>
    <w:rsid w:val="00577851"/>
    <w:rsid w:val="00577EF6"/>
    <w:rsid w:val="005800E2"/>
    <w:rsid w:val="0058031B"/>
    <w:rsid w:val="005805C2"/>
    <w:rsid w:val="00580A01"/>
    <w:rsid w:val="00580E3B"/>
    <w:rsid w:val="00580EC4"/>
    <w:rsid w:val="00581044"/>
    <w:rsid w:val="005814CA"/>
    <w:rsid w:val="005817B7"/>
    <w:rsid w:val="00581A92"/>
    <w:rsid w:val="00581AF9"/>
    <w:rsid w:val="00581B70"/>
    <w:rsid w:val="00581DB4"/>
    <w:rsid w:val="00582015"/>
    <w:rsid w:val="00582263"/>
    <w:rsid w:val="005823C1"/>
    <w:rsid w:val="005823D0"/>
    <w:rsid w:val="00582422"/>
    <w:rsid w:val="00582D54"/>
    <w:rsid w:val="00582EF0"/>
    <w:rsid w:val="00583156"/>
    <w:rsid w:val="0058361A"/>
    <w:rsid w:val="0058366E"/>
    <w:rsid w:val="00583AAF"/>
    <w:rsid w:val="00584421"/>
    <w:rsid w:val="005847F4"/>
    <w:rsid w:val="00585531"/>
    <w:rsid w:val="0058576C"/>
    <w:rsid w:val="00585A04"/>
    <w:rsid w:val="00585A1B"/>
    <w:rsid w:val="00585A22"/>
    <w:rsid w:val="00586012"/>
    <w:rsid w:val="005862AF"/>
    <w:rsid w:val="005872D9"/>
    <w:rsid w:val="0058743B"/>
    <w:rsid w:val="0058757B"/>
    <w:rsid w:val="00587945"/>
    <w:rsid w:val="00587AF9"/>
    <w:rsid w:val="00590502"/>
    <w:rsid w:val="005909E7"/>
    <w:rsid w:val="0059194E"/>
    <w:rsid w:val="005921DD"/>
    <w:rsid w:val="00592394"/>
    <w:rsid w:val="00592468"/>
    <w:rsid w:val="005925D5"/>
    <w:rsid w:val="00592AA3"/>
    <w:rsid w:val="00592B81"/>
    <w:rsid w:val="00592DF1"/>
    <w:rsid w:val="005933FA"/>
    <w:rsid w:val="0059358F"/>
    <w:rsid w:val="00593B99"/>
    <w:rsid w:val="00593C89"/>
    <w:rsid w:val="00594003"/>
    <w:rsid w:val="0059402A"/>
    <w:rsid w:val="00594031"/>
    <w:rsid w:val="005941EB"/>
    <w:rsid w:val="0059438F"/>
    <w:rsid w:val="00594CC6"/>
    <w:rsid w:val="00595186"/>
    <w:rsid w:val="005953E1"/>
    <w:rsid w:val="0059564E"/>
    <w:rsid w:val="0059593E"/>
    <w:rsid w:val="00595C16"/>
    <w:rsid w:val="00595E2D"/>
    <w:rsid w:val="005962A1"/>
    <w:rsid w:val="005962AC"/>
    <w:rsid w:val="005962D5"/>
    <w:rsid w:val="005964B7"/>
    <w:rsid w:val="005968E5"/>
    <w:rsid w:val="00597281"/>
    <w:rsid w:val="0059760A"/>
    <w:rsid w:val="00597811"/>
    <w:rsid w:val="0059795D"/>
    <w:rsid w:val="005979D8"/>
    <w:rsid w:val="00597C51"/>
    <w:rsid w:val="00597C83"/>
    <w:rsid w:val="005A00A9"/>
    <w:rsid w:val="005A06BA"/>
    <w:rsid w:val="005A0B0B"/>
    <w:rsid w:val="005A0C2D"/>
    <w:rsid w:val="005A0EBE"/>
    <w:rsid w:val="005A1243"/>
    <w:rsid w:val="005A129B"/>
    <w:rsid w:val="005A14C8"/>
    <w:rsid w:val="005A1643"/>
    <w:rsid w:val="005A19BD"/>
    <w:rsid w:val="005A19E0"/>
    <w:rsid w:val="005A1C26"/>
    <w:rsid w:val="005A1E0E"/>
    <w:rsid w:val="005A1F67"/>
    <w:rsid w:val="005A24B8"/>
    <w:rsid w:val="005A2748"/>
    <w:rsid w:val="005A3C7D"/>
    <w:rsid w:val="005A3CFD"/>
    <w:rsid w:val="005A443F"/>
    <w:rsid w:val="005A4E00"/>
    <w:rsid w:val="005A4E86"/>
    <w:rsid w:val="005A5130"/>
    <w:rsid w:val="005A5148"/>
    <w:rsid w:val="005A5215"/>
    <w:rsid w:val="005A5ECF"/>
    <w:rsid w:val="005A5FFD"/>
    <w:rsid w:val="005A7675"/>
    <w:rsid w:val="005A7C26"/>
    <w:rsid w:val="005A7EBC"/>
    <w:rsid w:val="005B020B"/>
    <w:rsid w:val="005B03C0"/>
    <w:rsid w:val="005B0427"/>
    <w:rsid w:val="005B0494"/>
    <w:rsid w:val="005B0529"/>
    <w:rsid w:val="005B05BB"/>
    <w:rsid w:val="005B0920"/>
    <w:rsid w:val="005B0970"/>
    <w:rsid w:val="005B0E43"/>
    <w:rsid w:val="005B0E88"/>
    <w:rsid w:val="005B1A36"/>
    <w:rsid w:val="005B1B12"/>
    <w:rsid w:val="005B1D04"/>
    <w:rsid w:val="005B230F"/>
    <w:rsid w:val="005B2C71"/>
    <w:rsid w:val="005B3133"/>
    <w:rsid w:val="005B34A2"/>
    <w:rsid w:val="005B3AB3"/>
    <w:rsid w:val="005B3ADA"/>
    <w:rsid w:val="005B3EA8"/>
    <w:rsid w:val="005B413F"/>
    <w:rsid w:val="005B481A"/>
    <w:rsid w:val="005B4CD4"/>
    <w:rsid w:val="005B4D79"/>
    <w:rsid w:val="005B4E06"/>
    <w:rsid w:val="005B54F9"/>
    <w:rsid w:val="005B58D4"/>
    <w:rsid w:val="005B5961"/>
    <w:rsid w:val="005B5B58"/>
    <w:rsid w:val="005B5D5B"/>
    <w:rsid w:val="005B5E52"/>
    <w:rsid w:val="005B6048"/>
    <w:rsid w:val="005B6335"/>
    <w:rsid w:val="005B63D5"/>
    <w:rsid w:val="005B6A3F"/>
    <w:rsid w:val="005B7089"/>
    <w:rsid w:val="005B71FE"/>
    <w:rsid w:val="005B7805"/>
    <w:rsid w:val="005B7DC9"/>
    <w:rsid w:val="005C077C"/>
    <w:rsid w:val="005C07B3"/>
    <w:rsid w:val="005C08B4"/>
    <w:rsid w:val="005C0C7D"/>
    <w:rsid w:val="005C10A5"/>
    <w:rsid w:val="005C1404"/>
    <w:rsid w:val="005C154D"/>
    <w:rsid w:val="005C16FC"/>
    <w:rsid w:val="005C17A7"/>
    <w:rsid w:val="005C1A86"/>
    <w:rsid w:val="005C22F8"/>
    <w:rsid w:val="005C25D6"/>
    <w:rsid w:val="005C284E"/>
    <w:rsid w:val="005C29C9"/>
    <w:rsid w:val="005C30F3"/>
    <w:rsid w:val="005C352C"/>
    <w:rsid w:val="005C3859"/>
    <w:rsid w:val="005C3903"/>
    <w:rsid w:val="005C3CF3"/>
    <w:rsid w:val="005C4379"/>
    <w:rsid w:val="005C4553"/>
    <w:rsid w:val="005C45D5"/>
    <w:rsid w:val="005C45EC"/>
    <w:rsid w:val="005C469A"/>
    <w:rsid w:val="005C47D4"/>
    <w:rsid w:val="005C4A7E"/>
    <w:rsid w:val="005C4B93"/>
    <w:rsid w:val="005C4F46"/>
    <w:rsid w:val="005C533E"/>
    <w:rsid w:val="005C5DAC"/>
    <w:rsid w:val="005C6372"/>
    <w:rsid w:val="005C63B5"/>
    <w:rsid w:val="005C6C6D"/>
    <w:rsid w:val="005C709E"/>
    <w:rsid w:val="005C71C2"/>
    <w:rsid w:val="005C721F"/>
    <w:rsid w:val="005C7DF7"/>
    <w:rsid w:val="005D00C1"/>
    <w:rsid w:val="005D032C"/>
    <w:rsid w:val="005D0604"/>
    <w:rsid w:val="005D080C"/>
    <w:rsid w:val="005D081C"/>
    <w:rsid w:val="005D08A0"/>
    <w:rsid w:val="005D08DF"/>
    <w:rsid w:val="005D180C"/>
    <w:rsid w:val="005D1B53"/>
    <w:rsid w:val="005D1BBD"/>
    <w:rsid w:val="005D1E3F"/>
    <w:rsid w:val="005D32DE"/>
    <w:rsid w:val="005D3865"/>
    <w:rsid w:val="005D3A41"/>
    <w:rsid w:val="005D3B04"/>
    <w:rsid w:val="005D3C54"/>
    <w:rsid w:val="005D4822"/>
    <w:rsid w:val="005D48C2"/>
    <w:rsid w:val="005D4DA2"/>
    <w:rsid w:val="005D4DCA"/>
    <w:rsid w:val="005D4ECA"/>
    <w:rsid w:val="005D505D"/>
    <w:rsid w:val="005D51D0"/>
    <w:rsid w:val="005D6CB5"/>
    <w:rsid w:val="005D6EBE"/>
    <w:rsid w:val="005D6F83"/>
    <w:rsid w:val="005D7877"/>
    <w:rsid w:val="005D787E"/>
    <w:rsid w:val="005D7AB6"/>
    <w:rsid w:val="005D7B5B"/>
    <w:rsid w:val="005D7BD5"/>
    <w:rsid w:val="005D7CCF"/>
    <w:rsid w:val="005D7D77"/>
    <w:rsid w:val="005E04CF"/>
    <w:rsid w:val="005E0768"/>
    <w:rsid w:val="005E07F4"/>
    <w:rsid w:val="005E0D29"/>
    <w:rsid w:val="005E1961"/>
    <w:rsid w:val="005E1A8E"/>
    <w:rsid w:val="005E1B0D"/>
    <w:rsid w:val="005E27C4"/>
    <w:rsid w:val="005E3F32"/>
    <w:rsid w:val="005E46D7"/>
    <w:rsid w:val="005E499A"/>
    <w:rsid w:val="005E4B66"/>
    <w:rsid w:val="005E58C4"/>
    <w:rsid w:val="005E58F8"/>
    <w:rsid w:val="005E5916"/>
    <w:rsid w:val="005E5D8F"/>
    <w:rsid w:val="005E5E90"/>
    <w:rsid w:val="005E6765"/>
    <w:rsid w:val="005E6A0D"/>
    <w:rsid w:val="005E6A12"/>
    <w:rsid w:val="005E6B7C"/>
    <w:rsid w:val="005E6DD2"/>
    <w:rsid w:val="005E72C1"/>
    <w:rsid w:val="005E73E2"/>
    <w:rsid w:val="005F0302"/>
    <w:rsid w:val="005F0362"/>
    <w:rsid w:val="005F0749"/>
    <w:rsid w:val="005F0A5C"/>
    <w:rsid w:val="005F0AC4"/>
    <w:rsid w:val="005F1147"/>
    <w:rsid w:val="005F1727"/>
    <w:rsid w:val="005F1C1D"/>
    <w:rsid w:val="005F1C8E"/>
    <w:rsid w:val="005F26EB"/>
    <w:rsid w:val="005F2931"/>
    <w:rsid w:val="005F295D"/>
    <w:rsid w:val="005F2D1A"/>
    <w:rsid w:val="005F369D"/>
    <w:rsid w:val="005F3793"/>
    <w:rsid w:val="005F3868"/>
    <w:rsid w:val="005F3A9B"/>
    <w:rsid w:val="005F3FF0"/>
    <w:rsid w:val="005F45AA"/>
    <w:rsid w:val="005F494C"/>
    <w:rsid w:val="005F4E70"/>
    <w:rsid w:val="005F5698"/>
    <w:rsid w:val="005F5A5C"/>
    <w:rsid w:val="005F5CD9"/>
    <w:rsid w:val="005F7703"/>
    <w:rsid w:val="005F79E7"/>
    <w:rsid w:val="005F7C7A"/>
    <w:rsid w:val="005F7E8C"/>
    <w:rsid w:val="00600052"/>
    <w:rsid w:val="00600499"/>
    <w:rsid w:val="00601555"/>
    <w:rsid w:val="006017DE"/>
    <w:rsid w:val="00601EA0"/>
    <w:rsid w:val="00602664"/>
    <w:rsid w:val="006029AA"/>
    <w:rsid w:val="00602AA0"/>
    <w:rsid w:val="00602D59"/>
    <w:rsid w:val="00602D81"/>
    <w:rsid w:val="0060397F"/>
    <w:rsid w:val="00603A70"/>
    <w:rsid w:val="00603B5A"/>
    <w:rsid w:val="0060402C"/>
    <w:rsid w:val="00604106"/>
    <w:rsid w:val="0060430E"/>
    <w:rsid w:val="00605126"/>
    <w:rsid w:val="00605427"/>
    <w:rsid w:val="00605958"/>
    <w:rsid w:val="00605D6B"/>
    <w:rsid w:val="00605E8B"/>
    <w:rsid w:val="0060618F"/>
    <w:rsid w:val="00606629"/>
    <w:rsid w:val="006066AD"/>
    <w:rsid w:val="00606AB1"/>
    <w:rsid w:val="00606F83"/>
    <w:rsid w:val="00606FBF"/>
    <w:rsid w:val="00607268"/>
    <w:rsid w:val="006072D8"/>
    <w:rsid w:val="00607BCD"/>
    <w:rsid w:val="006102A0"/>
    <w:rsid w:val="006104B1"/>
    <w:rsid w:val="00610B33"/>
    <w:rsid w:val="00610D96"/>
    <w:rsid w:val="0061135C"/>
    <w:rsid w:val="006118F9"/>
    <w:rsid w:val="006123BC"/>
    <w:rsid w:val="00612C12"/>
    <w:rsid w:val="00612EEA"/>
    <w:rsid w:val="006136DD"/>
    <w:rsid w:val="00613B3C"/>
    <w:rsid w:val="00613B49"/>
    <w:rsid w:val="00614906"/>
    <w:rsid w:val="006149F0"/>
    <w:rsid w:val="00614CCF"/>
    <w:rsid w:val="00614CEB"/>
    <w:rsid w:val="00614E6C"/>
    <w:rsid w:val="00615181"/>
    <w:rsid w:val="00615D54"/>
    <w:rsid w:val="00615D88"/>
    <w:rsid w:val="00615F76"/>
    <w:rsid w:val="00615FE8"/>
    <w:rsid w:val="006169FF"/>
    <w:rsid w:val="00616A50"/>
    <w:rsid w:val="00616CAF"/>
    <w:rsid w:val="00617FCF"/>
    <w:rsid w:val="006204EA"/>
    <w:rsid w:val="00620542"/>
    <w:rsid w:val="00620B7E"/>
    <w:rsid w:val="00620F30"/>
    <w:rsid w:val="00620FDE"/>
    <w:rsid w:val="00621653"/>
    <w:rsid w:val="006219BA"/>
    <w:rsid w:val="00621B6F"/>
    <w:rsid w:val="00621D5F"/>
    <w:rsid w:val="006220A5"/>
    <w:rsid w:val="006224C6"/>
    <w:rsid w:val="00622523"/>
    <w:rsid w:val="006227BC"/>
    <w:rsid w:val="00622D86"/>
    <w:rsid w:val="00622DED"/>
    <w:rsid w:val="00622EF4"/>
    <w:rsid w:val="00623138"/>
    <w:rsid w:val="00623139"/>
    <w:rsid w:val="00623A1D"/>
    <w:rsid w:val="00624018"/>
    <w:rsid w:val="00624269"/>
    <w:rsid w:val="006248AF"/>
    <w:rsid w:val="00624AC8"/>
    <w:rsid w:val="00624AD4"/>
    <w:rsid w:val="006262CF"/>
    <w:rsid w:val="0062651C"/>
    <w:rsid w:val="00626CCE"/>
    <w:rsid w:val="00627275"/>
    <w:rsid w:val="00627361"/>
    <w:rsid w:val="00627B05"/>
    <w:rsid w:val="00627B09"/>
    <w:rsid w:val="00627E85"/>
    <w:rsid w:val="00630D5A"/>
    <w:rsid w:val="0063179A"/>
    <w:rsid w:val="00631849"/>
    <w:rsid w:val="00631FB9"/>
    <w:rsid w:val="006327D5"/>
    <w:rsid w:val="0063286D"/>
    <w:rsid w:val="00632BA6"/>
    <w:rsid w:val="00632D3D"/>
    <w:rsid w:val="00633006"/>
    <w:rsid w:val="006333A5"/>
    <w:rsid w:val="00633629"/>
    <w:rsid w:val="00633812"/>
    <w:rsid w:val="00633C60"/>
    <w:rsid w:val="0063425B"/>
    <w:rsid w:val="00634521"/>
    <w:rsid w:val="006345DD"/>
    <w:rsid w:val="0063503C"/>
    <w:rsid w:val="006357BA"/>
    <w:rsid w:val="00635A4A"/>
    <w:rsid w:val="00635A5F"/>
    <w:rsid w:val="00635CF5"/>
    <w:rsid w:val="00635EE3"/>
    <w:rsid w:val="00635F08"/>
    <w:rsid w:val="006363DF"/>
    <w:rsid w:val="00637B73"/>
    <w:rsid w:val="00637C25"/>
    <w:rsid w:val="0064052A"/>
    <w:rsid w:val="0064052D"/>
    <w:rsid w:val="00640BCB"/>
    <w:rsid w:val="00641054"/>
    <w:rsid w:val="0064126D"/>
    <w:rsid w:val="0064167F"/>
    <w:rsid w:val="006418D8"/>
    <w:rsid w:val="00641ECD"/>
    <w:rsid w:val="00642BB2"/>
    <w:rsid w:val="00642DC3"/>
    <w:rsid w:val="00642ECD"/>
    <w:rsid w:val="00643157"/>
    <w:rsid w:val="00643173"/>
    <w:rsid w:val="0064378E"/>
    <w:rsid w:val="006437A7"/>
    <w:rsid w:val="0064450E"/>
    <w:rsid w:val="006446FA"/>
    <w:rsid w:val="006451B8"/>
    <w:rsid w:val="006456DC"/>
    <w:rsid w:val="00645722"/>
    <w:rsid w:val="00645E55"/>
    <w:rsid w:val="00645F74"/>
    <w:rsid w:val="00646693"/>
    <w:rsid w:val="0064672D"/>
    <w:rsid w:val="006467C0"/>
    <w:rsid w:val="00646831"/>
    <w:rsid w:val="00646DBC"/>
    <w:rsid w:val="00646E39"/>
    <w:rsid w:val="00646EB0"/>
    <w:rsid w:val="0064779A"/>
    <w:rsid w:val="00647A97"/>
    <w:rsid w:val="00647C08"/>
    <w:rsid w:val="00647C64"/>
    <w:rsid w:val="00647E4A"/>
    <w:rsid w:val="00647E87"/>
    <w:rsid w:val="00650180"/>
    <w:rsid w:val="006509C3"/>
    <w:rsid w:val="00650B9A"/>
    <w:rsid w:val="0065192D"/>
    <w:rsid w:val="006519D0"/>
    <w:rsid w:val="00651B51"/>
    <w:rsid w:val="00652432"/>
    <w:rsid w:val="00652AA4"/>
    <w:rsid w:val="006549F6"/>
    <w:rsid w:val="00654EA5"/>
    <w:rsid w:val="00655041"/>
    <w:rsid w:val="006552DB"/>
    <w:rsid w:val="006555E3"/>
    <w:rsid w:val="006558A6"/>
    <w:rsid w:val="0065597A"/>
    <w:rsid w:val="006559E3"/>
    <w:rsid w:val="00656637"/>
    <w:rsid w:val="006568E8"/>
    <w:rsid w:val="00657840"/>
    <w:rsid w:val="00657970"/>
    <w:rsid w:val="00657C4A"/>
    <w:rsid w:val="0066003C"/>
    <w:rsid w:val="006601BF"/>
    <w:rsid w:val="0066041E"/>
    <w:rsid w:val="006604B1"/>
    <w:rsid w:val="0066068B"/>
    <w:rsid w:val="006619BB"/>
    <w:rsid w:val="00661B93"/>
    <w:rsid w:val="00662006"/>
    <w:rsid w:val="0066202A"/>
    <w:rsid w:val="006639D1"/>
    <w:rsid w:val="00664417"/>
    <w:rsid w:val="00664A16"/>
    <w:rsid w:val="00664A45"/>
    <w:rsid w:val="00664C2F"/>
    <w:rsid w:val="00664C7C"/>
    <w:rsid w:val="00664E2A"/>
    <w:rsid w:val="0066550C"/>
    <w:rsid w:val="00665545"/>
    <w:rsid w:val="00665596"/>
    <w:rsid w:val="006657E8"/>
    <w:rsid w:val="00665EEC"/>
    <w:rsid w:val="00666274"/>
    <w:rsid w:val="00666289"/>
    <w:rsid w:val="00666405"/>
    <w:rsid w:val="00671320"/>
    <w:rsid w:val="006715C7"/>
    <w:rsid w:val="006716B3"/>
    <w:rsid w:val="00671789"/>
    <w:rsid w:val="006721B2"/>
    <w:rsid w:val="0067272C"/>
    <w:rsid w:val="00672B0C"/>
    <w:rsid w:val="00672B1B"/>
    <w:rsid w:val="00672DDB"/>
    <w:rsid w:val="00673005"/>
    <w:rsid w:val="006737DC"/>
    <w:rsid w:val="006737FB"/>
    <w:rsid w:val="00673869"/>
    <w:rsid w:val="0067389E"/>
    <w:rsid w:val="00673CCC"/>
    <w:rsid w:val="0067439C"/>
    <w:rsid w:val="0067477A"/>
    <w:rsid w:val="0067543D"/>
    <w:rsid w:val="00675C98"/>
    <w:rsid w:val="00676372"/>
    <w:rsid w:val="00676637"/>
    <w:rsid w:val="00676807"/>
    <w:rsid w:val="006771B9"/>
    <w:rsid w:val="00677235"/>
    <w:rsid w:val="00677674"/>
    <w:rsid w:val="006776C3"/>
    <w:rsid w:val="006778C8"/>
    <w:rsid w:val="006802F8"/>
    <w:rsid w:val="00680437"/>
    <w:rsid w:val="00680E5E"/>
    <w:rsid w:val="00680FFF"/>
    <w:rsid w:val="00681074"/>
    <w:rsid w:val="006811D3"/>
    <w:rsid w:val="0068155C"/>
    <w:rsid w:val="00681612"/>
    <w:rsid w:val="006818EA"/>
    <w:rsid w:val="00681ED6"/>
    <w:rsid w:val="006821F0"/>
    <w:rsid w:val="006828C7"/>
    <w:rsid w:val="00682B2A"/>
    <w:rsid w:val="00683607"/>
    <w:rsid w:val="00683793"/>
    <w:rsid w:val="0068398A"/>
    <w:rsid w:val="006839BC"/>
    <w:rsid w:val="00683B12"/>
    <w:rsid w:val="006846F0"/>
    <w:rsid w:val="0068484C"/>
    <w:rsid w:val="00684DC1"/>
    <w:rsid w:val="00684F97"/>
    <w:rsid w:val="006857F8"/>
    <w:rsid w:val="00685CEF"/>
    <w:rsid w:val="00685F9F"/>
    <w:rsid w:val="0068630E"/>
    <w:rsid w:val="00686A6C"/>
    <w:rsid w:val="0068710E"/>
    <w:rsid w:val="0068734D"/>
    <w:rsid w:val="00687925"/>
    <w:rsid w:val="00687A88"/>
    <w:rsid w:val="00687EF6"/>
    <w:rsid w:val="00690266"/>
    <w:rsid w:val="0069026B"/>
    <w:rsid w:val="006902BE"/>
    <w:rsid w:val="00690C97"/>
    <w:rsid w:val="006918A2"/>
    <w:rsid w:val="00691C12"/>
    <w:rsid w:val="00691CD9"/>
    <w:rsid w:val="0069200E"/>
    <w:rsid w:val="00692624"/>
    <w:rsid w:val="006927CE"/>
    <w:rsid w:val="006927F2"/>
    <w:rsid w:val="00692C36"/>
    <w:rsid w:val="00692D20"/>
    <w:rsid w:val="006944D8"/>
    <w:rsid w:val="006947A8"/>
    <w:rsid w:val="00694E11"/>
    <w:rsid w:val="006955F8"/>
    <w:rsid w:val="006956EA"/>
    <w:rsid w:val="00695A07"/>
    <w:rsid w:val="00695F4C"/>
    <w:rsid w:val="00695F7C"/>
    <w:rsid w:val="00695FF5"/>
    <w:rsid w:val="00696094"/>
    <w:rsid w:val="0069609E"/>
    <w:rsid w:val="0069656D"/>
    <w:rsid w:val="00696DCC"/>
    <w:rsid w:val="006A014F"/>
    <w:rsid w:val="006A07E1"/>
    <w:rsid w:val="006A0A88"/>
    <w:rsid w:val="006A0D82"/>
    <w:rsid w:val="006A0EAF"/>
    <w:rsid w:val="006A144F"/>
    <w:rsid w:val="006A147D"/>
    <w:rsid w:val="006A153D"/>
    <w:rsid w:val="006A19AB"/>
    <w:rsid w:val="006A1F75"/>
    <w:rsid w:val="006A20EA"/>
    <w:rsid w:val="006A25C3"/>
    <w:rsid w:val="006A2CD2"/>
    <w:rsid w:val="006A3112"/>
    <w:rsid w:val="006A38F3"/>
    <w:rsid w:val="006A3F34"/>
    <w:rsid w:val="006A3FF5"/>
    <w:rsid w:val="006A4157"/>
    <w:rsid w:val="006A4361"/>
    <w:rsid w:val="006A490C"/>
    <w:rsid w:val="006A4D83"/>
    <w:rsid w:val="006A4D9B"/>
    <w:rsid w:val="006A52D6"/>
    <w:rsid w:val="006A5881"/>
    <w:rsid w:val="006A592E"/>
    <w:rsid w:val="006A5C22"/>
    <w:rsid w:val="006A5F14"/>
    <w:rsid w:val="006A6049"/>
    <w:rsid w:val="006A6374"/>
    <w:rsid w:val="006A65A5"/>
    <w:rsid w:val="006A6D09"/>
    <w:rsid w:val="006A766E"/>
    <w:rsid w:val="006A7C4A"/>
    <w:rsid w:val="006A7F4D"/>
    <w:rsid w:val="006B0855"/>
    <w:rsid w:val="006B09B2"/>
    <w:rsid w:val="006B13A4"/>
    <w:rsid w:val="006B147A"/>
    <w:rsid w:val="006B1714"/>
    <w:rsid w:val="006B173A"/>
    <w:rsid w:val="006B2B1A"/>
    <w:rsid w:val="006B3152"/>
    <w:rsid w:val="006B391E"/>
    <w:rsid w:val="006B3CC0"/>
    <w:rsid w:val="006B3D29"/>
    <w:rsid w:val="006B3EA3"/>
    <w:rsid w:val="006B3EE2"/>
    <w:rsid w:val="006B449E"/>
    <w:rsid w:val="006B4D48"/>
    <w:rsid w:val="006B4F7D"/>
    <w:rsid w:val="006B509C"/>
    <w:rsid w:val="006B514F"/>
    <w:rsid w:val="006B518D"/>
    <w:rsid w:val="006B523B"/>
    <w:rsid w:val="006B5354"/>
    <w:rsid w:val="006B575B"/>
    <w:rsid w:val="006B57D8"/>
    <w:rsid w:val="006B5E91"/>
    <w:rsid w:val="006B5F5F"/>
    <w:rsid w:val="006B63B1"/>
    <w:rsid w:val="006B71E5"/>
    <w:rsid w:val="006B738E"/>
    <w:rsid w:val="006B7D58"/>
    <w:rsid w:val="006B7F46"/>
    <w:rsid w:val="006C01AA"/>
    <w:rsid w:val="006C0456"/>
    <w:rsid w:val="006C0EF2"/>
    <w:rsid w:val="006C114C"/>
    <w:rsid w:val="006C128F"/>
    <w:rsid w:val="006C1947"/>
    <w:rsid w:val="006C1A4E"/>
    <w:rsid w:val="006C1B16"/>
    <w:rsid w:val="006C28F2"/>
    <w:rsid w:val="006C2AE3"/>
    <w:rsid w:val="006C2FF0"/>
    <w:rsid w:val="006C32C3"/>
    <w:rsid w:val="006C34B5"/>
    <w:rsid w:val="006C3668"/>
    <w:rsid w:val="006C3864"/>
    <w:rsid w:val="006C3CB3"/>
    <w:rsid w:val="006C3D9E"/>
    <w:rsid w:val="006C3FF8"/>
    <w:rsid w:val="006C4086"/>
    <w:rsid w:val="006C440C"/>
    <w:rsid w:val="006C4853"/>
    <w:rsid w:val="006C4CF3"/>
    <w:rsid w:val="006C4D88"/>
    <w:rsid w:val="006C4F7F"/>
    <w:rsid w:val="006C52FF"/>
    <w:rsid w:val="006C5383"/>
    <w:rsid w:val="006C56AA"/>
    <w:rsid w:val="006C5960"/>
    <w:rsid w:val="006C59F6"/>
    <w:rsid w:val="006C5E72"/>
    <w:rsid w:val="006C664C"/>
    <w:rsid w:val="006C69F6"/>
    <w:rsid w:val="006C6AFF"/>
    <w:rsid w:val="006C6EDF"/>
    <w:rsid w:val="006C7610"/>
    <w:rsid w:val="006C7618"/>
    <w:rsid w:val="006C78D3"/>
    <w:rsid w:val="006C7A23"/>
    <w:rsid w:val="006D010C"/>
    <w:rsid w:val="006D0527"/>
    <w:rsid w:val="006D07C2"/>
    <w:rsid w:val="006D0823"/>
    <w:rsid w:val="006D0FCE"/>
    <w:rsid w:val="006D1420"/>
    <w:rsid w:val="006D1717"/>
    <w:rsid w:val="006D172A"/>
    <w:rsid w:val="006D2120"/>
    <w:rsid w:val="006D21F1"/>
    <w:rsid w:val="006D263A"/>
    <w:rsid w:val="006D2A1E"/>
    <w:rsid w:val="006D2AEC"/>
    <w:rsid w:val="006D2DA7"/>
    <w:rsid w:val="006D2DF3"/>
    <w:rsid w:val="006D35FA"/>
    <w:rsid w:val="006D394A"/>
    <w:rsid w:val="006D3C48"/>
    <w:rsid w:val="006D3E5E"/>
    <w:rsid w:val="006D4015"/>
    <w:rsid w:val="006D438F"/>
    <w:rsid w:val="006D4B1C"/>
    <w:rsid w:val="006D4BBE"/>
    <w:rsid w:val="006D4BEB"/>
    <w:rsid w:val="006D4C8E"/>
    <w:rsid w:val="006D50E6"/>
    <w:rsid w:val="006D52FA"/>
    <w:rsid w:val="006D5D6A"/>
    <w:rsid w:val="006D625A"/>
    <w:rsid w:val="006D65DE"/>
    <w:rsid w:val="006D6610"/>
    <w:rsid w:val="006D688B"/>
    <w:rsid w:val="006D6C6A"/>
    <w:rsid w:val="006D6E43"/>
    <w:rsid w:val="006D74D4"/>
    <w:rsid w:val="006D760B"/>
    <w:rsid w:val="006D763D"/>
    <w:rsid w:val="006E00B6"/>
    <w:rsid w:val="006E0996"/>
    <w:rsid w:val="006E1557"/>
    <w:rsid w:val="006E16D9"/>
    <w:rsid w:val="006E19D1"/>
    <w:rsid w:val="006E1CBB"/>
    <w:rsid w:val="006E209D"/>
    <w:rsid w:val="006E21C9"/>
    <w:rsid w:val="006E232B"/>
    <w:rsid w:val="006E2FEA"/>
    <w:rsid w:val="006E3758"/>
    <w:rsid w:val="006E3784"/>
    <w:rsid w:val="006E3DA4"/>
    <w:rsid w:val="006E4192"/>
    <w:rsid w:val="006E420D"/>
    <w:rsid w:val="006E439E"/>
    <w:rsid w:val="006E4442"/>
    <w:rsid w:val="006E467C"/>
    <w:rsid w:val="006E4888"/>
    <w:rsid w:val="006E491D"/>
    <w:rsid w:val="006E4B27"/>
    <w:rsid w:val="006E4DDE"/>
    <w:rsid w:val="006E5099"/>
    <w:rsid w:val="006E5212"/>
    <w:rsid w:val="006E5C5A"/>
    <w:rsid w:val="006E5E7E"/>
    <w:rsid w:val="006E5F30"/>
    <w:rsid w:val="006E6350"/>
    <w:rsid w:val="006E646D"/>
    <w:rsid w:val="006E6531"/>
    <w:rsid w:val="006E6F02"/>
    <w:rsid w:val="006E7980"/>
    <w:rsid w:val="006E7D41"/>
    <w:rsid w:val="006E7E86"/>
    <w:rsid w:val="006F0643"/>
    <w:rsid w:val="006F100B"/>
    <w:rsid w:val="006F1678"/>
    <w:rsid w:val="006F1A2B"/>
    <w:rsid w:val="006F1CCE"/>
    <w:rsid w:val="006F1DF9"/>
    <w:rsid w:val="006F22F7"/>
    <w:rsid w:val="006F239A"/>
    <w:rsid w:val="006F2AAE"/>
    <w:rsid w:val="006F2C9D"/>
    <w:rsid w:val="006F2E98"/>
    <w:rsid w:val="006F335D"/>
    <w:rsid w:val="006F387A"/>
    <w:rsid w:val="006F39BB"/>
    <w:rsid w:val="006F3B67"/>
    <w:rsid w:val="006F3F57"/>
    <w:rsid w:val="006F4201"/>
    <w:rsid w:val="006F43DC"/>
    <w:rsid w:val="006F4521"/>
    <w:rsid w:val="006F4AE6"/>
    <w:rsid w:val="006F5AB8"/>
    <w:rsid w:val="006F5FF9"/>
    <w:rsid w:val="006F61EF"/>
    <w:rsid w:val="006F644C"/>
    <w:rsid w:val="006F6857"/>
    <w:rsid w:val="006F6B51"/>
    <w:rsid w:val="006F77DD"/>
    <w:rsid w:val="006F7909"/>
    <w:rsid w:val="006F7C08"/>
    <w:rsid w:val="006F7D39"/>
    <w:rsid w:val="0070019A"/>
    <w:rsid w:val="00700455"/>
    <w:rsid w:val="0070065A"/>
    <w:rsid w:val="007007AB"/>
    <w:rsid w:val="00701308"/>
    <w:rsid w:val="0070157A"/>
    <w:rsid w:val="00701627"/>
    <w:rsid w:val="00701F3A"/>
    <w:rsid w:val="00702314"/>
    <w:rsid w:val="00702CF3"/>
    <w:rsid w:val="00702D71"/>
    <w:rsid w:val="00703246"/>
    <w:rsid w:val="00703416"/>
    <w:rsid w:val="00703521"/>
    <w:rsid w:val="007045E3"/>
    <w:rsid w:val="007048DB"/>
    <w:rsid w:val="007048E4"/>
    <w:rsid w:val="0070581A"/>
    <w:rsid w:val="007058B9"/>
    <w:rsid w:val="00705C64"/>
    <w:rsid w:val="00705D69"/>
    <w:rsid w:val="0070637D"/>
    <w:rsid w:val="00706794"/>
    <w:rsid w:val="00706979"/>
    <w:rsid w:val="007069BD"/>
    <w:rsid w:val="00706B03"/>
    <w:rsid w:val="00706B36"/>
    <w:rsid w:val="007071B9"/>
    <w:rsid w:val="007071DD"/>
    <w:rsid w:val="007074CA"/>
    <w:rsid w:val="0070771F"/>
    <w:rsid w:val="007078E0"/>
    <w:rsid w:val="00707AD9"/>
    <w:rsid w:val="00707F33"/>
    <w:rsid w:val="007101FB"/>
    <w:rsid w:val="0071037C"/>
    <w:rsid w:val="0071063F"/>
    <w:rsid w:val="007107CC"/>
    <w:rsid w:val="00711165"/>
    <w:rsid w:val="00711237"/>
    <w:rsid w:val="007114D7"/>
    <w:rsid w:val="00711965"/>
    <w:rsid w:val="00711A8C"/>
    <w:rsid w:val="00711CFC"/>
    <w:rsid w:val="00711FA8"/>
    <w:rsid w:val="0071288A"/>
    <w:rsid w:val="00712A14"/>
    <w:rsid w:val="00713115"/>
    <w:rsid w:val="00713208"/>
    <w:rsid w:val="00713456"/>
    <w:rsid w:val="007138D6"/>
    <w:rsid w:val="00713ACB"/>
    <w:rsid w:val="00713CAA"/>
    <w:rsid w:val="0071419F"/>
    <w:rsid w:val="007141E5"/>
    <w:rsid w:val="00714459"/>
    <w:rsid w:val="00714519"/>
    <w:rsid w:val="00714F85"/>
    <w:rsid w:val="00715419"/>
    <w:rsid w:val="007162EC"/>
    <w:rsid w:val="007167B9"/>
    <w:rsid w:val="0071689A"/>
    <w:rsid w:val="00716942"/>
    <w:rsid w:val="00716C04"/>
    <w:rsid w:val="00716D83"/>
    <w:rsid w:val="0071711D"/>
    <w:rsid w:val="00717180"/>
    <w:rsid w:val="00717268"/>
    <w:rsid w:val="00717976"/>
    <w:rsid w:val="007179D2"/>
    <w:rsid w:val="00720198"/>
    <w:rsid w:val="007204CB"/>
    <w:rsid w:val="00720747"/>
    <w:rsid w:val="00720750"/>
    <w:rsid w:val="00720C21"/>
    <w:rsid w:val="00720FCD"/>
    <w:rsid w:val="007211EB"/>
    <w:rsid w:val="007212A7"/>
    <w:rsid w:val="00722573"/>
    <w:rsid w:val="007228E8"/>
    <w:rsid w:val="00722AAC"/>
    <w:rsid w:val="007239DC"/>
    <w:rsid w:val="00724046"/>
    <w:rsid w:val="007244AF"/>
    <w:rsid w:val="0072495B"/>
    <w:rsid w:val="0072497C"/>
    <w:rsid w:val="00724A8C"/>
    <w:rsid w:val="00724E22"/>
    <w:rsid w:val="007250D7"/>
    <w:rsid w:val="0072549C"/>
    <w:rsid w:val="007255AC"/>
    <w:rsid w:val="00725A80"/>
    <w:rsid w:val="00725CAD"/>
    <w:rsid w:val="00726049"/>
    <w:rsid w:val="007266C7"/>
    <w:rsid w:val="00726E61"/>
    <w:rsid w:val="00726EEB"/>
    <w:rsid w:val="00726F40"/>
    <w:rsid w:val="007276AC"/>
    <w:rsid w:val="007278EA"/>
    <w:rsid w:val="00727CB5"/>
    <w:rsid w:val="00727E36"/>
    <w:rsid w:val="007306AA"/>
    <w:rsid w:val="00730CAA"/>
    <w:rsid w:val="0073102A"/>
    <w:rsid w:val="007318DD"/>
    <w:rsid w:val="00731AAD"/>
    <w:rsid w:val="007322AE"/>
    <w:rsid w:val="00732AC2"/>
    <w:rsid w:val="00732ACB"/>
    <w:rsid w:val="00732C66"/>
    <w:rsid w:val="007335B1"/>
    <w:rsid w:val="00733970"/>
    <w:rsid w:val="00733B44"/>
    <w:rsid w:val="00734469"/>
    <w:rsid w:val="00734835"/>
    <w:rsid w:val="0073510D"/>
    <w:rsid w:val="0073607D"/>
    <w:rsid w:val="0073637E"/>
    <w:rsid w:val="00736702"/>
    <w:rsid w:val="00736A2C"/>
    <w:rsid w:val="007375FE"/>
    <w:rsid w:val="007377F3"/>
    <w:rsid w:val="00737D31"/>
    <w:rsid w:val="00740185"/>
    <w:rsid w:val="007406A2"/>
    <w:rsid w:val="007411F9"/>
    <w:rsid w:val="0074148C"/>
    <w:rsid w:val="00741585"/>
    <w:rsid w:val="007415A2"/>
    <w:rsid w:val="00741739"/>
    <w:rsid w:val="00741BD0"/>
    <w:rsid w:val="00741D0B"/>
    <w:rsid w:val="00741D4A"/>
    <w:rsid w:val="00741D72"/>
    <w:rsid w:val="00742A60"/>
    <w:rsid w:val="00743039"/>
    <w:rsid w:val="007438FF"/>
    <w:rsid w:val="00744161"/>
    <w:rsid w:val="007445E9"/>
    <w:rsid w:val="00744FE7"/>
    <w:rsid w:val="00745202"/>
    <w:rsid w:val="007463B3"/>
    <w:rsid w:val="0074649B"/>
    <w:rsid w:val="007467F4"/>
    <w:rsid w:val="00746AD6"/>
    <w:rsid w:val="007474CD"/>
    <w:rsid w:val="00747793"/>
    <w:rsid w:val="00747A41"/>
    <w:rsid w:val="00747EE4"/>
    <w:rsid w:val="00750794"/>
    <w:rsid w:val="007509A5"/>
    <w:rsid w:val="00750AA1"/>
    <w:rsid w:val="00750AFE"/>
    <w:rsid w:val="00750B32"/>
    <w:rsid w:val="00750BA0"/>
    <w:rsid w:val="0075115C"/>
    <w:rsid w:val="00751ACB"/>
    <w:rsid w:val="0075203B"/>
    <w:rsid w:val="007523EF"/>
    <w:rsid w:val="00752492"/>
    <w:rsid w:val="00753270"/>
    <w:rsid w:val="00753592"/>
    <w:rsid w:val="0075367D"/>
    <w:rsid w:val="00754416"/>
    <w:rsid w:val="00754B41"/>
    <w:rsid w:val="00754C58"/>
    <w:rsid w:val="007559F5"/>
    <w:rsid w:val="00755B7B"/>
    <w:rsid w:val="00756006"/>
    <w:rsid w:val="00756332"/>
    <w:rsid w:val="00756625"/>
    <w:rsid w:val="00756D7C"/>
    <w:rsid w:val="00756DE6"/>
    <w:rsid w:val="007572FB"/>
    <w:rsid w:val="00757542"/>
    <w:rsid w:val="00757560"/>
    <w:rsid w:val="007577F0"/>
    <w:rsid w:val="007578FC"/>
    <w:rsid w:val="00757924"/>
    <w:rsid w:val="00757D40"/>
    <w:rsid w:val="0076032A"/>
    <w:rsid w:val="007603DC"/>
    <w:rsid w:val="00760460"/>
    <w:rsid w:val="00760CDC"/>
    <w:rsid w:val="00760D8A"/>
    <w:rsid w:val="00760F62"/>
    <w:rsid w:val="00761089"/>
    <w:rsid w:val="00761659"/>
    <w:rsid w:val="00761726"/>
    <w:rsid w:val="00761AB0"/>
    <w:rsid w:val="007624C6"/>
    <w:rsid w:val="007629AA"/>
    <w:rsid w:val="007629C9"/>
    <w:rsid w:val="0076326F"/>
    <w:rsid w:val="007634ED"/>
    <w:rsid w:val="00763553"/>
    <w:rsid w:val="00763564"/>
    <w:rsid w:val="00763615"/>
    <w:rsid w:val="0076386F"/>
    <w:rsid w:val="00763B8B"/>
    <w:rsid w:val="00763ED6"/>
    <w:rsid w:val="00763F50"/>
    <w:rsid w:val="00764065"/>
    <w:rsid w:val="007644A9"/>
    <w:rsid w:val="0076460C"/>
    <w:rsid w:val="0076460D"/>
    <w:rsid w:val="00764AC0"/>
    <w:rsid w:val="00765231"/>
    <w:rsid w:val="007652D8"/>
    <w:rsid w:val="0076531D"/>
    <w:rsid w:val="00765AAA"/>
    <w:rsid w:val="00765CE0"/>
    <w:rsid w:val="00766334"/>
    <w:rsid w:val="0076677A"/>
    <w:rsid w:val="00766964"/>
    <w:rsid w:val="00766A7D"/>
    <w:rsid w:val="00766B75"/>
    <w:rsid w:val="00766D95"/>
    <w:rsid w:val="00767456"/>
    <w:rsid w:val="0076763A"/>
    <w:rsid w:val="007676E8"/>
    <w:rsid w:val="0076781B"/>
    <w:rsid w:val="00767DE6"/>
    <w:rsid w:val="00770106"/>
    <w:rsid w:val="00770549"/>
    <w:rsid w:val="00771033"/>
    <w:rsid w:val="00771072"/>
    <w:rsid w:val="00771401"/>
    <w:rsid w:val="007714A0"/>
    <w:rsid w:val="007717F1"/>
    <w:rsid w:val="007724A1"/>
    <w:rsid w:val="007726E6"/>
    <w:rsid w:val="0077270E"/>
    <w:rsid w:val="0077286E"/>
    <w:rsid w:val="00772CAC"/>
    <w:rsid w:val="00772F56"/>
    <w:rsid w:val="00773B3D"/>
    <w:rsid w:val="00773D91"/>
    <w:rsid w:val="0077412F"/>
    <w:rsid w:val="0077436E"/>
    <w:rsid w:val="007746F0"/>
    <w:rsid w:val="00774CEF"/>
    <w:rsid w:val="00774E76"/>
    <w:rsid w:val="00775106"/>
    <w:rsid w:val="0077578D"/>
    <w:rsid w:val="00775865"/>
    <w:rsid w:val="007768B1"/>
    <w:rsid w:val="00776E78"/>
    <w:rsid w:val="00776FC0"/>
    <w:rsid w:val="007805D3"/>
    <w:rsid w:val="007806F1"/>
    <w:rsid w:val="00781388"/>
    <w:rsid w:val="0078138A"/>
    <w:rsid w:val="007816DE"/>
    <w:rsid w:val="007817C0"/>
    <w:rsid w:val="00781C60"/>
    <w:rsid w:val="00781FAB"/>
    <w:rsid w:val="007826C9"/>
    <w:rsid w:val="00782C6C"/>
    <w:rsid w:val="00782F7B"/>
    <w:rsid w:val="00783014"/>
    <w:rsid w:val="00783307"/>
    <w:rsid w:val="007834DC"/>
    <w:rsid w:val="00783D03"/>
    <w:rsid w:val="00783D42"/>
    <w:rsid w:val="00783E03"/>
    <w:rsid w:val="00783F3B"/>
    <w:rsid w:val="007840B0"/>
    <w:rsid w:val="0078413F"/>
    <w:rsid w:val="007842D7"/>
    <w:rsid w:val="0078469E"/>
    <w:rsid w:val="007846C5"/>
    <w:rsid w:val="00784F3C"/>
    <w:rsid w:val="0078544D"/>
    <w:rsid w:val="0078562B"/>
    <w:rsid w:val="00785DA7"/>
    <w:rsid w:val="00786000"/>
    <w:rsid w:val="00786D16"/>
    <w:rsid w:val="00786E09"/>
    <w:rsid w:val="007874DE"/>
    <w:rsid w:val="00787A87"/>
    <w:rsid w:val="00790117"/>
    <w:rsid w:val="007901A8"/>
    <w:rsid w:val="00790279"/>
    <w:rsid w:val="00790768"/>
    <w:rsid w:val="007909CC"/>
    <w:rsid w:val="00791496"/>
    <w:rsid w:val="00791A72"/>
    <w:rsid w:val="00791D49"/>
    <w:rsid w:val="00791DDA"/>
    <w:rsid w:val="00792272"/>
    <w:rsid w:val="007923E9"/>
    <w:rsid w:val="007924C4"/>
    <w:rsid w:val="00792864"/>
    <w:rsid w:val="00792939"/>
    <w:rsid w:val="00792B8C"/>
    <w:rsid w:val="007930F5"/>
    <w:rsid w:val="0079329D"/>
    <w:rsid w:val="007933D0"/>
    <w:rsid w:val="0079374E"/>
    <w:rsid w:val="00793F77"/>
    <w:rsid w:val="007941D3"/>
    <w:rsid w:val="00794D14"/>
    <w:rsid w:val="00795063"/>
    <w:rsid w:val="0079531D"/>
    <w:rsid w:val="007959D8"/>
    <w:rsid w:val="00795CB1"/>
    <w:rsid w:val="0079630F"/>
    <w:rsid w:val="00796573"/>
    <w:rsid w:val="00796C97"/>
    <w:rsid w:val="00796D00"/>
    <w:rsid w:val="00796D50"/>
    <w:rsid w:val="00797281"/>
    <w:rsid w:val="0079788C"/>
    <w:rsid w:val="00797A8A"/>
    <w:rsid w:val="00797B01"/>
    <w:rsid w:val="00797B2B"/>
    <w:rsid w:val="00797C92"/>
    <w:rsid w:val="00797CBB"/>
    <w:rsid w:val="00797EEB"/>
    <w:rsid w:val="007A0055"/>
    <w:rsid w:val="007A0146"/>
    <w:rsid w:val="007A017B"/>
    <w:rsid w:val="007A0262"/>
    <w:rsid w:val="007A0355"/>
    <w:rsid w:val="007A04C2"/>
    <w:rsid w:val="007A0699"/>
    <w:rsid w:val="007A069E"/>
    <w:rsid w:val="007A07E8"/>
    <w:rsid w:val="007A0D0E"/>
    <w:rsid w:val="007A111C"/>
    <w:rsid w:val="007A1768"/>
    <w:rsid w:val="007A1C3B"/>
    <w:rsid w:val="007A1F14"/>
    <w:rsid w:val="007A2A16"/>
    <w:rsid w:val="007A2AF1"/>
    <w:rsid w:val="007A2C64"/>
    <w:rsid w:val="007A2D8B"/>
    <w:rsid w:val="007A2D97"/>
    <w:rsid w:val="007A2F22"/>
    <w:rsid w:val="007A2FAC"/>
    <w:rsid w:val="007A329F"/>
    <w:rsid w:val="007A3A4E"/>
    <w:rsid w:val="007A3D78"/>
    <w:rsid w:val="007A3F72"/>
    <w:rsid w:val="007A4183"/>
    <w:rsid w:val="007A4188"/>
    <w:rsid w:val="007A4238"/>
    <w:rsid w:val="007A426D"/>
    <w:rsid w:val="007A47D0"/>
    <w:rsid w:val="007A4963"/>
    <w:rsid w:val="007A4F78"/>
    <w:rsid w:val="007A52F9"/>
    <w:rsid w:val="007A572E"/>
    <w:rsid w:val="007A5936"/>
    <w:rsid w:val="007A69AB"/>
    <w:rsid w:val="007A70A3"/>
    <w:rsid w:val="007A7F7D"/>
    <w:rsid w:val="007B0388"/>
    <w:rsid w:val="007B0520"/>
    <w:rsid w:val="007B0B1F"/>
    <w:rsid w:val="007B0B72"/>
    <w:rsid w:val="007B11F8"/>
    <w:rsid w:val="007B146A"/>
    <w:rsid w:val="007B159B"/>
    <w:rsid w:val="007B1914"/>
    <w:rsid w:val="007B28BE"/>
    <w:rsid w:val="007B33B5"/>
    <w:rsid w:val="007B342D"/>
    <w:rsid w:val="007B35F5"/>
    <w:rsid w:val="007B363F"/>
    <w:rsid w:val="007B36FD"/>
    <w:rsid w:val="007B3C14"/>
    <w:rsid w:val="007B3E6D"/>
    <w:rsid w:val="007B4572"/>
    <w:rsid w:val="007B553F"/>
    <w:rsid w:val="007B57C9"/>
    <w:rsid w:val="007B6C70"/>
    <w:rsid w:val="007B7663"/>
    <w:rsid w:val="007B771B"/>
    <w:rsid w:val="007B779C"/>
    <w:rsid w:val="007B783C"/>
    <w:rsid w:val="007B78B3"/>
    <w:rsid w:val="007B7B07"/>
    <w:rsid w:val="007C045D"/>
    <w:rsid w:val="007C08E8"/>
    <w:rsid w:val="007C0E24"/>
    <w:rsid w:val="007C0E7C"/>
    <w:rsid w:val="007C0EAA"/>
    <w:rsid w:val="007C0FB5"/>
    <w:rsid w:val="007C1679"/>
    <w:rsid w:val="007C179C"/>
    <w:rsid w:val="007C1830"/>
    <w:rsid w:val="007C18E3"/>
    <w:rsid w:val="007C19C3"/>
    <w:rsid w:val="007C2510"/>
    <w:rsid w:val="007C276E"/>
    <w:rsid w:val="007C2B5F"/>
    <w:rsid w:val="007C2DB1"/>
    <w:rsid w:val="007C38BD"/>
    <w:rsid w:val="007C3D87"/>
    <w:rsid w:val="007C3E66"/>
    <w:rsid w:val="007C3F66"/>
    <w:rsid w:val="007C4069"/>
    <w:rsid w:val="007C43AB"/>
    <w:rsid w:val="007C44B1"/>
    <w:rsid w:val="007C44B2"/>
    <w:rsid w:val="007C4DEF"/>
    <w:rsid w:val="007C513D"/>
    <w:rsid w:val="007C5184"/>
    <w:rsid w:val="007C5367"/>
    <w:rsid w:val="007C54EE"/>
    <w:rsid w:val="007C5533"/>
    <w:rsid w:val="007C55BB"/>
    <w:rsid w:val="007C577C"/>
    <w:rsid w:val="007C5E2B"/>
    <w:rsid w:val="007C5F27"/>
    <w:rsid w:val="007C6496"/>
    <w:rsid w:val="007C66BF"/>
    <w:rsid w:val="007C68FF"/>
    <w:rsid w:val="007C6ADC"/>
    <w:rsid w:val="007C745E"/>
    <w:rsid w:val="007C784F"/>
    <w:rsid w:val="007C7973"/>
    <w:rsid w:val="007D0ABE"/>
    <w:rsid w:val="007D0B34"/>
    <w:rsid w:val="007D0F9B"/>
    <w:rsid w:val="007D2038"/>
    <w:rsid w:val="007D22EC"/>
    <w:rsid w:val="007D2579"/>
    <w:rsid w:val="007D2647"/>
    <w:rsid w:val="007D27BC"/>
    <w:rsid w:val="007D2921"/>
    <w:rsid w:val="007D2B1D"/>
    <w:rsid w:val="007D2CDC"/>
    <w:rsid w:val="007D3328"/>
    <w:rsid w:val="007D3AA9"/>
    <w:rsid w:val="007D3D18"/>
    <w:rsid w:val="007D3EC5"/>
    <w:rsid w:val="007D467B"/>
    <w:rsid w:val="007D4A9F"/>
    <w:rsid w:val="007D4BA4"/>
    <w:rsid w:val="007D4CA3"/>
    <w:rsid w:val="007D5BED"/>
    <w:rsid w:val="007D5D19"/>
    <w:rsid w:val="007D621A"/>
    <w:rsid w:val="007D6A54"/>
    <w:rsid w:val="007D6E70"/>
    <w:rsid w:val="007D7264"/>
    <w:rsid w:val="007D77A0"/>
    <w:rsid w:val="007D784B"/>
    <w:rsid w:val="007D78DD"/>
    <w:rsid w:val="007E017D"/>
    <w:rsid w:val="007E02BB"/>
    <w:rsid w:val="007E0CA9"/>
    <w:rsid w:val="007E0E53"/>
    <w:rsid w:val="007E0EFA"/>
    <w:rsid w:val="007E106E"/>
    <w:rsid w:val="007E12BA"/>
    <w:rsid w:val="007E13CD"/>
    <w:rsid w:val="007E185C"/>
    <w:rsid w:val="007E25EC"/>
    <w:rsid w:val="007E29A6"/>
    <w:rsid w:val="007E2B51"/>
    <w:rsid w:val="007E3062"/>
    <w:rsid w:val="007E316A"/>
    <w:rsid w:val="007E319A"/>
    <w:rsid w:val="007E356F"/>
    <w:rsid w:val="007E391E"/>
    <w:rsid w:val="007E3F8C"/>
    <w:rsid w:val="007E45C9"/>
    <w:rsid w:val="007E4838"/>
    <w:rsid w:val="007E553C"/>
    <w:rsid w:val="007E56CA"/>
    <w:rsid w:val="007E58CC"/>
    <w:rsid w:val="007E5B3F"/>
    <w:rsid w:val="007E5BF0"/>
    <w:rsid w:val="007E5C8A"/>
    <w:rsid w:val="007E60B6"/>
    <w:rsid w:val="007E6544"/>
    <w:rsid w:val="007E685C"/>
    <w:rsid w:val="007E6A84"/>
    <w:rsid w:val="007E6BA2"/>
    <w:rsid w:val="007E6CA0"/>
    <w:rsid w:val="007E75A2"/>
    <w:rsid w:val="007E79FD"/>
    <w:rsid w:val="007E7A4B"/>
    <w:rsid w:val="007E7B08"/>
    <w:rsid w:val="007F1019"/>
    <w:rsid w:val="007F11A6"/>
    <w:rsid w:val="007F15F1"/>
    <w:rsid w:val="007F172E"/>
    <w:rsid w:val="007F198A"/>
    <w:rsid w:val="007F203C"/>
    <w:rsid w:val="007F2058"/>
    <w:rsid w:val="007F22E3"/>
    <w:rsid w:val="007F2C48"/>
    <w:rsid w:val="007F3104"/>
    <w:rsid w:val="007F311D"/>
    <w:rsid w:val="007F3177"/>
    <w:rsid w:val="007F31E5"/>
    <w:rsid w:val="007F39EA"/>
    <w:rsid w:val="007F3F4A"/>
    <w:rsid w:val="007F415B"/>
    <w:rsid w:val="007F41A3"/>
    <w:rsid w:val="007F496A"/>
    <w:rsid w:val="007F5159"/>
    <w:rsid w:val="007F5295"/>
    <w:rsid w:val="007F5FD2"/>
    <w:rsid w:val="007F6374"/>
    <w:rsid w:val="007F65D0"/>
    <w:rsid w:val="007F6921"/>
    <w:rsid w:val="007F6D6D"/>
    <w:rsid w:val="007F7280"/>
    <w:rsid w:val="007F72AE"/>
    <w:rsid w:val="007F7602"/>
    <w:rsid w:val="007F7685"/>
    <w:rsid w:val="007F7792"/>
    <w:rsid w:val="007F7AAB"/>
    <w:rsid w:val="0080011D"/>
    <w:rsid w:val="0080072B"/>
    <w:rsid w:val="00800CFC"/>
    <w:rsid w:val="00800D02"/>
    <w:rsid w:val="00800EA5"/>
    <w:rsid w:val="00801180"/>
    <w:rsid w:val="00801456"/>
    <w:rsid w:val="008015AC"/>
    <w:rsid w:val="008015FA"/>
    <w:rsid w:val="00801A86"/>
    <w:rsid w:val="00801C01"/>
    <w:rsid w:val="00801CBE"/>
    <w:rsid w:val="00802311"/>
    <w:rsid w:val="008028A7"/>
    <w:rsid w:val="00802E4E"/>
    <w:rsid w:val="00802F36"/>
    <w:rsid w:val="0080360C"/>
    <w:rsid w:val="008038D6"/>
    <w:rsid w:val="00803C8B"/>
    <w:rsid w:val="00803FAE"/>
    <w:rsid w:val="008048EF"/>
    <w:rsid w:val="00804DEE"/>
    <w:rsid w:val="008055AD"/>
    <w:rsid w:val="008063CB"/>
    <w:rsid w:val="008069E2"/>
    <w:rsid w:val="00806ABB"/>
    <w:rsid w:val="00807021"/>
    <w:rsid w:val="00807598"/>
    <w:rsid w:val="00810810"/>
    <w:rsid w:val="0081090C"/>
    <w:rsid w:val="00810A3D"/>
    <w:rsid w:val="00810FF8"/>
    <w:rsid w:val="00811277"/>
    <w:rsid w:val="008112CC"/>
    <w:rsid w:val="00811A60"/>
    <w:rsid w:val="00811CA8"/>
    <w:rsid w:val="00811D56"/>
    <w:rsid w:val="00812A73"/>
    <w:rsid w:val="00812BED"/>
    <w:rsid w:val="00812C8C"/>
    <w:rsid w:val="0081300F"/>
    <w:rsid w:val="008130BB"/>
    <w:rsid w:val="00813D7D"/>
    <w:rsid w:val="00813DE7"/>
    <w:rsid w:val="008147C6"/>
    <w:rsid w:val="0081491A"/>
    <w:rsid w:val="00814E13"/>
    <w:rsid w:val="008151D9"/>
    <w:rsid w:val="00815388"/>
    <w:rsid w:val="0081560F"/>
    <w:rsid w:val="0081578C"/>
    <w:rsid w:val="00815AA1"/>
    <w:rsid w:val="008166EF"/>
    <w:rsid w:val="008167C1"/>
    <w:rsid w:val="00816B70"/>
    <w:rsid w:val="00816E26"/>
    <w:rsid w:val="00817406"/>
    <w:rsid w:val="0081749C"/>
    <w:rsid w:val="008176FE"/>
    <w:rsid w:val="0082003D"/>
    <w:rsid w:val="0082020B"/>
    <w:rsid w:val="008202BA"/>
    <w:rsid w:val="008202EC"/>
    <w:rsid w:val="00820357"/>
    <w:rsid w:val="00820394"/>
    <w:rsid w:val="0082067E"/>
    <w:rsid w:val="008208A7"/>
    <w:rsid w:val="00820C33"/>
    <w:rsid w:val="00820C58"/>
    <w:rsid w:val="008216AD"/>
    <w:rsid w:val="0082177D"/>
    <w:rsid w:val="00821E25"/>
    <w:rsid w:val="008233EA"/>
    <w:rsid w:val="008237FA"/>
    <w:rsid w:val="00823F72"/>
    <w:rsid w:val="008242BC"/>
    <w:rsid w:val="008248B5"/>
    <w:rsid w:val="008259AB"/>
    <w:rsid w:val="00825BB1"/>
    <w:rsid w:val="00825D37"/>
    <w:rsid w:val="0082602B"/>
    <w:rsid w:val="00826525"/>
    <w:rsid w:val="00826806"/>
    <w:rsid w:val="00826904"/>
    <w:rsid w:val="00826F8A"/>
    <w:rsid w:val="008274A7"/>
    <w:rsid w:val="00827A61"/>
    <w:rsid w:val="0083018F"/>
    <w:rsid w:val="0083040E"/>
    <w:rsid w:val="00830592"/>
    <w:rsid w:val="00830887"/>
    <w:rsid w:val="00830B30"/>
    <w:rsid w:val="00830F63"/>
    <w:rsid w:val="00831B6A"/>
    <w:rsid w:val="0083227F"/>
    <w:rsid w:val="00832327"/>
    <w:rsid w:val="008324D4"/>
    <w:rsid w:val="0083296F"/>
    <w:rsid w:val="00832CAA"/>
    <w:rsid w:val="00832F95"/>
    <w:rsid w:val="0083343B"/>
    <w:rsid w:val="00833927"/>
    <w:rsid w:val="00833C5F"/>
    <w:rsid w:val="0083412B"/>
    <w:rsid w:val="008347C4"/>
    <w:rsid w:val="0083496E"/>
    <w:rsid w:val="00834C79"/>
    <w:rsid w:val="008351A4"/>
    <w:rsid w:val="008355DD"/>
    <w:rsid w:val="008355DF"/>
    <w:rsid w:val="008365E8"/>
    <w:rsid w:val="008369B0"/>
    <w:rsid w:val="00836A9D"/>
    <w:rsid w:val="00836CCB"/>
    <w:rsid w:val="00836E6F"/>
    <w:rsid w:val="008372D1"/>
    <w:rsid w:val="0083794C"/>
    <w:rsid w:val="00837962"/>
    <w:rsid w:val="00840A95"/>
    <w:rsid w:val="008419D4"/>
    <w:rsid w:val="00841E8C"/>
    <w:rsid w:val="00842144"/>
    <w:rsid w:val="008421AE"/>
    <w:rsid w:val="008423CF"/>
    <w:rsid w:val="008424D3"/>
    <w:rsid w:val="0084263E"/>
    <w:rsid w:val="008427B9"/>
    <w:rsid w:val="00842B06"/>
    <w:rsid w:val="008432A2"/>
    <w:rsid w:val="0084488F"/>
    <w:rsid w:val="00844C05"/>
    <w:rsid w:val="008451C6"/>
    <w:rsid w:val="00845394"/>
    <w:rsid w:val="0084563E"/>
    <w:rsid w:val="00845AD0"/>
    <w:rsid w:val="00845C1E"/>
    <w:rsid w:val="0084638A"/>
    <w:rsid w:val="00846BDB"/>
    <w:rsid w:val="00846C06"/>
    <w:rsid w:val="00847209"/>
    <w:rsid w:val="00847552"/>
    <w:rsid w:val="00850395"/>
    <w:rsid w:val="00850627"/>
    <w:rsid w:val="00850630"/>
    <w:rsid w:val="00850CD4"/>
    <w:rsid w:val="00850F88"/>
    <w:rsid w:val="0085127A"/>
    <w:rsid w:val="00851284"/>
    <w:rsid w:val="00851579"/>
    <w:rsid w:val="00852324"/>
    <w:rsid w:val="0085260F"/>
    <w:rsid w:val="00852AD5"/>
    <w:rsid w:val="00852C0D"/>
    <w:rsid w:val="00852CF1"/>
    <w:rsid w:val="00853810"/>
    <w:rsid w:val="00853A7B"/>
    <w:rsid w:val="00853B89"/>
    <w:rsid w:val="00854539"/>
    <w:rsid w:val="00854A03"/>
    <w:rsid w:val="00854ACC"/>
    <w:rsid w:val="00855361"/>
    <w:rsid w:val="0085538D"/>
    <w:rsid w:val="008557E4"/>
    <w:rsid w:val="00855F57"/>
    <w:rsid w:val="00856849"/>
    <w:rsid w:val="0085691B"/>
    <w:rsid w:val="00856BFE"/>
    <w:rsid w:val="0085709B"/>
    <w:rsid w:val="00857240"/>
    <w:rsid w:val="0085732C"/>
    <w:rsid w:val="0085770D"/>
    <w:rsid w:val="00857C91"/>
    <w:rsid w:val="00857DFF"/>
    <w:rsid w:val="008609B2"/>
    <w:rsid w:val="00860B45"/>
    <w:rsid w:val="00860BC1"/>
    <w:rsid w:val="00860CEF"/>
    <w:rsid w:val="00861075"/>
    <w:rsid w:val="008610E3"/>
    <w:rsid w:val="008614FD"/>
    <w:rsid w:val="00861546"/>
    <w:rsid w:val="008618AD"/>
    <w:rsid w:val="00861B90"/>
    <w:rsid w:val="00861D87"/>
    <w:rsid w:val="00861DF0"/>
    <w:rsid w:val="00861EFB"/>
    <w:rsid w:val="00861F68"/>
    <w:rsid w:val="00862184"/>
    <w:rsid w:val="0086221B"/>
    <w:rsid w:val="0086235F"/>
    <w:rsid w:val="008624A5"/>
    <w:rsid w:val="00862659"/>
    <w:rsid w:val="0086266B"/>
    <w:rsid w:val="00862A89"/>
    <w:rsid w:val="00862BF0"/>
    <w:rsid w:val="00863860"/>
    <w:rsid w:val="008638B5"/>
    <w:rsid w:val="00864040"/>
    <w:rsid w:val="008641A0"/>
    <w:rsid w:val="00864395"/>
    <w:rsid w:val="00864E88"/>
    <w:rsid w:val="00865066"/>
    <w:rsid w:val="0086533B"/>
    <w:rsid w:val="008659A2"/>
    <w:rsid w:val="00865CCA"/>
    <w:rsid w:val="00866750"/>
    <w:rsid w:val="00866B47"/>
    <w:rsid w:val="00866C28"/>
    <w:rsid w:val="00867565"/>
    <w:rsid w:val="00867638"/>
    <w:rsid w:val="008679F7"/>
    <w:rsid w:val="0087024B"/>
    <w:rsid w:val="008706F4"/>
    <w:rsid w:val="00871621"/>
    <w:rsid w:val="008719DF"/>
    <w:rsid w:val="00872457"/>
    <w:rsid w:val="00872AA9"/>
    <w:rsid w:val="00872D06"/>
    <w:rsid w:val="008730F2"/>
    <w:rsid w:val="008734DB"/>
    <w:rsid w:val="00873772"/>
    <w:rsid w:val="008737B0"/>
    <w:rsid w:val="008738F2"/>
    <w:rsid w:val="0087390B"/>
    <w:rsid w:val="00873FF2"/>
    <w:rsid w:val="00874035"/>
    <w:rsid w:val="008743F5"/>
    <w:rsid w:val="008745A1"/>
    <w:rsid w:val="008747EB"/>
    <w:rsid w:val="00874F49"/>
    <w:rsid w:val="008754A3"/>
    <w:rsid w:val="00875A5E"/>
    <w:rsid w:val="00875B7E"/>
    <w:rsid w:val="008763E3"/>
    <w:rsid w:val="00876521"/>
    <w:rsid w:val="00876646"/>
    <w:rsid w:val="008768E9"/>
    <w:rsid w:val="00876967"/>
    <w:rsid w:val="008770E8"/>
    <w:rsid w:val="00877293"/>
    <w:rsid w:val="0087745C"/>
    <w:rsid w:val="0087751B"/>
    <w:rsid w:val="00880190"/>
    <w:rsid w:val="00880677"/>
    <w:rsid w:val="00880BD4"/>
    <w:rsid w:val="00880DAC"/>
    <w:rsid w:val="00880FEC"/>
    <w:rsid w:val="008814ED"/>
    <w:rsid w:val="00881816"/>
    <w:rsid w:val="00881A32"/>
    <w:rsid w:val="00881E94"/>
    <w:rsid w:val="00882512"/>
    <w:rsid w:val="00882A47"/>
    <w:rsid w:val="00882F66"/>
    <w:rsid w:val="00883236"/>
    <w:rsid w:val="00883348"/>
    <w:rsid w:val="008836D6"/>
    <w:rsid w:val="008838DF"/>
    <w:rsid w:val="00883BD3"/>
    <w:rsid w:val="00883C38"/>
    <w:rsid w:val="0088467A"/>
    <w:rsid w:val="008846FB"/>
    <w:rsid w:val="00884A6F"/>
    <w:rsid w:val="00884B13"/>
    <w:rsid w:val="00884F0E"/>
    <w:rsid w:val="00884FD1"/>
    <w:rsid w:val="008863FD"/>
    <w:rsid w:val="008868B7"/>
    <w:rsid w:val="0088770D"/>
    <w:rsid w:val="00887796"/>
    <w:rsid w:val="00887976"/>
    <w:rsid w:val="00887C88"/>
    <w:rsid w:val="00887FDE"/>
    <w:rsid w:val="00890278"/>
    <w:rsid w:val="008903EC"/>
    <w:rsid w:val="00890995"/>
    <w:rsid w:val="00891133"/>
    <w:rsid w:val="008914D4"/>
    <w:rsid w:val="008914FB"/>
    <w:rsid w:val="00891E11"/>
    <w:rsid w:val="0089237F"/>
    <w:rsid w:val="00892516"/>
    <w:rsid w:val="0089284E"/>
    <w:rsid w:val="00892A9C"/>
    <w:rsid w:val="00892B0A"/>
    <w:rsid w:val="00892E09"/>
    <w:rsid w:val="00892EDF"/>
    <w:rsid w:val="00892EED"/>
    <w:rsid w:val="0089353A"/>
    <w:rsid w:val="008939AB"/>
    <w:rsid w:val="008939D1"/>
    <w:rsid w:val="00894D8D"/>
    <w:rsid w:val="008954EA"/>
    <w:rsid w:val="00895CEE"/>
    <w:rsid w:val="00895D92"/>
    <w:rsid w:val="008964EC"/>
    <w:rsid w:val="0089665E"/>
    <w:rsid w:val="00896A79"/>
    <w:rsid w:val="00896A8E"/>
    <w:rsid w:val="00897167"/>
    <w:rsid w:val="0089737A"/>
    <w:rsid w:val="00897E99"/>
    <w:rsid w:val="00897F60"/>
    <w:rsid w:val="008A0156"/>
    <w:rsid w:val="008A03B2"/>
    <w:rsid w:val="008A0AD1"/>
    <w:rsid w:val="008A127B"/>
    <w:rsid w:val="008A183C"/>
    <w:rsid w:val="008A2355"/>
    <w:rsid w:val="008A2C02"/>
    <w:rsid w:val="008A2DD3"/>
    <w:rsid w:val="008A34D1"/>
    <w:rsid w:val="008A35C8"/>
    <w:rsid w:val="008A3DFC"/>
    <w:rsid w:val="008A3EA4"/>
    <w:rsid w:val="008A4105"/>
    <w:rsid w:val="008A4150"/>
    <w:rsid w:val="008A4829"/>
    <w:rsid w:val="008A4C85"/>
    <w:rsid w:val="008A4D45"/>
    <w:rsid w:val="008A57F8"/>
    <w:rsid w:val="008A6206"/>
    <w:rsid w:val="008A6291"/>
    <w:rsid w:val="008A65A5"/>
    <w:rsid w:val="008A6ACC"/>
    <w:rsid w:val="008A6DB7"/>
    <w:rsid w:val="008A6ECE"/>
    <w:rsid w:val="008A7612"/>
    <w:rsid w:val="008A77B7"/>
    <w:rsid w:val="008A7B26"/>
    <w:rsid w:val="008B00A3"/>
    <w:rsid w:val="008B01E0"/>
    <w:rsid w:val="008B0B1E"/>
    <w:rsid w:val="008B0E05"/>
    <w:rsid w:val="008B0FCB"/>
    <w:rsid w:val="008B1184"/>
    <w:rsid w:val="008B2257"/>
    <w:rsid w:val="008B2384"/>
    <w:rsid w:val="008B2BEA"/>
    <w:rsid w:val="008B2C4F"/>
    <w:rsid w:val="008B2D98"/>
    <w:rsid w:val="008B2E25"/>
    <w:rsid w:val="008B31A4"/>
    <w:rsid w:val="008B3242"/>
    <w:rsid w:val="008B36C1"/>
    <w:rsid w:val="008B3857"/>
    <w:rsid w:val="008B38D6"/>
    <w:rsid w:val="008B3E0C"/>
    <w:rsid w:val="008B42FE"/>
    <w:rsid w:val="008B4738"/>
    <w:rsid w:val="008B4802"/>
    <w:rsid w:val="008B4A93"/>
    <w:rsid w:val="008B51AB"/>
    <w:rsid w:val="008B5440"/>
    <w:rsid w:val="008B545D"/>
    <w:rsid w:val="008B622C"/>
    <w:rsid w:val="008B690C"/>
    <w:rsid w:val="008B69E3"/>
    <w:rsid w:val="008B7347"/>
    <w:rsid w:val="008B76D3"/>
    <w:rsid w:val="008B7AA4"/>
    <w:rsid w:val="008C07CB"/>
    <w:rsid w:val="008C0E79"/>
    <w:rsid w:val="008C0F17"/>
    <w:rsid w:val="008C1821"/>
    <w:rsid w:val="008C1D6C"/>
    <w:rsid w:val="008C1FD1"/>
    <w:rsid w:val="008C24A8"/>
    <w:rsid w:val="008C2D52"/>
    <w:rsid w:val="008C30F5"/>
    <w:rsid w:val="008C3379"/>
    <w:rsid w:val="008C3432"/>
    <w:rsid w:val="008C35EF"/>
    <w:rsid w:val="008C3664"/>
    <w:rsid w:val="008C3910"/>
    <w:rsid w:val="008C4225"/>
    <w:rsid w:val="008C473B"/>
    <w:rsid w:val="008C4CDF"/>
    <w:rsid w:val="008C506A"/>
    <w:rsid w:val="008C5996"/>
    <w:rsid w:val="008C5E59"/>
    <w:rsid w:val="008C5F00"/>
    <w:rsid w:val="008C682A"/>
    <w:rsid w:val="008C6913"/>
    <w:rsid w:val="008C6A15"/>
    <w:rsid w:val="008C74B4"/>
    <w:rsid w:val="008C7978"/>
    <w:rsid w:val="008C79CE"/>
    <w:rsid w:val="008C79D3"/>
    <w:rsid w:val="008D0713"/>
    <w:rsid w:val="008D0969"/>
    <w:rsid w:val="008D0B64"/>
    <w:rsid w:val="008D0BC3"/>
    <w:rsid w:val="008D1B23"/>
    <w:rsid w:val="008D2672"/>
    <w:rsid w:val="008D2B95"/>
    <w:rsid w:val="008D38D0"/>
    <w:rsid w:val="008D3E45"/>
    <w:rsid w:val="008D4752"/>
    <w:rsid w:val="008D4B57"/>
    <w:rsid w:val="008D4FA9"/>
    <w:rsid w:val="008D5676"/>
    <w:rsid w:val="008D570B"/>
    <w:rsid w:val="008D5A11"/>
    <w:rsid w:val="008D5AE5"/>
    <w:rsid w:val="008D5E23"/>
    <w:rsid w:val="008D6EC3"/>
    <w:rsid w:val="008D707C"/>
    <w:rsid w:val="008D7362"/>
    <w:rsid w:val="008D752A"/>
    <w:rsid w:val="008D77AF"/>
    <w:rsid w:val="008E007F"/>
    <w:rsid w:val="008E02FC"/>
    <w:rsid w:val="008E04EA"/>
    <w:rsid w:val="008E0C50"/>
    <w:rsid w:val="008E1827"/>
    <w:rsid w:val="008E1CC1"/>
    <w:rsid w:val="008E1D8C"/>
    <w:rsid w:val="008E1F43"/>
    <w:rsid w:val="008E2918"/>
    <w:rsid w:val="008E296C"/>
    <w:rsid w:val="008E2B0C"/>
    <w:rsid w:val="008E33DC"/>
    <w:rsid w:val="008E34E2"/>
    <w:rsid w:val="008E3E2D"/>
    <w:rsid w:val="008E49F6"/>
    <w:rsid w:val="008E4C26"/>
    <w:rsid w:val="008E510D"/>
    <w:rsid w:val="008E54E4"/>
    <w:rsid w:val="008E5791"/>
    <w:rsid w:val="008E64BA"/>
    <w:rsid w:val="008E68E5"/>
    <w:rsid w:val="008E68EC"/>
    <w:rsid w:val="008E6A03"/>
    <w:rsid w:val="008E6D59"/>
    <w:rsid w:val="008E7B1F"/>
    <w:rsid w:val="008F0324"/>
    <w:rsid w:val="008F08EF"/>
    <w:rsid w:val="008F0B83"/>
    <w:rsid w:val="008F0C4A"/>
    <w:rsid w:val="008F1496"/>
    <w:rsid w:val="008F14B2"/>
    <w:rsid w:val="008F1513"/>
    <w:rsid w:val="008F1F2D"/>
    <w:rsid w:val="008F2148"/>
    <w:rsid w:val="008F23E0"/>
    <w:rsid w:val="008F24AB"/>
    <w:rsid w:val="008F2B87"/>
    <w:rsid w:val="008F3092"/>
    <w:rsid w:val="008F30C7"/>
    <w:rsid w:val="008F31BB"/>
    <w:rsid w:val="008F3424"/>
    <w:rsid w:val="008F39D7"/>
    <w:rsid w:val="008F3A6E"/>
    <w:rsid w:val="008F43A9"/>
    <w:rsid w:val="008F4501"/>
    <w:rsid w:val="008F4527"/>
    <w:rsid w:val="008F488F"/>
    <w:rsid w:val="008F48E7"/>
    <w:rsid w:val="008F4AAF"/>
    <w:rsid w:val="008F4D13"/>
    <w:rsid w:val="008F52D1"/>
    <w:rsid w:val="008F5495"/>
    <w:rsid w:val="008F5D66"/>
    <w:rsid w:val="008F5DA7"/>
    <w:rsid w:val="008F5EB4"/>
    <w:rsid w:val="008F6560"/>
    <w:rsid w:val="008F66D3"/>
    <w:rsid w:val="008F6CBE"/>
    <w:rsid w:val="008F6D4A"/>
    <w:rsid w:val="008F6EAA"/>
    <w:rsid w:val="008F7310"/>
    <w:rsid w:val="008F7407"/>
    <w:rsid w:val="008F7625"/>
    <w:rsid w:val="008F7EFE"/>
    <w:rsid w:val="0090009D"/>
    <w:rsid w:val="0090036D"/>
    <w:rsid w:val="009005A5"/>
    <w:rsid w:val="00900AA5"/>
    <w:rsid w:val="00900C24"/>
    <w:rsid w:val="009018D4"/>
    <w:rsid w:val="00901A31"/>
    <w:rsid w:val="00901A62"/>
    <w:rsid w:val="00901D5B"/>
    <w:rsid w:val="00902118"/>
    <w:rsid w:val="00902196"/>
    <w:rsid w:val="009028AA"/>
    <w:rsid w:val="00902C4D"/>
    <w:rsid w:val="00902E69"/>
    <w:rsid w:val="00903342"/>
    <w:rsid w:val="009035D2"/>
    <w:rsid w:val="00903A1A"/>
    <w:rsid w:val="00903E3F"/>
    <w:rsid w:val="0090410B"/>
    <w:rsid w:val="009041C1"/>
    <w:rsid w:val="0090432C"/>
    <w:rsid w:val="009049C3"/>
    <w:rsid w:val="00904AB8"/>
    <w:rsid w:val="00904B8F"/>
    <w:rsid w:val="00904EFF"/>
    <w:rsid w:val="009057D9"/>
    <w:rsid w:val="00905972"/>
    <w:rsid w:val="00905C0D"/>
    <w:rsid w:val="00905CA0"/>
    <w:rsid w:val="00905DF4"/>
    <w:rsid w:val="00905F72"/>
    <w:rsid w:val="009061F7"/>
    <w:rsid w:val="00906524"/>
    <w:rsid w:val="009065D7"/>
    <w:rsid w:val="009069C6"/>
    <w:rsid w:val="00906AF5"/>
    <w:rsid w:val="00906BF7"/>
    <w:rsid w:val="00907168"/>
    <w:rsid w:val="0090739F"/>
    <w:rsid w:val="009074EB"/>
    <w:rsid w:val="009076D9"/>
    <w:rsid w:val="0090774A"/>
    <w:rsid w:val="00907868"/>
    <w:rsid w:val="00907C50"/>
    <w:rsid w:val="00907C97"/>
    <w:rsid w:val="00907F9C"/>
    <w:rsid w:val="00910305"/>
    <w:rsid w:val="00910350"/>
    <w:rsid w:val="00910D07"/>
    <w:rsid w:val="00910F0B"/>
    <w:rsid w:val="0091173C"/>
    <w:rsid w:val="00911B85"/>
    <w:rsid w:val="0091267B"/>
    <w:rsid w:val="009128E5"/>
    <w:rsid w:val="00912B9C"/>
    <w:rsid w:val="00912F05"/>
    <w:rsid w:val="00912F35"/>
    <w:rsid w:val="00913281"/>
    <w:rsid w:val="00913304"/>
    <w:rsid w:val="00913A05"/>
    <w:rsid w:val="00913B3E"/>
    <w:rsid w:val="0091467D"/>
    <w:rsid w:val="009147A7"/>
    <w:rsid w:val="00914B2F"/>
    <w:rsid w:val="009150E6"/>
    <w:rsid w:val="009155A0"/>
    <w:rsid w:val="009159BD"/>
    <w:rsid w:val="00916290"/>
    <w:rsid w:val="0091671D"/>
    <w:rsid w:val="00916775"/>
    <w:rsid w:val="00916991"/>
    <w:rsid w:val="00916EE1"/>
    <w:rsid w:val="00916F37"/>
    <w:rsid w:val="00917285"/>
    <w:rsid w:val="009173CF"/>
    <w:rsid w:val="0091742B"/>
    <w:rsid w:val="009177E1"/>
    <w:rsid w:val="00917A53"/>
    <w:rsid w:val="00917F89"/>
    <w:rsid w:val="00920636"/>
    <w:rsid w:val="00920706"/>
    <w:rsid w:val="009208F2"/>
    <w:rsid w:val="00920CD4"/>
    <w:rsid w:val="00920E11"/>
    <w:rsid w:val="00920EFD"/>
    <w:rsid w:val="00921010"/>
    <w:rsid w:val="0092128B"/>
    <w:rsid w:val="00921D8A"/>
    <w:rsid w:val="00922235"/>
    <w:rsid w:val="009223BE"/>
    <w:rsid w:val="00922407"/>
    <w:rsid w:val="00922A41"/>
    <w:rsid w:val="00923C6B"/>
    <w:rsid w:val="00923DEB"/>
    <w:rsid w:val="0092499B"/>
    <w:rsid w:val="00924F1B"/>
    <w:rsid w:val="00925332"/>
    <w:rsid w:val="009255EE"/>
    <w:rsid w:val="00925603"/>
    <w:rsid w:val="00925DDC"/>
    <w:rsid w:val="00925F76"/>
    <w:rsid w:val="00925FCE"/>
    <w:rsid w:val="00926396"/>
    <w:rsid w:val="009267A3"/>
    <w:rsid w:val="00926ABA"/>
    <w:rsid w:val="00927253"/>
    <w:rsid w:val="0092758E"/>
    <w:rsid w:val="0093013F"/>
    <w:rsid w:val="00930571"/>
    <w:rsid w:val="00930943"/>
    <w:rsid w:val="00930A5A"/>
    <w:rsid w:val="00930BE4"/>
    <w:rsid w:val="00930C28"/>
    <w:rsid w:val="00931535"/>
    <w:rsid w:val="009317D4"/>
    <w:rsid w:val="009319A3"/>
    <w:rsid w:val="009319E4"/>
    <w:rsid w:val="009319FA"/>
    <w:rsid w:val="00931BC6"/>
    <w:rsid w:val="00932E89"/>
    <w:rsid w:val="00932F1D"/>
    <w:rsid w:val="009330DB"/>
    <w:rsid w:val="00933579"/>
    <w:rsid w:val="0093359D"/>
    <w:rsid w:val="00933F2B"/>
    <w:rsid w:val="00934055"/>
    <w:rsid w:val="00934536"/>
    <w:rsid w:val="009347E8"/>
    <w:rsid w:val="00934930"/>
    <w:rsid w:val="00934AE9"/>
    <w:rsid w:val="00934E1A"/>
    <w:rsid w:val="00934E70"/>
    <w:rsid w:val="009351DC"/>
    <w:rsid w:val="00935864"/>
    <w:rsid w:val="00935F04"/>
    <w:rsid w:val="00935F28"/>
    <w:rsid w:val="00936539"/>
    <w:rsid w:val="00937788"/>
    <w:rsid w:val="00937A18"/>
    <w:rsid w:val="00937ACE"/>
    <w:rsid w:val="00937BC0"/>
    <w:rsid w:val="00940733"/>
    <w:rsid w:val="00940AC8"/>
    <w:rsid w:val="00940B97"/>
    <w:rsid w:val="00941492"/>
    <w:rsid w:val="00941BD7"/>
    <w:rsid w:val="00941C11"/>
    <w:rsid w:val="0094220A"/>
    <w:rsid w:val="00942854"/>
    <w:rsid w:val="0094295B"/>
    <w:rsid w:val="00942EEB"/>
    <w:rsid w:val="009431C5"/>
    <w:rsid w:val="00943240"/>
    <w:rsid w:val="009432F0"/>
    <w:rsid w:val="009436B0"/>
    <w:rsid w:val="009437FD"/>
    <w:rsid w:val="0094393C"/>
    <w:rsid w:val="0094394E"/>
    <w:rsid w:val="009439CC"/>
    <w:rsid w:val="00943AE9"/>
    <w:rsid w:val="00943C41"/>
    <w:rsid w:val="00943D1C"/>
    <w:rsid w:val="0094443E"/>
    <w:rsid w:val="0094468E"/>
    <w:rsid w:val="00944A11"/>
    <w:rsid w:val="00944B6E"/>
    <w:rsid w:val="00945261"/>
    <w:rsid w:val="00946162"/>
    <w:rsid w:val="00947377"/>
    <w:rsid w:val="00947717"/>
    <w:rsid w:val="00947937"/>
    <w:rsid w:val="00947C9C"/>
    <w:rsid w:val="00950006"/>
    <w:rsid w:val="009506A5"/>
    <w:rsid w:val="0095097D"/>
    <w:rsid w:val="00950B80"/>
    <w:rsid w:val="00950CDC"/>
    <w:rsid w:val="00951452"/>
    <w:rsid w:val="0095183B"/>
    <w:rsid w:val="00951C79"/>
    <w:rsid w:val="00951D88"/>
    <w:rsid w:val="0095227C"/>
    <w:rsid w:val="00952295"/>
    <w:rsid w:val="009524F7"/>
    <w:rsid w:val="00952577"/>
    <w:rsid w:val="00952ACD"/>
    <w:rsid w:val="00952D4C"/>
    <w:rsid w:val="00953417"/>
    <w:rsid w:val="009541CC"/>
    <w:rsid w:val="00954BB7"/>
    <w:rsid w:val="00954E4C"/>
    <w:rsid w:val="00955130"/>
    <w:rsid w:val="009552BF"/>
    <w:rsid w:val="00955434"/>
    <w:rsid w:val="009556B1"/>
    <w:rsid w:val="00955848"/>
    <w:rsid w:val="0095596B"/>
    <w:rsid w:val="00955A00"/>
    <w:rsid w:val="009564F7"/>
    <w:rsid w:val="00956564"/>
    <w:rsid w:val="009567A6"/>
    <w:rsid w:val="00956CEE"/>
    <w:rsid w:val="00956D5A"/>
    <w:rsid w:val="0095718A"/>
    <w:rsid w:val="00957D55"/>
    <w:rsid w:val="00960170"/>
    <w:rsid w:val="00960D52"/>
    <w:rsid w:val="00961B2C"/>
    <w:rsid w:val="00961DBB"/>
    <w:rsid w:val="009626F4"/>
    <w:rsid w:val="009627DF"/>
    <w:rsid w:val="00962BAE"/>
    <w:rsid w:val="00962C73"/>
    <w:rsid w:val="00962EDB"/>
    <w:rsid w:val="009630FD"/>
    <w:rsid w:val="009637C2"/>
    <w:rsid w:val="00963D2B"/>
    <w:rsid w:val="00963D5E"/>
    <w:rsid w:val="009646EB"/>
    <w:rsid w:val="009647A3"/>
    <w:rsid w:val="009649B2"/>
    <w:rsid w:val="00964A1A"/>
    <w:rsid w:val="00964B5E"/>
    <w:rsid w:val="00964DD6"/>
    <w:rsid w:val="00964FBA"/>
    <w:rsid w:val="0096500C"/>
    <w:rsid w:val="0096586E"/>
    <w:rsid w:val="0096603F"/>
    <w:rsid w:val="0096618E"/>
    <w:rsid w:val="00966898"/>
    <w:rsid w:val="0096691A"/>
    <w:rsid w:val="00966C0C"/>
    <w:rsid w:val="00966FAB"/>
    <w:rsid w:val="0096719C"/>
    <w:rsid w:val="00967266"/>
    <w:rsid w:val="0096766B"/>
    <w:rsid w:val="0096766C"/>
    <w:rsid w:val="00970478"/>
    <w:rsid w:val="00970940"/>
    <w:rsid w:val="009718C6"/>
    <w:rsid w:val="00971D34"/>
    <w:rsid w:val="00972430"/>
    <w:rsid w:val="0097278F"/>
    <w:rsid w:val="009727AB"/>
    <w:rsid w:val="0097491F"/>
    <w:rsid w:val="00974D6D"/>
    <w:rsid w:val="00975034"/>
    <w:rsid w:val="0097518A"/>
    <w:rsid w:val="009758AE"/>
    <w:rsid w:val="00976051"/>
    <w:rsid w:val="0097794A"/>
    <w:rsid w:val="00977BF1"/>
    <w:rsid w:val="00977CCC"/>
    <w:rsid w:val="00977D79"/>
    <w:rsid w:val="009806F4"/>
    <w:rsid w:val="009809AC"/>
    <w:rsid w:val="00980D79"/>
    <w:rsid w:val="00980DF9"/>
    <w:rsid w:val="00980E60"/>
    <w:rsid w:val="00981433"/>
    <w:rsid w:val="009817C9"/>
    <w:rsid w:val="00981C53"/>
    <w:rsid w:val="00981C5C"/>
    <w:rsid w:val="0098222F"/>
    <w:rsid w:val="0098244F"/>
    <w:rsid w:val="00982525"/>
    <w:rsid w:val="0098263F"/>
    <w:rsid w:val="00982B09"/>
    <w:rsid w:val="00983122"/>
    <w:rsid w:val="00983166"/>
    <w:rsid w:val="009837BE"/>
    <w:rsid w:val="00983F22"/>
    <w:rsid w:val="0098424F"/>
    <w:rsid w:val="0098430A"/>
    <w:rsid w:val="00984DAF"/>
    <w:rsid w:val="00985228"/>
    <w:rsid w:val="009855B9"/>
    <w:rsid w:val="0098578D"/>
    <w:rsid w:val="00985A9D"/>
    <w:rsid w:val="00985C07"/>
    <w:rsid w:val="00985CE7"/>
    <w:rsid w:val="00986263"/>
    <w:rsid w:val="009865B9"/>
    <w:rsid w:val="00986642"/>
    <w:rsid w:val="00986D89"/>
    <w:rsid w:val="00986FFB"/>
    <w:rsid w:val="00987786"/>
    <w:rsid w:val="0098779E"/>
    <w:rsid w:val="00987AE0"/>
    <w:rsid w:val="00990031"/>
    <w:rsid w:val="009900D3"/>
    <w:rsid w:val="009902F5"/>
    <w:rsid w:val="009904D7"/>
    <w:rsid w:val="009907D5"/>
    <w:rsid w:val="0099092F"/>
    <w:rsid w:val="0099095C"/>
    <w:rsid w:val="00990CA0"/>
    <w:rsid w:val="00991184"/>
    <w:rsid w:val="00991455"/>
    <w:rsid w:val="0099171E"/>
    <w:rsid w:val="00991766"/>
    <w:rsid w:val="00991B12"/>
    <w:rsid w:val="009921FA"/>
    <w:rsid w:val="0099262C"/>
    <w:rsid w:val="009929AB"/>
    <w:rsid w:val="00992B6E"/>
    <w:rsid w:val="00992C78"/>
    <w:rsid w:val="00992D0B"/>
    <w:rsid w:val="00992FEC"/>
    <w:rsid w:val="009938A7"/>
    <w:rsid w:val="0099409C"/>
    <w:rsid w:val="00994AF2"/>
    <w:rsid w:val="009951E9"/>
    <w:rsid w:val="00995354"/>
    <w:rsid w:val="009954FF"/>
    <w:rsid w:val="00995B4F"/>
    <w:rsid w:val="00995FA3"/>
    <w:rsid w:val="0099694E"/>
    <w:rsid w:val="00996B29"/>
    <w:rsid w:val="00996FF4"/>
    <w:rsid w:val="00997053"/>
    <w:rsid w:val="00997056"/>
    <w:rsid w:val="00997582"/>
    <w:rsid w:val="00997F39"/>
    <w:rsid w:val="009A1462"/>
    <w:rsid w:val="009A1D93"/>
    <w:rsid w:val="009A2042"/>
    <w:rsid w:val="009A21AE"/>
    <w:rsid w:val="009A22F8"/>
    <w:rsid w:val="009A25AB"/>
    <w:rsid w:val="009A27A0"/>
    <w:rsid w:val="009A2975"/>
    <w:rsid w:val="009A2C21"/>
    <w:rsid w:val="009A3E58"/>
    <w:rsid w:val="009A3F2C"/>
    <w:rsid w:val="009A405D"/>
    <w:rsid w:val="009A5F02"/>
    <w:rsid w:val="009A662F"/>
    <w:rsid w:val="009A759B"/>
    <w:rsid w:val="009A78F0"/>
    <w:rsid w:val="009A7969"/>
    <w:rsid w:val="009A7AB1"/>
    <w:rsid w:val="009B0144"/>
    <w:rsid w:val="009B0A0D"/>
    <w:rsid w:val="009B0FB7"/>
    <w:rsid w:val="009B1CD7"/>
    <w:rsid w:val="009B23B6"/>
    <w:rsid w:val="009B2A33"/>
    <w:rsid w:val="009B2F9B"/>
    <w:rsid w:val="009B33D1"/>
    <w:rsid w:val="009B3743"/>
    <w:rsid w:val="009B3802"/>
    <w:rsid w:val="009B3841"/>
    <w:rsid w:val="009B424D"/>
    <w:rsid w:val="009B4DD5"/>
    <w:rsid w:val="009B5022"/>
    <w:rsid w:val="009B578B"/>
    <w:rsid w:val="009B5AA7"/>
    <w:rsid w:val="009B5E66"/>
    <w:rsid w:val="009B6408"/>
    <w:rsid w:val="009B67EE"/>
    <w:rsid w:val="009B6970"/>
    <w:rsid w:val="009B6971"/>
    <w:rsid w:val="009B70E6"/>
    <w:rsid w:val="009B7CF1"/>
    <w:rsid w:val="009B7D6E"/>
    <w:rsid w:val="009B7FFE"/>
    <w:rsid w:val="009C0234"/>
    <w:rsid w:val="009C0640"/>
    <w:rsid w:val="009C0CE2"/>
    <w:rsid w:val="009C11C6"/>
    <w:rsid w:val="009C1235"/>
    <w:rsid w:val="009C1BE3"/>
    <w:rsid w:val="009C1C9A"/>
    <w:rsid w:val="009C2783"/>
    <w:rsid w:val="009C2B26"/>
    <w:rsid w:val="009C307B"/>
    <w:rsid w:val="009C31EB"/>
    <w:rsid w:val="009C3BC8"/>
    <w:rsid w:val="009C3CC5"/>
    <w:rsid w:val="009C3CE8"/>
    <w:rsid w:val="009C4191"/>
    <w:rsid w:val="009C4550"/>
    <w:rsid w:val="009C4996"/>
    <w:rsid w:val="009C4A82"/>
    <w:rsid w:val="009C5005"/>
    <w:rsid w:val="009C5629"/>
    <w:rsid w:val="009C6183"/>
    <w:rsid w:val="009C6538"/>
    <w:rsid w:val="009C6DAA"/>
    <w:rsid w:val="009C7488"/>
    <w:rsid w:val="009C75B7"/>
    <w:rsid w:val="009C7F88"/>
    <w:rsid w:val="009D0502"/>
    <w:rsid w:val="009D0E74"/>
    <w:rsid w:val="009D0EA2"/>
    <w:rsid w:val="009D0F14"/>
    <w:rsid w:val="009D1373"/>
    <w:rsid w:val="009D1809"/>
    <w:rsid w:val="009D194F"/>
    <w:rsid w:val="009D1A96"/>
    <w:rsid w:val="009D1BF0"/>
    <w:rsid w:val="009D207C"/>
    <w:rsid w:val="009D2082"/>
    <w:rsid w:val="009D22C9"/>
    <w:rsid w:val="009D2B61"/>
    <w:rsid w:val="009D305D"/>
    <w:rsid w:val="009D3393"/>
    <w:rsid w:val="009D370B"/>
    <w:rsid w:val="009D3890"/>
    <w:rsid w:val="009D4BE8"/>
    <w:rsid w:val="009D4EB9"/>
    <w:rsid w:val="009D522D"/>
    <w:rsid w:val="009D536C"/>
    <w:rsid w:val="009D5A39"/>
    <w:rsid w:val="009D613A"/>
    <w:rsid w:val="009D679C"/>
    <w:rsid w:val="009D6A26"/>
    <w:rsid w:val="009D6EA5"/>
    <w:rsid w:val="009D7053"/>
    <w:rsid w:val="009D73D6"/>
    <w:rsid w:val="009D7642"/>
    <w:rsid w:val="009D7770"/>
    <w:rsid w:val="009D7EE0"/>
    <w:rsid w:val="009D7FF6"/>
    <w:rsid w:val="009E061E"/>
    <w:rsid w:val="009E095E"/>
    <w:rsid w:val="009E0D1B"/>
    <w:rsid w:val="009E0E0C"/>
    <w:rsid w:val="009E2087"/>
    <w:rsid w:val="009E24B4"/>
    <w:rsid w:val="009E252B"/>
    <w:rsid w:val="009E2CB7"/>
    <w:rsid w:val="009E3265"/>
    <w:rsid w:val="009E32D3"/>
    <w:rsid w:val="009E3353"/>
    <w:rsid w:val="009E335E"/>
    <w:rsid w:val="009E3549"/>
    <w:rsid w:val="009E3759"/>
    <w:rsid w:val="009E3806"/>
    <w:rsid w:val="009E3B03"/>
    <w:rsid w:val="009E4258"/>
    <w:rsid w:val="009E446D"/>
    <w:rsid w:val="009E45BC"/>
    <w:rsid w:val="009E56A7"/>
    <w:rsid w:val="009E585C"/>
    <w:rsid w:val="009E6001"/>
    <w:rsid w:val="009E678E"/>
    <w:rsid w:val="009E6A5D"/>
    <w:rsid w:val="009E6B0B"/>
    <w:rsid w:val="009E6D94"/>
    <w:rsid w:val="009E750C"/>
    <w:rsid w:val="009E75E0"/>
    <w:rsid w:val="009E7C09"/>
    <w:rsid w:val="009F0747"/>
    <w:rsid w:val="009F0792"/>
    <w:rsid w:val="009F0988"/>
    <w:rsid w:val="009F0B48"/>
    <w:rsid w:val="009F0B60"/>
    <w:rsid w:val="009F146D"/>
    <w:rsid w:val="009F17A3"/>
    <w:rsid w:val="009F1DF3"/>
    <w:rsid w:val="009F2E43"/>
    <w:rsid w:val="009F30D8"/>
    <w:rsid w:val="009F3C11"/>
    <w:rsid w:val="009F407C"/>
    <w:rsid w:val="009F444B"/>
    <w:rsid w:val="009F4F1E"/>
    <w:rsid w:val="009F4FE0"/>
    <w:rsid w:val="009F538C"/>
    <w:rsid w:val="009F5680"/>
    <w:rsid w:val="009F5B36"/>
    <w:rsid w:val="009F5D63"/>
    <w:rsid w:val="009F5D6A"/>
    <w:rsid w:val="009F5F30"/>
    <w:rsid w:val="009F6771"/>
    <w:rsid w:val="009F68E1"/>
    <w:rsid w:val="009F7C3E"/>
    <w:rsid w:val="00A00155"/>
    <w:rsid w:val="00A0059A"/>
    <w:rsid w:val="00A00ADC"/>
    <w:rsid w:val="00A0149E"/>
    <w:rsid w:val="00A015E4"/>
    <w:rsid w:val="00A0162C"/>
    <w:rsid w:val="00A01BFF"/>
    <w:rsid w:val="00A01F2C"/>
    <w:rsid w:val="00A0238E"/>
    <w:rsid w:val="00A029D7"/>
    <w:rsid w:val="00A02CDB"/>
    <w:rsid w:val="00A02F2E"/>
    <w:rsid w:val="00A0314F"/>
    <w:rsid w:val="00A031B1"/>
    <w:rsid w:val="00A0363D"/>
    <w:rsid w:val="00A03D63"/>
    <w:rsid w:val="00A04439"/>
    <w:rsid w:val="00A046C5"/>
    <w:rsid w:val="00A04802"/>
    <w:rsid w:val="00A04FA3"/>
    <w:rsid w:val="00A05E30"/>
    <w:rsid w:val="00A05EFF"/>
    <w:rsid w:val="00A05F2F"/>
    <w:rsid w:val="00A060EE"/>
    <w:rsid w:val="00A061D4"/>
    <w:rsid w:val="00A062AE"/>
    <w:rsid w:val="00A06FC3"/>
    <w:rsid w:val="00A075BC"/>
    <w:rsid w:val="00A07AD3"/>
    <w:rsid w:val="00A103AE"/>
    <w:rsid w:val="00A10FE6"/>
    <w:rsid w:val="00A11222"/>
    <w:rsid w:val="00A116CD"/>
    <w:rsid w:val="00A118B6"/>
    <w:rsid w:val="00A11EAE"/>
    <w:rsid w:val="00A125BD"/>
    <w:rsid w:val="00A12C39"/>
    <w:rsid w:val="00A134FB"/>
    <w:rsid w:val="00A136B0"/>
    <w:rsid w:val="00A13DBD"/>
    <w:rsid w:val="00A1480C"/>
    <w:rsid w:val="00A14A49"/>
    <w:rsid w:val="00A1502D"/>
    <w:rsid w:val="00A15263"/>
    <w:rsid w:val="00A154E6"/>
    <w:rsid w:val="00A15804"/>
    <w:rsid w:val="00A162FE"/>
    <w:rsid w:val="00A168F1"/>
    <w:rsid w:val="00A16BB4"/>
    <w:rsid w:val="00A17332"/>
    <w:rsid w:val="00A1741A"/>
    <w:rsid w:val="00A179F7"/>
    <w:rsid w:val="00A20802"/>
    <w:rsid w:val="00A21239"/>
    <w:rsid w:val="00A215D9"/>
    <w:rsid w:val="00A21689"/>
    <w:rsid w:val="00A21FC3"/>
    <w:rsid w:val="00A22137"/>
    <w:rsid w:val="00A222E0"/>
    <w:rsid w:val="00A22718"/>
    <w:rsid w:val="00A22893"/>
    <w:rsid w:val="00A22AC5"/>
    <w:rsid w:val="00A22C27"/>
    <w:rsid w:val="00A240BD"/>
    <w:rsid w:val="00A241BA"/>
    <w:rsid w:val="00A25057"/>
    <w:rsid w:val="00A25B4F"/>
    <w:rsid w:val="00A25B55"/>
    <w:rsid w:val="00A261B3"/>
    <w:rsid w:val="00A26AC9"/>
    <w:rsid w:val="00A26DB7"/>
    <w:rsid w:val="00A27459"/>
    <w:rsid w:val="00A27740"/>
    <w:rsid w:val="00A27902"/>
    <w:rsid w:val="00A27D29"/>
    <w:rsid w:val="00A27E8B"/>
    <w:rsid w:val="00A301FF"/>
    <w:rsid w:val="00A3020B"/>
    <w:rsid w:val="00A30697"/>
    <w:rsid w:val="00A30CBD"/>
    <w:rsid w:val="00A30CD5"/>
    <w:rsid w:val="00A30D60"/>
    <w:rsid w:val="00A311CF"/>
    <w:rsid w:val="00A31E46"/>
    <w:rsid w:val="00A3219A"/>
    <w:rsid w:val="00A32335"/>
    <w:rsid w:val="00A323A2"/>
    <w:rsid w:val="00A324B2"/>
    <w:rsid w:val="00A32C0D"/>
    <w:rsid w:val="00A33773"/>
    <w:rsid w:val="00A33AAD"/>
    <w:rsid w:val="00A33B85"/>
    <w:rsid w:val="00A33BB5"/>
    <w:rsid w:val="00A33F1D"/>
    <w:rsid w:val="00A3405B"/>
    <w:rsid w:val="00A341BB"/>
    <w:rsid w:val="00A34726"/>
    <w:rsid w:val="00A34948"/>
    <w:rsid w:val="00A353CA"/>
    <w:rsid w:val="00A358BD"/>
    <w:rsid w:val="00A360BB"/>
    <w:rsid w:val="00A36107"/>
    <w:rsid w:val="00A36344"/>
    <w:rsid w:val="00A364D3"/>
    <w:rsid w:val="00A36682"/>
    <w:rsid w:val="00A36BC0"/>
    <w:rsid w:val="00A36F82"/>
    <w:rsid w:val="00A37232"/>
    <w:rsid w:val="00A37762"/>
    <w:rsid w:val="00A37933"/>
    <w:rsid w:val="00A37F08"/>
    <w:rsid w:val="00A402EF"/>
    <w:rsid w:val="00A404CF"/>
    <w:rsid w:val="00A40F7F"/>
    <w:rsid w:val="00A4107F"/>
    <w:rsid w:val="00A4113B"/>
    <w:rsid w:val="00A4121B"/>
    <w:rsid w:val="00A41412"/>
    <w:rsid w:val="00A41527"/>
    <w:rsid w:val="00A41C99"/>
    <w:rsid w:val="00A41D4E"/>
    <w:rsid w:val="00A42528"/>
    <w:rsid w:val="00A4282D"/>
    <w:rsid w:val="00A42D14"/>
    <w:rsid w:val="00A42E40"/>
    <w:rsid w:val="00A42EAE"/>
    <w:rsid w:val="00A42FDF"/>
    <w:rsid w:val="00A42FE8"/>
    <w:rsid w:val="00A437D4"/>
    <w:rsid w:val="00A43A05"/>
    <w:rsid w:val="00A43C28"/>
    <w:rsid w:val="00A43EC2"/>
    <w:rsid w:val="00A442BF"/>
    <w:rsid w:val="00A4490E"/>
    <w:rsid w:val="00A44E87"/>
    <w:rsid w:val="00A453C9"/>
    <w:rsid w:val="00A45417"/>
    <w:rsid w:val="00A45497"/>
    <w:rsid w:val="00A45977"/>
    <w:rsid w:val="00A45B21"/>
    <w:rsid w:val="00A45D2B"/>
    <w:rsid w:val="00A46173"/>
    <w:rsid w:val="00A46182"/>
    <w:rsid w:val="00A463E5"/>
    <w:rsid w:val="00A4643F"/>
    <w:rsid w:val="00A467F8"/>
    <w:rsid w:val="00A47592"/>
    <w:rsid w:val="00A47620"/>
    <w:rsid w:val="00A47945"/>
    <w:rsid w:val="00A47CCB"/>
    <w:rsid w:val="00A47CF9"/>
    <w:rsid w:val="00A47F29"/>
    <w:rsid w:val="00A5036B"/>
    <w:rsid w:val="00A506FF"/>
    <w:rsid w:val="00A50A46"/>
    <w:rsid w:val="00A50BC1"/>
    <w:rsid w:val="00A50EB1"/>
    <w:rsid w:val="00A511D4"/>
    <w:rsid w:val="00A5134F"/>
    <w:rsid w:val="00A516BB"/>
    <w:rsid w:val="00A517D0"/>
    <w:rsid w:val="00A519FF"/>
    <w:rsid w:val="00A51B96"/>
    <w:rsid w:val="00A51CD3"/>
    <w:rsid w:val="00A52A78"/>
    <w:rsid w:val="00A52BE3"/>
    <w:rsid w:val="00A52C9D"/>
    <w:rsid w:val="00A52D1A"/>
    <w:rsid w:val="00A52F67"/>
    <w:rsid w:val="00A53716"/>
    <w:rsid w:val="00A53DB3"/>
    <w:rsid w:val="00A54BCC"/>
    <w:rsid w:val="00A55151"/>
    <w:rsid w:val="00A552B0"/>
    <w:rsid w:val="00A55477"/>
    <w:rsid w:val="00A5555F"/>
    <w:rsid w:val="00A558AB"/>
    <w:rsid w:val="00A5629E"/>
    <w:rsid w:val="00A56447"/>
    <w:rsid w:val="00A56476"/>
    <w:rsid w:val="00A571DD"/>
    <w:rsid w:val="00A575A2"/>
    <w:rsid w:val="00A5779C"/>
    <w:rsid w:val="00A57950"/>
    <w:rsid w:val="00A60021"/>
    <w:rsid w:val="00A6071B"/>
    <w:rsid w:val="00A60E40"/>
    <w:rsid w:val="00A610E7"/>
    <w:rsid w:val="00A61145"/>
    <w:rsid w:val="00A61632"/>
    <w:rsid w:val="00A6177B"/>
    <w:rsid w:val="00A617D3"/>
    <w:rsid w:val="00A61C11"/>
    <w:rsid w:val="00A620A4"/>
    <w:rsid w:val="00A62256"/>
    <w:rsid w:val="00A6238F"/>
    <w:rsid w:val="00A63409"/>
    <w:rsid w:val="00A636F9"/>
    <w:rsid w:val="00A64332"/>
    <w:rsid w:val="00A64832"/>
    <w:rsid w:val="00A64AF5"/>
    <w:rsid w:val="00A64B84"/>
    <w:rsid w:val="00A64DB3"/>
    <w:rsid w:val="00A65026"/>
    <w:rsid w:val="00A653F3"/>
    <w:rsid w:val="00A65A98"/>
    <w:rsid w:val="00A65C0B"/>
    <w:rsid w:val="00A65FC2"/>
    <w:rsid w:val="00A65FE0"/>
    <w:rsid w:val="00A66939"/>
    <w:rsid w:val="00A66DCC"/>
    <w:rsid w:val="00A670C2"/>
    <w:rsid w:val="00A671B9"/>
    <w:rsid w:val="00A67263"/>
    <w:rsid w:val="00A679E7"/>
    <w:rsid w:val="00A67E1F"/>
    <w:rsid w:val="00A70014"/>
    <w:rsid w:val="00A705BA"/>
    <w:rsid w:val="00A70AC9"/>
    <w:rsid w:val="00A7157A"/>
    <w:rsid w:val="00A71632"/>
    <w:rsid w:val="00A716D0"/>
    <w:rsid w:val="00A71A25"/>
    <w:rsid w:val="00A71B26"/>
    <w:rsid w:val="00A71EA6"/>
    <w:rsid w:val="00A71F3C"/>
    <w:rsid w:val="00A72B55"/>
    <w:rsid w:val="00A732DB"/>
    <w:rsid w:val="00A737BA"/>
    <w:rsid w:val="00A73DAA"/>
    <w:rsid w:val="00A73DE2"/>
    <w:rsid w:val="00A744DA"/>
    <w:rsid w:val="00A74995"/>
    <w:rsid w:val="00A74C6E"/>
    <w:rsid w:val="00A74D53"/>
    <w:rsid w:val="00A74EAD"/>
    <w:rsid w:val="00A7514C"/>
    <w:rsid w:val="00A75338"/>
    <w:rsid w:val="00A755E4"/>
    <w:rsid w:val="00A7592D"/>
    <w:rsid w:val="00A75F48"/>
    <w:rsid w:val="00A769FB"/>
    <w:rsid w:val="00A77245"/>
    <w:rsid w:val="00A77260"/>
    <w:rsid w:val="00A77787"/>
    <w:rsid w:val="00A777A2"/>
    <w:rsid w:val="00A80002"/>
    <w:rsid w:val="00A805BE"/>
    <w:rsid w:val="00A8066E"/>
    <w:rsid w:val="00A80CF7"/>
    <w:rsid w:val="00A810E0"/>
    <w:rsid w:val="00A817C0"/>
    <w:rsid w:val="00A81885"/>
    <w:rsid w:val="00A819D3"/>
    <w:rsid w:val="00A81EE1"/>
    <w:rsid w:val="00A822DB"/>
    <w:rsid w:val="00A82380"/>
    <w:rsid w:val="00A82670"/>
    <w:rsid w:val="00A83071"/>
    <w:rsid w:val="00A83450"/>
    <w:rsid w:val="00A83673"/>
    <w:rsid w:val="00A8373C"/>
    <w:rsid w:val="00A837F5"/>
    <w:rsid w:val="00A83854"/>
    <w:rsid w:val="00A838D2"/>
    <w:rsid w:val="00A83D98"/>
    <w:rsid w:val="00A83DA6"/>
    <w:rsid w:val="00A842AD"/>
    <w:rsid w:val="00A8445D"/>
    <w:rsid w:val="00A84760"/>
    <w:rsid w:val="00A84F22"/>
    <w:rsid w:val="00A84FB6"/>
    <w:rsid w:val="00A85257"/>
    <w:rsid w:val="00A85828"/>
    <w:rsid w:val="00A85BC4"/>
    <w:rsid w:val="00A860AB"/>
    <w:rsid w:val="00A862F4"/>
    <w:rsid w:val="00A868E6"/>
    <w:rsid w:val="00A86BE3"/>
    <w:rsid w:val="00A86EBC"/>
    <w:rsid w:val="00A86F04"/>
    <w:rsid w:val="00A87396"/>
    <w:rsid w:val="00A87585"/>
    <w:rsid w:val="00A876AB"/>
    <w:rsid w:val="00A87BEA"/>
    <w:rsid w:val="00A87FFC"/>
    <w:rsid w:val="00A907CD"/>
    <w:rsid w:val="00A90AF6"/>
    <w:rsid w:val="00A911AD"/>
    <w:rsid w:val="00A91672"/>
    <w:rsid w:val="00A916DB"/>
    <w:rsid w:val="00A917D6"/>
    <w:rsid w:val="00A91E24"/>
    <w:rsid w:val="00A92474"/>
    <w:rsid w:val="00A925E3"/>
    <w:rsid w:val="00A926DA"/>
    <w:rsid w:val="00A927B6"/>
    <w:rsid w:val="00A92B22"/>
    <w:rsid w:val="00A92C08"/>
    <w:rsid w:val="00A92CD2"/>
    <w:rsid w:val="00A92EF6"/>
    <w:rsid w:val="00A9347C"/>
    <w:rsid w:val="00A943D8"/>
    <w:rsid w:val="00A945D3"/>
    <w:rsid w:val="00A946C4"/>
    <w:rsid w:val="00A956E1"/>
    <w:rsid w:val="00A9578C"/>
    <w:rsid w:val="00A9588F"/>
    <w:rsid w:val="00A95AC7"/>
    <w:rsid w:val="00A95C62"/>
    <w:rsid w:val="00A9628A"/>
    <w:rsid w:val="00A96403"/>
    <w:rsid w:val="00A96600"/>
    <w:rsid w:val="00A97520"/>
    <w:rsid w:val="00A97907"/>
    <w:rsid w:val="00A97B93"/>
    <w:rsid w:val="00AA03F5"/>
    <w:rsid w:val="00AA083B"/>
    <w:rsid w:val="00AA0A16"/>
    <w:rsid w:val="00AA17A0"/>
    <w:rsid w:val="00AA189E"/>
    <w:rsid w:val="00AA1BAD"/>
    <w:rsid w:val="00AA1C99"/>
    <w:rsid w:val="00AA1DBB"/>
    <w:rsid w:val="00AA204C"/>
    <w:rsid w:val="00AA2248"/>
    <w:rsid w:val="00AA26B7"/>
    <w:rsid w:val="00AA2E0B"/>
    <w:rsid w:val="00AA2E44"/>
    <w:rsid w:val="00AA30BC"/>
    <w:rsid w:val="00AA32CD"/>
    <w:rsid w:val="00AA413C"/>
    <w:rsid w:val="00AA42BE"/>
    <w:rsid w:val="00AA4325"/>
    <w:rsid w:val="00AA478E"/>
    <w:rsid w:val="00AA4F02"/>
    <w:rsid w:val="00AA5785"/>
    <w:rsid w:val="00AA5B6A"/>
    <w:rsid w:val="00AA6231"/>
    <w:rsid w:val="00AA6887"/>
    <w:rsid w:val="00AA6D1D"/>
    <w:rsid w:val="00AA6E47"/>
    <w:rsid w:val="00AA6F46"/>
    <w:rsid w:val="00AA6F56"/>
    <w:rsid w:val="00AA6F76"/>
    <w:rsid w:val="00AA7855"/>
    <w:rsid w:val="00AA7B41"/>
    <w:rsid w:val="00AA7C6E"/>
    <w:rsid w:val="00AA7D8F"/>
    <w:rsid w:val="00AB0433"/>
    <w:rsid w:val="00AB071A"/>
    <w:rsid w:val="00AB0763"/>
    <w:rsid w:val="00AB07A1"/>
    <w:rsid w:val="00AB0992"/>
    <w:rsid w:val="00AB0FA7"/>
    <w:rsid w:val="00AB1234"/>
    <w:rsid w:val="00AB137D"/>
    <w:rsid w:val="00AB13D0"/>
    <w:rsid w:val="00AB1462"/>
    <w:rsid w:val="00AB1860"/>
    <w:rsid w:val="00AB1FC7"/>
    <w:rsid w:val="00AB20B0"/>
    <w:rsid w:val="00AB2855"/>
    <w:rsid w:val="00AB2900"/>
    <w:rsid w:val="00AB2F14"/>
    <w:rsid w:val="00AB3263"/>
    <w:rsid w:val="00AB32D5"/>
    <w:rsid w:val="00AB33B1"/>
    <w:rsid w:val="00AB4420"/>
    <w:rsid w:val="00AB4488"/>
    <w:rsid w:val="00AB44D9"/>
    <w:rsid w:val="00AB5051"/>
    <w:rsid w:val="00AB505F"/>
    <w:rsid w:val="00AB5309"/>
    <w:rsid w:val="00AB55BD"/>
    <w:rsid w:val="00AB56CF"/>
    <w:rsid w:val="00AB5D81"/>
    <w:rsid w:val="00AB5D91"/>
    <w:rsid w:val="00AB5FFF"/>
    <w:rsid w:val="00AB6065"/>
    <w:rsid w:val="00AB62A7"/>
    <w:rsid w:val="00AB63B1"/>
    <w:rsid w:val="00AB6CB7"/>
    <w:rsid w:val="00AC01F8"/>
    <w:rsid w:val="00AC0212"/>
    <w:rsid w:val="00AC059A"/>
    <w:rsid w:val="00AC0DBD"/>
    <w:rsid w:val="00AC1A60"/>
    <w:rsid w:val="00AC1FC0"/>
    <w:rsid w:val="00AC229F"/>
    <w:rsid w:val="00AC241C"/>
    <w:rsid w:val="00AC251A"/>
    <w:rsid w:val="00AC2EF5"/>
    <w:rsid w:val="00AC3177"/>
    <w:rsid w:val="00AC36DE"/>
    <w:rsid w:val="00AC3BE3"/>
    <w:rsid w:val="00AC3C19"/>
    <w:rsid w:val="00AC3DCE"/>
    <w:rsid w:val="00AC3EDB"/>
    <w:rsid w:val="00AC41CF"/>
    <w:rsid w:val="00AC421A"/>
    <w:rsid w:val="00AC4604"/>
    <w:rsid w:val="00AC4819"/>
    <w:rsid w:val="00AC4895"/>
    <w:rsid w:val="00AC4BCA"/>
    <w:rsid w:val="00AC4C6C"/>
    <w:rsid w:val="00AC53AF"/>
    <w:rsid w:val="00AC5701"/>
    <w:rsid w:val="00AC5A07"/>
    <w:rsid w:val="00AC621E"/>
    <w:rsid w:val="00AC6576"/>
    <w:rsid w:val="00AC663E"/>
    <w:rsid w:val="00AC683C"/>
    <w:rsid w:val="00AC6A1B"/>
    <w:rsid w:val="00AC6C1A"/>
    <w:rsid w:val="00AC6CA4"/>
    <w:rsid w:val="00AC6D3E"/>
    <w:rsid w:val="00AC7277"/>
    <w:rsid w:val="00AC7558"/>
    <w:rsid w:val="00AD0064"/>
    <w:rsid w:val="00AD0140"/>
    <w:rsid w:val="00AD0190"/>
    <w:rsid w:val="00AD0200"/>
    <w:rsid w:val="00AD0308"/>
    <w:rsid w:val="00AD0EDA"/>
    <w:rsid w:val="00AD0F32"/>
    <w:rsid w:val="00AD18CF"/>
    <w:rsid w:val="00AD19A2"/>
    <w:rsid w:val="00AD1DED"/>
    <w:rsid w:val="00AD1E57"/>
    <w:rsid w:val="00AD202F"/>
    <w:rsid w:val="00AD2B0F"/>
    <w:rsid w:val="00AD2D28"/>
    <w:rsid w:val="00AD2EB3"/>
    <w:rsid w:val="00AD2F24"/>
    <w:rsid w:val="00AD3734"/>
    <w:rsid w:val="00AD377A"/>
    <w:rsid w:val="00AD45D2"/>
    <w:rsid w:val="00AD4678"/>
    <w:rsid w:val="00AD4A42"/>
    <w:rsid w:val="00AD4D28"/>
    <w:rsid w:val="00AD5286"/>
    <w:rsid w:val="00AD5418"/>
    <w:rsid w:val="00AD54FF"/>
    <w:rsid w:val="00AD5822"/>
    <w:rsid w:val="00AD59A3"/>
    <w:rsid w:val="00AD67BB"/>
    <w:rsid w:val="00AD6B4D"/>
    <w:rsid w:val="00AD6CF2"/>
    <w:rsid w:val="00AD6F29"/>
    <w:rsid w:val="00AD7A36"/>
    <w:rsid w:val="00AD7F6C"/>
    <w:rsid w:val="00AD7F83"/>
    <w:rsid w:val="00AE0889"/>
    <w:rsid w:val="00AE1260"/>
    <w:rsid w:val="00AE12CC"/>
    <w:rsid w:val="00AE1625"/>
    <w:rsid w:val="00AE1A0F"/>
    <w:rsid w:val="00AE1CC1"/>
    <w:rsid w:val="00AE1EA7"/>
    <w:rsid w:val="00AE29C5"/>
    <w:rsid w:val="00AE2BC9"/>
    <w:rsid w:val="00AE2BEB"/>
    <w:rsid w:val="00AE3267"/>
    <w:rsid w:val="00AE337D"/>
    <w:rsid w:val="00AE362B"/>
    <w:rsid w:val="00AE39FD"/>
    <w:rsid w:val="00AE3C94"/>
    <w:rsid w:val="00AE3EA4"/>
    <w:rsid w:val="00AE40E7"/>
    <w:rsid w:val="00AE4107"/>
    <w:rsid w:val="00AE413F"/>
    <w:rsid w:val="00AE44EA"/>
    <w:rsid w:val="00AE4716"/>
    <w:rsid w:val="00AE4793"/>
    <w:rsid w:val="00AE51FE"/>
    <w:rsid w:val="00AE564E"/>
    <w:rsid w:val="00AE5917"/>
    <w:rsid w:val="00AE5E6D"/>
    <w:rsid w:val="00AE5F14"/>
    <w:rsid w:val="00AE608B"/>
    <w:rsid w:val="00AE60B5"/>
    <w:rsid w:val="00AE62D4"/>
    <w:rsid w:val="00AE65BA"/>
    <w:rsid w:val="00AE6C73"/>
    <w:rsid w:val="00AE6E05"/>
    <w:rsid w:val="00AE7007"/>
    <w:rsid w:val="00AE7204"/>
    <w:rsid w:val="00AE7255"/>
    <w:rsid w:val="00AE78A3"/>
    <w:rsid w:val="00AF065E"/>
    <w:rsid w:val="00AF097C"/>
    <w:rsid w:val="00AF102B"/>
    <w:rsid w:val="00AF1929"/>
    <w:rsid w:val="00AF1B02"/>
    <w:rsid w:val="00AF1F5C"/>
    <w:rsid w:val="00AF22EF"/>
    <w:rsid w:val="00AF22FB"/>
    <w:rsid w:val="00AF29CC"/>
    <w:rsid w:val="00AF2ACD"/>
    <w:rsid w:val="00AF2B64"/>
    <w:rsid w:val="00AF2C2D"/>
    <w:rsid w:val="00AF30A6"/>
    <w:rsid w:val="00AF30DD"/>
    <w:rsid w:val="00AF3339"/>
    <w:rsid w:val="00AF37D6"/>
    <w:rsid w:val="00AF3F09"/>
    <w:rsid w:val="00AF41E4"/>
    <w:rsid w:val="00AF4950"/>
    <w:rsid w:val="00AF4A81"/>
    <w:rsid w:val="00AF4D16"/>
    <w:rsid w:val="00AF4E44"/>
    <w:rsid w:val="00AF5071"/>
    <w:rsid w:val="00AF52FB"/>
    <w:rsid w:val="00AF568A"/>
    <w:rsid w:val="00AF60C1"/>
    <w:rsid w:val="00AF6148"/>
    <w:rsid w:val="00AF6358"/>
    <w:rsid w:val="00AF6395"/>
    <w:rsid w:val="00AF6590"/>
    <w:rsid w:val="00AF6967"/>
    <w:rsid w:val="00AF6BD1"/>
    <w:rsid w:val="00AF6CC8"/>
    <w:rsid w:val="00AF712E"/>
    <w:rsid w:val="00AF733C"/>
    <w:rsid w:val="00AF73CB"/>
    <w:rsid w:val="00AF7864"/>
    <w:rsid w:val="00B00608"/>
    <w:rsid w:val="00B00B52"/>
    <w:rsid w:val="00B00EA9"/>
    <w:rsid w:val="00B01445"/>
    <w:rsid w:val="00B01485"/>
    <w:rsid w:val="00B01D76"/>
    <w:rsid w:val="00B021C6"/>
    <w:rsid w:val="00B02584"/>
    <w:rsid w:val="00B028F3"/>
    <w:rsid w:val="00B02968"/>
    <w:rsid w:val="00B03102"/>
    <w:rsid w:val="00B03326"/>
    <w:rsid w:val="00B03499"/>
    <w:rsid w:val="00B0351F"/>
    <w:rsid w:val="00B0370D"/>
    <w:rsid w:val="00B0378F"/>
    <w:rsid w:val="00B03B0D"/>
    <w:rsid w:val="00B045AC"/>
    <w:rsid w:val="00B04BB2"/>
    <w:rsid w:val="00B04CE2"/>
    <w:rsid w:val="00B04D8B"/>
    <w:rsid w:val="00B05262"/>
    <w:rsid w:val="00B052F4"/>
    <w:rsid w:val="00B05405"/>
    <w:rsid w:val="00B05446"/>
    <w:rsid w:val="00B056B0"/>
    <w:rsid w:val="00B058D4"/>
    <w:rsid w:val="00B0620D"/>
    <w:rsid w:val="00B068AB"/>
    <w:rsid w:val="00B06A75"/>
    <w:rsid w:val="00B06BC3"/>
    <w:rsid w:val="00B07054"/>
    <w:rsid w:val="00B073A6"/>
    <w:rsid w:val="00B076AF"/>
    <w:rsid w:val="00B07744"/>
    <w:rsid w:val="00B07F53"/>
    <w:rsid w:val="00B1079F"/>
    <w:rsid w:val="00B10A24"/>
    <w:rsid w:val="00B10E5F"/>
    <w:rsid w:val="00B1153D"/>
    <w:rsid w:val="00B11885"/>
    <w:rsid w:val="00B11BA5"/>
    <w:rsid w:val="00B11BAD"/>
    <w:rsid w:val="00B12407"/>
    <w:rsid w:val="00B124EF"/>
    <w:rsid w:val="00B12BC4"/>
    <w:rsid w:val="00B12D20"/>
    <w:rsid w:val="00B13452"/>
    <w:rsid w:val="00B13A0F"/>
    <w:rsid w:val="00B145CE"/>
    <w:rsid w:val="00B14F99"/>
    <w:rsid w:val="00B1521F"/>
    <w:rsid w:val="00B154D3"/>
    <w:rsid w:val="00B15A0F"/>
    <w:rsid w:val="00B16365"/>
    <w:rsid w:val="00B16A90"/>
    <w:rsid w:val="00B16D0A"/>
    <w:rsid w:val="00B172E9"/>
    <w:rsid w:val="00B17FB2"/>
    <w:rsid w:val="00B20236"/>
    <w:rsid w:val="00B2035F"/>
    <w:rsid w:val="00B208AA"/>
    <w:rsid w:val="00B20937"/>
    <w:rsid w:val="00B20A7A"/>
    <w:rsid w:val="00B21FC7"/>
    <w:rsid w:val="00B220A0"/>
    <w:rsid w:val="00B223DA"/>
    <w:rsid w:val="00B22493"/>
    <w:rsid w:val="00B22A2B"/>
    <w:rsid w:val="00B22B64"/>
    <w:rsid w:val="00B22D72"/>
    <w:rsid w:val="00B22EAE"/>
    <w:rsid w:val="00B22FEA"/>
    <w:rsid w:val="00B23042"/>
    <w:rsid w:val="00B24321"/>
    <w:rsid w:val="00B24C68"/>
    <w:rsid w:val="00B2530B"/>
    <w:rsid w:val="00B25451"/>
    <w:rsid w:val="00B25484"/>
    <w:rsid w:val="00B2548E"/>
    <w:rsid w:val="00B260A8"/>
    <w:rsid w:val="00B26224"/>
    <w:rsid w:val="00B26442"/>
    <w:rsid w:val="00B27C03"/>
    <w:rsid w:val="00B27C8F"/>
    <w:rsid w:val="00B301D9"/>
    <w:rsid w:val="00B3025C"/>
    <w:rsid w:val="00B30A60"/>
    <w:rsid w:val="00B30FEB"/>
    <w:rsid w:val="00B31121"/>
    <w:rsid w:val="00B311BA"/>
    <w:rsid w:val="00B3180E"/>
    <w:rsid w:val="00B318C1"/>
    <w:rsid w:val="00B3234B"/>
    <w:rsid w:val="00B32B9A"/>
    <w:rsid w:val="00B33029"/>
    <w:rsid w:val="00B3328D"/>
    <w:rsid w:val="00B333E5"/>
    <w:rsid w:val="00B3345E"/>
    <w:rsid w:val="00B33705"/>
    <w:rsid w:val="00B338EA"/>
    <w:rsid w:val="00B33E0D"/>
    <w:rsid w:val="00B33EFA"/>
    <w:rsid w:val="00B33F88"/>
    <w:rsid w:val="00B34144"/>
    <w:rsid w:val="00B34566"/>
    <w:rsid w:val="00B35653"/>
    <w:rsid w:val="00B359D8"/>
    <w:rsid w:val="00B35B47"/>
    <w:rsid w:val="00B35D1A"/>
    <w:rsid w:val="00B362C3"/>
    <w:rsid w:val="00B36652"/>
    <w:rsid w:val="00B36F7A"/>
    <w:rsid w:val="00B371AA"/>
    <w:rsid w:val="00B37662"/>
    <w:rsid w:val="00B3776E"/>
    <w:rsid w:val="00B37F01"/>
    <w:rsid w:val="00B40191"/>
    <w:rsid w:val="00B407F5"/>
    <w:rsid w:val="00B40923"/>
    <w:rsid w:val="00B40AA3"/>
    <w:rsid w:val="00B40D10"/>
    <w:rsid w:val="00B40F54"/>
    <w:rsid w:val="00B414C4"/>
    <w:rsid w:val="00B41D7B"/>
    <w:rsid w:val="00B41EC0"/>
    <w:rsid w:val="00B426F4"/>
    <w:rsid w:val="00B42822"/>
    <w:rsid w:val="00B429D4"/>
    <w:rsid w:val="00B42B4A"/>
    <w:rsid w:val="00B42F6E"/>
    <w:rsid w:val="00B4301B"/>
    <w:rsid w:val="00B43AF9"/>
    <w:rsid w:val="00B43E19"/>
    <w:rsid w:val="00B43E64"/>
    <w:rsid w:val="00B441CC"/>
    <w:rsid w:val="00B44478"/>
    <w:rsid w:val="00B44DE2"/>
    <w:rsid w:val="00B45375"/>
    <w:rsid w:val="00B45479"/>
    <w:rsid w:val="00B45852"/>
    <w:rsid w:val="00B4609C"/>
    <w:rsid w:val="00B46FDF"/>
    <w:rsid w:val="00B47160"/>
    <w:rsid w:val="00B47472"/>
    <w:rsid w:val="00B474A4"/>
    <w:rsid w:val="00B47A61"/>
    <w:rsid w:val="00B47E4A"/>
    <w:rsid w:val="00B5000A"/>
    <w:rsid w:val="00B508DA"/>
    <w:rsid w:val="00B51593"/>
    <w:rsid w:val="00B51605"/>
    <w:rsid w:val="00B519E6"/>
    <w:rsid w:val="00B519FA"/>
    <w:rsid w:val="00B51A02"/>
    <w:rsid w:val="00B51CE8"/>
    <w:rsid w:val="00B51FA8"/>
    <w:rsid w:val="00B52759"/>
    <w:rsid w:val="00B52E56"/>
    <w:rsid w:val="00B533AD"/>
    <w:rsid w:val="00B535E6"/>
    <w:rsid w:val="00B537EE"/>
    <w:rsid w:val="00B53849"/>
    <w:rsid w:val="00B538BA"/>
    <w:rsid w:val="00B53DBC"/>
    <w:rsid w:val="00B53EF2"/>
    <w:rsid w:val="00B53F12"/>
    <w:rsid w:val="00B54672"/>
    <w:rsid w:val="00B5475C"/>
    <w:rsid w:val="00B548AF"/>
    <w:rsid w:val="00B54D4D"/>
    <w:rsid w:val="00B55172"/>
    <w:rsid w:val="00B55A1D"/>
    <w:rsid w:val="00B55AC4"/>
    <w:rsid w:val="00B55D7C"/>
    <w:rsid w:val="00B565DA"/>
    <w:rsid w:val="00B56A93"/>
    <w:rsid w:val="00B56D7B"/>
    <w:rsid w:val="00B56DED"/>
    <w:rsid w:val="00B56F09"/>
    <w:rsid w:val="00B57063"/>
    <w:rsid w:val="00B5707A"/>
    <w:rsid w:val="00B579FC"/>
    <w:rsid w:val="00B57D08"/>
    <w:rsid w:val="00B57E19"/>
    <w:rsid w:val="00B6002C"/>
    <w:rsid w:val="00B608CE"/>
    <w:rsid w:val="00B60E5C"/>
    <w:rsid w:val="00B61329"/>
    <w:rsid w:val="00B618E3"/>
    <w:rsid w:val="00B620EE"/>
    <w:rsid w:val="00B621D5"/>
    <w:rsid w:val="00B625F0"/>
    <w:rsid w:val="00B62B36"/>
    <w:rsid w:val="00B62E48"/>
    <w:rsid w:val="00B6317A"/>
    <w:rsid w:val="00B63609"/>
    <w:rsid w:val="00B6376A"/>
    <w:rsid w:val="00B63958"/>
    <w:rsid w:val="00B63E30"/>
    <w:rsid w:val="00B63F06"/>
    <w:rsid w:val="00B64210"/>
    <w:rsid w:val="00B64295"/>
    <w:rsid w:val="00B64868"/>
    <w:rsid w:val="00B64CC1"/>
    <w:rsid w:val="00B64E0C"/>
    <w:rsid w:val="00B64E61"/>
    <w:rsid w:val="00B65023"/>
    <w:rsid w:val="00B65485"/>
    <w:rsid w:val="00B6594E"/>
    <w:rsid w:val="00B65A79"/>
    <w:rsid w:val="00B65B0A"/>
    <w:rsid w:val="00B6682A"/>
    <w:rsid w:val="00B66D0B"/>
    <w:rsid w:val="00B66EE6"/>
    <w:rsid w:val="00B67B66"/>
    <w:rsid w:val="00B67DE1"/>
    <w:rsid w:val="00B704F7"/>
    <w:rsid w:val="00B705A4"/>
    <w:rsid w:val="00B706F0"/>
    <w:rsid w:val="00B70825"/>
    <w:rsid w:val="00B70843"/>
    <w:rsid w:val="00B70973"/>
    <w:rsid w:val="00B70AD8"/>
    <w:rsid w:val="00B70B0F"/>
    <w:rsid w:val="00B71607"/>
    <w:rsid w:val="00B717FF"/>
    <w:rsid w:val="00B71A5C"/>
    <w:rsid w:val="00B71B9C"/>
    <w:rsid w:val="00B7273D"/>
    <w:rsid w:val="00B73441"/>
    <w:rsid w:val="00B738C8"/>
    <w:rsid w:val="00B73C08"/>
    <w:rsid w:val="00B73D5B"/>
    <w:rsid w:val="00B742A6"/>
    <w:rsid w:val="00B7443C"/>
    <w:rsid w:val="00B744FE"/>
    <w:rsid w:val="00B74659"/>
    <w:rsid w:val="00B74872"/>
    <w:rsid w:val="00B74A58"/>
    <w:rsid w:val="00B74DB3"/>
    <w:rsid w:val="00B74E99"/>
    <w:rsid w:val="00B751A7"/>
    <w:rsid w:val="00B754BA"/>
    <w:rsid w:val="00B7556C"/>
    <w:rsid w:val="00B758C7"/>
    <w:rsid w:val="00B75B71"/>
    <w:rsid w:val="00B75D0F"/>
    <w:rsid w:val="00B76487"/>
    <w:rsid w:val="00B76861"/>
    <w:rsid w:val="00B76A69"/>
    <w:rsid w:val="00B76CBD"/>
    <w:rsid w:val="00B76D6C"/>
    <w:rsid w:val="00B77087"/>
    <w:rsid w:val="00B772F0"/>
    <w:rsid w:val="00B77454"/>
    <w:rsid w:val="00B777BA"/>
    <w:rsid w:val="00B77D3C"/>
    <w:rsid w:val="00B77F54"/>
    <w:rsid w:val="00B80724"/>
    <w:rsid w:val="00B80B23"/>
    <w:rsid w:val="00B80FB4"/>
    <w:rsid w:val="00B8205E"/>
    <w:rsid w:val="00B8208F"/>
    <w:rsid w:val="00B82377"/>
    <w:rsid w:val="00B82748"/>
    <w:rsid w:val="00B82791"/>
    <w:rsid w:val="00B82810"/>
    <w:rsid w:val="00B834E0"/>
    <w:rsid w:val="00B83810"/>
    <w:rsid w:val="00B8386B"/>
    <w:rsid w:val="00B83AD8"/>
    <w:rsid w:val="00B83C7B"/>
    <w:rsid w:val="00B83D80"/>
    <w:rsid w:val="00B8401B"/>
    <w:rsid w:val="00B845DE"/>
    <w:rsid w:val="00B85366"/>
    <w:rsid w:val="00B860A2"/>
    <w:rsid w:val="00B861EE"/>
    <w:rsid w:val="00B86C63"/>
    <w:rsid w:val="00B87ECF"/>
    <w:rsid w:val="00B87F60"/>
    <w:rsid w:val="00B900D7"/>
    <w:rsid w:val="00B9079B"/>
    <w:rsid w:val="00B90C6F"/>
    <w:rsid w:val="00B90DCF"/>
    <w:rsid w:val="00B91D77"/>
    <w:rsid w:val="00B920EB"/>
    <w:rsid w:val="00B9250F"/>
    <w:rsid w:val="00B93095"/>
    <w:rsid w:val="00B93B5E"/>
    <w:rsid w:val="00B93D3D"/>
    <w:rsid w:val="00B946A6"/>
    <w:rsid w:val="00B94C7D"/>
    <w:rsid w:val="00B94DE5"/>
    <w:rsid w:val="00B94F40"/>
    <w:rsid w:val="00B95041"/>
    <w:rsid w:val="00B9518D"/>
    <w:rsid w:val="00B954A7"/>
    <w:rsid w:val="00B9566A"/>
    <w:rsid w:val="00B95780"/>
    <w:rsid w:val="00B9587E"/>
    <w:rsid w:val="00B95CA4"/>
    <w:rsid w:val="00B96341"/>
    <w:rsid w:val="00B96768"/>
    <w:rsid w:val="00B96A50"/>
    <w:rsid w:val="00B96B10"/>
    <w:rsid w:val="00B96C8F"/>
    <w:rsid w:val="00B96D40"/>
    <w:rsid w:val="00B96D55"/>
    <w:rsid w:val="00B96D95"/>
    <w:rsid w:val="00B96DE1"/>
    <w:rsid w:val="00B96EE7"/>
    <w:rsid w:val="00B96FB2"/>
    <w:rsid w:val="00B9726A"/>
    <w:rsid w:val="00BA13B5"/>
    <w:rsid w:val="00BA169A"/>
    <w:rsid w:val="00BA191B"/>
    <w:rsid w:val="00BA21E6"/>
    <w:rsid w:val="00BA25DB"/>
    <w:rsid w:val="00BA2AD7"/>
    <w:rsid w:val="00BA3276"/>
    <w:rsid w:val="00BA3573"/>
    <w:rsid w:val="00BA45AB"/>
    <w:rsid w:val="00BA471F"/>
    <w:rsid w:val="00BA4932"/>
    <w:rsid w:val="00BA4B60"/>
    <w:rsid w:val="00BA506A"/>
    <w:rsid w:val="00BA5CE9"/>
    <w:rsid w:val="00BA62DB"/>
    <w:rsid w:val="00BA65C9"/>
    <w:rsid w:val="00BA67B7"/>
    <w:rsid w:val="00BA6947"/>
    <w:rsid w:val="00BA6ACA"/>
    <w:rsid w:val="00BA716F"/>
    <w:rsid w:val="00BA7318"/>
    <w:rsid w:val="00BA754A"/>
    <w:rsid w:val="00BA7920"/>
    <w:rsid w:val="00BA7AB5"/>
    <w:rsid w:val="00BA7B58"/>
    <w:rsid w:val="00BA7E72"/>
    <w:rsid w:val="00BB074A"/>
    <w:rsid w:val="00BB0A9B"/>
    <w:rsid w:val="00BB0B01"/>
    <w:rsid w:val="00BB0C7C"/>
    <w:rsid w:val="00BB14B7"/>
    <w:rsid w:val="00BB18F3"/>
    <w:rsid w:val="00BB224B"/>
    <w:rsid w:val="00BB22F2"/>
    <w:rsid w:val="00BB236B"/>
    <w:rsid w:val="00BB24B7"/>
    <w:rsid w:val="00BB257B"/>
    <w:rsid w:val="00BB2748"/>
    <w:rsid w:val="00BB2DA7"/>
    <w:rsid w:val="00BB327C"/>
    <w:rsid w:val="00BB32F3"/>
    <w:rsid w:val="00BB334F"/>
    <w:rsid w:val="00BB4327"/>
    <w:rsid w:val="00BB4473"/>
    <w:rsid w:val="00BB47B5"/>
    <w:rsid w:val="00BB4915"/>
    <w:rsid w:val="00BB4B2E"/>
    <w:rsid w:val="00BB5013"/>
    <w:rsid w:val="00BB528E"/>
    <w:rsid w:val="00BB5947"/>
    <w:rsid w:val="00BB5DCC"/>
    <w:rsid w:val="00BB615A"/>
    <w:rsid w:val="00BB616A"/>
    <w:rsid w:val="00BB64C3"/>
    <w:rsid w:val="00BB653F"/>
    <w:rsid w:val="00BB6D64"/>
    <w:rsid w:val="00BB6F5D"/>
    <w:rsid w:val="00BB7677"/>
    <w:rsid w:val="00BB78CD"/>
    <w:rsid w:val="00BB7B6D"/>
    <w:rsid w:val="00BC06D4"/>
    <w:rsid w:val="00BC0A24"/>
    <w:rsid w:val="00BC0C21"/>
    <w:rsid w:val="00BC108D"/>
    <w:rsid w:val="00BC109A"/>
    <w:rsid w:val="00BC11EC"/>
    <w:rsid w:val="00BC1505"/>
    <w:rsid w:val="00BC21BA"/>
    <w:rsid w:val="00BC25D5"/>
    <w:rsid w:val="00BC2600"/>
    <w:rsid w:val="00BC266F"/>
    <w:rsid w:val="00BC2B0A"/>
    <w:rsid w:val="00BC2DBE"/>
    <w:rsid w:val="00BC36F0"/>
    <w:rsid w:val="00BC3CC1"/>
    <w:rsid w:val="00BC3E95"/>
    <w:rsid w:val="00BC3E99"/>
    <w:rsid w:val="00BC3F7F"/>
    <w:rsid w:val="00BC4520"/>
    <w:rsid w:val="00BC4FA7"/>
    <w:rsid w:val="00BC508A"/>
    <w:rsid w:val="00BC5413"/>
    <w:rsid w:val="00BC55C4"/>
    <w:rsid w:val="00BC55F5"/>
    <w:rsid w:val="00BC56C9"/>
    <w:rsid w:val="00BC5748"/>
    <w:rsid w:val="00BC5AB6"/>
    <w:rsid w:val="00BC5B49"/>
    <w:rsid w:val="00BC5E30"/>
    <w:rsid w:val="00BC5E5D"/>
    <w:rsid w:val="00BC6339"/>
    <w:rsid w:val="00BC6542"/>
    <w:rsid w:val="00BC6608"/>
    <w:rsid w:val="00BC69ED"/>
    <w:rsid w:val="00BC720C"/>
    <w:rsid w:val="00BC7F0B"/>
    <w:rsid w:val="00BD00ED"/>
    <w:rsid w:val="00BD02C5"/>
    <w:rsid w:val="00BD068D"/>
    <w:rsid w:val="00BD0FCE"/>
    <w:rsid w:val="00BD1335"/>
    <w:rsid w:val="00BD13AF"/>
    <w:rsid w:val="00BD21BA"/>
    <w:rsid w:val="00BD2373"/>
    <w:rsid w:val="00BD24E0"/>
    <w:rsid w:val="00BD2525"/>
    <w:rsid w:val="00BD27C9"/>
    <w:rsid w:val="00BD2CFC"/>
    <w:rsid w:val="00BD393C"/>
    <w:rsid w:val="00BD3CC7"/>
    <w:rsid w:val="00BD3D6A"/>
    <w:rsid w:val="00BD3DFD"/>
    <w:rsid w:val="00BD4089"/>
    <w:rsid w:val="00BD41A5"/>
    <w:rsid w:val="00BD4957"/>
    <w:rsid w:val="00BD499F"/>
    <w:rsid w:val="00BD4D57"/>
    <w:rsid w:val="00BD4D8B"/>
    <w:rsid w:val="00BD5824"/>
    <w:rsid w:val="00BD58C1"/>
    <w:rsid w:val="00BD61E0"/>
    <w:rsid w:val="00BD62B5"/>
    <w:rsid w:val="00BD657E"/>
    <w:rsid w:val="00BD66C4"/>
    <w:rsid w:val="00BD72B1"/>
    <w:rsid w:val="00BD781D"/>
    <w:rsid w:val="00BD7BB2"/>
    <w:rsid w:val="00BD7C00"/>
    <w:rsid w:val="00BD7CE9"/>
    <w:rsid w:val="00BD7E30"/>
    <w:rsid w:val="00BE0103"/>
    <w:rsid w:val="00BE0186"/>
    <w:rsid w:val="00BE0866"/>
    <w:rsid w:val="00BE0D9A"/>
    <w:rsid w:val="00BE0E0A"/>
    <w:rsid w:val="00BE1A50"/>
    <w:rsid w:val="00BE1A63"/>
    <w:rsid w:val="00BE1B65"/>
    <w:rsid w:val="00BE1CD5"/>
    <w:rsid w:val="00BE24DF"/>
    <w:rsid w:val="00BE2627"/>
    <w:rsid w:val="00BE29D4"/>
    <w:rsid w:val="00BE2AB9"/>
    <w:rsid w:val="00BE2CA1"/>
    <w:rsid w:val="00BE2F0D"/>
    <w:rsid w:val="00BE3235"/>
    <w:rsid w:val="00BE34CE"/>
    <w:rsid w:val="00BE3C1E"/>
    <w:rsid w:val="00BE41F1"/>
    <w:rsid w:val="00BE5E2E"/>
    <w:rsid w:val="00BE655C"/>
    <w:rsid w:val="00BE69BC"/>
    <w:rsid w:val="00BE69DE"/>
    <w:rsid w:val="00BE6E81"/>
    <w:rsid w:val="00BE726F"/>
    <w:rsid w:val="00BF029D"/>
    <w:rsid w:val="00BF02D0"/>
    <w:rsid w:val="00BF03BA"/>
    <w:rsid w:val="00BF097B"/>
    <w:rsid w:val="00BF0BD5"/>
    <w:rsid w:val="00BF0D35"/>
    <w:rsid w:val="00BF1320"/>
    <w:rsid w:val="00BF1F41"/>
    <w:rsid w:val="00BF20AF"/>
    <w:rsid w:val="00BF2B1E"/>
    <w:rsid w:val="00BF2B59"/>
    <w:rsid w:val="00BF2C8F"/>
    <w:rsid w:val="00BF3582"/>
    <w:rsid w:val="00BF358C"/>
    <w:rsid w:val="00BF48A5"/>
    <w:rsid w:val="00BF49B6"/>
    <w:rsid w:val="00BF51EE"/>
    <w:rsid w:val="00BF53C3"/>
    <w:rsid w:val="00BF55F8"/>
    <w:rsid w:val="00BF5780"/>
    <w:rsid w:val="00BF613B"/>
    <w:rsid w:val="00BF6356"/>
    <w:rsid w:val="00BF6467"/>
    <w:rsid w:val="00BF6951"/>
    <w:rsid w:val="00BF6DB1"/>
    <w:rsid w:val="00BF7026"/>
    <w:rsid w:val="00BF7442"/>
    <w:rsid w:val="00BF7A8A"/>
    <w:rsid w:val="00BF7B40"/>
    <w:rsid w:val="00BF7B58"/>
    <w:rsid w:val="00C0008E"/>
    <w:rsid w:val="00C000C6"/>
    <w:rsid w:val="00C010DB"/>
    <w:rsid w:val="00C01921"/>
    <w:rsid w:val="00C01ACC"/>
    <w:rsid w:val="00C01B23"/>
    <w:rsid w:val="00C03742"/>
    <w:rsid w:val="00C03805"/>
    <w:rsid w:val="00C0415E"/>
    <w:rsid w:val="00C04190"/>
    <w:rsid w:val="00C0438E"/>
    <w:rsid w:val="00C0449A"/>
    <w:rsid w:val="00C04554"/>
    <w:rsid w:val="00C0483C"/>
    <w:rsid w:val="00C051FD"/>
    <w:rsid w:val="00C0581F"/>
    <w:rsid w:val="00C0653E"/>
    <w:rsid w:val="00C069C7"/>
    <w:rsid w:val="00C06B7F"/>
    <w:rsid w:val="00C06E33"/>
    <w:rsid w:val="00C0705A"/>
    <w:rsid w:val="00C07262"/>
    <w:rsid w:val="00C07E1F"/>
    <w:rsid w:val="00C07FB7"/>
    <w:rsid w:val="00C10569"/>
    <w:rsid w:val="00C109AF"/>
    <w:rsid w:val="00C10C07"/>
    <w:rsid w:val="00C10EA3"/>
    <w:rsid w:val="00C11139"/>
    <w:rsid w:val="00C114B2"/>
    <w:rsid w:val="00C121B5"/>
    <w:rsid w:val="00C12C54"/>
    <w:rsid w:val="00C12C5C"/>
    <w:rsid w:val="00C13019"/>
    <w:rsid w:val="00C13DB4"/>
    <w:rsid w:val="00C14112"/>
    <w:rsid w:val="00C146A2"/>
    <w:rsid w:val="00C14FFD"/>
    <w:rsid w:val="00C15303"/>
    <w:rsid w:val="00C15688"/>
    <w:rsid w:val="00C15EEA"/>
    <w:rsid w:val="00C15FD2"/>
    <w:rsid w:val="00C165C5"/>
    <w:rsid w:val="00C167D7"/>
    <w:rsid w:val="00C16B7E"/>
    <w:rsid w:val="00C16C65"/>
    <w:rsid w:val="00C170EC"/>
    <w:rsid w:val="00C1744F"/>
    <w:rsid w:val="00C1767A"/>
    <w:rsid w:val="00C1797A"/>
    <w:rsid w:val="00C17A79"/>
    <w:rsid w:val="00C20691"/>
    <w:rsid w:val="00C20747"/>
    <w:rsid w:val="00C20868"/>
    <w:rsid w:val="00C20C7D"/>
    <w:rsid w:val="00C20DEF"/>
    <w:rsid w:val="00C21436"/>
    <w:rsid w:val="00C21796"/>
    <w:rsid w:val="00C21906"/>
    <w:rsid w:val="00C219D6"/>
    <w:rsid w:val="00C225B3"/>
    <w:rsid w:val="00C225D9"/>
    <w:rsid w:val="00C22C61"/>
    <w:rsid w:val="00C22ED1"/>
    <w:rsid w:val="00C22F1A"/>
    <w:rsid w:val="00C22FB1"/>
    <w:rsid w:val="00C23675"/>
    <w:rsid w:val="00C24546"/>
    <w:rsid w:val="00C2472B"/>
    <w:rsid w:val="00C24B25"/>
    <w:rsid w:val="00C24C93"/>
    <w:rsid w:val="00C24CC2"/>
    <w:rsid w:val="00C24E89"/>
    <w:rsid w:val="00C25267"/>
    <w:rsid w:val="00C254E5"/>
    <w:rsid w:val="00C268BA"/>
    <w:rsid w:val="00C26A36"/>
    <w:rsid w:val="00C26D69"/>
    <w:rsid w:val="00C271FE"/>
    <w:rsid w:val="00C2791E"/>
    <w:rsid w:val="00C27A91"/>
    <w:rsid w:val="00C27B8E"/>
    <w:rsid w:val="00C27B96"/>
    <w:rsid w:val="00C27D57"/>
    <w:rsid w:val="00C27E99"/>
    <w:rsid w:val="00C30026"/>
    <w:rsid w:val="00C30139"/>
    <w:rsid w:val="00C31261"/>
    <w:rsid w:val="00C31486"/>
    <w:rsid w:val="00C316BE"/>
    <w:rsid w:val="00C31B9F"/>
    <w:rsid w:val="00C322A3"/>
    <w:rsid w:val="00C327A3"/>
    <w:rsid w:val="00C32928"/>
    <w:rsid w:val="00C3293A"/>
    <w:rsid w:val="00C32BAB"/>
    <w:rsid w:val="00C32C2F"/>
    <w:rsid w:val="00C3318F"/>
    <w:rsid w:val="00C3331A"/>
    <w:rsid w:val="00C334B2"/>
    <w:rsid w:val="00C336BD"/>
    <w:rsid w:val="00C33843"/>
    <w:rsid w:val="00C33986"/>
    <w:rsid w:val="00C33E2E"/>
    <w:rsid w:val="00C342EA"/>
    <w:rsid w:val="00C34650"/>
    <w:rsid w:val="00C34BD4"/>
    <w:rsid w:val="00C354C4"/>
    <w:rsid w:val="00C35777"/>
    <w:rsid w:val="00C35E26"/>
    <w:rsid w:val="00C3639A"/>
    <w:rsid w:val="00C3643D"/>
    <w:rsid w:val="00C364C7"/>
    <w:rsid w:val="00C36B08"/>
    <w:rsid w:val="00C36BF3"/>
    <w:rsid w:val="00C36F03"/>
    <w:rsid w:val="00C3738A"/>
    <w:rsid w:val="00C375AA"/>
    <w:rsid w:val="00C377DC"/>
    <w:rsid w:val="00C403FF"/>
    <w:rsid w:val="00C40541"/>
    <w:rsid w:val="00C4059B"/>
    <w:rsid w:val="00C40734"/>
    <w:rsid w:val="00C40859"/>
    <w:rsid w:val="00C40DDB"/>
    <w:rsid w:val="00C414BE"/>
    <w:rsid w:val="00C41543"/>
    <w:rsid w:val="00C415B5"/>
    <w:rsid w:val="00C417D6"/>
    <w:rsid w:val="00C419D0"/>
    <w:rsid w:val="00C428D5"/>
    <w:rsid w:val="00C42A73"/>
    <w:rsid w:val="00C42C90"/>
    <w:rsid w:val="00C42D24"/>
    <w:rsid w:val="00C4315A"/>
    <w:rsid w:val="00C437CD"/>
    <w:rsid w:val="00C43B5E"/>
    <w:rsid w:val="00C43F5E"/>
    <w:rsid w:val="00C43FA8"/>
    <w:rsid w:val="00C44074"/>
    <w:rsid w:val="00C4415A"/>
    <w:rsid w:val="00C445B8"/>
    <w:rsid w:val="00C44D65"/>
    <w:rsid w:val="00C44D85"/>
    <w:rsid w:val="00C45046"/>
    <w:rsid w:val="00C452AD"/>
    <w:rsid w:val="00C45795"/>
    <w:rsid w:val="00C45CD9"/>
    <w:rsid w:val="00C4651F"/>
    <w:rsid w:val="00C46772"/>
    <w:rsid w:val="00C469BA"/>
    <w:rsid w:val="00C46ACE"/>
    <w:rsid w:val="00C46EC1"/>
    <w:rsid w:val="00C470B8"/>
    <w:rsid w:val="00C476C1"/>
    <w:rsid w:val="00C477D9"/>
    <w:rsid w:val="00C4792D"/>
    <w:rsid w:val="00C47A83"/>
    <w:rsid w:val="00C47DE5"/>
    <w:rsid w:val="00C47E14"/>
    <w:rsid w:val="00C500BC"/>
    <w:rsid w:val="00C503E5"/>
    <w:rsid w:val="00C503F2"/>
    <w:rsid w:val="00C50731"/>
    <w:rsid w:val="00C508DE"/>
    <w:rsid w:val="00C50AF7"/>
    <w:rsid w:val="00C51130"/>
    <w:rsid w:val="00C512E6"/>
    <w:rsid w:val="00C51D0B"/>
    <w:rsid w:val="00C52207"/>
    <w:rsid w:val="00C5230E"/>
    <w:rsid w:val="00C523A1"/>
    <w:rsid w:val="00C526A2"/>
    <w:rsid w:val="00C52A50"/>
    <w:rsid w:val="00C52A64"/>
    <w:rsid w:val="00C52D98"/>
    <w:rsid w:val="00C53047"/>
    <w:rsid w:val="00C53208"/>
    <w:rsid w:val="00C53397"/>
    <w:rsid w:val="00C535D9"/>
    <w:rsid w:val="00C535DD"/>
    <w:rsid w:val="00C5395E"/>
    <w:rsid w:val="00C53BE3"/>
    <w:rsid w:val="00C53C8E"/>
    <w:rsid w:val="00C54130"/>
    <w:rsid w:val="00C5424F"/>
    <w:rsid w:val="00C54B7D"/>
    <w:rsid w:val="00C55288"/>
    <w:rsid w:val="00C55326"/>
    <w:rsid w:val="00C5546C"/>
    <w:rsid w:val="00C556E8"/>
    <w:rsid w:val="00C557C9"/>
    <w:rsid w:val="00C56667"/>
    <w:rsid w:val="00C56ABD"/>
    <w:rsid w:val="00C56EB8"/>
    <w:rsid w:val="00C578D2"/>
    <w:rsid w:val="00C57BB8"/>
    <w:rsid w:val="00C600EA"/>
    <w:rsid w:val="00C60148"/>
    <w:rsid w:val="00C60256"/>
    <w:rsid w:val="00C60531"/>
    <w:rsid w:val="00C60DE5"/>
    <w:rsid w:val="00C614FF"/>
    <w:rsid w:val="00C61628"/>
    <w:rsid w:val="00C61A82"/>
    <w:rsid w:val="00C633E4"/>
    <w:rsid w:val="00C6341E"/>
    <w:rsid w:val="00C63420"/>
    <w:rsid w:val="00C63C71"/>
    <w:rsid w:val="00C63C7B"/>
    <w:rsid w:val="00C63DB1"/>
    <w:rsid w:val="00C63FA3"/>
    <w:rsid w:val="00C642D4"/>
    <w:rsid w:val="00C6495A"/>
    <w:rsid w:val="00C64B47"/>
    <w:rsid w:val="00C653BD"/>
    <w:rsid w:val="00C659A3"/>
    <w:rsid w:val="00C6618D"/>
    <w:rsid w:val="00C6670E"/>
    <w:rsid w:val="00C6686C"/>
    <w:rsid w:val="00C66AF6"/>
    <w:rsid w:val="00C67D80"/>
    <w:rsid w:val="00C70C8F"/>
    <w:rsid w:val="00C70E28"/>
    <w:rsid w:val="00C710A4"/>
    <w:rsid w:val="00C711BA"/>
    <w:rsid w:val="00C711FD"/>
    <w:rsid w:val="00C71C3F"/>
    <w:rsid w:val="00C71CB5"/>
    <w:rsid w:val="00C71F50"/>
    <w:rsid w:val="00C72476"/>
    <w:rsid w:val="00C72484"/>
    <w:rsid w:val="00C726CC"/>
    <w:rsid w:val="00C730F4"/>
    <w:rsid w:val="00C7345F"/>
    <w:rsid w:val="00C73A07"/>
    <w:rsid w:val="00C73CFA"/>
    <w:rsid w:val="00C73EDB"/>
    <w:rsid w:val="00C74311"/>
    <w:rsid w:val="00C74489"/>
    <w:rsid w:val="00C744A1"/>
    <w:rsid w:val="00C747B3"/>
    <w:rsid w:val="00C74FD2"/>
    <w:rsid w:val="00C750D4"/>
    <w:rsid w:val="00C7594C"/>
    <w:rsid w:val="00C75BF3"/>
    <w:rsid w:val="00C76A3E"/>
    <w:rsid w:val="00C77461"/>
    <w:rsid w:val="00C775EF"/>
    <w:rsid w:val="00C77A35"/>
    <w:rsid w:val="00C80200"/>
    <w:rsid w:val="00C80676"/>
    <w:rsid w:val="00C8085A"/>
    <w:rsid w:val="00C80998"/>
    <w:rsid w:val="00C80ACA"/>
    <w:rsid w:val="00C80AE3"/>
    <w:rsid w:val="00C80E0A"/>
    <w:rsid w:val="00C81E2E"/>
    <w:rsid w:val="00C820DD"/>
    <w:rsid w:val="00C82147"/>
    <w:rsid w:val="00C8270B"/>
    <w:rsid w:val="00C82723"/>
    <w:rsid w:val="00C830E9"/>
    <w:rsid w:val="00C83664"/>
    <w:rsid w:val="00C839E5"/>
    <w:rsid w:val="00C839F6"/>
    <w:rsid w:val="00C841A9"/>
    <w:rsid w:val="00C841E0"/>
    <w:rsid w:val="00C84727"/>
    <w:rsid w:val="00C847C9"/>
    <w:rsid w:val="00C85654"/>
    <w:rsid w:val="00C85AEC"/>
    <w:rsid w:val="00C85F93"/>
    <w:rsid w:val="00C8630C"/>
    <w:rsid w:val="00C8728F"/>
    <w:rsid w:val="00C87416"/>
    <w:rsid w:val="00C87530"/>
    <w:rsid w:val="00C87698"/>
    <w:rsid w:val="00C876C1"/>
    <w:rsid w:val="00C876FE"/>
    <w:rsid w:val="00C87991"/>
    <w:rsid w:val="00C87C54"/>
    <w:rsid w:val="00C901F3"/>
    <w:rsid w:val="00C90314"/>
    <w:rsid w:val="00C90420"/>
    <w:rsid w:val="00C9094C"/>
    <w:rsid w:val="00C90FE2"/>
    <w:rsid w:val="00C91186"/>
    <w:rsid w:val="00C91491"/>
    <w:rsid w:val="00C914B5"/>
    <w:rsid w:val="00C91A0E"/>
    <w:rsid w:val="00C91D48"/>
    <w:rsid w:val="00C91E15"/>
    <w:rsid w:val="00C91EB6"/>
    <w:rsid w:val="00C91EDC"/>
    <w:rsid w:val="00C92327"/>
    <w:rsid w:val="00C92967"/>
    <w:rsid w:val="00C9342E"/>
    <w:rsid w:val="00C934D2"/>
    <w:rsid w:val="00C936BC"/>
    <w:rsid w:val="00C93E27"/>
    <w:rsid w:val="00C941E6"/>
    <w:rsid w:val="00C94B3D"/>
    <w:rsid w:val="00C94CEE"/>
    <w:rsid w:val="00C94F7E"/>
    <w:rsid w:val="00C959EB"/>
    <w:rsid w:val="00C95D6B"/>
    <w:rsid w:val="00C95F77"/>
    <w:rsid w:val="00C963BC"/>
    <w:rsid w:val="00C96819"/>
    <w:rsid w:val="00C96D15"/>
    <w:rsid w:val="00C96DA0"/>
    <w:rsid w:val="00C96F20"/>
    <w:rsid w:val="00C97511"/>
    <w:rsid w:val="00C9781C"/>
    <w:rsid w:val="00C97953"/>
    <w:rsid w:val="00C97FBC"/>
    <w:rsid w:val="00CA06C8"/>
    <w:rsid w:val="00CA06C9"/>
    <w:rsid w:val="00CA0924"/>
    <w:rsid w:val="00CA0B7E"/>
    <w:rsid w:val="00CA0C9F"/>
    <w:rsid w:val="00CA0D70"/>
    <w:rsid w:val="00CA0FB4"/>
    <w:rsid w:val="00CA1456"/>
    <w:rsid w:val="00CA150A"/>
    <w:rsid w:val="00CA183D"/>
    <w:rsid w:val="00CA1CC4"/>
    <w:rsid w:val="00CA269B"/>
    <w:rsid w:val="00CA2B21"/>
    <w:rsid w:val="00CA2D1E"/>
    <w:rsid w:val="00CA3336"/>
    <w:rsid w:val="00CA37B6"/>
    <w:rsid w:val="00CA393B"/>
    <w:rsid w:val="00CA3A47"/>
    <w:rsid w:val="00CA4631"/>
    <w:rsid w:val="00CA4987"/>
    <w:rsid w:val="00CA4C28"/>
    <w:rsid w:val="00CA4E33"/>
    <w:rsid w:val="00CA4E3A"/>
    <w:rsid w:val="00CA552C"/>
    <w:rsid w:val="00CA556B"/>
    <w:rsid w:val="00CA5598"/>
    <w:rsid w:val="00CA58B3"/>
    <w:rsid w:val="00CA5DA1"/>
    <w:rsid w:val="00CA5E50"/>
    <w:rsid w:val="00CA5EF8"/>
    <w:rsid w:val="00CA62FE"/>
    <w:rsid w:val="00CA6889"/>
    <w:rsid w:val="00CA6BE5"/>
    <w:rsid w:val="00CA6EEC"/>
    <w:rsid w:val="00CA70D6"/>
    <w:rsid w:val="00CA725E"/>
    <w:rsid w:val="00CA74B2"/>
    <w:rsid w:val="00CA7BBE"/>
    <w:rsid w:val="00CA7E91"/>
    <w:rsid w:val="00CA7FC1"/>
    <w:rsid w:val="00CB00F6"/>
    <w:rsid w:val="00CB0826"/>
    <w:rsid w:val="00CB0ABA"/>
    <w:rsid w:val="00CB0BE6"/>
    <w:rsid w:val="00CB11DF"/>
    <w:rsid w:val="00CB154C"/>
    <w:rsid w:val="00CB1601"/>
    <w:rsid w:val="00CB1781"/>
    <w:rsid w:val="00CB28A3"/>
    <w:rsid w:val="00CB2D80"/>
    <w:rsid w:val="00CB2E4F"/>
    <w:rsid w:val="00CB2FBB"/>
    <w:rsid w:val="00CB302B"/>
    <w:rsid w:val="00CB3134"/>
    <w:rsid w:val="00CB3728"/>
    <w:rsid w:val="00CB3850"/>
    <w:rsid w:val="00CB399D"/>
    <w:rsid w:val="00CB3B77"/>
    <w:rsid w:val="00CB3FAE"/>
    <w:rsid w:val="00CB418B"/>
    <w:rsid w:val="00CB4868"/>
    <w:rsid w:val="00CB4A52"/>
    <w:rsid w:val="00CB4EF6"/>
    <w:rsid w:val="00CB61DE"/>
    <w:rsid w:val="00CB62DC"/>
    <w:rsid w:val="00CB67B2"/>
    <w:rsid w:val="00CB73EC"/>
    <w:rsid w:val="00CC00A0"/>
    <w:rsid w:val="00CC0529"/>
    <w:rsid w:val="00CC0E2A"/>
    <w:rsid w:val="00CC0E72"/>
    <w:rsid w:val="00CC0FED"/>
    <w:rsid w:val="00CC202B"/>
    <w:rsid w:val="00CC254D"/>
    <w:rsid w:val="00CC2925"/>
    <w:rsid w:val="00CC2B2A"/>
    <w:rsid w:val="00CC2E1C"/>
    <w:rsid w:val="00CC34E8"/>
    <w:rsid w:val="00CC3600"/>
    <w:rsid w:val="00CC3C34"/>
    <w:rsid w:val="00CC3CD4"/>
    <w:rsid w:val="00CC3F9F"/>
    <w:rsid w:val="00CC42FD"/>
    <w:rsid w:val="00CC44AB"/>
    <w:rsid w:val="00CC4637"/>
    <w:rsid w:val="00CC4BD7"/>
    <w:rsid w:val="00CC4CA1"/>
    <w:rsid w:val="00CC4FEB"/>
    <w:rsid w:val="00CC52DA"/>
    <w:rsid w:val="00CC5455"/>
    <w:rsid w:val="00CC56CD"/>
    <w:rsid w:val="00CC5A6E"/>
    <w:rsid w:val="00CC5B2C"/>
    <w:rsid w:val="00CC62F9"/>
    <w:rsid w:val="00CC65F4"/>
    <w:rsid w:val="00CC6805"/>
    <w:rsid w:val="00CC6960"/>
    <w:rsid w:val="00CC6AA9"/>
    <w:rsid w:val="00CC6C06"/>
    <w:rsid w:val="00CC6F80"/>
    <w:rsid w:val="00CC7321"/>
    <w:rsid w:val="00CC7572"/>
    <w:rsid w:val="00CC7E53"/>
    <w:rsid w:val="00CD075C"/>
    <w:rsid w:val="00CD08B6"/>
    <w:rsid w:val="00CD0A00"/>
    <w:rsid w:val="00CD0EB9"/>
    <w:rsid w:val="00CD11C1"/>
    <w:rsid w:val="00CD129E"/>
    <w:rsid w:val="00CD1526"/>
    <w:rsid w:val="00CD1546"/>
    <w:rsid w:val="00CD1811"/>
    <w:rsid w:val="00CD1DC8"/>
    <w:rsid w:val="00CD24CE"/>
    <w:rsid w:val="00CD2807"/>
    <w:rsid w:val="00CD2C93"/>
    <w:rsid w:val="00CD2F7D"/>
    <w:rsid w:val="00CD30EB"/>
    <w:rsid w:val="00CD32CF"/>
    <w:rsid w:val="00CD349D"/>
    <w:rsid w:val="00CD3C22"/>
    <w:rsid w:val="00CD45E9"/>
    <w:rsid w:val="00CD4610"/>
    <w:rsid w:val="00CD464E"/>
    <w:rsid w:val="00CD47DD"/>
    <w:rsid w:val="00CD4EB6"/>
    <w:rsid w:val="00CD51ED"/>
    <w:rsid w:val="00CD528A"/>
    <w:rsid w:val="00CD5509"/>
    <w:rsid w:val="00CD5B0B"/>
    <w:rsid w:val="00CD7061"/>
    <w:rsid w:val="00CD7197"/>
    <w:rsid w:val="00CD7909"/>
    <w:rsid w:val="00CD7D9E"/>
    <w:rsid w:val="00CE01E8"/>
    <w:rsid w:val="00CE0215"/>
    <w:rsid w:val="00CE0B10"/>
    <w:rsid w:val="00CE0DB0"/>
    <w:rsid w:val="00CE1252"/>
    <w:rsid w:val="00CE1EB0"/>
    <w:rsid w:val="00CE21EC"/>
    <w:rsid w:val="00CE2E2E"/>
    <w:rsid w:val="00CE2EAE"/>
    <w:rsid w:val="00CE3333"/>
    <w:rsid w:val="00CE3478"/>
    <w:rsid w:val="00CE357D"/>
    <w:rsid w:val="00CE3BD5"/>
    <w:rsid w:val="00CE3C8C"/>
    <w:rsid w:val="00CE3DA2"/>
    <w:rsid w:val="00CE3DF2"/>
    <w:rsid w:val="00CE428C"/>
    <w:rsid w:val="00CE442E"/>
    <w:rsid w:val="00CE454B"/>
    <w:rsid w:val="00CE494F"/>
    <w:rsid w:val="00CE4B38"/>
    <w:rsid w:val="00CE4E7D"/>
    <w:rsid w:val="00CE5416"/>
    <w:rsid w:val="00CE5937"/>
    <w:rsid w:val="00CE5C2F"/>
    <w:rsid w:val="00CE5E4B"/>
    <w:rsid w:val="00CE61E7"/>
    <w:rsid w:val="00CE638B"/>
    <w:rsid w:val="00CE64A8"/>
    <w:rsid w:val="00CE6573"/>
    <w:rsid w:val="00CE6754"/>
    <w:rsid w:val="00CE6988"/>
    <w:rsid w:val="00CE7389"/>
    <w:rsid w:val="00CE744F"/>
    <w:rsid w:val="00CE7B5D"/>
    <w:rsid w:val="00CE7C71"/>
    <w:rsid w:val="00CF04D5"/>
    <w:rsid w:val="00CF07A4"/>
    <w:rsid w:val="00CF09A6"/>
    <w:rsid w:val="00CF0ADE"/>
    <w:rsid w:val="00CF0C07"/>
    <w:rsid w:val="00CF0C0F"/>
    <w:rsid w:val="00CF0F06"/>
    <w:rsid w:val="00CF13F8"/>
    <w:rsid w:val="00CF1524"/>
    <w:rsid w:val="00CF1690"/>
    <w:rsid w:val="00CF1F2A"/>
    <w:rsid w:val="00CF2341"/>
    <w:rsid w:val="00CF25D6"/>
    <w:rsid w:val="00CF278E"/>
    <w:rsid w:val="00CF27ED"/>
    <w:rsid w:val="00CF2B73"/>
    <w:rsid w:val="00CF3817"/>
    <w:rsid w:val="00CF3A37"/>
    <w:rsid w:val="00CF3B42"/>
    <w:rsid w:val="00CF3FBE"/>
    <w:rsid w:val="00CF3FEE"/>
    <w:rsid w:val="00CF4A86"/>
    <w:rsid w:val="00CF4EC4"/>
    <w:rsid w:val="00CF52E3"/>
    <w:rsid w:val="00CF530A"/>
    <w:rsid w:val="00CF59CD"/>
    <w:rsid w:val="00CF5BDA"/>
    <w:rsid w:val="00CF5CE3"/>
    <w:rsid w:val="00CF5E3C"/>
    <w:rsid w:val="00CF6489"/>
    <w:rsid w:val="00CF6896"/>
    <w:rsid w:val="00CF6C76"/>
    <w:rsid w:val="00CF6DEA"/>
    <w:rsid w:val="00CF7340"/>
    <w:rsid w:val="00CF7412"/>
    <w:rsid w:val="00D0009A"/>
    <w:rsid w:val="00D00795"/>
    <w:rsid w:val="00D008C2"/>
    <w:rsid w:val="00D01101"/>
    <w:rsid w:val="00D013B1"/>
    <w:rsid w:val="00D014E1"/>
    <w:rsid w:val="00D01544"/>
    <w:rsid w:val="00D016BB"/>
    <w:rsid w:val="00D017C0"/>
    <w:rsid w:val="00D01CB2"/>
    <w:rsid w:val="00D02149"/>
    <w:rsid w:val="00D022A5"/>
    <w:rsid w:val="00D022B1"/>
    <w:rsid w:val="00D0233D"/>
    <w:rsid w:val="00D02B1E"/>
    <w:rsid w:val="00D030F8"/>
    <w:rsid w:val="00D032DD"/>
    <w:rsid w:val="00D0377A"/>
    <w:rsid w:val="00D03A4E"/>
    <w:rsid w:val="00D03BE5"/>
    <w:rsid w:val="00D03DA8"/>
    <w:rsid w:val="00D03E87"/>
    <w:rsid w:val="00D041AB"/>
    <w:rsid w:val="00D04A5D"/>
    <w:rsid w:val="00D04D1A"/>
    <w:rsid w:val="00D056B6"/>
    <w:rsid w:val="00D0574D"/>
    <w:rsid w:val="00D057EB"/>
    <w:rsid w:val="00D05830"/>
    <w:rsid w:val="00D05837"/>
    <w:rsid w:val="00D0626D"/>
    <w:rsid w:val="00D06320"/>
    <w:rsid w:val="00D06994"/>
    <w:rsid w:val="00D06C2E"/>
    <w:rsid w:val="00D071D3"/>
    <w:rsid w:val="00D076BE"/>
    <w:rsid w:val="00D077B7"/>
    <w:rsid w:val="00D07E5E"/>
    <w:rsid w:val="00D07F02"/>
    <w:rsid w:val="00D10283"/>
    <w:rsid w:val="00D104D6"/>
    <w:rsid w:val="00D10602"/>
    <w:rsid w:val="00D1101A"/>
    <w:rsid w:val="00D1104E"/>
    <w:rsid w:val="00D11405"/>
    <w:rsid w:val="00D11492"/>
    <w:rsid w:val="00D11623"/>
    <w:rsid w:val="00D116D5"/>
    <w:rsid w:val="00D11D5B"/>
    <w:rsid w:val="00D11DFA"/>
    <w:rsid w:val="00D12739"/>
    <w:rsid w:val="00D12DE3"/>
    <w:rsid w:val="00D12DE4"/>
    <w:rsid w:val="00D13285"/>
    <w:rsid w:val="00D1331D"/>
    <w:rsid w:val="00D13F08"/>
    <w:rsid w:val="00D153B3"/>
    <w:rsid w:val="00D158C1"/>
    <w:rsid w:val="00D15A60"/>
    <w:rsid w:val="00D15E80"/>
    <w:rsid w:val="00D162FE"/>
    <w:rsid w:val="00D16A96"/>
    <w:rsid w:val="00D16D67"/>
    <w:rsid w:val="00D17754"/>
    <w:rsid w:val="00D17B89"/>
    <w:rsid w:val="00D17C4A"/>
    <w:rsid w:val="00D17D16"/>
    <w:rsid w:val="00D17DD0"/>
    <w:rsid w:val="00D2016F"/>
    <w:rsid w:val="00D20172"/>
    <w:rsid w:val="00D20297"/>
    <w:rsid w:val="00D202FF"/>
    <w:rsid w:val="00D204CF"/>
    <w:rsid w:val="00D2090A"/>
    <w:rsid w:val="00D20CA9"/>
    <w:rsid w:val="00D210F8"/>
    <w:rsid w:val="00D21382"/>
    <w:rsid w:val="00D21412"/>
    <w:rsid w:val="00D2142E"/>
    <w:rsid w:val="00D21D72"/>
    <w:rsid w:val="00D21E43"/>
    <w:rsid w:val="00D21E6B"/>
    <w:rsid w:val="00D227B1"/>
    <w:rsid w:val="00D228A0"/>
    <w:rsid w:val="00D23217"/>
    <w:rsid w:val="00D23322"/>
    <w:rsid w:val="00D2336A"/>
    <w:rsid w:val="00D23634"/>
    <w:rsid w:val="00D23719"/>
    <w:rsid w:val="00D23769"/>
    <w:rsid w:val="00D23B52"/>
    <w:rsid w:val="00D23C02"/>
    <w:rsid w:val="00D24B4D"/>
    <w:rsid w:val="00D24D31"/>
    <w:rsid w:val="00D24DC9"/>
    <w:rsid w:val="00D2546E"/>
    <w:rsid w:val="00D257B2"/>
    <w:rsid w:val="00D25A04"/>
    <w:rsid w:val="00D25F81"/>
    <w:rsid w:val="00D25FA0"/>
    <w:rsid w:val="00D26328"/>
    <w:rsid w:val="00D2638D"/>
    <w:rsid w:val="00D264B5"/>
    <w:rsid w:val="00D268C6"/>
    <w:rsid w:val="00D26AC4"/>
    <w:rsid w:val="00D270DC"/>
    <w:rsid w:val="00D273BE"/>
    <w:rsid w:val="00D275EC"/>
    <w:rsid w:val="00D27CC2"/>
    <w:rsid w:val="00D30485"/>
    <w:rsid w:val="00D30F0A"/>
    <w:rsid w:val="00D30FA9"/>
    <w:rsid w:val="00D31485"/>
    <w:rsid w:val="00D314A2"/>
    <w:rsid w:val="00D3282F"/>
    <w:rsid w:val="00D32CB6"/>
    <w:rsid w:val="00D32F40"/>
    <w:rsid w:val="00D3384B"/>
    <w:rsid w:val="00D33996"/>
    <w:rsid w:val="00D33CFC"/>
    <w:rsid w:val="00D340B8"/>
    <w:rsid w:val="00D340F7"/>
    <w:rsid w:val="00D34551"/>
    <w:rsid w:val="00D349DA"/>
    <w:rsid w:val="00D3575F"/>
    <w:rsid w:val="00D3674F"/>
    <w:rsid w:val="00D36774"/>
    <w:rsid w:val="00D369B7"/>
    <w:rsid w:val="00D36A32"/>
    <w:rsid w:val="00D36A8B"/>
    <w:rsid w:val="00D36D27"/>
    <w:rsid w:val="00D372A9"/>
    <w:rsid w:val="00D37889"/>
    <w:rsid w:val="00D37CA3"/>
    <w:rsid w:val="00D37CFD"/>
    <w:rsid w:val="00D37F49"/>
    <w:rsid w:val="00D4088E"/>
    <w:rsid w:val="00D41664"/>
    <w:rsid w:val="00D41926"/>
    <w:rsid w:val="00D41B84"/>
    <w:rsid w:val="00D41B8D"/>
    <w:rsid w:val="00D41C23"/>
    <w:rsid w:val="00D424F3"/>
    <w:rsid w:val="00D42D89"/>
    <w:rsid w:val="00D43316"/>
    <w:rsid w:val="00D43507"/>
    <w:rsid w:val="00D43720"/>
    <w:rsid w:val="00D43B9B"/>
    <w:rsid w:val="00D43F71"/>
    <w:rsid w:val="00D4410D"/>
    <w:rsid w:val="00D44398"/>
    <w:rsid w:val="00D44790"/>
    <w:rsid w:val="00D4482F"/>
    <w:rsid w:val="00D4540C"/>
    <w:rsid w:val="00D454EC"/>
    <w:rsid w:val="00D455EC"/>
    <w:rsid w:val="00D4569D"/>
    <w:rsid w:val="00D457D6"/>
    <w:rsid w:val="00D4597E"/>
    <w:rsid w:val="00D45E25"/>
    <w:rsid w:val="00D4612C"/>
    <w:rsid w:val="00D46527"/>
    <w:rsid w:val="00D46748"/>
    <w:rsid w:val="00D47006"/>
    <w:rsid w:val="00D47293"/>
    <w:rsid w:val="00D50A64"/>
    <w:rsid w:val="00D50AF7"/>
    <w:rsid w:val="00D50D2F"/>
    <w:rsid w:val="00D519FE"/>
    <w:rsid w:val="00D51AF5"/>
    <w:rsid w:val="00D51CB3"/>
    <w:rsid w:val="00D520DE"/>
    <w:rsid w:val="00D522EC"/>
    <w:rsid w:val="00D5240C"/>
    <w:rsid w:val="00D5240D"/>
    <w:rsid w:val="00D52AF7"/>
    <w:rsid w:val="00D52CFE"/>
    <w:rsid w:val="00D538B2"/>
    <w:rsid w:val="00D53B7A"/>
    <w:rsid w:val="00D53DC3"/>
    <w:rsid w:val="00D54615"/>
    <w:rsid w:val="00D54DC8"/>
    <w:rsid w:val="00D54F62"/>
    <w:rsid w:val="00D55013"/>
    <w:rsid w:val="00D55021"/>
    <w:rsid w:val="00D5544A"/>
    <w:rsid w:val="00D5547E"/>
    <w:rsid w:val="00D55E10"/>
    <w:rsid w:val="00D55FA6"/>
    <w:rsid w:val="00D56642"/>
    <w:rsid w:val="00D5665A"/>
    <w:rsid w:val="00D56667"/>
    <w:rsid w:val="00D56B5C"/>
    <w:rsid w:val="00D5740B"/>
    <w:rsid w:val="00D57509"/>
    <w:rsid w:val="00D57630"/>
    <w:rsid w:val="00D57679"/>
    <w:rsid w:val="00D5794C"/>
    <w:rsid w:val="00D579D9"/>
    <w:rsid w:val="00D57F13"/>
    <w:rsid w:val="00D60235"/>
    <w:rsid w:val="00D60281"/>
    <w:rsid w:val="00D60468"/>
    <w:rsid w:val="00D6089D"/>
    <w:rsid w:val="00D60D37"/>
    <w:rsid w:val="00D60DD3"/>
    <w:rsid w:val="00D610E3"/>
    <w:rsid w:val="00D6151C"/>
    <w:rsid w:val="00D617C5"/>
    <w:rsid w:val="00D620B5"/>
    <w:rsid w:val="00D62F49"/>
    <w:rsid w:val="00D632C4"/>
    <w:rsid w:val="00D6364D"/>
    <w:rsid w:val="00D6417D"/>
    <w:rsid w:val="00D641EC"/>
    <w:rsid w:val="00D64CE2"/>
    <w:rsid w:val="00D6513C"/>
    <w:rsid w:val="00D65482"/>
    <w:rsid w:val="00D65563"/>
    <w:rsid w:val="00D65E27"/>
    <w:rsid w:val="00D661D4"/>
    <w:rsid w:val="00D663B0"/>
    <w:rsid w:val="00D664BC"/>
    <w:rsid w:val="00D665DC"/>
    <w:rsid w:val="00D665F0"/>
    <w:rsid w:val="00D66D28"/>
    <w:rsid w:val="00D672AE"/>
    <w:rsid w:val="00D674A5"/>
    <w:rsid w:val="00D67CE1"/>
    <w:rsid w:val="00D7016C"/>
    <w:rsid w:val="00D702E1"/>
    <w:rsid w:val="00D70446"/>
    <w:rsid w:val="00D7068C"/>
    <w:rsid w:val="00D70847"/>
    <w:rsid w:val="00D70C20"/>
    <w:rsid w:val="00D70ECE"/>
    <w:rsid w:val="00D719B9"/>
    <w:rsid w:val="00D7204E"/>
    <w:rsid w:val="00D7229D"/>
    <w:rsid w:val="00D7235D"/>
    <w:rsid w:val="00D72465"/>
    <w:rsid w:val="00D7270F"/>
    <w:rsid w:val="00D73017"/>
    <w:rsid w:val="00D73618"/>
    <w:rsid w:val="00D73703"/>
    <w:rsid w:val="00D73A08"/>
    <w:rsid w:val="00D73E5C"/>
    <w:rsid w:val="00D7406C"/>
    <w:rsid w:val="00D74F61"/>
    <w:rsid w:val="00D7596A"/>
    <w:rsid w:val="00D7721F"/>
    <w:rsid w:val="00D7739E"/>
    <w:rsid w:val="00D7751B"/>
    <w:rsid w:val="00D77A35"/>
    <w:rsid w:val="00D77A46"/>
    <w:rsid w:val="00D77C75"/>
    <w:rsid w:val="00D77D15"/>
    <w:rsid w:val="00D77D7D"/>
    <w:rsid w:val="00D800C9"/>
    <w:rsid w:val="00D808FE"/>
    <w:rsid w:val="00D80A7A"/>
    <w:rsid w:val="00D815DC"/>
    <w:rsid w:val="00D822B5"/>
    <w:rsid w:val="00D82405"/>
    <w:rsid w:val="00D82599"/>
    <w:rsid w:val="00D82C88"/>
    <w:rsid w:val="00D82E4B"/>
    <w:rsid w:val="00D83D3C"/>
    <w:rsid w:val="00D83F15"/>
    <w:rsid w:val="00D83F73"/>
    <w:rsid w:val="00D84451"/>
    <w:rsid w:val="00D847EC"/>
    <w:rsid w:val="00D84BAE"/>
    <w:rsid w:val="00D84BC9"/>
    <w:rsid w:val="00D8517F"/>
    <w:rsid w:val="00D85794"/>
    <w:rsid w:val="00D859ED"/>
    <w:rsid w:val="00D85C95"/>
    <w:rsid w:val="00D864FA"/>
    <w:rsid w:val="00D866A2"/>
    <w:rsid w:val="00D867AE"/>
    <w:rsid w:val="00D869BE"/>
    <w:rsid w:val="00D8710C"/>
    <w:rsid w:val="00D87BBB"/>
    <w:rsid w:val="00D87C87"/>
    <w:rsid w:val="00D87F83"/>
    <w:rsid w:val="00D91391"/>
    <w:rsid w:val="00D9189A"/>
    <w:rsid w:val="00D921C4"/>
    <w:rsid w:val="00D9296A"/>
    <w:rsid w:val="00D92CF2"/>
    <w:rsid w:val="00D92DFE"/>
    <w:rsid w:val="00D92E3D"/>
    <w:rsid w:val="00D92E5A"/>
    <w:rsid w:val="00D92E99"/>
    <w:rsid w:val="00D932D3"/>
    <w:rsid w:val="00D936B1"/>
    <w:rsid w:val="00D937C2"/>
    <w:rsid w:val="00D93B5F"/>
    <w:rsid w:val="00D93BF6"/>
    <w:rsid w:val="00D93C23"/>
    <w:rsid w:val="00D9437B"/>
    <w:rsid w:val="00D94416"/>
    <w:rsid w:val="00D95187"/>
    <w:rsid w:val="00D9534C"/>
    <w:rsid w:val="00D9537C"/>
    <w:rsid w:val="00D95543"/>
    <w:rsid w:val="00D95638"/>
    <w:rsid w:val="00D9584C"/>
    <w:rsid w:val="00D958F1"/>
    <w:rsid w:val="00D95C85"/>
    <w:rsid w:val="00D960C3"/>
    <w:rsid w:val="00D96209"/>
    <w:rsid w:val="00D9627B"/>
    <w:rsid w:val="00D9631B"/>
    <w:rsid w:val="00D96BDA"/>
    <w:rsid w:val="00D97180"/>
    <w:rsid w:val="00D971C2"/>
    <w:rsid w:val="00D97208"/>
    <w:rsid w:val="00D97C79"/>
    <w:rsid w:val="00D97E93"/>
    <w:rsid w:val="00DA0365"/>
    <w:rsid w:val="00DA0520"/>
    <w:rsid w:val="00DA0FFE"/>
    <w:rsid w:val="00DA1192"/>
    <w:rsid w:val="00DA1343"/>
    <w:rsid w:val="00DA14D9"/>
    <w:rsid w:val="00DA19E8"/>
    <w:rsid w:val="00DA21D9"/>
    <w:rsid w:val="00DA2719"/>
    <w:rsid w:val="00DA2A8A"/>
    <w:rsid w:val="00DA2CD9"/>
    <w:rsid w:val="00DA2DD9"/>
    <w:rsid w:val="00DA2EDE"/>
    <w:rsid w:val="00DA307C"/>
    <w:rsid w:val="00DA3265"/>
    <w:rsid w:val="00DA3758"/>
    <w:rsid w:val="00DA37C8"/>
    <w:rsid w:val="00DA38EE"/>
    <w:rsid w:val="00DA39EB"/>
    <w:rsid w:val="00DA452C"/>
    <w:rsid w:val="00DA4910"/>
    <w:rsid w:val="00DA49E5"/>
    <w:rsid w:val="00DA4AEB"/>
    <w:rsid w:val="00DA5050"/>
    <w:rsid w:val="00DA50D4"/>
    <w:rsid w:val="00DA523F"/>
    <w:rsid w:val="00DA5805"/>
    <w:rsid w:val="00DA5816"/>
    <w:rsid w:val="00DA59AC"/>
    <w:rsid w:val="00DA5DCC"/>
    <w:rsid w:val="00DA5F3B"/>
    <w:rsid w:val="00DA5FF6"/>
    <w:rsid w:val="00DA6469"/>
    <w:rsid w:val="00DA6801"/>
    <w:rsid w:val="00DA6D88"/>
    <w:rsid w:val="00DA6E87"/>
    <w:rsid w:val="00DA6EC4"/>
    <w:rsid w:val="00DA7298"/>
    <w:rsid w:val="00DA74D7"/>
    <w:rsid w:val="00DA7588"/>
    <w:rsid w:val="00DA7738"/>
    <w:rsid w:val="00DA7AD4"/>
    <w:rsid w:val="00DA7C75"/>
    <w:rsid w:val="00DB062C"/>
    <w:rsid w:val="00DB0AFE"/>
    <w:rsid w:val="00DB0BFC"/>
    <w:rsid w:val="00DB0F6F"/>
    <w:rsid w:val="00DB0FFE"/>
    <w:rsid w:val="00DB1120"/>
    <w:rsid w:val="00DB114F"/>
    <w:rsid w:val="00DB13AD"/>
    <w:rsid w:val="00DB1BB3"/>
    <w:rsid w:val="00DB1EA7"/>
    <w:rsid w:val="00DB2036"/>
    <w:rsid w:val="00DB23F9"/>
    <w:rsid w:val="00DB352D"/>
    <w:rsid w:val="00DB37FB"/>
    <w:rsid w:val="00DB47AF"/>
    <w:rsid w:val="00DB4B21"/>
    <w:rsid w:val="00DB4C30"/>
    <w:rsid w:val="00DB4C8C"/>
    <w:rsid w:val="00DB58BE"/>
    <w:rsid w:val="00DB602E"/>
    <w:rsid w:val="00DB604C"/>
    <w:rsid w:val="00DB6176"/>
    <w:rsid w:val="00DB6200"/>
    <w:rsid w:val="00DB629B"/>
    <w:rsid w:val="00DB64EA"/>
    <w:rsid w:val="00DB652A"/>
    <w:rsid w:val="00DB694B"/>
    <w:rsid w:val="00DB6AA0"/>
    <w:rsid w:val="00DB6F1C"/>
    <w:rsid w:val="00DB7125"/>
    <w:rsid w:val="00DB7399"/>
    <w:rsid w:val="00DB7410"/>
    <w:rsid w:val="00DB7490"/>
    <w:rsid w:val="00DB7C3A"/>
    <w:rsid w:val="00DB7E37"/>
    <w:rsid w:val="00DC0443"/>
    <w:rsid w:val="00DC05C0"/>
    <w:rsid w:val="00DC07B7"/>
    <w:rsid w:val="00DC0B53"/>
    <w:rsid w:val="00DC0DBF"/>
    <w:rsid w:val="00DC1737"/>
    <w:rsid w:val="00DC1764"/>
    <w:rsid w:val="00DC1C47"/>
    <w:rsid w:val="00DC1CE2"/>
    <w:rsid w:val="00DC222B"/>
    <w:rsid w:val="00DC22A2"/>
    <w:rsid w:val="00DC3016"/>
    <w:rsid w:val="00DC3520"/>
    <w:rsid w:val="00DC3CC1"/>
    <w:rsid w:val="00DC3D54"/>
    <w:rsid w:val="00DC4092"/>
    <w:rsid w:val="00DC45BB"/>
    <w:rsid w:val="00DC5191"/>
    <w:rsid w:val="00DC54BB"/>
    <w:rsid w:val="00DC6186"/>
    <w:rsid w:val="00DC6348"/>
    <w:rsid w:val="00DC67BE"/>
    <w:rsid w:val="00DC69C8"/>
    <w:rsid w:val="00DC6FAF"/>
    <w:rsid w:val="00DC799B"/>
    <w:rsid w:val="00DC79C1"/>
    <w:rsid w:val="00DD024A"/>
    <w:rsid w:val="00DD04CC"/>
    <w:rsid w:val="00DD0612"/>
    <w:rsid w:val="00DD1146"/>
    <w:rsid w:val="00DD14EE"/>
    <w:rsid w:val="00DD1501"/>
    <w:rsid w:val="00DD155D"/>
    <w:rsid w:val="00DD18ED"/>
    <w:rsid w:val="00DD1A49"/>
    <w:rsid w:val="00DD2753"/>
    <w:rsid w:val="00DD2775"/>
    <w:rsid w:val="00DD27C9"/>
    <w:rsid w:val="00DD2FA3"/>
    <w:rsid w:val="00DD32AB"/>
    <w:rsid w:val="00DD332C"/>
    <w:rsid w:val="00DD3B55"/>
    <w:rsid w:val="00DD3E18"/>
    <w:rsid w:val="00DD3E7A"/>
    <w:rsid w:val="00DD3F95"/>
    <w:rsid w:val="00DD3FF3"/>
    <w:rsid w:val="00DD4484"/>
    <w:rsid w:val="00DD44BE"/>
    <w:rsid w:val="00DD45AD"/>
    <w:rsid w:val="00DD4B87"/>
    <w:rsid w:val="00DD4CDA"/>
    <w:rsid w:val="00DD5415"/>
    <w:rsid w:val="00DD57BD"/>
    <w:rsid w:val="00DD57FD"/>
    <w:rsid w:val="00DD589A"/>
    <w:rsid w:val="00DD5BF6"/>
    <w:rsid w:val="00DD5D02"/>
    <w:rsid w:val="00DD5F39"/>
    <w:rsid w:val="00DD5FEC"/>
    <w:rsid w:val="00DD600C"/>
    <w:rsid w:val="00DD60C3"/>
    <w:rsid w:val="00DD638A"/>
    <w:rsid w:val="00DD64DC"/>
    <w:rsid w:val="00DD759E"/>
    <w:rsid w:val="00DD774F"/>
    <w:rsid w:val="00DE02AB"/>
    <w:rsid w:val="00DE04E2"/>
    <w:rsid w:val="00DE051F"/>
    <w:rsid w:val="00DE07D6"/>
    <w:rsid w:val="00DE0C16"/>
    <w:rsid w:val="00DE1697"/>
    <w:rsid w:val="00DE1818"/>
    <w:rsid w:val="00DE1865"/>
    <w:rsid w:val="00DE1911"/>
    <w:rsid w:val="00DE1AA4"/>
    <w:rsid w:val="00DE1D2D"/>
    <w:rsid w:val="00DE1E82"/>
    <w:rsid w:val="00DE22AF"/>
    <w:rsid w:val="00DE2342"/>
    <w:rsid w:val="00DE2818"/>
    <w:rsid w:val="00DE2A29"/>
    <w:rsid w:val="00DE366B"/>
    <w:rsid w:val="00DE373E"/>
    <w:rsid w:val="00DE3C3D"/>
    <w:rsid w:val="00DE3EB1"/>
    <w:rsid w:val="00DE403F"/>
    <w:rsid w:val="00DE43C1"/>
    <w:rsid w:val="00DE441B"/>
    <w:rsid w:val="00DE475E"/>
    <w:rsid w:val="00DE4978"/>
    <w:rsid w:val="00DE4DDA"/>
    <w:rsid w:val="00DE5354"/>
    <w:rsid w:val="00DE652E"/>
    <w:rsid w:val="00DE6A91"/>
    <w:rsid w:val="00DE6C40"/>
    <w:rsid w:val="00DE6CEF"/>
    <w:rsid w:val="00DE6DE8"/>
    <w:rsid w:val="00DE78AE"/>
    <w:rsid w:val="00DE78F7"/>
    <w:rsid w:val="00DF0383"/>
    <w:rsid w:val="00DF086F"/>
    <w:rsid w:val="00DF0D2F"/>
    <w:rsid w:val="00DF0EED"/>
    <w:rsid w:val="00DF11A5"/>
    <w:rsid w:val="00DF11C2"/>
    <w:rsid w:val="00DF1934"/>
    <w:rsid w:val="00DF1FDB"/>
    <w:rsid w:val="00DF2038"/>
    <w:rsid w:val="00DF2134"/>
    <w:rsid w:val="00DF2256"/>
    <w:rsid w:val="00DF23AE"/>
    <w:rsid w:val="00DF2ED6"/>
    <w:rsid w:val="00DF32FB"/>
    <w:rsid w:val="00DF333B"/>
    <w:rsid w:val="00DF3A7D"/>
    <w:rsid w:val="00DF3CA3"/>
    <w:rsid w:val="00DF40B5"/>
    <w:rsid w:val="00DF4144"/>
    <w:rsid w:val="00DF416D"/>
    <w:rsid w:val="00DF4267"/>
    <w:rsid w:val="00DF4593"/>
    <w:rsid w:val="00DF48C8"/>
    <w:rsid w:val="00DF499A"/>
    <w:rsid w:val="00DF4AB3"/>
    <w:rsid w:val="00DF5643"/>
    <w:rsid w:val="00DF5708"/>
    <w:rsid w:val="00DF62E1"/>
    <w:rsid w:val="00DF6371"/>
    <w:rsid w:val="00DF64E0"/>
    <w:rsid w:val="00DF65C6"/>
    <w:rsid w:val="00DF6793"/>
    <w:rsid w:val="00DF721B"/>
    <w:rsid w:val="00DF730D"/>
    <w:rsid w:val="00DF76DA"/>
    <w:rsid w:val="00DF771B"/>
    <w:rsid w:val="00DF7DE6"/>
    <w:rsid w:val="00E00A45"/>
    <w:rsid w:val="00E00C49"/>
    <w:rsid w:val="00E00D98"/>
    <w:rsid w:val="00E0145A"/>
    <w:rsid w:val="00E01AEE"/>
    <w:rsid w:val="00E01E27"/>
    <w:rsid w:val="00E022BD"/>
    <w:rsid w:val="00E029BE"/>
    <w:rsid w:val="00E02FD4"/>
    <w:rsid w:val="00E03ADC"/>
    <w:rsid w:val="00E03BAB"/>
    <w:rsid w:val="00E03BC7"/>
    <w:rsid w:val="00E03D6B"/>
    <w:rsid w:val="00E03D99"/>
    <w:rsid w:val="00E044DE"/>
    <w:rsid w:val="00E048F2"/>
    <w:rsid w:val="00E05399"/>
    <w:rsid w:val="00E0541E"/>
    <w:rsid w:val="00E058E2"/>
    <w:rsid w:val="00E059F7"/>
    <w:rsid w:val="00E0621B"/>
    <w:rsid w:val="00E068F2"/>
    <w:rsid w:val="00E06E33"/>
    <w:rsid w:val="00E077E7"/>
    <w:rsid w:val="00E0780E"/>
    <w:rsid w:val="00E1054F"/>
    <w:rsid w:val="00E108DF"/>
    <w:rsid w:val="00E10C42"/>
    <w:rsid w:val="00E10D05"/>
    <w:rsid w:val="00E110EC"/>
    <w:rsid w:val="00E116F5"/>
    <w:rsid w:val="00E1222A"/>
    <w:rsid w:val="00E12692"/>
    <w:rsid w:val="00E129E8"/>
    <w:rsid w:val="00E12CAB"/>
    <w:rsid w:val="00E134B8"/>
    <w:rsid w:val="00E135F8"/>
    <w:rsid w:val="00E13EAA"/>
    <w:rsid w:val="00E1491C"/>
    <w:rsid w:val="00E14CE4"/>
    <w:rsid w:val="00E156B1"/>
    <w:rsid w:val="00E15827"/>
    <w:rsid w:val="00E159C7"/>
    <w:rsid w:val="00E15AEB"/>
    <w:rsid w:val="00E161D9"/>
    <w:rsid w:val="00E165E0"/>
    <w:rsid w:val="00E16C4C"/>
    <w:rsid w:val="00E16DCF"/>
    <w:rsid w:val="00E172FC"/>
    <w:rsid w:val="00E17422"/>
    <w:rsid w:val="00E175ED"/>
    <w:rsid w:val="00E17C3C"/>
    <w:rsid w:val="00E17C67"/>
    <w:rsid w:val="00E200CF"/>
    <w:rsid w:val="00E20690"/>
    <w:rsid w:val="00E206B2"/>
    <w:rsid w:val="00E20CCC"/>
    <w:rsid w:val="00E20F0D"/>
    <w:rsid w:val="00E20F49"/>
    <w:rsid w:val="00E214A9"/>
    <w:rsid w:val="00E216F2"/>
    <w:rsid w:val="00E2223E"/>
    <w:rsid w:val="00E2299A"/>
    <w:rsid w:val="00E22C46"/>
    <w:rsid w:val="00E22C83"/>
    <w:rsid w:val="00E22D98"/>
    <w:rsid w:val="00E22F01"/>
    <w:rsid w:val="00E231B6"/>
    <w:rsid w:val="00E2390E"/>
    <w:rsid w:val="00E23F4A"/>
    <w:rsid w:val="00E2401A"/>
    <w:rsid w:val="00E241F8"/>
    <w:rsid w:val="00E24623"/>
    <w:rsid w:val="00E24651"/>
    <w:rsid w:val="00E252E3"/>
    <w:rsid w:val="00E2549A"/>
    <w:rsid w:val="00E25776"/>
    <w:rsid w:val="00E25B1B"/>
    <w:rsid w:val="00E25BFB"/>
    <w:rsid w:val="00E25C5E"/>
    <w:rsid w:val="00E262BC"/>
    <w:rsid w:val="00E263F6"/>
    <w:rsid w:val="00E264D6"/>
    <w:rsid w:val="00E2693F"/>
    <w:rsid w:val="00E26B6B"/>
    <w:rsid w:val="00E276D2"/>
    <w:rsid w:val="00E278F0"/>
    <w:rsid w:val="00E30007"/>
    <w:rsid w:val="00E30267"/>
    <w:rsid w:val="00E30677"/>
    <w:rsid w:val="00E30C99"/>
    <w:rsid w:val="00E30D01"/>
    <w:rsid w:val="00E31440"/>
    <w:rsid w:val="00E315A9"/>
    <w:rsid w:val="00E31671"/>
    <w:rsid w:val="00E31676"/>
    <w:rsid w:val="00E32381"/>
    <w:rsid w:val="00E32BE9"/>
    <w:rsid w:val="00E32C52"/>
    <w:rsid w:val="00E32DC1"/>
    <w:rsid w:val="00E33408"/>
    <w:rsid w:val="00E33A7F"/>
    <w:rsid w:val="00E33A9B"/>
    <w:rsid w:val="00E3432D"/>
    <w:rsid w:val="00E345A3"/>
    <w:rsid w:val="00E34A9D"/>
    <w:rsid w:val="00E351AE"/>
    <w:rsid w:val="00E35454"/>
    <w:rsid w:val="00E35FE5"/>
    <w:rsid w:val="00E36167"/>
    <w:rsid w:val="00E36220"/>
    <w:rsid w:val="00E376BB"/>
    <w:rsid w:val="00E378A9"/>
    <w:rsid w:val="00E40505"/>
    <w:rsid w:val="00E40D42"/>
    <w:rsid w:val="00E412C4"/>
    <w:rsid w:val="00E413A6"/>
    <w:rsid w:val="00E41439"/>
    <w:rsid w:val="00E41914"/>
    <w:rsid w:val="00E41A89"/>
    <w:rsid w:val="00E41B1C"/>
    <w:rsid w:val="00E427A0"/>
    <w:rsid w:val="00E42A41"/>
    <w:rsid w:val="00E42E27"/>
    <w:rsid w:val="00E438D2"/>
    <w:rsid w:val="00E43C20"/>
    <w:rsid w:val="00E43C2F"/>
    <w:rsid w:val="00E4413A"/>
    <w:rsid w:val="00E441A8"/>
    <w:rsid w:val="00E44417"/>
    <w:rsid w:val="00E44970"/>
    <w:rsid w:val="00E44E32"/>
    <w:rsid w:val="00E452DB"/>
    <w:rsid w:val="00E45410"/>
    <w:rsid w:val="00E45766"/>
    <w:rsid w:val="00E45AC5"/>
    <w:rsid w:val="00E45C1A"/>
    <w:rsid w:val="00E45D66"/>
    <w:rsid w:val="00E464A4"/>
    <w:rsid w:val="00E4689A"/>
    <w:rsid w:val="00E476E0"/>
    <w:rsid w:val="00E47865"/>
    <w:rsid w:val="00E47AEC"/>
    <w:rsid w:val="00E50895"/>
    <w:rsid w:val="00E50986"/>
    <w:rsid w:val="00E50F4D"/>
    <w:rsid w:val="00E5137D"/>
    <w:rsid w:val="00E51690"/>
    <w:rsid w:val="00E5169D"/>
    <w:rsid w:val="00E51A18"/>
    <w:rsid w:val="00E51BC2"/>
    <w:rsid w:val="00E5205B"/>
    <w:rsid w:val="00E52887"/>
    <w:rsid w:val="00E529D4"/>
    <w:rsid w:val="00E53999"/>
    <w:rsid w:val="00E53F6A"/>
    <w:rsid w:val="00E55B49"/>
    <w:rsid w:val="00E5625E"/>
    <w:rsid w:val="00E567E5"/>
    <w:rsid w:val="00E56EBC"/>
    <w:rsid w:val="00E5708A"/>
    <w:rsid w:val="00E5749F"/>
    <w:rsid w:val="00E57ADD"/>
    <w:rsid w:val="00E6106D"/>
    <w:rsid w:val="00E61A80"/>
    <w:rsid w:val="00E61E21"/>
    <w:rsid w:val="00E61ED4"/>
    <w:rsid w:val="00E62624"/>
    <w:rsid w:val="00E62FA6"/>
    <w:rsid w:val="00E63075"/>
    <w:rsid w:val="00E63250"/>
    <w:rsid w:val="00E63370"/>
    <w:rsid w:val="00E63379"/>
    <w:rsid w:val="00E63E2A"/>
    <w:rsid w:val="00E63F13"/>
    <w:rsid w:val="00E64199"/>
    <w:rsid w:val="00E64480"/>
    <w:rsid w:val="00E649A8"/>
    <w:rsid w:val="00E64E9D"/>
    <w:rsid w:val="00E65192"/>
    <w:rsid w:val="00E657BF"/>
    <w:rsid w:val="00E65807"/>
    <w:rsid w:val="00E65D56"/>
    <w:rsid w:val="00E66028"/>
    <w:rsid w:val="00E66103"/>
    <w:rsid w:val="00E66960"/>
    <w:rsid w:val="00E6703D"/>
    <w:rsid w:val="00E6708B"/>
    <w:rsid w:val="00E67291"/>
    <w:rsid w:val="00E67754"/>
    <w:rsid w:val="00E679BE"/>
    <w:rsid w:val="00E67CB6"/>
    <w:rsid w:val="00E67CD7"/>
    <w:rsid w:val="00E67FEC"/>
    <w:rsid w:val="00E702F1"/>
    <w:rsid w:val="00E70681"/>
    <w:rsid w:val="00E71032"/>
    <w:rsid w:val="00E7110A"/>
    <w:rsid w:val="00E71153"/>
    <w:rsid w:val="00E71C9D"/>
    <w:rsid w:val="00E71D0E"/>
    <w:rsid w:val="00E72A67"/>
    <w:rsid w:val="00E72A9D"/>
    <w:rsid w:val="00E72CC6"/>
    <w:rsid w:val="00E7337F"/>
    <w:rsid w:val="00E73A8C"/>
    <w:rsid w:val="00E73DE5"/>
    <w:rsid w:val="00E75050"/>
    <w:rsid w:val="00E75BF9"/>
    <w:rsid w:val="00E75D5E"/>
    <w:rsid w:val="00E75E3F"/>
    <w:rsid w:val="00E76C0A"/>
    <w:rsid w:val="00E76F42"/>
    <w:rsid w:val="00E77515"/>
    <w:rsid w:val="00E776EF"/>
    <w:rsid w:val="00E77B23"/>
    <w:rsid w:val="00E77BE8"/>
    <w:rsid w:val="00E77C3F"/>
    <w:rsid w:val="00E77D6D"/>
    <w:rsid w:val="00E77DA9"/>
    <w:rsid w:val="00E77DDE"/>
    <w:rsid w:val="00E80A72"/>
    <w:rsid w:val="00E80DFD"/>
    <w:rsid w:val="00E811AB"/>
    <w:rsid w:val="00E81C63"/>
    <w:rsid w:val="00E81E76"/>
    <w:rsid w:val="00E81ECA"/>
    <w:rsid w:val="00E81F06"/>
    <w:rsid w:val="00E82E15"/>
    <w:rsid w:val="00E83162"/>
    <w:rsid w:val="00E8382A"/>
    <w:rsid w:val="00E8457A"/>
    <w:rsid w:val="00E846DC"/>
    <w:rsid w:val="00E8486B"/>
    <w:rsid w:val="00E85AF1"/>
    <w:rsid w:val="00E85FA7"/>
    <w:rsid w:val="00E86437"/>
    <w:rsid w:val="00E864CF"/>
    <w:rsid w:val="00E865C4"/>
    <w:rsid w:val="00E86947"/>
    <w:rsid w:val="00E871C4"/>
    <w:rsid w:val="00E877FD"/>
    <w:rsid w:val="00E87B51"/>
    <w:rsid w:val="00E87CFF"/>
    <w:rsid w:val="00E90C05"/>
    <w:rsid w:val="00E90D63"/>
    <w:rsid w:val="00E90DDE"/>
    <w:rsid w:val="00E91475"/>
    <w:rsid w:val="00E915E6"/>
    <w:rsid w:val="00E915E7"/>
    <w:rsid w:val="00E91B47"/>
    <w:rsid w:val="00E92137"/>
    <w:rsid w:val="00E9216B"/>
    <w:rsid w:val="00E92905"/>
    <w:rsid w:val="00E92D79"/>
    <w:rsid w:val="00E92D9D"/>
    <w:rsid w:val="00E92E40"/>
    <w:rsid w:val="00E92E72"/>
    <w:rsid w:val="00E92EEE"/>
    <w:rsid w:val="00E9312C"/>
    <w:rsid w:val="00E93418"/>
    <w:rsid w:val="00E9352F"/>
    <w:rsid w:val="00E93975"/>
    <w:rsid w:val="00E9412B"/>
    <w:rsid w:val="00E94465"/>
    <w:rsid w:val="00E949C7"/>
    <w:rsid w:val="00E94BA9"/>
    <w:rsid w:val="00E94E62"/>
    <w:rsid w:val="00E94F4A"/>
    <w:rsid w:val="00E94FE6"/>
    <w:rsid w:val="00E959E6"/>
    <w:rsid w:val="00E95A4E"/>
    <w:rsid w:val="00E95DB9"/>
    <w:rsid w:val="00E96365"/>
    <w:rsid w:val="00E964EF"/>
    <w:rsid w:val="00E96CB7"/>
    <w:rsid w:val="00E97216"/>
    <w:rsid w:val="00E974C3"/>
    <w:rsid w:val="00E974F2"/>
    <w:rsid w:val="00E9753A"/>
    <w:rsid w:val="00E9782E"/>
    <w:rsid w:val="00E9788F"/>
    <w:rsid w:val="00E97A30"/>
    <w:rsid w:val="00E97E0C"/>
    <w:rsid w:val="00EA00A8"/>
    <w:rsid w:val="00EA00C0"/>
    <w:rsid w:val="00EA0311"/>
    <w:rsid w:val="00EA03A0"/>
    <w:rsid w:val="00EA0491"/>
    <w:rsid w:val="00EA0B0B"/>
    <w:rsid w:val="00EA0BB3"/>
    <w:rsid w:val="00EA0CB4"/>
    <w:rsid w:val="00EA1347"/>
    <w:rsid w:val="00EA1AD9"/>
    <w:rsid w:val="00EA1C1A"/>
    <w:rsid w:val="00EA21AD"/>
    <w:rsid w:val="00EA226E"/>
    <w:rsid w:val="00EA26AD"/>
    <w:rsid w:val="00EA2763"/>
    <w:rsid w:val="00EA2A27"/>
    <w:rsid w:val="00EA2D06"/>
    <w:rsid w:val="00EA3076"/>
    <w:rsid w:val="00EA3788"/>
    <w:rsid w:val="00EA37C8"/>
    <w:rsid w:val="00EA3E11"/>
    <w:rsid w:val="00EA3EC8"/>
    <w:rsid w:val="00EA4039"/>
    <w:rsid w:val="00EA40AC"/>
    <w:rsid w:val="00EA45ED"/>
    <w:rsid w:val="00EA4BD0"/>
    <w:rsid w:val="00EA4BDD"/>
    <w:rsid w:val="00EA5096"/>
    <w:rsid w:val="00EA524F"/>
    <w:rsid w:val="00EA5FFD"/>
    <w:rsid w:val="00EA614F"/>
    <w:rsid w:val="00EA61B7"/>
    <w:rsid w:val="00EA6657"/>
    <w:rsid w:val="00EA6EB3"/>
    <w:rsid w:val="00EA76A9"/>
    <w:rsid w:val="00EA7B15"/>
    <w:rsid w:val="00EA7B3A"/>
    <w:rsid w:val="00EA7B46"/>
    <w:rsid w:val="00EA7D18"/>
    <w:rsid w:val="00EB0536"/>
    <w:rsid w:val="00EB0794"/>
    <w:rsid w:val="00EB080B"/>
    <w:rsid w:val="00EB0C28"/>
    <w:rsid w:val="00EB0DED"/>
    <w:rsid w:val="00EB15B8"/>
    <w:rsid w:val="00EB1AF6"/>
    <w:rsid w:val="00EB1D87"/>
    <w:rsid w:val="00EB1F71"/>
    <w:rsid w:val="00EB29D7"/>
    <w:rsid w:val="00EB4A8E"/>
    <w:rsid w:val="00EB4D42"/>
    <w:rsid w:val="00EB4DF6"/>
    <w:rsid w:val="00EB519D"/>
    <w:rsid w:val="00EB52B0"/>
    <w:rsid w:val="00EB54DD"/>
    <w:rsid w:val="00EB55E0"/>
    <w:rsid w:val="00EB5A17"/>
    <w:rsid w:val="00EB5EF3"/>
    <w:rsid w:val="00EB6078"/>
    <w:rsid w:val="00EB61D4"/>
    <w:rsid w:val="00EB62F7"/>
    <w:rsid w:val="00EB664D"/>
    <w:rsid w:val="00EB695D"/>
    <w:rsid w:val="00EB6B96"/>
    <w:rsid w:val="00EB6D60"/>
    <w:rsid w:val="00EB7422"/>
    <w:rsid w:val="00EB784F"/>
    <w:rsid w:val="00EB7C6D"/>
    <w:rsid w:val="00EC0494"/>
    <w:rsid w:val="00EC10EE"/>
    <w:rsid w:val="00EC119B"/>
    <w:rsid w:val="00EC1374"/>
    <w:rsid w:val="00EC13D0"/>
    <w:rsid w:val="00EC2B34"/>
    <w:rsid w:val="00EC2D95"/>
    <w:rsid w:val="00EC2F1D"/>
    <w:rsid w:val="00EC3161"/>
    <w:rsid w:val="00EC377A"/>
    <w:rsid w:val="00EC37A1"/>
    <w:rsid w:val="00EC38F3"/>
    <w:rsid w:val="00EC4241"/>
    <w:rsid w:val="00EC43A8"/>
    <w:rsid w:val="00EC4C77"/>
    <w:rsid w:val="00EC4C7E"/>
    <w:rsid w:val="00EC4C99"/>
    <w:rsid w:val="00EC4E5E"/>
    <w:rsid w:val="00EC5110"/>
    <w:rsid w:val="00EC5652"/>
    <w:rsid w:val="00EC566F"/>
    <w:rsid w:val="00EC5D76"/>
    <w:rsid w:val="00EC62C7"/>
    <w:rsid w:val="00EC6CEE"/>
    <w:rsid w:val="00EC6D38"/>
    <w:rsid w:val="00EC6FC4"/>
    <w:rsid w:val="00EC72E2"/>
    <w:rsid w:val="00EC7CF1"/>
    <w:rsid w:val="00EC7D1F"/>
    <w:rsid w:val="00EC7FBD"/>
    <w:rsid w:val="00ED01A9"/>
    <w:rsid w:val="00ED0403"/>
    <w:rsid w:val="00ED0404"/>
    <w:rsid w:val="00ED07F6"/>
    <w:rsid w:val="00ED0DEB"/>
    <w:rsid w:val="00ED1407"/>
    <w:rsid w:val="00ED1431"/>
    <w:rsid w:val="00ED15DC"/>
    <w:rsid w:val="00ED26AA"/>
    <w:rsid w:val="00ED29E7"/>
    <w:rsid w:val="00ED2E5B"/>
    <w:rsid w:val="00ED3726"/>
    <w:rsid w:val="00ED39CE"/>
    <w:rsid w:val="00ED3FF6"/>
    <w:rsid w:val="00ED408C"/>
    <w:rsid w:val="00ED40CD"/>
    <w:rsid w:val="00ED4134"/>
    <w:rsid w:val="00ED48E9"/>
    <w:rsid w:val="00ED4CCA"/>
    <w:rsid w:val="00ED533C"/>
    <w:rsid w:val="00ED5628"/>
    <w:rsid w:val="00ED56AB"/>
    <w:rsid w:val="00ED59F3"/>
    <w:rsid w:val="00ED5B5B"/>
    <w:rsid w:val="00ED5C5D"/>
    <w:rsid w:val="00ED666A"/>
    <w:rsid w:val="00ED6B98"/>
    <w:rsid w:val="00ED70F2"/>
    <w:rsid w:val="00ED7A9F"/>
    <w:rsid w:val="00ED7BE1"/>
    <w:rsid w:val="00ED7DC3"/>
    <w:rsid w:val="00ED7F51"/>
    <w:rsid w:val="00EE02C0"/>
    <w:rsid w:val="00EE0380"/>
    <w:rsid w:val="00EE0593"/>
    <w:rsid w:val="00EE05F1"/>
    <w:rsid w:val="00EE06B7"/>
    <w:rsid w:val="00EE0847"/>
    <w:rsid w:val="00EE0F71"/>
    <w:rsid w:val="00EE1050"/>
    <w:rsid w:val="00EE11EA"/>
    <w:rsid w:val="00EE14FC"/>
    <w:rsid w:val="00EE1B0F"/>
    <w:rsid w:val="00EE1B67"/>
    <w:rsid w:val="00EE28B7"/>
    <w:rsid w:val="00EE28D0"/>
    <w:rsid w:val="00EE3226"/>
    <w:rsid w:val="00EE3D6C"/>
    <w:rsid w:val="00EE4470"/>
    <w:rsid w:val="00EE471A"/>
    <w:rsid w:val="00EE4A7E"/>
    <w:rsid w:val="00EE4D98"/>
    <w:rsid w:val="00EE4F62"/>
    <w:rsid w:val="00EE546B"/>
    <w:rsid w:val="00EE5492"/>
    <w:rsid w:val="00EE583A"/>
    <w:rsid w:val="00EE6A95"/>
    <w:rsid w:val="00EE6DD6"/>
    <w:rsid w:val="00EE72A4"/>
    <w:rsid w:val="00EE7668"/>
    <w:rsid w:val="00EE7A2E"/>
    <w:rsid w:val="00EE7F91"/>
    <w:rsid w:val="00EF040E"/>
    <w:rsid w:val="00EF04A9"/>
    <w:rsid w:val="00EF059C"/>
    <w:rsid w:val="00EF08CB"/>
    <w:rsid w:val="00EF0A00"/>
    <w:rsid w:val="00EF0CFB"/>
    <w:rsid w:val="00EF125D"/>
    <w:rsid w:val="00EF1E92"/>
    <w:rsid w:val="00EF2293"/>
    <w:rsid w:val="00EF253F"/>
    <w:rsid w:val="00EF2BA5"/>
    <w:rsid w:val="00EF3F0D"/>
    <w:rsid w:val="00EF515B"/>
    <w:rsid w:val="00EF51F0"/>
    <w:rsid w:val="00EF5287"/>
    <w:rsid w:val="00EF5B6F"/>
    <w:rsid w:val="00EF5D52"/>
    <w:rsid w:val="00EF5F83"/>
    <w:rsid w:val="00EF6471"/>
    <w:rsid w:val="00EF64F7"/>
    <w:rsid w:val="00EF705A"/>
    <w:rsid w:val="00EF70B7"/>
    <w:rsid w:val="00EF7395"/>
    <w:rsid w:val="00EF75B4"/>
    <w:rsid w:val="00EF7768"/>
    <w:rsid w:val="00EF7B6C"/>
    <w:rsid w:val="00F00286"/>
    <w:rsid w:val="00F00624"/>
    <w:rsid w:val="00F006A0"/>
    <w:rsid w:val="00F008E6"/>
    <w:rsid w:val="00F00DD1"/>
    <w:rsid w:val="00F0183C"/>
    <w:rsid w:val="00F01C47"/>
    <w:rsid w:val="00F01CEF"/>
    <w:rsid w:val="00F02A5E"/>
    <w:rsid w:val="00F02B15"/>
    <w:rsid w:val="00F0379D"/>
    <w:rsid w:val="00F03801"/>
    <w:rsid w:val="00F038AF"/>
    <w:rsid w:val="00F03C79"/>
    <w:rsid w:val="00F03DE1"/>
    <w:rsid w:val="00F04315"/>
    <w:rsid w:val="00F04E1D"/>
    <w:rsid w:val="00F05104"/>
    <w:rsid w:val="00F052AA"/>
    <w:rsid w:val="00F06099"/>
    <w:rsid w:val="00F062CD"/>
    <w:rsid w:val="00F07873"/>
    <w:rsid w:val="00F07BD5"/>
    <w:rsid w:val="00F1021C"/>
    <w:rsid w:val="00F105FB"/>
    <w:rsid w:val="00F1089F"/>
    <w:rsid w:val="00F10D9D"/>
    <w:rsid w:val="00F11212"/>
    <w:rsid w:val="00F1129D"/>
    <w:rsid w:val="00F1159E"/>
    <w:rsid w:val="00F11988"/>
    <w:rsid w:val="00F11DED"/>
    <w:rsid w:val="00F12149"/>
    <w:rsid w:val="00F122D6"/>
    <w:rsid w:val="00F127A9"/>
    <w:rsid w:val="00F12BB3"/>
    <w:rsid w:val="00F12DB7"/>
    <w:rsid w:val="00F12F1B"/>
    <w:rsid w:val="00F13106"/>
    <w:rsid w:val="00F1367F"/>
    <w:rsid w:val="00F14519"/>
    <w:rsid w:val="00F14544"/>
    <w:rsid w:val="00F147EA"/>
    <w:rsid w:val="00F14B17"/>
    <w:rsid w:val="00F150C8"/>
    <w:rsid w:val="00F1543B"/>
    <w:rsid w:val="00F15A1E"/>
    <w:rsid w:val="00F15B76"/>
    <w:rsid w:val="00F15BE9"/>
    <w:rsid w:val="00F15BF4"/>
    <w:rsid w:val="00F15E28"/>
    <w:rsid w:val="00F1647B"/>
    <w:rsid w:val="00F16C77"/>
    <w:rsid w:val="00F16E68"/>
    <w:rsid w:val="00F1713B"/>
    <w:rsid w:val="00F171E0"/>
    <w:rsid w:val="00F17306"/>
    <w:rsid w:val="00F1780D"/>
    <w:rsid w:val="00F17940"/>
    <w:rsid w:val="00F17941"/>
    <w:rsid w:val="00F17D93"/>
    <w:rsid w:val="00F17DC0"/>
    <w:rsid w:val="00F17E49"/>
    <w:rsid w:val="00F2046C"/>
    <w:rsid w:val="00F20647"/>
    <w:rsid w:val="00F206E3"/>
    <w:rsid w:val="00F207EB"/>
    <w:rsid w:val="00F207FC"/>
    <w:rsid w:val="00F20BB4"/>
    <w:rsid w:val="00F20FBF"/>
    <w:rsid w:val="00F213F8"/>
    <w:rsid w:val="00F21889"/>
    <w:rsid w:val="00F2194B"/>
    <w:rsid w:val="00F21953"/>
    <w:rsid w:val="00F21B37"/>
    <w:rsid w:val="00F222EB"/>
    <w:rsid w:val="00F22659"/>
    <w:rsid w:val="00F22767"/>
    <w:rsid w:val="00F228A1"/>
    <w:rsid w:val="00F23142"/>
    <w:rsid w:val="00F23A78"/>
    <w:rsid w:val="00F23C65"/>
    <w:rsid w:val="00F24D80"/>
    <w:rsid w:val="00F24EFB"/>
    <w:rsid w:val="00F2505B"/>
    <w:rsid w:val="00F25242"/>
    <w:rsid w:val="00F25510"/>
    <w:rsid w:val="00F25BF0"/>
    <w:rsid w:val="00F26939"/>
    <w:rsid w:val="00F26B5E"/>
    <w:rsid w:val="00F26C77"/>
    <w:rsid w:val="00F26E83"/>
    <w:rsid w:val="00F274DB"/>
    <w:rsid w:val="00F27699"/>
    <w:rsid w:val="00F2776E"/>
    <w:rsid w:val="00F27B04"/>
    <w:rsid w:val="00F27BAD"/>
    <w:rsid w:val="00F30F70"/>
    <w:rsid w:val="00F31127"/>
    <w:rsid w:val="00F31392"/>
    <w:rsid w:val="00F313C4"/>
    <w:rsid w:val="00F317D8"/>
    <w:rsid w:val="00F31AF8"/>
    <w:rsid w:val="00F31C79"/>
    <w:rsid w:val="00F3216B"/>
    <w:rsid w:val="00F32BB0"/>
    <w:rsid w:val="00F32F24"/>
    <w:rsid w:val="00F33CFA"/>
    <w:rsid w:val="00F3408E"/>
    <w:rsid w:val="00F348B5"/>
    <w:rsid w:val="00F34B61"/>
    <w:rsid w:val="00F351E2"/>
    <w:rsid w:val="00F35548"/>
    <w:rsid w:val="00F3554A"/>
    <w:rsid w:val="00F35A6E"/>
    <w:rsid w:val="00F35F44"/>
    <w:rsid w:val="00F3635C"/>
    <w:rsid w:val="00F36456"/>
    <w:rsid w:val="00F3652B"/>
    <w:rsid w:val="00F3693B"/>
    <w:rsid w:val="00F36D95"/>
    <w:rsid w:val="00F37183"/>
    <w:rsid w:val="00F373C6"/>
    <w:rsid w:val="00F37421"/>
    <w:rsid w:val="00F37429"/>
    <w:rsid w:val="00F377B9"/>
    <w:rsid w:val="00F4049D"/>
    <w:rsid w:val="00F40BC2"/>
    <w:rsid w:val="00F40D95"/>
    <w:rsid w:val="00F410C6"/>
    <w:rsid w:val="00F411A2"/>
    <w:rsid w:val="00F41354"/>
    <w:rsid w:val="00F41D50"/>
    <w:rsid w:val="00F41EBA"/>
    <w:rsid w:val="00F42760"/>
    <w:rsid w:val="00F42B57"/>
    <w:rsid w:val="00F42CDF"/>
    <w:rsid w:val="00F42E81"/>
    <w:rsid w:val="00F42F0F"/>
    <w:rsid w:val="00F42F50"/>
    <w:rsid w:val="00F438A1"/>
    <w:rsid w:val="00F44BAE"/>
    <w:rsid w:val="00F44FB9"/>
    <w:rsid w:val="00F45442"/>
    <w:rsid w:val="00F454BE"/>
    <w:rsid w:val="00F457E0"/>
    <w:rsid w:val="00F45981"/>
    <w:rsid w:val="00F46417"/>
    <w:rsid w:val="00F46A66"/>
    <w:rsid w:val="00F477FD"/>
    <w:rsid w:val="00F47B9A"/>
    <w:rsid w:val="00F50776"/>
    <w:rsid w:val="00F50B7D"/>
    <w:rsid w:val="00F51179"/>
    <w:rsid w:val="00F51225"/>
    <w:rsid w:val="00F5145E"/>
    <w:rsid w:val="00F52772"/>
    <w:rsid w:val="00F52916"/>
    <w:rsid w:val="00F52A0C"/>
    <w:rsid w:val="00F52C8D"/>
    <w:rsid w:val="00F52D49"/>
    <w:rsid w:val="00F52DEC"/>
    <w:rsid w:val="00F53111"/>
    <w:rsid w:val="00F531D7"/>
    <w:rsid w:val="00F53729"/>
    <w:rsid w:val="00F53F8C"/>
    <w:rsid w:val="00F5479E"/>
    <w:rsid w:val="00F547A9"/>
    <w:rsid w:val="00F54943"/>
    <w:rsid w:val="00F55236"/>
    <w:rsid w:val="00F554DB"/>
    <w:rsid w:val="00F558EA"/>
    <w:rsid w:val="00F55A2C"/>
    <w:rsid w:val="00F55CBD"/>
    <w:rsid w:val="00F55E6B"/>
    <w:rsid w:val="00F566B8"/>
    <w:rsid w:val="00F5681C"/>
    <w:rsid w:val="00F56F55"/>
    <w:rsid w:val="00F574EF"/>
    <w:rsid w:val="00F57A01"/>
    <w:rsid w:val="00F57E8B"/>
    <w:rsid w:val="00F6045D"/>
    <w:rsid w:val="00F605BB"/>
    <w:rsid w:val="00F606EA"/>
    <w:rsid w:val="00F60BD9"/>
    <w:rsid w:val="00F60D47"/>
    <w:rsid w:val="00F6120B"/>
    <w:rsid w:val="00F613CB"/>
    <w:rsid w:val="00F61B3F"/>
    <w:rsid w:val="00F61BEB"/>
    <w:rsid w:val="00F61F79"/>
    <w:rsid w:val="00F6228B"/>
    <w:rsid w:val="00F62492"/>
    <w:rsid w:val="00F62B69"/>
    <w:rsid w:val="00F62B96"/>
    <w:rsid w:val="00F62E3E"/>
    <w:rsid w:val="00F6333E"/>
    <w:rsid w:val="00F634F9"/>
    <w:rsid w:val="00F64860"/>
    <w:rsid w:val="00F65142"/>
    <w:rsid w:val="00F651DD"/>
    <w:rsid w:val="00F65639"/>
    <w:rsid w:val="00F656A4"/>
    <w:rsid w:val="00F65AB1"/>
    <w:rsid w:val="00F65B95"/>
    <w:rsid w:val="00F65EC2"/>
    <w:rsid w:val="00F6665E"/>
    <w:rsid w:val="00F667BF"/>
    <w:rsid w:val="00F6690F"/>
    <w:rsid w:val="00F670A2"/>
    <w:rsid w:val="00F6746D"/>
    <w:rsid w:val="00F7044A"/>
    <w:rsid w:val="00F7075F"/>
    <w:rsid w:val="00F70793"/>
    <w:rsid w:val="00F70BA9"/>
    <w:rsid w:val="00F71620"/>
    <w:rsid w:val="00F7195E"/>
    <w:rsid w:val="00F71D76"/>
    <w:rsid w:val="00F71F78"/>
    <w:rsid w:val="00F7207A"/>
    <w:rsid w:val="00F72288"/>
    <w:rsid w:val="00F72449"/>
    <w:rsid w:val="00F72601"/>
    <w:rsid w:val="00F72B39"/>
    <w:rsid w:val="00F73B46"/>
    <w:rsid w:val="00F743D9"/>
    <w:rsid w:val="00F7443D"/>
    <w:rsid w:val="00F74608"/>
    <w:rsid w:val="00F7461A"/>
    <w:rsid w:val="00F74747"/>
    <w:rsid w:val="00F74F3A"/>
    <w:rsid w:val="00F75D0A"/>
    <w:rsid w:val="00F75F9D"/>
    <w:rsid w:val="00F76679"/>
    <w:rsid w:val="00F76714"/>
    <w:rsid w:val="00F76842"/>
    <w:rsid w:val="00F768D8"/>
    <w:rsid w:val="00F77072"/>
    <w:rsid w:val="00F77119"/>
    <w:rsid w:val="00F771D3"/>
    <w:rsid w:val="00F774D0"/>
    <w:rsid w:val="00F77870"/>
    <w:rsid w:val="00F778E8"/>
    <w:rsid w:val="00F77CFB"/>
    <w:rsid w:val="00F80259"/>
    <w:rsid w:val="00F81044"/>
    <w:rsid w:val="00F8108F"/>
    <w:rsid w:val="00F8116E"/>
    <w:rsid w:val="00F811A3"/>
    <w:rsid w:val="00F8162B"/>
    <w:rsid w:val="00F81FCA"/>
    <w:rsid w:val="00F8256B"/>
    <w:rsid w:val="00F82A3D"/>
    <w:rsid w:val="00F831F5"/>
    <w:rsid w:val="00F833CB"/>
    <w:rsid w:val="00F8349F"/>
    <w:rsid w:val="00F83D08"/>
    <w:rsid w:val="00F83FB7"/>
    <w:rsid w:val="00F84408"/>
    <w:rsid w:val="00F844D9"/>
    <w:rsid w:val="00F85935"/>
    <w:rsid w:val="00F85B79"/>
    <w:rsid w:val="00F85D29"/>
    <w:rsid w:val="00F867B6"/>
    <w:rsid w:val="00F87DF9"/>
    <w:rsid w:val="00F90112"/>
    <w:rsid w:val="00F90300"/>
    <w:rsid w:val="00F90669"/>
    <w:rsid w:val="00F9073C"/>
    <w:rsid w:val="00F90D48"/>
    <w:rsid w:val="00F91006"/>
    <w:rsid w:val="00F9103C"/>
    <w:rsid w:val="00F91364"/>
    <w:rsid w:val="00F91465"/>
    <w:rsid w:val="00F91646"/>
    <w:rsid w:val="00F91A0D"/>
    <w:rsid w:val="00F91E6B"/>
    <w:rsid w:val="00F92453"/>
    <w:rsid w:val="00F9262B"/>
    <w:rsid w:val="00F92D2D"/>
    <w:rsid w:val="00F92FC7"/>
    <w:rsid w:val="00F92FD6"/>
    <w:rsid w:val="00F94E66"/>
    <w:rsid w:val="00F9551D"/>
    <w:rsid w:val="00F956A6"/>
    <w:rsid w:val="00F96067"/>
    <w:rsid w:val="00F964CD"/>
    <w:rsid w:val="00F969D3"/>
    <w:rsid w:val="00F96C4D"/>
    <w:rsid w:val="00F9789E"/>
    <w:rsid w:val="00F97934"/>
    <w:rsid w:val="00F97B99"/>
    <w:rsid w:val="00FA031F"/>
    <w:rsid w:val="00FA0548"/>
    <w:rsid w:val="00FA0750"/>
    <w:rsid w:val="00FA0A95"/>
    <w:rsid w:val="00FA190E"/>
    <w:rsid w:val="00FA1920"/>
    <w:rsid w:val="00FA1C0D"/>
    <w:rsid w:val="00FA1F10"/>
    <w:rsid w:val="00FA2266"/>
    <w:rsid w:val="00FA23CA"/>
    <w:rsid w:val="00FA288E"/>
    <w:rsid w:val="00FA2FB4"/>
    <w:rsid w:val="00FA3732"/>
    <w:rsid w:val="00FA3813"/>
    <w:rsid w:val="00FA3E10"/>
    <w:rsid w:val="00FA41EF"/>
    <w:rsid w:val="00FA430C"/>
    <w:rsid w:val="00FA4ADC"/>
    <w:rsid w:val="00FA534F"/>
    <w:rsid w:val="00FA54D8"/>
    <w:rsid w:val="00FA5615"/>
    <w:rsid w:val="00FA5D2A"/>
    <w:rsid w:val="00FA5D83"/>
    <w:rsid w:val="00FA62E1"/>
    <w:rsid w:val="00FA6817"/>
    <w:rsid w:val="00FA68D6"/>
    <w:rsid w:val="00FA72C8"/>
    <w:rsid w:val="00FA7417"/>
    <w:rsid w:val="00FA7F73"/>
    <w:rsid w:val="00FB03F5"/>
    <w:rsid w:val="00FB07E7"/>
    <w:rsid w:val="00FB0FE2"/>
    <w:rsid w:val="00FB11AE"/>
    <w:rsid w:val="00FB153A"/>
    <w:rsid w:val="00FB1F01"/>
    <w:rsid w:val="00FB2540"/>
    <w:rsid w:val="00FB2789"/>
    <w:rsid w:val="00FB29AD"/>
    <w:rsid w:val="00FB2BC6"/>
    <w:rsid w:val="00FB3761"/>
    <w:rsid w:val="00FB3CA5"/>
    <w:rsid w:val="00FB42C2"/>
    <w:rsid w:val="00FB44A0"/>
    <w:rsid w:val="00FB460E"/>
    <w:rsid w:val="00FB49AF"/>
    <w:rsid w:val="00FB4C3B"/>
    <w:rsid w:val="00FB51F2"/>
    <w:rsid w:val="00FB5363"/>
    <w:rsid w:val="00FB5553"/>
    <w:rsid w:val="00FB55B8"/>
    <w:rsid w:val="00FB575D"/>
    <w:rsid w:val="00FB5780"/>
    <w:rsid w:val="00FB5AE0"/>
    <w:rsid w:val="00FB6321"/>
    <w:rsid w:val="00FB644D"/>
    <w:rsid w:val="00FB7A65"/>
    <w:rsid w:val="00FC027F"/>
    <w:rsid w:val="00FC0E90"/>
    <w:rsid w:val="00FC0F61"/>
    <w:rsid w:val="00FC1667"/>
    <w:rsid w:val="00FC1F0C"/>
    <w:rsid w:val="00FC1F49"/>
    <w:rsid w:val="00FC24A5"/>
    <w:rsid w:val="00FC29AA"/>
    <w:rsid w:val="00FC2A05"/>
    <w:rsid w:val="00FC3169"/>
    <w:rsid w:val="00FC33A5"/>
    <w:rsid w:val="00FC348C"/>
    <w:rsid w:val="00FC3FC3"/>
    <w:rsid w:val="00FC493B"/>
    <w:rsid w:val="00FC4A24"/>
    <w:rsid w:val="00FC4DD5"/>
    <w:rsid w:val="00FC4FB7"/>
    <w:rsid w:val="00FC500A"/>
    <w:rsid w:val="00FC5076"/>
    <w:rsid w:val="00FC56E1"/>
    <w:rsid w:val="00FC598B"/>
    <w:rsid w:val="00FC5FD4"/>
    <w:rsid w:val="00FC65E5"/>
    <w:rsid w:val="00FC6998"/>
    <w:rsid w:val="00FC7A84"/>
    <w:rsid w:val="00FC7B3C"/>
    <w:rsid w:val="00FC7B8C"/>
    <w:rsid w:val="00FD0886"/>
    <w:rsid w:val="00FD0AB2"/>
    <w:rsid w:val="00FD0B70"/>
    <w:rsid w:val="00FD0C29"/>
    <w:rsid w:val="00FD10F4"/>
    <w:rsid w:val="00FD1AA6"/>
    <w:rsid w:val="00FD1C1C"/>
    <w:rsid w:val="00FD1EE0"/>
    <w:rsid w:val="00FD226D"/>
    <w:rsid w:val="00FD274C"/>
    <w:rsid w:val="00FD2921"/>
    <w:rsid w:val="00FD2A23"/>
    <w:rsid w:val="00FD2B47"/>
    <w:rsid w:val="00FD2E7F"/>
    <w:rsid w:val="00FD333D"/>
    <w:rsid w:val="00FD357B"/>
    <w:rsid w:val="00FD38FC"/>
    <w:rsid w:val="00FD3F1C"/>
    <w:rsid w:val="00FD43EE"/>
    <w:rsid w:val="00FD4656"/>
    <w:rsid w:val="00FD4CA5"/>
    <w:rsid w:val="00FD4F79"/>
    <w:rsid w:val="00FD5358"/>
    <w:rsid w:val="00FD5ADF"/>
    <w:rsid w:val="00FD6119"/>
    <w:rsid w:val="00FD6489"/>
    <w:rsid w:val="00FD6614"/>
    <w:rsid w:val="00FD688E"/>
    <w:rsid w:val="00FD6901"/>
    <w:rsid w:val="00FD69A9"/>
    <w:rsid w:val="00FD6F75"/>
    <w:rsid w:val="00FD6F79"/>
    <w:rsid w:val="00FD71A1"/>
    <w:rsid w:val="00FD78BB"/>
    <w:rsid w:val="00FD7A85"/>
    <w:rsid w:val="00FD7BE7"/>
    <w:rsid w:val="00FD7C0C"/>
    <w:rsid w:val="00FD7CD6"/>
    <w:rsid w:val="00FE045C"/>
    <w:rsid w:val="00FE06DD"/>
    <w:rsid w:val="00FE084B"/>
    <w:rsid w:val="00FE08F0"/>
    <w:rsid w:val="00FE0905"/>
    <w:rsid w:val="00FE0C52"/>
    <w:rsid w:val="00FE0E33"/>
    <w:rsid w:val="00FE1057"/>
    <w:rsid w:val="00FE105A"/>
    <w:rsid w:val="00FE1212"/>
    <w:rsid w:val="00FE133D"/>
    <w:rsid w:val="00FE1576"/>
    <w:rsid w:val="00FE1692"/>
    <w:rsid w:val="00FE1895"/>
    <w:rsid w:val="00FE1C20"/>
    <w:rsid w:val="00FE25C1"/>
    <w:rsid w:val="00FE2669"/>
    <w:rsid w:val="00FE2B3C"/>
    <w:rsid w:val="00FE2BA5"/>
    <w:rsid w:val="00FE2D9D"/>
    <w:rsid w:val="00FE2F9D"/>
    <w:rsid w:val="00FE305E"/>
    <w:rsid w:val="00FE3069"/>
    <w:rsid w:val="00FE35EF"/>
    <w:rsid w:val="00FE3B13"/>
    <w:rsid w:val="00FE3D9E"/>
    <w:rsid w:val="00FE3F84"/>
    <w:rsid w:val="00FE4211"/>
    <w:rsid w:val="00FE492F"/>
    <w:rsid w:val="00FE4D56"/>
    <w:rsid w:val="00FE4EA0"/>
    <w:rsid w:val="00FE4F6F"/>
    <w:rsid w:val="00FE53F3"/>
    <w:rsid w:val="00FE5CE1"/>
    <w:rsid w:val="00FE5E19"/>
    <w:rsid w:val="00FE5EB8"/>
    <w:rsid w:val="00FE69EC"/>
    <w:rsid w:val="00FE6DC3"/>
    <w:rsid w:val="00FE74D2"/>
    <w:rsid w:val="00FE752C"/>
    <w:rsid w:val="00FE7692"/>
    <w:rsid w:val="00FE7703"/>
    <w:rsid w:val="00FE7C6B"/>
    <w:rsid w:val="00FE7C80"/>
    <w:rsid w:val="00FE7C98"/>
    <w:rsid w:val="00FE7F1A"/>
    <w:rsid w:val="00FE7FC3"/>
    <w:rsid w:val="00FE7FD7"/>
    <w:rsid w:val="00FF0566"/>
    <w:rsid w:val="00FF08FB"/>
    <w:rsid w:val="00FF15F5"/>
    <w:rsid w:val="00FF1639"/>
    <w:rsid w:val="00FF164F"/>
    <w:rsid w:val="00FF1798"/>
    <w:rsid w:val="00FF189B"/>
    <w:rsid w:val="00FF1CA0"/>
    <w:rsid w:val="00FF1D1B"/>
    <w:rsid w:val="00FF1EA1"/>
    <w:rsid w:val="00FF214E"/>
    <w:rsid w:val="00FF2ED8"/>
    <w:rsid w:val="00FF326E"/>
    <w:rsid w:val="00FF3724"/>
    <w:rsid w:val="00FF374D"/>
    <w:rsid w:val="00FF386D"/>
    <w:rsid w:val="00FF388E"/>
    <w:rsid w:val="00FF3C85"/>
    <w:rsid w:val="00FF426E"/>
    <w:rsid w:val="00FF43D0"/>
    <w:rsid w:val="00FF4632"/>
    <w:rsid w:val="00FF51E1"/>
    <w:rsid w:val="00FF5753"/>
    <w:rsid w:val="00FF6218"/>
    <w:rsid w:val="00FF637D"/>
    <w:rsid w:val="00FF6778"/>
    <w:rsid w:val="00FF6A6C"/>
    <w:rsid w:val="00FF734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2"/>
    </o:shapelayout>
  </w:shapeDefaults>
  <w:decimalSymbol w:val="."/>
  <w:listSeparator w:val=","/>
  <w14:docId w14:val="484AD3CC"/>
  <w15:docId w15:val="{4A51AB44-FC5F-4F0C-A68F-156314A0D9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000000" w:themeColor="text1"/>
        <w:sz w:val="22"/>
        <w:szCs w:val="22"/>
        <w:lang w:val="en-AU" w:eastAsia="en-US" w:bidi="ar-SA"/>
      </w:rPr>
    </w:rPrDefault>
    <w:pPrDefault>
      <w:pPr>
        <w:spacing w:before="120" w:after="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3"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iPriority="9" w:unhideWhenUsed="1" w:qFormat="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lsdException w:name="List Number 5" w:semiHidden="1" w:unhideWhenUsed="1"/>
    <w:lsdException w:name="Title" w:uiPriority="22" w:qFormat="1"/>
    <w:lsdException w:name="Closing" w:semiHidden="1" w:unhideWhenUsed="1"/>
    <w:lsdException w:name="Signature" w:semiHidden="1" w:unhideWhenUsed="1"/>
    <w:lsdException w:name="Default Paragraph Font" w:semiHidden="1" w:uiPriority="1" w:unhideWhenUsed="1"/>
    <w:lsdException w:name="Body Text" w:semiHidden="1" w:uiPriority="5"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33" w:qFormat="1"/>
    <w:lsdException w:name="Emphasis" w:uiPriority="3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4"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9"/>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qFormat="1"/>
    <w:lsdException w:name="Intense Emphasis" w:uiPriority="33" w:qFormat="1"/>
    <w:lsdException w:name="Subtle Reference" w:semiHidden="1" w:qFormat="1"/>
    <w:lsdException w:name="Intense Reference" w:semiHidden="1" w:qFormat="1"/>
    <w:lsdException w:name="Book Title" w:semiHidden="1" w:qFormat="1"/>
    <w:lsdException w:name="Bibliography" w:semiHidden="1" w:uiPriority="0"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00C6"/>
    <w:pPr>
      <w:spacing w:after="120" w:line="300" w:lineRule="atLeast"/>
    </w:pPr>
    <w:rPr>
      <w:spacing w:val="-1"/>
    </w:rPr>
  </w:style>
  <w:style w:type="paragraph" w:styleId="Heading1">
    <w:name w:val="heading 1"/>
    <w:basedOn w:val="Normal"/>
    <w:next w:val="Normal"/>
    <w:link w:val="Heading1Char"/>
    <w:uiPriority w:val="9"/>
    <w:qFormat/>
    <w:rsid w:val="009B33D1"/>
    <w:pPr>
      <w:keepNext/>
      <w:keepLines/>
      <w:spacing w:before="360" w:after="180"/>
      <w:outlineLvl w:val="0"/>
    </w:pPr>
    <w:rPr>
      <w:rFonts w:asciiTheme="majorHAnsi" w:eastAsiaTheme="majorEastAsia" w:hAnsiTheme="majorHAnsi" w:cstheme="majorBidi"/>
      <w:color w:val="3D4D7D" w:themeColor="background2"/>
      <w:sz w:val="32"/>
      <w:szCs w:val="32"/>
    </w:rPr>
  </w:style>
  <w:style w:type="paragraph" w:styleId="Heading2">
    <w:name w:val="heading 2"/>
    <w:basedOn w:val="Normal"/>
    <w:next w:val="Normal"/>
    <w:link w:val="Heading2Char"/>
    <w:uiPriority w:val="9"/>
    <w:qFormat/>
    <w:rsid w:val="009B33D1"/>
    <w:pPr>
      <w:keepNext/>
      <w:keepLines/>
      <w:spacing w:before="300"/>
      <w:outlineLvl w:val="1"/>
    </w:pPr>
    <w:rPr>
      <w:rFonts w:asciiTheme="majorHAnsi" w:eastAsiaTheme="majorEastAsia" w:hAnsiTheme="majorHAnsi" w:cstheme="majorBidi"/>
      <w:color w:val="3D4D7D" w:themeColor="background2"/>
      <w:sz w:val="30"/>
      <w:szCs w:val="26"/>
    </w:rPr>
  </w:style>
  <w:style w:type="paragraph" w:styleId="Heading3">
    <w:name w:val="heading 3"/>
    <w:basedOn w:val="Normal"/>
    <w:next w:val="Normal"/>
    <w:link w:val="Heading3Char"/>
    <w:uiPriority w:val="9"/>
    <w:qFormat/>
    <w:rsid w:val="009B33D1"/>
    <w:pPr>
      <w:keepNext/>
      <w:keepLines/>
      <w:spacing w:before="240"/>
      <w:outlineLvl w:val="2"/>
    </w:pPr>
    <w:rPr>
      <w:rFonts w:asciiTheme="majorHAnsi" w:eastAsiaTheme="majorEastAsia" w:hAnsiTheme="majorHAnsi" w:cstheme="majorBidi"/>
      <w:b/>
      <w:color w:val="3D4D7D" w:themeColor="background2"/>
      <w:sz w:val="24"/>
      <w:szCs w:val="24"/>
    </w:rPr>
  </w:style>
  <w:style w:type="paragraph" w:styleId="Heading4">
    <w:name w:val="heading 4"/>
    <w:basedOn w:val="Normal"/>
    <w:next w:val="Normal"/>
    <w:link w:val="Heading4Char"/>
    <w:uiPriority w:val="9"/>
    <w:unhideWhenUsed/>
    <w:qFormat/>
    <w:rsid w:val="00D674A5"/>
    <w:pPr>
      <w:keepNext/>
      <w:keepLines/>
      <w:spacing w:before="240"/>
      <w:outlineLvl w:val="3"/>
    </w:pPr>
    <w:rPr>
      <w:rFonts w:eastAsiaTheme="majorEastAsia" w:cstheme="majorBidi"/>
      <w:b/>
      <w:iCs/>
      <w:color w:val="auto"/>
    </w:rPr>
  </w:style>
  <w:style w:type="paragraph" w:styleId="Heading5">
    <w:name w:val="heading 5"/>
    <w:basedOn w:val="Normal"/>
    <w:next w:val="Normal"/>
    <w:link w:val="Heading5Char"/>
    <w:uiPriority w:val="9"/>
    <w:semiHidden/>
    <w:rsid w:val="00D674A5"/>
    <w:pPr>
      <w:keepNext/>
      <w:keepLines/>
      <w:spacing w:before="240"/>
      <w:outlineLvl w:val="4"/>
    </w:pPr>
    <w:rPr>
      <w:rFonts w:eastAsiaTheme="majorEastAsia" w:cstheme="majorBidi"/>
      <w:b/>
      <w:i/>
      <w:color w:val="auto"/>
    </w:rPr>
  </w:style>
  <w:style w:type="paragraph" w:styleId="Heading6">
    <w:name w:val="heading 6"/>
    <w:basedOn w:val="Normal"/>
    <w:next w:val="Normal"/>
    <w:link w:val="Heading6Char"/>
    <w:uiPriority w:val="9"/>
    <w:semiHidden/>
    <w:rsid w:val="00D674A5"/>
    <w:pPr>
      <w:keepNext/>
      <w:keepLines/>
      <w:outlineLvl w:val="5"/>
    </w:pPr>
    <w:rPr>
      <w:rFonts w:eastAsiaTheme="majorEastAsia" w:cstheme="majorBidi"/>
      <w:b/>
      <w:i/>
    </w:rPr>
  </w:style>
  <w:style w:type="paragraph" w:styleId="Heading7">
    <w:name w:val="heading 7"/>
    <w:basedOn w:val="Normal"/>
    <w:next w:val="Normal"/>
    <w:link w:val="Heading7Char"/>
    <w:uiPriority w:val="9"/>
    <w:semiHidden/>
    <w:rsid w:val="00D674A5"/>
    <w:pPr>
      <w:keepNext/>
      <w:keepLines/>
      <w:outlineLvl w:val="6"/>
    </w:pPr>
    <w:rPr>
      <w:rFonts w:eastAsiaTheme="majorEastAsia" w:cstheme="majorBidi"/>
      <w:i/>
      <w:iCs/>
    </w:rPr>
  </w:style>
  <w:style w:type="paragraph" w:styleId="Heading8">
    <w:name w:val="heading 8"/>
    <w:aliases w:val="Attachment Title"/>
    <w:basedOn w:val="Heading1"/>
    <w:next w:val="Normal"/>
    <w:link w:val="Heading8Char"/>
    <w:uiPriority w:val="9"/>
    <w:unhideWhenUsed/>
    <w:rsid w:val="009B33D1"/>
    <w:pPr>
      <w:numPr>
        <w:numId w:val="26"/>
      </w:numPr>
      <w:tabs>
        <w:tab w:val="left" w:pos="4536"/>
      </w:tabs>
      <w:spacing w:before="480" w:after="340"/>
      <w:ind w:left="0"/>
      <w:outlineLvl w:val="7"/>
    </w:pPr>
    <w:rPr>
      <w:sz w:val="30"/>
    </w:rPr>
  </w:style>
  <w:style w:type="paragraph" w:styleId="Heading9">
    <w:name w:val="heading 9"/>
    <w:basedOn w:val="Normal"/>
    <w:next w:val="Normal"/>
    <w:link w:val="Heading9Char"/>
    <w:uiPriority w:val="9"/>
    <w:semiHidden/>
    <w:rsid w:val="00D674A5"/>
    <w:pPr>
      <w:keepNext/>
      <w:keepLines/>
      <w:numPr>
        <w:ilvl w:val="1"/>
        <w:numId w:val="27"/>
      </w:numPr>
      <w:tabs>
        <w:tab w:val="left" w:pos="1559"/>
        <w:tab w:val="left" w:pos="1843"/>
        <w:tab w:val="left" w:pos="2126"/>
        <w:tab w:val="left" w:pos="2410"/>
      </w:tabs>
      <w:spacing w:before="470" w:after="227"/>
      <w:outlineLvl w:val="8"/>
    </w:pPr>
    <w:rPr>
      <w:rFonts w:asciiTheme="majorHAnsi" w:hAnsiTheme="majorHAnsi"/>
      <w:color w:val="9778B4" w:themeColor="text2"/>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D674A5"/>
    <w:pPr>
      <w:spacing w:before="60"/>
    </w:pPr>
    <w:rPr>
      <w:sz w:val="18"/>
    </w:rPr>
  </w:style>
  <w:style w:type="character" w:customStyle="1" w:styleId="FootnoteTextChar">
    <w:name w:val="Footnote Text Char"/>
    <w:basedOn w:val="DefaultParagraphFont"/>
    <w:link w:val="FootnoteText"/>
    <w:uiPriority w:val="99"/>
    <w:rsid w:val="00D674A5"/>
    <w:rPr>
      <w:spacing w:val="-1"/>
      <w:sz w:val="18"/>
    </w:rPr>
  </w:style>
  <w:style w:type="character" w:styleId="FootnoteReference">
    <w:name w:val="footnote reference"/>
    <w:basedOn w:val="DefaultParagraphFont"/>
    <w:uiPriority w:val="99"/>
    <w:semiHidden/>
    <w:rsid w:val="00D674A5"/>
    <w:rPr>
      <w:vertAlign w:val="superscript"/>
    </w:rPr>
  </w:style>
  <w:style w:type="paragraph" w:customStyle="1" w:styleId="AppendixNumbered">
    <w:name w:val="Appendix Numbered"/>
    <w:basedOn w:val="Heading2"/>
    <w:uiPriority w:val="11"/>
    <w:qFormat/>
    <w:rsid w:val="00D674A5"/>
    <w:pPr>
      <w:numPr>
        <w:numId w:val="13"/>
      </w:numPr>
    </w:pPr>
  </w:style>
  <w:style w:type="character" w:customStyle="1" w:styleId="Heading1Char">
    <w:name w:val="Heading 1 Char"/>
    <w:basedOn w:val="DefaultParagraphFont"/>
    <w:link w:val="Heading1"/>
    <w:uiPriority w:val="9"/>
    <w:rsid w:val="009B33D1"/>
    <w:rPr>
      <w:rFonts w:asciiTheme="majorHAnsi" w:eastAsiaTheme="majorEastAsia" w:hAnsiTheme="majorHAnsi" w:cstheme="majorBidi"/>
      <w:color w:val="3D4D7D" w:themeColor="background2"/>
      <w:spacing w:val="-1"/>
      <w:sz w:val="32"/>
      <w:szCs w:val="32"/>
    </w:rPr>
  </w:style>
  <w:style w:type="character" w:customStyle="1" w:styleId="Heading2Char">
    <w:name w:val="Heading 2 Char"/>
    <w:basedOn w:val="DefaultParagraphFont"/>
    <w:link w:val="Heading2"/>
    <w:uiPriority w:val="9"/>
    <w:rsid w:val="009B33D1"/>
    <w:rPr>
      <w:rFonts w:asciiTheme="majorHAnsi" w:eastAsiaTheme="majorEastAsia" w:hAnsiTheme="majorHAnsi" w:cstheme="majorBidi"/>
      <w:color w:val="3D4D7D" w:themeColor="background2"/>
      <w:spacing w:val="-1"/>
      <w:sz w:val="30"/>
      <w:szCs w:val="26"/>
    </w:rPr>
  </w:style>
  <w:style w:type="character" w:customStyle="1" w:styleId="Heading3Char">
    <w:name w:val="Heading 3 Char"/>
    <w:basedOn w:val="DefaultParagraphFont"/>
    <w:link w:val="Heading3"/>
    <w:uiPriority w:val="9"/>
    <w:rsid w:val="009B33D1"/>
    <w:rPr>
      <w:rFonts w:asciiTheme="majorHAnsi" w:eastAsiaTheme="majorEastAsia" w:hAnsiTheme="majorHAnsi" w:cstheme="majorBidi"/>
      <w:b/>
      <w:color w:val="3D4D7D" w:themeColor="background2"/>
      <w:spacing w:val="-1"/>
      <w:sz w:val="24"/>
      <w:szCs w:val="24"/>
    </w:rPr>
  </w:style>
  <w:style w:type="character" w:customStyle="1" w:styleId="Heading4Char">
    <w:name w:val="Heading 4 Char"/>
    <w:basedOn w:val="DefaultParagraphFont"/>
    <w:link w:val="Heading4"/>
    <w:uiPriority w:val="9"/>
    <w:rsid w:val="00D674A5"/>
    <w:rPr>
      <w:rFonts w:eastAsiaTheme="majorEastAsia" w:cstheme="majorBidi"/>
      <w:b/>
      <w:iCs/>
      <w:color w:val="auto"/>
      <w:spacing w:val="-1"/>
    </w:rPr>
  </w:style>
  <w:style w:type="character" w:customStyle="1" w:styleId="Heading5Char">
    <w:name w:val="Heading 5 Char"/>
    <w:basedOn w:val="DefaultParagraphFont"/>
    <w:link w:val="Heading5"/>
    <w:uiPriority w:val="9"/>
    <w:semiHidden/>
    <w:rsid w:val="00D674A5"/>
    <w:rPr>
      <w:rFonts w:eastAsiaTheme="majorEastAsia" w:cstheme="majorBidi"/>
      <w:b/>
      <w:i/>
      <w:color w:val="auto"/>
      <w:spacing w:val="-1"/>
    </w:rPr>
  </w:style>
  <w:style w:type="character" w:customStyle="1" w:styleId="Heading6Char">
    <w:name w:val="Heading 6 Char"/>
    <w:basedOn w:val="DefaultParagraphFont"/>
    <w:link w:val="Heading6"/>
    <w:uiPriority w:val="9"/>
    <w:semiHidden/>
    <w:rsid w:val="00D674A5"/>
    <w:rPr>
      <w:rFonts w:eastAsiaTheme="majorEastAsia" w:cstheme="majorBidi"/>
      <w:b/>
      <w:i/>
      <w:spacing w:val="-1"/>
    </w:rPr>
  </w:style>
  <w:style w:type="character" w:customStyle="1" w:styleId="Heading7Char">
    <w:name w:val="Heading 7 Char"/>
    <w:basedOn w:val="DefaultParagraphFont"/>
    <w:link w:val="Heading7"/>
    <w:uiPriority w:val="9"/>
    <w:semiHidden/>
    <w:rsid w:val="00D674A5"/>
    <w:rPr>
      <w:rFonts w:eastAsiaTheme="majorEastAsia" w:cstheme="majorBidi"/>
      <w:i/>
      <w:iCs/>
      <w:spacing w:val="-1"/>
    </w:rPr>
  </w:style>
  <w:style w:type="character" w:customStyle="1" w:styleId="Heading8Char">
    <w:name w:val="Heading 8 Char"/>
    <w:aliases w:val="Attachment Title Char"/>
    <w:basedOn w:val="DefaultParagraphFont"/>
    <w:link w:val="Heading8"/>
    <w:uiPriority w:val="9"/>
    <w:rsid w:val="009B33D1"/>
    <w:rPr>
      <w:rFonts w:asciiTheme="majorHAnsi" w:eastAsiaTheme="majorEastAsia" w:hAnsiTheme="majorHAnsi" w:cstheme="majorBidi"/>
      <w:color w:val="3D4D7D" w:themeColor="background2"/>
      <w:spacing w:val="-1"/>
      <w:sz w:val="30"/>
      <w:szCs w:val="32"/>
    </w:rPr>
  </w:style>
  <w:style w:type="character" w:customStyle="1" w:styleId="Heading9Char">
    <w:name w:val="Heading 9 Char"/>
    <w:basedOn w:val="DefaultParagraphFont"/>
    <w:link w:val="Heading9"/>
    <w:uiPriority w:val="9"/>
    <w:semiHidden/>
    <w:rsid w:val="00D674A5"/>
    <w:rPr>
      <w:rFonts w:asciiTheme="majorHAnsi" w:hAnsiTheme="majorHAnsi"/>
      <w:color w:val="9778B4" w:themeColor="text2"/>
      <w:spacing w:val="-1"/>
      <w:sz w:val="32"/>
    </w:rPr>
  </w:style>
  <w:style w:type="numbering" w:customStyle="1" w:styleId="AppendixNumbers">
    <w:name w:val="Appendix Numbers"/>
    <w:uiPriority w:val="99"/>
    <w:rsid w:val="00D674A5"/>
    <w:pPr>
      <w:numPr>
        <w:numId w:val="1"/>
      </w:numPr>
    </w:pPr>
  </w:style>
  <w:style w:type="numbering" w:customStyle="1" w:styleId="AttachementsNumbered">
    <w:name w:val="Attachements Numbered"/>
    <w:uiPriority w:val="99"/>
    <w:rsid w:val="00D674A5"/>
    <w:pPr>
      <w:numPr>
        <w:numId w:val="2"/>
      </w:numPr>
    </w:pPr>
  </w:style>
  <w:style w:type="paragraph" w:customStyle="1" w:styleId="Box1Text">
    <w:name w:val="Box 1 Text"/>
    <w:basedOn w:val="Normal"/>
    <w:uiPriority w:val="13"/>
    <w:rsid w:val="00D674A5"/>
    <w:pPr>
      <w:pBdr>
        <w:top w:val="single" w:sz="4" w:space="14" w:color="D3D8E9" w:themeColor="background2" w:themeTint="33"/>
        <w:left w:val="single" w:sz="4" w:space="14" w:color="D3D8E9" w:themeColor="background2" w:themeTint="33"/>
        <w:bottom w:val="single" w:sz="4" w:space="14" w:color="D3D8E9" w:themeColor="background2" w:themeTint="33"/>
        <w:right w:val="single" w:sz="4" w:space="14" w:color="D3D8E9" w:themeColor="background2" w:themeTint="33"/>
      </w:pBdr>
      <w:shd w:val="clear" w:color="auto" w:fill="D3D8E9" w:themeFill="background2" w:themeFillTint="33"/>
      <w:ind w:left="284" w:right="284"/>
    </w:pPr>
  </w:style>
  <w:style w:type="paragraph" w:customStyle="1" w:styleId="Box1Bullet">
    <w:name w:val="Box 1 Bullet"/>
    <w:basedOn w:val="Box1Text"/>
    <w:uiPriority w:val="14"/>
    <w:rsid w:val="00D674A5"/>
    <w:pPr>
      <w:numPr>
        <w:numId w:val="17"/>
      </w:numPr>
    </w:pPr>
  </w:style>
  <w:style w:type="paragraph" w:styleId="Caption">
    <w:name w:val="caption"/>
    <w:basedOn w:val="Normal"/>
    <w:next w:val="Normal"/>
    <w:uiPriority w:val="13"/>
    <w:qFormat/>
    <w:rsid w:val="00D674A5"/>
    <w:pPr>
      <w:keepNext/>
      <w:keepLines/>
      <w:spacing w:before="360"/>
    </w:pPr>
    <w:rPr>
      <w:b/>
      <w:iCs/>
      <w:color w:val="3D4D7D" w:themeColor="background2"/>
      <w:szCs w:val="18"/>
    </w:rPr>
  </w:style>
  <w:style w:type="paragraph" w:styleId="Footer">
    <w:name w:val="footer"/>
    <w:basedOn w:val="Normal"/>
    <w:link w:val="FooterChar"/>
    <w:uiPriority w:val="99"/>
    <w:semiHidden/>
    <w:rsid w:val="00D674A5"/>
    <w:pPr>
      <w:tabs>
        <w:tab w:val="center" w:pos="4513"/>
        <w:tab w:val="right" w:pos="9026"/>
      </w:tabs>
      <w:spacing w:before="0"/>
    </w:pPr>
    <w:rPr>
      <w:sz w:val="16"/>
    </w:rPr>
  </w:style>
  <w:style w:type="character" w:customStyle="1" w:styleId="FooterChar">
    <w:name w:val="Footer Char"/>
    <w:basedOn w:val="DefaultParagraphFont"/>
    <w:link w:val="Footer"/>
    <w:uiPriority w:val="99"/>
    <w:semiHidden/>
    <w:rsid w:val="00D674A5"/>
    <w:rPr>
      <w:spacing w:val="-1"/>
      <w:sz w:val="16"/>
    </w:rPr>
  </w:style>
  <w:style w:type="paragraph" w:customStyle="1" w:styleId="Box1Heading">
    <w:name w:val="Box 1 Heading"/>
    <w:basedOn w:val="Box1Text"/>
    <w:uiPriority w:val="13"/>
    <w:rsid w:val="00D674A5"/>
    <w:rPr>
      <w:b/>
      <w:bCs/>
      <w:sz w:val="24"/>
      <w:szCs w:val="24"/>
    </w:rPr>
  </w:style>
  <w:style w:type="paragraph" w:customStyle="1" w:styleId="Box2Text">
    <w:name w:val="Box 2 Text"/>
    <w:basedOn w:val="Normal"/>
    <w:uiPriority w:val="14"/>
    <w:rsid w:val="00D674A5"/>
    <w:pPr>
      <w:pBdr>
        <w:top w:val="single" w:sz="4" w:space="14" w:color="3D4D7D" w:themeColor="background2"/>
        <w:left w:val="single" w:sz="4" w:space="14" w:color="3D4D7D" w:themeColor="background2"/>
        <w:bottom w:val="single" w:sz="4" w:space="14" w:color="3D4D7D" w:themeColor="background2"/>
        <w:right w:val="single" w:sz="4" w:space="14" w:color="3D4D7D" w:themeColor="background2"/>
      </w:pBdr>
      <w:ind w:left="284" w:right="284"/>
    </w:pPr>
  </w:style>
  <w:style w:type="paragraph" w:customStyle="1" w:styleId="Box2Bullet">
    <w:name w:val="Box 2 Bullet"/>
    <w:basedOn w:val="Box2Text"/>
    <w:uiPriority w:val="15"/>
    <w:rsid w:val="00D674A5"/>
    <w:pPr>
      <w:numPr>
        <w:ilvl w:val="1"/>
        <w:numId w:val="17"/>
      </w:numPr>
    </w:pPr>
  </w:style>
  <w:style w:type="paragraph" w:customStyle="1" w:styleId="Box2Heading">
    <w:name w:val="Box 2 Heading"/>
    <w:basedOn w:val="Box2Text"/>
    <w:uiPriority w:val="14"/>
    <w:rsid w:val="00D674A5"/>
    <w:rPr>
      <w:b/>
      <w:bCs/>
      <w:sz w:val="24"/>
      <w:szCs w:val="24"/>
    </w:rPr>
  </w:style>
  <w:style w:type="numbering" w:customStyle="1" w:styleId="BoxedBullets">
    <w:name w:val="Boxed Bullets"/>
    <w:uiPriority w:val="99"/>
    <w:rsid w:val="00D674A5"/>
    <w:pPr>
      <w:numPr>
        <w:numId w:val="3"/>
      </w:numPr>
    </w:pPr>
  </w:style>
  <w:style w:type="paragraph" w:styleId="Header">
    <w:name w:val="header"/>
    <w:basedOn w:val="Normal"/>
    <w:link w:val="HeaderChar"/>
    <w:uiPriority w:val="99"/>
    <w:semiHidden/>
    <w:rsid w:val="00D674A5"/>
    <w:pPr>
      <w:tabs>
        <w:tab w:val="center" w:pos="4513"/>
        <w:tab w:val="right" w:pos="9026"/>
      </w:tabs>
      <w:spacing w:before="0"/>
    </w:pPr>
    <w:rPr>
      <w:rFonts w:asciiTheme="majorHAnsi" w:hAnsiTheme="majorHAnsi"/>
      <w:sz w:val="16"/>
    </w:rPr>
  </w:style>
  <w:style w:type="character" w:customStyle="1" w:styleId="HeaderChar">
    <w:name w:val="Header Char"/>
    <w:basedOn w:val="DefaultParagraphFont"/>
    <w:link w:val="Header"/>
    <w:uiPriority w:val="99"/>
    <w:semiHidden/>
    <w:rsid w:val="00D674A5"/>
    <w:rPr>
      <w:rFonts w:asciiTheme="majorHAnsi" w:hAnsiTheme="majorHAnsi"/>
      <w:spacing w:val="-1"/>
      <w:sz w:val="16"/>
    </w:rPr>
  </w:style>
  <w:style w:type="paragraph" w:customStyle="1" w:styleId="Bullet1">
    <w:name w:val="Bullet 1"/>
    <w:basedOn w:val="Normal"/>
    <w:uiPriority w:val="2"/>
    <w:qFormat/>
    <w:rsid w:val="00E0541E"/>
    <w:pPr>
      <w:numPr>
        <w:numId w:val="18"/>
      </w:numPr>
      <w:spacing w:before="70"/>
      <w:ind w:left="355"/>
    </w:pPr>
  </w:style>
  <w:style w:type="paragraph" w:customStyle="1" w:styleId="Bullet2">
    <w:name w:val="Bullet 2"/>
    <w:basedOn w:val="Normal"/>
    <w:uiPriority w:val="2"/>
    <w:qFormat/>
    <w:rsid w:val="00EF0CFB"/>
    <w:pPr>
      <w:numPr>
        <w:ilvl w:val="1"/>
        <w:numId w:val="18"/>
      </w:numPr>
      <w:spacing w:before="70"/>
      <w:ind w:left="644"/>
    </w:pPr>
    <w:rPr>
      <w:iCs/>
    </w:rPr>
  </w:style>
  <w:style w:type="paragraph" w:customStyle="1" w:styleId="Bullet3">
    <w:name w:val="Bullet 3"/>
    <w:basedOn w:val="Normal"/>
    <w:uiPriority w:val="2"/>
    <w:qFormat/>
    <w:rsid w:val="00201EAE"/>
    <w:pPr>
      <w:numPr>
        <w:numId w:val="40"/>
      </w:numPr>
      <w:spacing w:before="70"/>
      <w:ind w:left="851" w:hanging="284"/>
    </w:pPr>
  </w:style>
  <w:style w:type="paragraph" w:styleId="ListContinue">
    <w:name w:val="List Continue"/>
    <w:basedOn w:val="Normal"/>
    <w:uiPriority w:val="99"/>
    <w:semiHidden/>
    <w:qFormat/>
    <w:rsid w:val="00D674A5"/>
    <w:pPr>
      <w:spacing w:before="220" w:after="220"/>
      <w:ind w:left="340"/>
    </w:pPr>
  </w:style>
  <w:style w:type="paragraph" w:styleId="ListContinue2">
    <w:name w:val="List Continue 2"/>
    <w:basedOn w:val="Normal"/>
    <w:uiPriority w:val="99"/>
    <w:semiHidden/>
    <w:qFormat/>
    <w:rsid w:val="00D674A5"/>
    <w:pPr>
      <w:spacing w:before="220" w:after="220"/>
      <w:ind w:left="680"/>
    </w:pPr>
  </w:style>
  <w:style w:type="numbering" w:customStyle="1" w:styleId="DefaultBullets">
    <w:name w:val="Default Bullets"/>
    <w:uiPriority w:val="99"/>
    <w:rsid w:val="00D674A5"/>
    <w:pPr>
      <w:numPr>
        <w:numId w:val="4"/>
      </w:numPr>
    </w:pPr>
  </w:style>
  <w:style w:type="character" w:styleId="Emphasis">
    <w:name w:val="Emphasis"/>
    <w:basedOn w:val="DefaultParagraphFont"/>
    <w:uiPriority w:val="33"/>
    <w:semiHidden/>
    <w:rsid w:val="00D674A5"/>
    <w:rPr>
      <w:i/>
      <w:iCs/>
    </w:rPr>
  </w:style>
  <w:style w:type="table" w:styleId="GridTable5Dark-Accent1">
    <w:name w:val="Grid Table 5 Dark Accent 1"/>
    <w:basedOn w:val="TableNormal"/>
    <w:uiPriority w:val="50"/>
    <w:rsid w:val="00D674A5"/>
    <w:pPr>
      <w:spacing w:after="0"/>
    </w:pPr>
    <w:rPr>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D7E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D487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D487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D487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D487F" w:themeFill="accent1"/>
      </w:tcPr>
    </w:tblStylePr>
    <w:tblStylePr w:type="band1Vert">
      <w:tblPr/>
      <w:tcPr>
        <w:shd w:val="clear" w:color="auto" w:fill="D6B0CE" w:themeFill="accent1" w:themeFillTint="66"/>
      </w:tcPr>
    </w:tblStylePr>
    <w:tblStylePr w:type="band1Horz">
      <w:tblPr/>
      <w:tcPr>
        <w:shd w:val="clear" w:color="auto" w:fill="D6B0CE" w:themeFill="accent1" w:themeFillTint="66"/>
      </w:tcPr>
    </w:tblStylePr>
  </w:style>
  <w:style w:type="paragraph" w:customStyle="1" w:styleId="Heading1Numbered">
    <w:name w:val="Heading 1 Numbered"/>
    <w:basedOn w:val="Heading1"/>
    <w:uiPriority w:val="10"/>
    <w:qFormat/>
    <w:rsid w:val="00D674A5"/>
    <w:pPr>
      <w:numPr>
        <w:numId w:val="35"/>
      </w:numPr>
    </w:pPr>
  </w:style>
  <w:style w:type="paragraph" w:styleId="NoSpacing">
    <w:name w:val="No Spacing"/>
    <w:uiPriority w:val="4"/>
    <w:rsid w:val="00D674A5"/>
    <w:pPr>
      <w:spacing w:after="120"/>
      <w:contextualSpacing/>
    </w:pPr>
    <w:rPr>
      <w:sz w:val="20"/>
      <w:szCs w:val="20"/>
    </w:rPr>
  </w:style>
  <w:style w:type="paragraph" w:customStyle="1" w:styleId="Heading2Numbered">
    <w:name w:val="Heading 2 Numbered"/>
    <w:basedOn w:val="Heading2"/>
    <w:uiPriority w:val="10"/>
    <w:qFormat/>
    <w:rsid w:val="00D674A5"/>
    <w:pPr>
      <w:numPr>
        <w:ilvl w:val="1"/>
        <w:numId w:val="35"/>
      </w:numPr>
    </w:pPr>
  </w:style>
  <w:style w:type="paragraph" w:customStyle="1" w:styleId="Heading3Numbered">
    <w:name w:val="Heading 3 Numbered"/>
    <w:basedOn w:val="Heading3"/>
    <w:uiPriority w:val="10"/>
    <w:qFormat/>
    <w:rsid w:val="00D674A5"/>
    <w:pPr>
      <w:numPr>
        <w:ilvl w:val="2"/>
        <w:numId w:val="35"/>
      </w:numPr>
    </w:pPr>
  </w:style>
  <w:style w:type="character" w:styleId="IntenseEmphasis">
    <w:name w:val="Intense Emphasis"/>
    <w:basedOn w:val="DefaultParagraphFont"/>
    <w:uiPriority w:val="33"/>
    <w:semiHidden/>
    <w:rsid w:val="00D674A5"/>
    <w:rPr>
      <w:b/>
      <w:i/>
      <w:iCs/>
      <w:color w:val="000000" w:themeColor="text1"/>
    </w:rPr>
  </w:style>
  <w:style w:type="character" w:styleId="PageNumber">
    <w:name w:val="page number"/>
    <w:basedOn w:val="DefaultParagraphFont"/>
    <w:uiPriority w:val="99"/>
    <w:semiHidden/>
    <w:rsid w:val="00D674A5"/>
    <w:rPr>
      <w:rFonts w:ascii="Arial" w:hAnsi="Arial"/>
      <w:b/>
      <w:color w:val="auto"/>
      <w:sz w:val="16"/>
    </w:rPr>
  </w:style>
  <w:style w:type="paragraph" w:customStyle="1" w:styleId="IntroPara">
    <w:name w:val="Intro Para"/>
    <w:basedOn w:val="Normal"/>
    <w:uiPriority w:val="1"/>
    <w:qFormat/>
    <w:rsid w:val="00D674A5"/>
    <w:pPr>
      <w:spacing w:before="240" w:after="240" w:line="400" w:lineRule="atLeast"/>
      <w:contextualSpacing/>
    </w:pPr>
    <w:rPr>
      <w:rFonts w:asciiTheme="majorHAnsi" w:hAnsiTheme="majorHAnsi"/>
      <w:color w:val="8D487F" w:themeColor="accent1"/>
      <w:sz w:val="28"/>
    </w:rPr>
  </w:style>
  <w:style w:type="table" w:styleId="LightList-Accent1">
    <w:name w:val="Light List Accent 1"/>
    <w:basedOn w:val="TableNormal"/>
    <w:uiPriority w:val="61"/>
    <w:rsid w:val="00D674A5"/>
    <w:tblPr>
      <w:tblStyleRowBandSize w:val="1"/>
      <w:tblStyleColBandSize w:val="1"/>
      <w:tblBorders>
        <w:top w:val="single" w:sz="8" w:space="0" w:color="8D487F" w:themeColor="accent1"/>
        <w:left w:val="single" w:sz="8" w:space="0" w:color="8D487F" w:themeColor="accent1"/>
        <w:bottom w:val="single" w:sz="8" w:space="0" w:color="8D487F" w:themeColor="accent1"/>
        <w:right w:val="single" w:sz="8" w:space="0" w:color="8D487F" w:themeColor="accent1"/>
      </w:tblBorders>
    </w:tblPr>
    <w:tblStylePr w:type="firstRow">
      <w:pPr>
        <w:spacing w:before="0" w:after="0" w:line="240" w:lineRule="auto"/>
      </w:pPr>
      <w:rPr>
        <w:b/>
        <w:bCs/>
        <w:color w:val="FFFFFF" w:themeColor="background1"/>
      </w:rPr>
      <w:tblPr/>
      <w:tcPr>
        <w:shd w:val="clear" w:color="auto" w:fill="8D487F" w:themeFill="accent1"/>
      </w:tcPr>
    </w:tblStylePr>
    <w:tblStylePr w:type="lastRow">
      <w:pPr>
        <w:spacing w:before="0" w:after="0" w:line="240" w:lineRule="auto"/>
      </w:pPr>
      <w:rPr>
        <w:b/>
        <w:bCs/>
      </w:rPr>
      <w:tblPr/>
      <w:tcPr>
        <w:tcBorders>
          <w:top w:val="double" w:sz="6" w:space="0" w:color="8D487F" w:themeColor="accent1"/>
          <w:left w:val="single" w:sz="8" w:space="0" w:color="8D487F" w:themeColor="accent1"/>
          <w:bottom w:val="single" w:sz="8" w:space="0" w:color="8D487F" w:themeColor="accent1"/>
          <w:right w:val="single" w:sz="8" w:space="0" w:color="8D487F" w:themeColor="accent1"/>
        </w:tcBorders>
      </w:tcPr>
    </w:tblStylePr>
    <w:tblStylePr w:type="firstCol">
      <w:rPr>
        <w:b/>
        <w:bCs/>
      </w:rPr>
    </w:tblStylePr>
    <w:tblStylePr w:type="lastCol">
      <w:rPr>
        <w:b/>
        <w:bCs/>
      </w:rPr>
    </w:tblStylePr>
    <w:tblStylePr w:type="band1Vert">
      <w:tblPr/>
      <w:tcPr>
        <w:tcBorders>
          <w:top w:val="single" w:sz="8" w:space="0" w:color="8D487F" w:themeColor="accent1"/>
          <w:left w:val="single" w:sz="8" w:space="0" w:color="8D487F" w:themeColor="accent1"/>
          <w:bottom w:val="single" w:sz="8" w:space="0" w:color="8D487F" w:themeColor="accent1"/>
          <w:right w:val="single" w:sz="8" w:space="0" w:color="8D487F" w:themeColor="accent1"/>
        </w:tcBorders>
      </w:tcPr>
    </w:tblStylePr>
    <w:tblStylePr w:type="band1Horz">
      <w:tblPr/>
      <w:tcPr>
        <w:tcBorders>
          <w:top w:val="single" w:sz="8" w:space="0" w:color="8D487F" w:themeColor="accent1"/>
          <w:left w:val="single" w:sz="8" w:space="0" w:color="8D487F" w:themeColor="accent1"/>
          <w:bottom w:val="single" w:sz="8" w:space="0" w:color="8D487F" w:themeColor="accent1"/>
          <w:right w:val="single" w:sz="8" w:space="0" w:color="8D487F" w:themeColor="accent1"/>
        </w:tcBorders>
      </w:tcPr>
    </w:tblStylePr>
  </w:style>
  <w:style w:type="character" w:styleId="PlaceholderText">
    <w:name w:val="Placeholder Text"/>
    <w:basedOn w:val="DefaultParagraphFont"/>
    <w:uiPriority w:val="99"/>
    <w:rsid w:val="00D674A5"/>
    <w:rPr>
      <w:color w:val="808080"/>
    </w:rPr>
  </w:style>
  <w:style w:type="numbering" w:customStyle="1" w:styleId="List1Numbered">
    <w:name w:val="List 1 Numbered"/>
    <w:uiPriority w:val="99"/>
    <w:rsid w:val="00D674A5"/>
    <w:pPr>
      <w:numPr>
        <w:numId w:val="7"/>
      </w:numPr>
    </w:pPr>
  </w:style>
  <w:style w:type="paragraph" w:customStyle="1" w:styleId="List1Numbered1">
    <w:name w:val="List 1 Numbered 1"/>
    <w:basedOn w:val="Normal"/>
    <w:uiPriority w:val="2"/>
    <w:qFormat/>
    <w:rsid w:val="00D674A5"/>
    <w:pPr>
      <w:numPr>
        <w:numId w:val="32"/>
      </w:numPr>
      <w:spacing w:before="60"/>
    </w:pPr>
  </w:style>
  <w:style w:type="paragraph" w:customStyle="1" w:styleId="List1Numbered2">
    <w:name w:val="List 1 Numbered 2"/>
    <w:basedOn w:val="Normal"/>
    <w:uiPriority w:val="2"/>
    <w:qFormat/>
    <w:rsid w:val="00D674A5"/>
    <w:pPr>
      <w:numPr>
        <w:ilvl w:val="1"/>
        <w:numId w:val="32"/>
      </w:numPr>
      <w:spacing w:before="60"/>
    </w:pPr>
  </w:style>
  <w:style w:type="paragraph" w:customStyle="1" w:styleId="List1Numbered3">
    <w:name w:val="List 1 Numbered 3"/>
    <w:basedOn w:val="Normal"/>
    <w:uiPriority w:val="2"/>
    <w:qFormat/>
    <w:rsid w:val="00D674A5"/>
    <w:pPr>
      <w:numPr>
        <w:ilvl w:val="2"/>
        <w:numId w:val="32"/>
      </w:numPr>
      <w:spacing w:before="60"/>
    </w:pPr>
  </w:style>
  <w:style w:type="paragraph" w:customStyle="1" w:styleId="NameofProposal">
    <w:name w:val="Name of Proposal"/>
    <w:basedOn w:val="Normal"/>
    <w:uiPriority w:val="12"/>
    <w:qFormat/>
    <w:rsid w:val="00D674A5"/>
    <w:rPr>
      <w:b/>
      <w:bCs/>
    </w:rPr>
  </w:style>
  <w:style w:type="paragraph" w:styleId="NormalWeb">
    <w:name w:val="Normal (Web)"/>
    <w:basedOn w:val="Normal"/>
    <w:uiPriority w:val="99"/>
    <w:semiHidden/>
    <w:unhideWhenUsed/>
    <w:rsid w:val="00D674A5"/>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NormalIndent10mm">
    <w:name w:val="Normal Indent 10mm"/>
    <w:basedOn w:val="Normal"/>
    <w:uiPriority w:val="1"/>
    <w:rsid w:val="00D674A5"/>
    <w:pPr>
      <w:ind w:left="567"/>
    </w:pPr>
  </w:style>
  <w:style w:type="paragraph" w:customStyle="1" w:styleId="NormalNumbered">
    <w:name w:val="Normal Numbered"/>
    <w:basedOn w:val="Normal"/>
    <w:qFormat/>
    <w:rsid w:val="00D674A5"/>
    <w:pPr>
      <w:numPr>
        <w:numId w:val="33"/>
      </w:numPr>
    </w:pPr>
  </w:style>
  <w:style w:type="paragraph" w:styleId="Quote">
    <w:name w:val="Quote"/>
    <w:basedOn w:val="Normal"/>
    <w:link w:val="QuoteChar"/>
    <w:uiPriority w:val="99"/>
    <w:semiHidden/>
    <w:rsid w:val="00D674A5"/>
    <w:pPr>
      <w:tabs>
        <w:tab w:val="left" w:pos="1134"/>
      </w:tabs>
      <w:spacing w:before="240" w:after="240"/>
      <w:ind w:left="284"/>
    </w:pPr>
    <w:rPr>
      <w:i/>
      <w:iCs/>
    </w:rPr>
  </w:style>
  <w:style w:type="character" w:customStyle="1" w:styleId="QuoteChar">
    <w:name w:val="Quote Char"/>
    <w:basedOn w:val="DefaultParagraphFont"/>
    <w:link w:val="Quote"/>
    <w:uiPriority w:val="99"/>
    <w:semiHidden/>
    <w:rsid w:val="00D674A5"/>
    <w:rPr>
      <w:i/>
      <w:iCs/>
      <w:spacing w:val="-1"/>
    </w:rPr>
  </w:style>
  <w:style w:type="numbering" w:customStyle="1" w:styleId="NormalNumberedParas">
    <w:name w:val="Normal Numbered Paras"/>
    <w:uiPriority w:val="99"/>
    <w:rsid w:val="00D674A5"/>
    <w:pPr>
      <w:numPr>
        <w:numId w:val="9"/>
      </w:numPr>
    </w:pPr>
  </w:style>
  <w:style w:type="numbering" w:customStyle="1" w:styleId="NumberedHeadings">
    <w:name w:val="Numbered Headings"/>
    <w:uiPriority w:val="99"/>
    <w:rsid w:val="00D674A5"/>
    <w:pPr>
      <w:numPr>
        <w:numId w:val="10"/>
      </w:numPr>
    </w:pPr>
  </w:style>
  <w:style w:type="paragraph" w:styleId="Subtitle">
    <w:name w:val="Subtitle"/>
    <w:basedOn w:val="Normal"/>
    <w:next w:val="Normal"/>
    <w:link w:val="SubtitleChar"/>
    <w:uiPriority w:val="23"/>
    <w:qFormat/>
    <w:rsid w:val="00D674A5"/>
    <w:pPr>
      <w:keepLines/>
      <w:numPr>
        <w:ilvl w:val="1"/>
      </w:numPr>
      <w:spacing w:before="0"/>
      <w:contextualSpacing/>
    </w:pPr>
    <w:rPr>
      <w:rFonts w:eastAsiaTheme="minorEastAsia"/>
      <w:b/>
      <w:color w:val="3D4D7D" w:themeColor="background2"/>
      <w:sz w:val="30"/>
    </w:rPr>
  </w:style>
  <w:style w:type="character" w:customStyle="1" w:styleId="SubtitleChar">
    <w:name w:val="Subtitle Char"/>
    <w:basedOn w:val="DefaultParagraphFont"/>
    <w:link w:val="Subtitle"/>
    <w:uiPriority w:val="23"/>
    <w:rsid w:val="00D674A5"/>
    <w:rPr>
      <w:rFonts w:eastAsiaTheme="minorEastAsia"/>
      <w:b/>
      <w:color w:val="3D4D7D" w:themeColor="background2"/>
      <w:spacing w:val="-1"/>
      <w:sz w:val="30"/>
    </w:rPr>
  </w:style>
  <w:style w:type="paragraph" w:customStyle="1" w:styleId="SourceNotes">
    <w:name w:val="Source Notes"/>
    <w:basedOn w:val="Normal"/>
    <w:uiPriority w:val="21"/>
    <w:qFormat/>
    <w:rsid w:val="001B25FE"/>
    <w:pPr>
      <w:spacing w:before="0" w:line="260" w:lineRule="atLeast"/>
      <w:ind w:left="341" w:hanging="284"/>
    </w:pPr>
    <w:rPr>
      <w:sz w:val="20"/>
    </w:rPr>
  </w:style>
  <w:style w:type="paragraph" w:customStyle="1" w:styleId="SourceNotesHeading">
    <w:name w:val="Source Notes Heading"/>
    <w:basedOn w:val="SourceNotes"/>
    <w:uiPriority w:val="20"/>
    <w:qFormat/>
    <w:rsid w:val="00D674A5"/>
    <w:rPr>
      <w:rFonts w:asciiTheme="majorHAnsi" w:hAnsiTheme="majorHAnsi"/>
      <w:b/>
    </w:rPr>
  </w:style>
  <w:style w:type="paragraph" w:customStyle="1" w:styleId="SourceNotesNumbered">
    <w:name w:val="Source Notes Numbered"/>
    <w:basedOn w:val="SourceNotes"/>
    <w:uiPriority w:val="21"/>
    <w:qFormat/>
    <w:rsid w:val="00D674A5"/>
    <w:pPr>
      <w:numPr>
        <w:numId w:val="36"/>
      </w:numPr>
    </w:pPr>
  </w:style>
  <w:style w:type="table" w:styleId="TableGrid">
    <w:name w:val="Table Grid"/>
    <w:basedOn w:val="TableNormal"/>
    <w:uiPriority w:val="39"/>
    <w:rsid w:val="00D674A5"/>
    <w:pPr>
      <w:spacing w:after="0"/>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33"/>
    <w:semiHidden/>
    <w:rsid w:val="00D674A5"/>
    <w:rPr>
      <w:b/>
      <w:bCs/>
    </w:rPr>
  </w:style>
  <w:style w:type="table" w:styleId="TableGridLight">
    <w:name w:val="Grid Table Light"/>
    <w:basedOn w:val="TableNormal"/>
    <w:uiPriority w:val="40"/>
    <w:rsid w:val="00D674A5"/>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9">
    <w:name w:val="toc 9"/>
    <w:basedOn w:val="Normal"/>
    <w:next w:val="Normal"/>
    <w:uiPriority w:val="39"/>
    <w:semiHidden/>
    <w:rsid w:val="00D674A5"/>
    <w:pPr>
      <w:spacing w:after="100"/>
      <w:ind w:left="1600"/>
    </w:pPr>
  </w:style>
  <w:style w:type="paragraph" w:styleId="Title">
    <w:name w:val="Title"/>
    <w:basedOn w:val="Normal"/>
    <w:next w:val="Normal"/>
    <w:link w:val="TitleChar"/>
    <w:uiPriority w:val="22"/>
    <w:qFormat/>
    <w:rsid w:val="00D674A5"/>
    <w:pPr>
      <w:keepLines/>
      <w:spacing w:before="0"/>
      <w:contextualSpacing/>
      <w:outlineLvl w:val="0"/>
    </w:pPr>
    <w:rPr>
      <w:rFonts w:asciiTheme="majorHAnsi" w:eastAsiaTheme="majorEastAsia" w:hAnsiTheme="majorHAnsi" w:cstheme="majorBidi"/>
      <w:color w:val="3D4D7D" w:themeColor="background2"/>
      <w:kern w:val="28"/>
      <w:sz w:val="52"/>
      <w:szCs w:val="56"/>
    </w:rPr>
  </w:style>
  <w:style w:type="character" w:customStyle="1" w:styleId="TitleChar">
    <w:name w:val="Title Char"/>
    <w:basedOn w:val="DefaultParagraphFont"/>
    <w:link w:val="Title"/>
    <w:uiPriority w:val="22"/>
    <w:rsid w:val="00D674A5"/>
    <w:rPr>
      <w:rFonts w:asciiTheme="majorHAnsi" w:eastAsiaTheme="majorEastAsia" w:hAnsiTheme="majorHAnsi" w:cstheme="majorBidi"/>
      <w:color w:val="3D4D7D" w:themeColor="background2"/>
      <w:spacing w:val="-1"/>
      <w:kern w:val="28"/>
      <w:sz w:val="52"/>
      <w:szCs w:val="56"/>
    </w:rPr>
  </w:style>
  <w:style w:type="paragraph" w:styleId="TOC1">
    <w:name w:val="toc 1"/>
    <w:basedOn w:val="Normal"/>
    <w:next w:val="Normal"/>
    <w:uiPriority w:val="39"/>
    <w:semiHidden/>
    <w:rsid w:val="00D674A5"/>
    <w:pPr>
      <w:keepNext/>
      <w:tabs>
        <w:tab w:val="right" w:pos="9628"/>
      </w:tabs>
      <w:spacing w:line="340" w:lineRule="atLeast"/>
    </w:pPr>
    <w:rPr>
      <w:b/>
      <w:sz w:val="24"/>
      <w:u w:color="9778B4" w:themeColor="text2"/>
    </w:rPr>
  </w:style>
  <w:style w:type="paragraph" w:styleId="TOC2">
    <w:name w:val="toc 2"/>
    <w:basedOn w:val="Normal"/>
    <w:next w:val="Normal"/>
    <w:uiPriority w:val="39"/>
    <w:semiHidden/>
    <w:rsid w:val="00D674A5"/>
    <w:pPr>
      <w:tabs>
        <w:tab w:val="right" w:pos="9628"/>
      </w:tabs>
      <w:ind w:left="567" w:hanging="567"/>
    </w:pPr>
    <w:rPr>
      <w:rFonts w:asciiTheme="majorHAnsi" w:hAnsiTheme="majorHAnsi"/>
    </w:rPr>
  </w:style>
  <w:style w:type="paragraph" w:styleId="TOC3">
    <w:name w:val="toc 3"/>
    <w:basedOn w:val="Normal"/>
    <w:next w:val="Normal"/>
    <w:uiPriority w:val="39"/>
    <w:semiHidden/>
    <w:rsid w:val="00D674A5"/>
    <w:pPr>
      <w:tabs>
        <w:tab w:val="right" w:pos="9628"/>
      </w:tabs>
      <w:spacing w:before="60"/>
      <w:ind w:left="284"/>
    </w:pPr>
  </w:style>
  <w:style w:type="paragraph" w:styleId="TOC4">
    <w:name w:val="toc 4"/>
    <w:basedOn w:val="Normal"/>
    <w:next w:val="Normal"/>
    <w:uiPriority w:val="39"/>
    <w:semiHidden/>
    <w:rsid w:val="00D674A5"/>
    <w:pPr>
      <w:tabs>
        <w:tab w:val="right" w:pos="9628"/>
      </w:tabs>
      <w:spacing w:before="60"/>
      <w:ind w:left="1135" w:hanging="851"/>
    </w:pPr>
  </w:style>
  <w:style w:type="paragraph" w:styleId="TOC5">
    <w:name w:val="toc 5"/>
    <w:basedOn w:val="Normal"/>
    <w:next w:val="Normal"/>
    <w:uiPriority w:val="39"/>
    <w:semiHidden/>
    <w:rsid w:val="00D674A5"/>
    <w:pPr>
      <w:tabs>
        <w:tab w:val="right" w:leader="underscore" w:pos="8165"/>
      </w:tabs>
      <w:spacing w:after="227"/>
      <w:ind w:right="851"/>
    </w:pPr>
    <w:rPr>
      <w:b/>
      <w:color w:val="9778B4" w:themeColor="text2"/>
    </w:rPr>
  </w:style>
  <w:style w:type="paragraph" w:styleId="TOC6">
    <w:name w:val="toc 6"/>
    <w:basedOn w:val="Normal"/>
    <w:next w:val="Normal"/>
    <w:uiPriority w:val="39"/>
    <w:semiHidden/>
    <w:rsid w:val="00D674A5"/>
    <w:pPr>
      <w:spacing w:after="100"/>
      <w:ind w:left="1000"/>
    </w:pPr>
  </w:style>
  <w:style w:type="paragraph" w:styleId="TOC7">
    <w:name w:val="toc 7"/>
    <w:basedOn w:val="Normal"/>
    <w:next w:val="Normal"/>
    <w:uiPriority w:val="39"/>
    <w:semiHidden/>
    <w:rsid w:val="00D674A5"/>
    <w:pPr>
      <w:spacing w:after="100"/>
      <w:ind w:left="1200"/>
    </w:pPr>
  </w:style>
  <w:style w:type="paragraph" w:styleId="TOC8">
    <w:name w:val="toc 8"/>
    <w:basedOn w:val="Normal"/>
    <w:next w:val="Normal"/>
    <w:uiPriority w:val="39"/>
    <w:semiHidden/>
    <w:rsid w:val="00D674A5"/>
    <w:pPr>
      <w:tabs>
        <w:tab w:val="right" w:leader="dot" w:pos="9582"/>
      </w:tabs>
      <w:spacing w:after="227"/>
      <w:ind w:right="907"/>
    </w:pPr>
    <w:rPr>
      <w:color w:val="9778B4" w:themeColor="text2"/>
    </w:rPr>
  </w:style>
  <w:style w:type="paragraph" w:styleId="TOCHeading">
    <w:name w:val="TOC Heading"/>
    <w:basedOn w:val="Heading1"/>
    <w:next w:val="Normal"/>
    <w:uiPriority w:val="39"/>
    <w:semiHidden/>
    <w:rsid w:val="00D674A5"/>
    <w:pPr>
      <w:outlineLvl w:val="9"/>
    </w:pPr>
  </w:style>
  <w:style w:type="character" w:styleId="Hyperlink">
    <w:name w:val="Hyperlink"/>
    <w:basedOn w:val="DefaultParagraphFont"/>
    <w:uiPriority w:val="99"/>
    <w:rsid w:val="00D674A5"/>
    <w:rPr>
      <w:color w:val="0070C0"/>
      <w:u w:val="single"/>
    </w:rPr>
  </w:style>
  <w:style w:type="paragraph" w:styleId="BalloonText">
    <w:name w:val="Balloon Text"/>
    <w:basedOn w:val="Normal"/>
    <w:link w:val="BalloonTextChar"/>
    <w:uiPriority w:val="99"/>
    <w:semiHidden/>
    <w:unhideWhenUsed/>
    <w:rsid w:val="00D674A5"/>
    <w:rPr>
      <w:rFonts w:ascii="Tahoma" w:hAnsi="Tahoma" w:cs="Tahoma"/>
      <w:sz w:val="16"/>
      <w:szCs w:val="16"/>
    </w:rPr>
  </w:style>
  <w:style w:type="character" w:customStyle="1" w:styleId="BalloonTextChar">
    <w:name w:val="Balloon Text Char"/>
    <w:basedOn w:val="DefaultParagraphFont"/>
    <w:link w:val="BalloonText"/>
    <w:uiPriority w:val="99"/>
    <w:semiHidden/>
    <w:rsid w:val="00D674A5"/>
    <w:rPr>
      <w:rFonts w:ascii="Tahoma" w:hAnsi="Tahoma" w:cs="Tahoma"/>
      <w:spacing w:val="-1"/>
      <w:sz w:val="16"/>
      <w:szCs w:val="16"/>
    </w:rPr>
  </w:style>
  <w:style w:type="paragraph" w:styleId="TableofFigures">
    <w:name w:val="table of figures"/>
    <w:basedOn w:val="Normal"/>
    <w:next w:val="Normal"/>
    <w:uiPriority w:val="99"/>
    <w:semiHidden/>
    <w:rsid w:val="00D674A5"/>
    <w:pPr>
      <w:tabs>
        <w:tab w:val="right" w:leader="underscore" w:pos="8165"/>
      </w:tabs>
      <w:spacing w:after="80"/>
      <w:ind w:right="851"/>
    </w:pPr>
  </w:style>
  <w:style w:type="table" w:styleId="LightGrid-Accent6">
    <w:name w:val="Light Grid Accent 6"/>
    <w:basedOn w:val="TableNormal"/>
    <w:uiPriority w:val="62"/>
    <w:unhideWhenUsed/>
    <w:rsid w:val="00D674A5"/>
    <w:pPr>
      <w:spacing w:before="0" w:after="0"/>
    </w:pPr>
    <w:tblPr>
      <w:tblStyleRowBandSize w:val="1"/>
      <w:tblStyleColBandSize w:val="1"/>
      <w:tblBorders>
        <w:top w:val="single" w:sz="8" w:space="0" w:color="788183" w:themeColor="accent6"/>
        <w:left w:val="single" w:sz="8" w:space="0" w:color="788183" w:themeColor="accent6"/>
        <w:bottom w:val="single" w:sz="8" w:space="0" w:color="788183" w:themeColor="accent6"/>
        <w:right w:val="single" w:sz="8" w:space="0" w:color="788183" w:themeColor="accent6"/>
        <w:insideH w:val="single" w:sz="8" w:space="0" w:color="788183" w:themeColor="accent6"/>
        <w:insideV w:val="single" w:sz="8" w:space="0" w:color="788183"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88183" w:themeColor="accent6"/>
          <w:left w:val="single" w:sz="8" w:space="0" w:color="788183" w:themeColor="accent6"/>
          <w:bottom w:val="single" w:sz="18" w:space="0" w:color="788183" w:themeColor="accent6"/>
          <w:right w:val="single" w:sz="8" w:space="0" w:color="788183" w:themeColor="accent6"/>
          <w:insideH w:val="nil"/>
          <w:insideV w:val="single" w:sz="8" w:space="0" w:color="788183"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88183" w:themeColor="accent6"/>
          <w:left w:val="single" w:sz="8" w:space="0" w:color="788183" w:themeColor="accent6"/>
          <w:bottom w:val="single" w:sz="8" w:space="0" w:color="788183" w:themeColor="accent6"/>
          <w:right w:val="single" w:sz="8" w:space="0" w:color="788183" w:themeColor="accent6"/>
          <w:insideH w:val="nil"/>
          <w:insideV w:val="single" w:sz="8" w:space="0" w:color="788183"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88183" w:themeColor="accent6"/>
          <w:left w:val="single" w:sz="8" w:space="0" w:color="788183" w:themeColor="accent6"/>
          <w:bottom w:val="single" w:sz="8" w:space="0" w:color="788183" w:themeColor="accent6"/>
          <w:right w:val="single" w:sz="8" w:space="0" w:color="788183" w:themeColor="accent6"/>
        </w:tcBorders>
      </w:tcPr>
    </w:tblStylePr>
    <w:tblStylePr w:type="band1Vert">
      <w:tblPr/>
      <w:tcPr>
        <w:tcBorders>
          <w:top w:val="single" w:sz="8" w:space="0" w:color="788183" w:themeColor="accent6"/>
          <w:left w:val="single" w:sz="8" w:space="0" w:color="788183" w:themeColor="accent6"/>
          <w:bottom w:val="single" w:sz="8" w:space="0" w:color="788183" w:themeColor="accent6"/>
          <w:right w:val="single" w:sz="8" w:space="0" w:color="788183" w:themeColor="accent6"/>
        </w:tcBorders>
        <w:shd w:val="clear" w:color="auto" w:fill="DDDFE0" w:themeFill="accent6" w:themeFillTint="3F"/>
      </w:tcPr>
    </w:tblStylePr>
    <w:tblStylePr w:type="band1Horz">
      <w:tblPr/>
      <w:tcPr>
        <w:tcBorders>
          <w:top w:val="single" w:sz="8" w:space="0" w:color="788183" w:themeColor="accent6"/>
          <w:left w:val="single" w:sz="8" w:space="0" w:color="788183" w:themeColor="accent6"/>
          <w:bottom w:val="single" w:sz="8" w:space="0" w:color="788183" w:themeColor="accent6"/>
          <w:right w:val="single" w:sz="8" w:space="0" w:color="788183" w:themeColor="accent6"/>
          <w:insideV w:val="single" w:sz="8" w:space="0" w:color="788183" w:themeColor="accent6"/>
        </w:tcBorders>
        <w:shd w:val="clear" w:color="auto" w:fill="DDDFE0" w:themeFill="accent6" w:themeFillTint="3F"/>
      </w:tcPr>
    </w:tblStylePr>
    <w:tblStylePr w:type="band2Horz">
      <w:tblPr/>
      <w:tcPr>
        <w:tcBorders>
          <w:top w:val="single" w:sz="8" w:space="0" w:color="788183" w:themeColor="accent6"/>
          <w:left w:val="single" w:sz="8" w:space="0" w:color="788183" w:themeColor="accent6"/>
          <w:bottom w:val="single" w:sz="8" w:space="0" w:color="788183" w:themeColor="accent6"/>
          <w:right w:val="single" w:sz="8" w:space="0" w:color="788183" w:themeColor="accent6"/>
          <w:insideV w:val="single" w:sz="8" w:space="0" w:color="788183" w:themeColor="accent6"/>
        </w:tcBorders>
      </w:tcPr>
    </w:tblStylePr>
  </w:style>
  <w:style w:type="table" w:styleId="LightGrid-Accent3">
    <w:name w:val="Light Grid Accent 3"/>
    <w:basedOn w:val="TableNormal"/>
    <w:uiPriority w:val="62"/>
    <w:rsid w:val="008112CC"/>
    <w:tblPr>
      <w:tblStyleRowBandSize w:val="1"/>
      <w:tblStyleColBandSize w:val="1"/>
      <w:tblBorders>
        <w:top w:val="single" w:sz="8" w:space="0" w:color="F1873D" w:themeColor="accent3"/>
        <w:left w:val="single" w:sz="8" w:space="0" w:color="F1873D" w:themeColor="accent3"/>
        <w:bottom w:val="single" w:sz="8" w:space="0" w:color="F1873D" w:themeColor="accent3"/>
        <w:right w:val="single" w:sz="8" w:space="0" w:color="F1873D" w:themeColor="accent3"/>
        <w:insideH w:val="single" w:sz="8" w:space="0" w:color="F1873D" w:themeColor="accent3"/>
        <w:insideV w:val="single" w:sz="8" w:space="0" w:color="F1873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1873D" w:themeColor="accent3"/>
          <w:left w:val="single" w:sz="8" w:space="0" w:color="F1873D" w:themeColor="accent3"/>
          <w:bottom w:val="single" w:sz="18" w:space="0" w:color="F1873D" w:themeColor="accent3"/>
          <w:right w:val="single" w:sz="8" w:space="0" w:color="F1873D" w:themeColor="accent3"/>
          <w:insideH w:val="nil"/>
          <w:insideV w:val="single" w:sz="8" w:space="0" w:color="F1873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1873D" w:themeColor="accent3"/>
          <w:left w:val="single" w:sz="8" w:space="0" w:color="F1873D" w:themeColor="accent3"/>
          <w:bottom w:val="single" w:sz="8" w:space="0" w:color="F1873D" w:themeColor="accent3"/>
          <w:right w:val="single" w:sz="8" w:space="0" w:color="F1873D" w:themeColor="accent3"/>
          <w:insideH w:val="nil"/>
          <w:insideV w:val="single" w:sz="8" w:space="0" w:color="F1873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1873D" w:themeColor="accent3"/>
          <w:left w:val="single" w:sz="8" w:space="0" w:color="F1873D" w:themeColor="accent3"/>
          <w:bottom w:val="single" w:sz="8" w:space="0" w:color="F1873D" w:themeColor="accent3"/>
          <w:right w:val="single" w:sz="8" w:space="0" w:color="F1873D" w:themeColor="accent3"/>
        </w:tcBorders>
      </w:tcPr>
    </w:tblStylePr>
    <w:tblStylePr w:type="band1Vert">
      <w:tblPr/>
      <w:tcPr>
        <w:tcBorders>
          <w:top w:val="single" w:sz="8" w:space="0" w:color="F1873D" w:themeColor="accent3"/>
          <w:left w:val="single" w:sz="8" w:space="0" w:color="F1873D" w:themeColor="accent3"/>
          <w:bottom w:val="single" w:sz="8" w:space="0" w:color="F1873D" w:themeColor="accent3"/>
          <w:right w:val="single" w:sz="8" w:space="0" w:color="F1873D" w:themeColor="accent3"/>
        </w:tcBorders>
        <w:shd w:val="clear" w:color="auto" w:fill="FBE1CE" w:themeFill="accent3" w:themeFillTint="3F"/>
      </w:tcPr>
    </w:tblStylePr>
    <w:tblStylePr w:type="band1Horz">
      <w:tblPr/>
      <w:tcPr>
        <w:tcBorders>
          <w:top w:val="single" w:sz="8" w:space="0" w:color="F1873D" w:themeColor="accent3"/>
          <w:left w:val="single" w:sz="8" w:space="0" w:color="F1873D" w:themeColor="accent3"/>
          <w:bottom w:val="single" w:sz="8" w:space="0" w:color="F1873D" w:themeColor="accent3"/>
          <w:right w:val="single" w:sz="8" w:space="0" w:color="F1873D" w:themeColor="accent3"/>
          <w:insideV w:val="single" w:sz="8" w:space="0" w:color="F1873D" w:themeColor="accent3"/>
        </w:tcBorders>
        <w:shd w:val="clear" w:color="auto" w:fill="FBE1CE" w:themeFill="accent3" w:themeFillTint="3F"/>
      </w:tcPr>
    </w:tblStylePr>
    <w:tblStylePr w:type="band2Horz">
      <w:tblPr/>
      <w:tcPr>
        <w:tcBorders>
          <w:top w:val="single" w:sz="8" w:space="0" w:color="F1873D" w:themeColor="accent3"/>
          <w:left w:val="single" w:sz="8" w:space="0" w:color="F1873D" w:themeColor="accent3"/>
          <w:bottom w:val="single" w:sz="8" w:space="0" w:color="F1873D" w:themeColor="accent3"/>
          <w:right w:val="single" w:sz="8" w:space="0" w:color="F1873D" w:themeColor="accent3"/>
          <w:insideV w:val="single" w:sz="8" w:space="0" w:color="F1873D" w:themeColor="accent3"/>
        </w:tcBorders>
      </w:tcPr>
    </w:tblStylePr>
  </w:style>
  <w:style w:type="character" w:styleId="FollowedHyperlink">
    <w:name w:val="FollowedHyperlink"/>
    <w:basedOn w:val="DefaultParagraphFont"/>
    <w:uiPriority w:val="99"/>
    <w:semiHidden/>
    <w:rsid w:val="00D674A5"/>
    <w:rPr>
      <w:color w:val="0070C0"/>
      <w:u w:val="single"/>
    </w:rPr>
  </w:style>
  <w:style w:type="paragraph" w:styleId="Bibliography">
    <w:name w:val="Bibliography"/>
    <w:basedOn w:val="Normal"/>
    <w:next w:val="Normal"/>
    <w:uiPriority w:val="39"/>
    <w:unhideWhenUsed/>
    <w:rsid w:val="00DF2134"/>
  </w:style>
  <w:style w:type="character" w:styleId="CommentReference">
    <w:name w:val="annotation reference"/>
    <w:basedOn w:val="DefaultParagraphFont"/>
    <w:uiPriority w:val="99"/>
    <w:semiHidden/>
    <w:unhideWhenUsed/>
    <w:rsid w:val="00D674A5"/>
    <w:rPr>
      <w:sz w:val="16"/>
      <w:szCs w:val="16"/>
    </w:rPr>
  </w:style>
  <w:style w:type="paragraph" w:styleId="CommentText">
    <w:name w:val="annotation text"/>
    <w:basedOn w:val="Normal"/>
    <w:link w:val="CommentTextChar"/>
    <w:uiPriority w:val="99"/>
    <w:unhideWhenUsed/>
    <w:rsid w:val="00D674A5"/>
    <w:pPr>
      <w:spacing w:after="114"/>
    </w:pPr>
    <w:rPr>
      <w:sz w:val="20"/>
      <w:szCs w:val="20"/>
    </w:rPr>
  </w:style>
  <w:style w:type="character" w:customStyle="1" w:styleId="CommentTextChar">
    <w:name w:val="Comment Text Char"/>
    <w:basedOn w:val="DefaultParagraphFont"/>
    <w:link w:val="CommentText"/>
    <w:uiPriority w:val="99"/>
    <w:rsid w:val="00D674A5"/>
    <w:rPr>
      <w:spacing w:val="-1"/>
      <w:sz w:val="20"/>
      <w:szCs w:val="20"/>
    </w:rPr>
  </w:style>
  <w:style w:type="paragraph" w:styleId="CommentSubject">
    <w:name w:val="annotation subject"/>
    <w:basedOn w:val="CommentText"/>
    <w:next w:val="CommentText"/>
    <w:link w:val="CommentSubjectChar"/>
    <w:uiPriority w:val="99"/>
    <w:semiHidden/>
    <w:unhideWhenUsed/>
    <w:rsid w:val="009758AE"/>
    <w:rPr>
      <w:b/>
      <w:bCs/>
    </w:rPr>
  </w:style>
  <w:style w:type="character" w:customStyle="1" w:styleId="CommentSubjectChar">
    <w:name w:val="Comment Subject Char"/>
    <w:basedOn w:val="CommentTextChar"/>
    <w:link w:val="CommentSubject"/>
    <w:uiPriority w:val="99"/>
    <w:semiHidden/>
    <w:rsid w:val="004B6C2D"/>
    <w:rPr>
      <w:b/>
      <w:bCs/>
      <w:spacing w:val="-1"/>
      <w:sz w:val="20"/>
      <w:szCs w:val="20"/>
    </w:rPr>
  </w:style>
  <w:style w:type="paragraph" w:styleId="Revision">
    <w:name w:val="Revision"/>
    <w:hidden/>
    <w:uiPriority w:val="99"/>
    <w:semiHidden/>
    <w:rsid w:val="00EE3226"/>
  </w:style>
  <w:style w:type="character" w:customStyle="1" w:styleId="SecurityClassification">
    <w:name w:val="Security Classification"/>
    <w:basedOn w:val="DefaultParagraphFont"/>
    <w:uiPriority w:val="99"/>
    <w:semiHidden/>
    <w:qFormat/>
    <w:rsid w:val="00D674A5"/>
    <w:rPr>
      <w:rFonts w:ascii="Calibri" w:hAnsi="Calibri"/>
      <w:b/>
      <w:caps w:val="0"/>
      <w:smallCaps w:val="0"/>
      <w:color w:val="FF0000"/>
      <w:sz w:val="36"/>
      <w:szCs w:val="36"/>
    </w:rPr>
  </w:style>
  <w:style w:type="numbering" w:customStyle="1" w:styleId="FigureNumbers">
    <w:name w:val="Figure Numbers"/>
    <w:uiPriority w:val="99"/>
    <w:rsid w:val="00D674A5"/>
    <w:pPr>
      <w:numPr>
        <w:numId w:val="22"/>
      </w:numPr>
    </w:pPr>
  </w:style>
  <w:style w:type="numbering" w:customStyle="1" w:styleId="KCBullets">
    <w:name w:val="KC Bullets"/>
    <w:uiPriority w:val="99"/>
    <w:rsid w:val="00D674A5"/>
    <w:pPr>
      <w:numPr>
        <w:numId w:val="28"/>
      </w:numPr>
    </w:pPr>
  </w:style>
  <w:style w:type="table" w:customStyle="1" w:styleId="PBOTable3-Financials">
    <w:name w:val="PBO Table 3 - Financials"/>
    <w:basedOn w:val="TableNormal"/>
    <w:uiPriority w:val="99"/>
    <w:rsid w:val="00851579"/>
    <w:pPr>
      <w:spacing w:before="70" w:after="70" w:line="260" w:lineRule="atLeast"/>
    </w:pPr>
    <w:tblPr>
      <w:tblStyleRowBandSize w:val="1"/>
      <w:tblStyleColBandSize w:val="1"/>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blBorders>
      <w:tblCellMar>
        <w:left w:w="57" w:type="dxa"/>
        <w:right w:w="57" w:type="dxa"/>
      </w:tblCellMar>
    </w:tblPr>
    <w:tblStylePr w:type="firstRow">
      <w:pPr>
        <w:jc w:val="left"/>
      </w:pPr>
      <w:rPr>
        <w:sz w:val="16"/>
      </w:rPr>
      <w:tblPr/>
      <w:tcPr>
        <w:shd w:val="clear" w:color="auto" w:fill="A7B2D4" w:themeFill="background2" w:themeFillTint="66"/>
        <w:vAlign w:val="center"/>
      </w:tcPr>
    </w:tblStylePr>
    <w:tblStylePr w:type="lastRow">
      <w:tblPr/>
      <w:tcPr>
        <w:shd w:val="clear" w:color="auto" w:fill="A7B2D4" w:themeFill="background2" w:themeFillTint="66"/>
      </w:tcPr>
    </w:tblStylePr>
    <w:tblStylePr w:type="firstCol">
      <w:tblPr/>
      <w:tcPr>
        <w:shd w:val="clear" w:color="auto" w:fill="A7B2D4" w:themeFill="background2" w:themeFillTint="66"/>
      </w:tcPr>
    </w:tblStylePr>
    <w:tblStylePr w:type="lastCol">
      <w:tblPr/>
      <w:tcPr>
        <w:shd w:val="clear" w:color="auto" w:fill="A7B2D4" w:themeFill="background2" w:themeFillTint="66"/>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PBOTable1-9pt">
    <w:name w:val="PBO Table 1 - 9pt"/>
    <w:basedOn w:val="PBOTable3-Financials"/>
    <w:uiPriority w:val="99"/>
    <w:rsid w:val="00BB0B01"/>
    <w:pPr>
      <w:spacing w:before="0" w:after="0"/>
    </w:pPr>
    <w:rPr>
      <w:sz w:val="18"/>
    </w:rPr>
    <w:tblPr>
      <w:tblBorders>
        <w:top w:val="single" w:sz="8" w:space="0" w:color="7C8CBF" w:themeColor="background2" w:themeTint="99"/>
        <w:left w:val="single" w:sz="8" w:space="0" w:color="7C8CBF" w:themeColor="background2" w:themeTint="99"/>
        <w:bottom w:val="single" w:sz="8" w:space="0" w:color="7C8CBF" w:themeColor="background2" w:themeTint="99"/>
        <w:right w:val="single" w:sz="8" w:space="0" w:color="7C8CBF" w:themeColor="background2" w:themeTint="99"/>
        <w:insideH w:val="single" w:sz="8" w:space="0" w:color="7C8CBF" w:themeColor="background2" w:themeTint="99"/>
        <w:insideV w:val="single" w:sz="8" w:space="0" w:color="7C8CBF" w:themeColor="background2" w:themeTint="99"/>
      </w:tblBorders>
      <w:tblCellMar>
        <w:top w:w="57" w:type="dxa"/>
        <w:left w:w="113" w:type="dxa"/>
        <w:bottom w:w="57" w:type="dxa"/>
        <w:right w:w="113" w:type="dxa"/>
      </w:tblCellMar>
    </w:tblPr>
    <w:tblStylePr w:type="firstRow">
      <w:pPr>
        <w:jc w:val="left"/>
      </w:pPr>
      <w:rPr>
        <w:b/>
        <w:color w:val="FFFFFF" w:themeColor="background1"/>
        <w:sz w:val="18"/>
      </w:rPr>
      <w:tblPr/>
      <w:tcPr>
        <w:shd w:val="clear" w:color="auto" w:fill="3D4D7D" w:themeFill="background2"/>
        <w:vAlign w:val="center"/>
      </w:tcPr>
    </w:tblStylePr>
    <w:tblStylePr w:type="lastRow">
      <w:tblPr/>
      <w:tcPr>
        <w:shd w:val="clear" w:color="auto" w:fill="A7B2D4" w:themeFill="background2" w:themeFillTint="66"/>
      </w:tcPr>
    </w:tblStylePr>
    <w:tblStylePr w:type="firstCol">
      <w:tblPr/>
      <w:tcPr>
        <w:shd w:val="clear" w:color="auto" w:fill="A7B2D4" w:themeFill="background2" w:themeFillTint="66"/>
      </w:tcPr>
    </w:tblStylePr>
    <w:tblStylePr w:type="lastCol">
      <w:tblPr/>
      <w:tcPr>
        <w:shd w:val="clear" w:color="auto" w:fill="A7B2D4" w:themeFill="background2" w:themeFillTint="66"/>
      </w:tcPr>
    </w:tblStylePr>
    <w:tblStylePr w:type="band1Vert">
      <w:tblPr/>
      <w:tcPr>
        <w:shd w:val="clear" w:color="auto" w:fill="FFFFFF" w:themeFill="background1"/>
      </w:tcPr>
    </w:tblStylePr>
    <w:tblStylePr w:type="band2Vert">
      <w:tblPr/>
      <w:tcPr>
        <w:shd w:val="clear" w:color="auto" w:fill="D3D8E9" w:themeFill="background2" w:themeFillTint="33"/>
      </w:tcPr>
    </w:tblStylePr>
    <w:tblStylePr w:type="band1Horz">
      <w:tblPr/>
      <w:tcPr>
        <w:shd w:val="clear" w:color="auto" w:fill="FFFFFF" w:themeFill="background1"/>
      </w:tcPr>
    </w:tblStylePr>
    <w:tblStylePr w:type="band2Horz">
      <w:tblPr/>
      <w:tcPr>
        <w:shd w:val="clear" w:color="auto" w:fill="D3D8E9" w:themeFill="background2" w:themeFillTint="33"/>
      </w:tcPr>
    </w:tblStylePr>
  </w:style>
  <w:style w:type="table" w:customStyle="1" w:styleId="PBOTable2-11pt">
    <w:name w:val="PBO Table 2 - 11pt"/>
    <w:basedOn w:val="PBOTable3-Financials"/>
    <w:uiPriority w:val="99"/>
    <w:rsid w:val="002559FB"/>
    <w:tblPr/>
    <w:tblStylePr w:type="firstRow">
      <w:pPr>
        <w:jc w:val="left"/>
      </w:pPr>
      <w:rPr>
        <w:sz w:val="22"/>
      </w:rPr>
      <w:tblPr/>
      <w:tcPr>
        <w:shd w:val="clear" w:color="auto" w:fill="A7B2D4" w:themeFill="background2" w:themeFillTint="66"/>
        <w:vAlign w:val="center"/>
      </w:tcPr>
    </w:tblStylePr>
    <w:tblStylePr w:type="lastRow">
      <w:tblPr/>
      <w:tcPr>
        <w:shd w:val="clear" w:color="auto" w:fill="A7B2D4" w:themeFill="background2" w:themeFillTint="66"/>
      </w:tcPr>
    </w:tblStylePr>
    <w:tblStylePr w:type="firstCol">
      <w:tblPr/>
      <w:tcPr>
        <w:shd w:val="clear" w:color="auto" w:fill="A7B2D4" w:themeFill="background2" w:themeFillTint="66"/>
      </w:tcPr>
    </w:tblStylePr>
    <w:tblStylePr w:type="lastCol">
      <w:tblPr/>
      <w:tcPr>
        <w:shd w:val="clear" w:color="auto" w:fill="A7B2D4" w:themeFill="background2" w:themeFillTint="66"/>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PullOut">
    <w:name w:val="Pull Out"/>
    <w:basedOn w:val="Normal"/>
    <w:uiPriority w:val="22"/>
    <w:qFormat/>
    <w:rsid w:val="00D674A5"/>
    <w:pPr>
      <w:spacing w:line="340" w:lineRule="atLeast"/>
    </w:pPr>
    <w:rPr>
      <w:color w:val="9778B4" w:themeColor="text2"/>
      <w:spacing w:val="0"/>
      <w:sz w:val="24"/>
      <w:szCs w:val="20"/>
    </w:rPr>
  </w:style>
  <w:style w:type="numbering" w:customStyle="1" w:styleId="TableNumbers">
    <w:name w:val="Table Numbers"/>
    <w:uiPriority w:val="99"/>
    <w:rsid w:val="00D674A5"/>
    <w:pPr>
      <w:numPr>
        <w:numId w:val="37"/>
      </w:numPr>
    </w:pPr>
  </w:style>
  <w:style w:type="paragraph" w:customStyle="1" w:styleId="PBOheader">
    <w:name w:val="PBO header"/>
    <w:basedOn w:val="Header"/>
    <w:uiPriority w:val="39"/>
    <w:rsid w:val="00935F04"/>
    <w:pPr>
      <w:tabs>
        <w:tab w:val="clear" w:pos="4513"/>
        <w:tab w:val="clear" w:pos="9026"/>
      </w:tabs>
      <w:spacing w:before="1320" w:after="114" w:line="240" w:lineRule="auto"/>
      <w:ind w:left="6521"/>
    </w:pPr>
    <w:rPr>
      <w:rFonts w:ascii="Arial" w:hAnsi="Arial" w:cs="Arial"/>
      <w:b/>
      <w:color w:val="auto"/>
      <w:spacing w:val="0"/>
      <w:sz w:val="18"/>
      <w:szCs w:val="18"/>
    </w:rPr>
  </w:style>
  <w:style w:type="paragraph" w:customStyle="1" w:styleId="Lettertext">
    <w:name w:val="Letter text"/>
    <w:basedOn w:val="BodyText"/>
    <w:qFormat/>
    <w:rsid w:val="00935F04"/>
    <w:pPr>
      <w:spacing w:before="240" w:after="0"/>
    </w:pPr>
    <w:rPr>
      <w:rFonts w:ascii="Calibri" w:hAnsi="Calibri" w:cs="Times New Roman"/>
      <w:color w:val="auto"/>
      <w:spacing w:val="0"/>
    </w:rPr>
  </w:style>
  <w:style w:type="paragraph" w:styleId="BodyText">
    <w:name w:val="Body Text"/>
    <w:basedOn w:val="Normal"/>
    <w:link w:val="BodyTextChar"/>
    <w:uiPriority w:val="5"/>
    <w:semiHidden/>
    <w:unhideWhenUsed/>
    <w:qFormat/>
    <w:rsid w:val="00935F04"/>
  </w:style>
  <w:style w:type="character" w:customStyle="1" w:styleId="BodyTextChar">
    <w:name w:val="Body Text Char"/>
    <w:basedOn w:val="DefaultParagraphFont"/>
    <w:link w:val="BodyText"/>
    <w:uiPriority w:val="5"/>
    <w:semiHidden/>
    <w:rsid w:val="00935F04"/>
    <w:rPr>
      <w:spacing w:val="-1"/>
    </w:rPr>
  </w:style>
  <w:style w:type="paragraph" w:customStyle="1" w:styleId="TableFootnotes">
    <w:name w:val="Table Footnotes"/>
    <w:basedOn w:val="Normal"/>
    <w:uiPriority w:val="22"/>
    <w:qFormat/>
    <w:rsid w:val="00C000C6"/>
    <w:pPr>
      <w:keepLines/>
      <w:numPr>
        <w:numId w:val="42"/>
      </w:numPr>
      <w:spacing w:before="0" w:line="260" w:lineRule="atLeast"/>
    </w:pPr>
    <w:rPr>
      <w:color w:val="auto"/>
      <w:spacing w:val="0"/>
      <w:sz w:val="20"/>
    </w:rPr>
  </w:style>
  <w:style w:type="paragraph" w:customStyle="1" w:styleId="TableHeading">
    <w:name w:val="Table Heading"/>
    <w:basedOn w:val="Normal"/>
    <w:uiPriority w:val="14"/>
    <w:qFormat/>
    <w:rsid w:val="00C000C6"/>
    <w:pPr>
      <w:keepNext/>
      <w:keepLines/>
      <w:spacing w:before="70" w:after="70" w:line="260" w:lineRule="atLeast"/>
      <w:ind w:left="57" w:right="57"/>
    </w:pPr>
    <w:rPr>
      <w:rFonts w:ascii="Calibri" w:hAnsi="Calibri" w:cs="Times New Roman"/>
      <w:b/>
      <w:color w:val="auto"/>
      <w:spacing w:val="0"/>
      <w:sz w:val="20"/>
    </w:rPr>
  </w:style>
  <w:style w:type="paragraph" w:customStyle="1" w:styleId="TableHeadingRight">
    <w:name w:val="Table Heading Right"/>
    <w:basedOn w:val="TableHeading"/>
    <w:uiPriority w:val="16"/>
    <w:qFormat/>
    <w:rsid w:val="00C000C6"/>
    <w:pPr>
      <w:jc w:val="right"/>
    </w:pPr>
  </w:style>
  <w:style w:type="paragraph" w:customStyle="1" w:styleId="TableTextRight">
    <w:name w:val="Table Text Right"/>
    <w:basedOn w:val="Normal"/>
    <w:uiPriority w:val="19"/>
    <w:qFormat/>
    <w:rsid w:val="00C000C6"/>
    <w:pPr>
      <w:spacing w:before="70" w:after="70" w:line="260" w:lineRule="atLeast"/>
      <w:ind w:left="57" w:right="57"/>
      <w:jc w:val="right"/>
    </w:pPr>
    <w:rPr>
      <w:rFonts w:ascii="Calibri" w:hAnsi="Calibri" w:cs="Times New Roman"/>
      <w:color w:val="auto"/>
      <w:spacing w:val="0"/>
      <w:sz w:val="20"/>
    </w:rPr>
  </w:style>
  <w:style w:type="paragraph" w:customStyle="1" w:styleId="TableTextRightBold">
    <w:name w:val="Table Text Right Bold"/>
    <w:basedOn w:val="TableTextRight"/>
    <w:uiPriority w:val="20"/>
    <w:qFormat/>
    <w:rsid w:val="00C000C6"/>
    <w:rPr>
      <w:b/>
    </w:rPr>
  </w:style>
  <w:style w:type="paragraph" w:styleId="ListParagraph">
    <w:name w:val="List Paragraph"/>
    <w:basedOn w:val="Normal"/>
    <w:uiPriority w:val="39"/>
    <w:semiHidden/>
    <w:rsid w:val="00C000C6"/>
    <w:pPr>
      <w:ind w:left="720"/>
      <w:contextualSpacing/>
    </w:pPr>
  </w:style>
  <w:style w:type="table" w:customStyle="1" w:styleId="TableAsPlaceholder">
    <w:name w:val="Table As Placeholder"/>
    <w:basedOn w:val="TableNormal"/>
    <w:uiPriority w:val="99"/>
    <w:qFormat/>
    <w:rsid w:val="00CB3850"/>
    <w:pPr>
      <w:spacing w:before="0" w:after="0" w:line="300" w:lineRule="atLeast"/>
    </w:pPr>
    <w:rPr>
      <w:rFonts w:eastAsia="Times New Roman" w:cs="Arial"/>
      <w:color w:val="auto"/>
      <w:lang w:eastAsia="en-AU"/>
    </w:rPr>
    <w:tblPr>
      <w:tblCellMar>
        <w:left w:w="0" w:type="dxa"/>
        <w:right w:w="0" w:type="dxa"/>
      </w:tblCellMar>
    </w:tblPr>
  </w:style>
  <w:style w:type="paragraph" w:customStyle="1" w:styleId="PRRfootnote1">
    <w:name w:val="PRR footnote 1"/>
    <w:basedOn w:val="Normal"/>
    <w:link w:val="PRRfootnote1Char"/>
    <w:qFormat/>
    <w:rsid w:val="00BE69BC"/>
    <w:pPr>
      <w:keepNext/>
      <w:keepLines/>
      <w:spacing w:before="0" w:after="0" w:line="240" w:lineRule="auto"/>
      <w:ind w:left="284" w:hanging="284"/>
    </w:pPr>
    <w:rPr>
      <w:sz w:val="20"/>
      <w:szCs w:val="20"/>
    </w:rPr>
  </w:style>
  <w:style w:type="character" w:customStyle="1" w:styleId="PRRfootnote1Char">
    <w:name w:val="PRR footnote 1 Char"/>
    <w:basedOn w:val="DefaultParagraphFont"/>
    <w:link w:val="PRRfootnote1"/>
    <w:rsid w:val="00BE69BC"/>
    <w:rPr>
      <w:spacing w:val="-1"/>
      <w:sz w:val="20"/>
      <w:szCs w:val="20"/>
    </w:rPr>
  </w:style>
  <w:style w:type="paragraph" w:customStyle="1" w:styleId="PRRfootnote2">
    <w:name w:val="PRR footnote 2"/>
    <w:basedOn w:val="PRRfootnote1"/>
    <w:link w:val="PRRfootnote2Char"/>
    <w:qFormat/>
    <w:rsid w:val="00BE69BC"/>
    <w:pPr>
      <w:spacing w:line="260" w:lineRule="atLeast"/>
    </w:pPr>
    <w:rPr>
      <w:sz w:val="16"/>
      <w:szCs w:val="16"/>
    </w:rPr>
  </w:style>
  <w:style w:type="character" w:customStyle="1" w:styleId="PRRfootnote2Char">
    <w:name w:val="PRR footnote 2 Char"/>
    <w:basedOn w:val="PRRfootnote1Char"/>
    <w:link w:val="PRRfootnote2"/>
    <w:rsid w:val="00BE69BC"/>
    <w:rPr>
      <w:spacing w:val="-1"/>
      <w:sz w:val="16"/>
      <w:szCs w:val="16"/>
    </w:rPr>
  </w:style>
  <w:style w:type="character" w:styleId="UnresolvedMention">
    <w:name w:val="Unresolved Mention"/>
    <w:basedOn w:val="DefaultParagraphFont"/>
    <w:uiPriority w:val="99"/>
    <w:semiHidden/>
    <w:unhideWhenUsed/>
    <w:rsid w:val="00C80AE3"/>
    <w:rPr>
      <w:color w:val="605E5C"/>
      <w:shd w:val="clear" w:color="auto" w:fill="E1DFDD"/>
    </w:rPr>
  </w:style>
  <w:style w:type="character" w:styleId="Mention">
    <w:name w:val="Mention"/>
    <w:basedOn w:val="DefaultParagraphFont"/>
    <w:uiPriority w:val="99"/>
    <w:unhideWhenUsed/>
    <w:rsid w:val="00D424F3"/>
    <w:rPr>
      <w:color w:val="2B579A"/>
      <w:shd w:val="clear" w:color="auto" w:fill="E1DFDD"/>
    </w:rPr>
  </w:style>
  <w:style w:type="character" w:customStyle="1" w:styleId="cf01">
    <w:name w:val="cf01"/>
    <w:basedOn w:val="DefaultParagraphFont"/>
    <w:rsid w:val="00FB7A65"/>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577629">
      <w:bodyDiv w:val="1"/>
      <w:marLeft w:val="0"/>
      <w:marRight w:val="0"/>
      <w:marTop w:val="0"/>
      <w:marBottom w:val="0"/>
      <w:divBdr>
        <w:top w:val="none" w:sz="0" w:space="0" w:color="auto"/>
        <w:left w:val="none" w:sz="0" w:space="0" w:color="auto"/>
        <w:bottom w:val="none" w:sz="0" w:space="0" w:color="auto"/>
        <w:right w:val="none" w:sz="0" w:space="0" w:color="auto"/>
      </w:divBdr>
    </w:div>
    <w:div w:id="230234839">
      <w:bodyDiv w:val="1"/>
      <w:marLeft w:val="0"/>
      <w:marRight w:val="0"/>
      <w:marTop w:val="0"/>
      <w:marBottom w:val="0"/>
      <w:divBdr>
        <w:top w:val="none" w:sz="0" w:space="0" w:color="auto"/>
        <w:left w:val="none" w:sz="0" w:space="0" w:color="auto"/>
        <w:bottom w:val="none" w:sz="0" w:space="0" w:color="auto"/>
        <w:right w:val="none" w:sz="0" w:space="0" w:color="auto"/>
      </w:divBdr>
    </w:div>
    <w:div w:id="473958175">
      <w:bodyDiv w:val="1"/>
      <w:marLeft w:val="0"/>
      <w:marRight w:val="0"/>
      <w:marTop w:val="0"/>
      <w:marBottom w:val="0"/>
      <w:divBdr>
        <w:top w:val="none" w:sz="0" w:space="0" w:color="auto"/>
        <w:left w:val="none" w:sz="0" w:space="0" w:color="auto"/>
        <w:bottom w:val="none" w:sz="0" w:space="0" w:color="auto"/>
        <w:right w:val="none" w:sz="0" w:space="0" w:color="auto"/>
      </w:divBdr>
    </w:div>
    <w:div w:id="1382709790">
      <w:bodyDiv w:val="1"/>
      <w:marLeft w:val="0"/>
      <w:marRight w:val="0"/>
      <w:marTop w:val="0"/>
      <w:marBottom w:val="0"/>
      <w:divBdr>
        <w:top w:val="none" w:sz="0" w:space="0" w:color="auto"/>
        <w:left w:val="none" w:sz="0" w:space="0" w:color="auto"/>
        <w:bottom w:val="none" w:sz="0" w:space="0" w:color="auto"/>
        <w:right w:val="none" w:sz="0" w:space="0" w:color="auto"/>
      </w:divBdr>
    </w:div>
    <w:div w:id="1426538578">
      <w:bodyDiv w:val="1"/>
      <w:marLeft w:val="0"/>
      <w:marRight w:val="0"/>
      <w:marTop w:val="0"/>
      <w:marBottom w:val="0"/>
      <w:divBdr>
        <w:top w:val="none" w:sz="0" w:space="0" w:color="auto"/>
        <w:left w:val="none" w:sz="0" w:space="0" w:color="auto"/>
        <w:bottom w:val="none" w:sz="0" w:space="0" w:color="auto"/>
        <w:right w:val="none" w:sz="0" w:space="0" w:color="auto"/>
      </w:divBdr>
    </w:div>
    <w:div w:id="1854370222">
      <w:bodyDiv w:val="1"/>
      <w:marLeft w:val="0"/>
      <w:marRight w:val="0"/>
      <w:marTop w:val="0"/>
      <w:marBottom w:val="0"/>
      <w:divBdr>
        <w:top w:val="none" w:sz="0" w:space="0" w:color="auto"/>
        <w:left w:val="none" w:sz="0" w:space="0" w:color="auto"/>
        <w:bottom w:val="none" w:sz="0" w:space="0" w:color="auto"/>
        <w:right w:val="none" w:sz="0" w:space="0" w:color="auto"/>
      </w:divBdr>
    </w:div>
    <w:div w:id="2042436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tats.oecd.org/" TargetMode="External"/><Relationship Id="rId21" Type="http://schemas.openxmlformats.org/officeDocument/2006/relationships/hyperlink" Target="https://data.gov.au/data/" TargetMode="External"/><Relationship Id="rId42" Type="http://schemas.openxmlformats.org/officeDocument/2006/relationships/image" Target="media/image6.wmf"/><Relationship Id="rId47" Type="http://schemas.openxmlformats.org/officeDocument/2006/relationships/hyperlink" Target="https://www.oecd-ilibrary.org/employment/data/oecd-employment-and-labour-market-statistics/labour-market-programmes-expenditure-and-participants_data-00312-en" TargetMode="External"/><Relationship Id="rId63" Type="http://schemas.openxmlformats.org/officeDocument/2006/relationships/image" Target="media/image14.wmf"/><Relationship Id="rId68" Type="http://schemas.openxmlformats.org/officeDocument/2006/relationships/footer" Target="footer4.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chart" Target="charts/chart4.xml"/><Relationship Id="rId29" Type="http://schemas.openxmlformats.org/officeDocument/2006/relationships/header" Target="header2.xml"/><Relationship Id="rId11" Type="http://schemas.openxmlformats.org/officeDocument/2006/relationships/endnotes" Target="endnotes.xml"/><Relationship Id="rId24" Type="http://schemas.openxmlformats.org/officeDocument/2006/relationships/hyperlink" Target="https://obpr.pmc.gov.au/published-impact-analyses-and-reports/new-employment-services-model-0" TargetMode="External"/><Relationship Id="rId32" Type="http://schemas.openxmlformats.org/officeDocument/2006/relationships/header" Target="header3.xml"/><Relationship Id="rId37" Type="http://schemas.openxmlformats.org/officeDocument/2006/relationships/package" Target="embeddings/Microsoft_Excel_Worksheet3.xlsx"/><Relationship Id="rId40" Type="http://schemas.openxmlformats.org/officeDocument/2006/relationships/image" Target="media/image5.wmf"/><Relationship Id="rId45" Type="http://schemas.openxmlformats.org/officeDocument/2006/relationships/image" Target="media/image7.wmf"/><Relationship Id="rId53" Type="http://schemas.openxmlformats.org/officeDocument/2006/relationships/hyperlink" Target="https://www.oecd-ilibrary.org/employment/data/oecd-employment-and-labour-market-statistics/labour-market-programmes-expenditure-and-participants_data-00312-en" TargetMode="External"/><Relationship Id="rId58" Type="http://schemas.openxmlformats.org/officeDocument/2006/relationships/package" Target="embeddings/Microsoft_Excel_Worksheet11.xlsx"/><Relationship Id="rId66" Type="http://schemas.openxmlformats.org/officeDocument/2006/relationships/package" Target="embeddings/Microsoft_Excel_Worksheet15.xlsx"/><Relationship Id="rId5" Type="http://schemas.openxmlformats.org/officeDocument/2006/relationships/customXml" Target="../customXml/item5.xml"/><Relationship Id="rId61" Type="http://schemas.openxmlformats.org/officeDocument/2006/relationships/image" Target="media/image13.wmf"/><Relationship Id="rId19" Type="http://schemas.openxmlformats.org/officeDocument/2006/relationships/hyperlink" Target="https://www.abs.gov.au/AUSSTATS/abs@.nsf/mediareleasesbyTopic/7F8C0D328D26E03FCA258567007BDEB1?OpenDocument" TargetMode="External"/><Relationship Id="rId14" Type="http://schemas.openxmlformats.org/officeDocument/2006/relationships/chart" Target="charts/chart3.xml"/><Relationship Id="rId22" Type="http://schemas.openxmlformats.org/officeDocument/2006/relationships/hyperlink" Target="https://archive.budget.gov.au/" TargetMode="External"/><Relationship Id="rId27" Type="http://schemas.openxmlformats.org/officeDocument/2006/relationships/hyperlink" Target="https://www.servicesaustralia.gov.au/jobseeker-payment" TargetMode="External"/><Relationship Id="rId30" Type="http://schemas.openxmlformats.org/officeDocument/2006/relationships/footer" Target="footer1.xml"/><Relationship Id="rId35" Type="http://schemas.openxmlformats.org/officeDocument/2006/relationships/package" Target="embeddings/Microsoft_Excel_Worksheet2.xlsx"/><Relationship Id="rId43" Type="http://schemas.openxmlformats.org/officeDocument/2006/relationships/package" Target="embeddings/Microsoft_Excel_Worksheet6.xlsx"/><Relationship Id="rId48" Type="http://schemas.openxmlformats.org/officeDocument/2006/relationships/image" Target="media/image8.wmf"/><Relationship Id="rId56" Type="http://schemas.openxmlformats.org/officeDocument/2006/relationships/hyperlink" Target="https://www.oecd-ilibrary.org/employment/data/oecd-employment-and-labour-market-statistics/labour-market-programmes-expenditure-and-participants_data-00312-en" TargetMode="External"/><Relationship Id="rId64" Type="http://schemas.openxmlformats.org/officeDocument/2006/relationships/package" Target="embeddings/Microsoft_Excel_Worksheet14.xlsx"/><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9.wmf"/><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hyperlink" Target="https://www.dss.gov.au/sites/default/files/documents/10_2022/2021-22-annual-report.pdf" TargetMode="External"/><Relationship Id="rId33" Type="http://schemas.openxmlformats.org/officeDocument/2006/relationships/footer" Target="footer3.xml"/><Relationship Id="rId38" Type="http://schemas.openxmlformats.org/officeDocument/2006/relationships/image" Target="media/image4.wmf"/><Relationship Id="rId46" Type="http://schemas.openxmlformats.org/officeDocument/2006/relationships/package" Target="embeddings/Microsoft_Excel_Worksheet7.xlsx"/><Relationship Id="rId59" Type="http://schemas.openxmlformats.org/officeDocument/2006/relationships/image" Target="media/image12.wmf"/><Relationship Id="rId67" Type="http://schemas.openxmlformats.org/officeDocument/2006/relationships/header" Target="header4.xml"/><Relationship Id="rId20" Type="http://schemas.openxmlformats.org/officeDocument/2006/relationships/hyperlink" Target="https://data.gov.au/data/" TargetMode="External"/><Relationship Id="rId41" Type="http://schemas.openxmlformats.org/officeDocument/2006/relationships/package" Target="embeddings/Microsoft_Excel_Worksheet5.xlsx"/><Relationship Id="rId54" Type="http://schemas.openxmlformats.org/officeDocument/2006/relationships/image" Target="media/image10.wmf"/><Relationship Id="rId62" Type="http://schemas.openxmlformats.org/officeDocument/2006/relationships/package" Target="embeddings/Microsoft_Excel_Worksheet13.xlsx"/><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aph.gov.au/About_Parliament/Parliamentary_departments/Parliamentary_Budget_Office/Publications/Research_reports/JobSeeker_Payment" TargetMode="External"/><Relationship Id="rId23" Type="http://schemas.openxmlformats.org/officeDocument/2006/relationships/hyperlink" Target="https://archive.budget.gov.au/2021-22/bp2/download/bp2_2021-22.pdf" TargetMode="External"/><Relationship Id="rId28" Type="http://schemas.openxmlformats.org/officeDocument/2006/relationships/header" Target="header1.xml"/><Relationship Id="rId36" Type="http://schemas.openxmlformats.org/officeDocument/2006/relationships/image" Target="media/image3.wmf"/><Relationship Id="rId49" Type="http://schemas.openxmlformats.org/officeDocument/2006/relationships/package" Target="embeddings/Microsoft_Excel_Worksheet8.xlsx"/><Relationship Id="rId57" Type="http://schemas.openxmlformats.org/officeDocument/2006/relationships/image" Target="media/image11.wmf"/><Relationship Id="rId10" Type="http://schemas.openxmlformats.org/officeDocument/2006/relationships/footnotes" Target="footnotes.xml"/><Relationship Id="rId31" Type="http://schemas.openxmlformats.org/officeDocument/2006/relationships/footer" Target="footer2.xml"/><Relationship Id="rId44" Type="http://schemas.openxmlformats.org/officeDocument/2006/relationships/hyperlink" Target="https://www.oecd-ilibrary.org/employment/data/oecd-employment-and-labour-market-statistics/labour-market-programmes-expenditure-and-participants_data-00312-en" TargetMode="External"/><Relationship Id="rId52" Type="http://schemas.openxmlformats.org/officeDocument/2006/relationships/package" Target="embeddings/Microsoft_Excel_Worksheet9.xlsx"/><Relationship Id="rId60" Type="http://schemas.openxmlformats.org/officeDocument/2006/relationships/package" Target="embeddings/Microsoft_Excel_Worksheet12.xlsx"/><Relationship Id="rId65" Type="http://schemas.openxmlformats.org/officeDocument/2006/relationships/image" Target="media/image15.w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chart" Target="charts/chart2.xml"/><Relationship Id="rId18" Type="http://schemas.openxmlformats.org/officeDocument/2006/relationships/chart" Target="charts/chart6.xml"/><Relationship Id="rId39" Type="http://schemas.openxmlformats.org/officeDocument/2006/relationships/package" Target="embeddings/Microsoft_Excel_Worksheet4.xlsx"/><Relationship Id="rId34" Type="http://schemas.openxmlformats.org/officeDocument/2006/relationships/image" Target="media/image2.wmf"/><Relationship Id="rId50" Type="http://schemas.openxmlformats.org/officeDocument/2006/relationships/hyperlink" Target="https://www.oecd-ilibrary.org/employment/data/oecd-employment-and-labour-market-statistics/labour-market-programmes-expenditure-and-participants_data-00312-en" TargetMode="External"/><Relationship Id="rId55" Type="http://schemas.openxmlformats.org/officeDocument/2006/relationships/package" Target="embeddings/Microsoft_Excel_Worksheet10.xlsx"/></Relationships>
</file>

<file path=word/_rels/footnotes.xml.rels><?xml version="1.0" encoding="UTF-8" standalone="yes"?>
<Relationships xmlns="http://schemas.openxmlformats.org/package/2006/relationships"><Relationship Id="rId2" Type="http://schemas.openxmlformats.org/officeDocument/2006/relationships/hyperlink" Target="https://www.servicesaustralia.gov.au/jobseeker-payment" TargetMode="External"/><Relationship Id="rId1" Type="http://schemas.openxmlformats.org/officeDocument/2006/relationships/hyperlink" Target="https://archive.budget.gov.au/2021-22/bp2/download/bp2_2021-22.pdf"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https://pboprotected.sharepoint.com/Office%20Templates/1%20PR%20%20IR/PRR%20-%20RBA.dotm"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https://pboprotected.sharepoint.com/sites/PRQHub/47th%20Parliament/PR-2022-068-Expenditure%20on%20employment%20services/PR-2022-068-Expenditure%20on%20employment%20services%20-%20C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embeddings/oleObject1.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1.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embeddings/oleObject2.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embeddings/oleObject3.bin"/><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471469089033901E-2"/>
          <c:y val="9.2691018297175617E-2"/>
          <c:w val="0.8570570618219322"/>
          <c:h val="0.78479495153981471"/>
        </c:manualLayout>
      </c:layout>
      <c:lineChart>
        <c:grouping val="standard"/>
        <c:varyColors val="0"/>
        <c:ser>
          <c:idx val="0"/>
          <c:order val="0"/>
          <c:tx>
            <c:strRef>
              <c:f>'Figure 1'!$A$15</c:f>
              <c:strCache>
                <c:ptCount val="1"/>
                <c:pt idx="0">
                  <c:v>Australia</c:v>
                </c:pt>
              </c:strCache>
            </c:strRef>
          </c:tx>
          <c:spPr>
            <a:ln w="38100" cap="rnd">
              <a:solidFill>
                <a:schemeClr val="accent4"/>
              </a:solidFill>
              <a:round/>
            </a:ln>
            <a:effectLst/>
          </c:spPr>
          <c:marker>
            <c:symbol val="none"/>
          </c:marker>
          <c:cat>
            <c:numRef>
              <c:f>'Figure 1'!$B$14:$R$14</c:f>
              <c:numCache>
                <c:formatCode>General</c:formatCode>
                <c:ptCount val="17"/>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numCache>
            </c:numRef>
          </c:cat>
          <c:val>
            <c:numRef>
              <c:f>'Figure 1'!$B$15:$R$15</c:f>
              <c:numCache>
                <c:formatCode>General</c:formatCode>
                <c:ptCount val="17"/>
                <c:pt idx="0">
                  <c:v>0.38</c:v>
                </c:pt>
                <c:pt idx="1">
                  <c:v>0.37</c:v>
                </c:pt>
                <c:pt idx="2">
                  <c:v>0.33</c:v>
                </c:pt>
                <c:pt idx="3">
                  <c:v>0.3</c:v>
                </c:pt>
                <c:pt idx="4">
                  <c:v>0.31</c:v>
                </c:pt>
                <c:pt idx="5">
                  <c:v>0.35</c:v>
                </c:pt>
                <c:pt idx="6">
                  <c:v>0.33</c:v>
                </c:pt>
                <c:pt idx="7">
                  <c:v>0.31</c:v>
                </c:pt>
                <c:pt idx="8">
                  <c:v>0.26</c:v>
                </c:pt>
                <c:pt idx="9">
                  <c:v>0.24</c:v>
                </c:pt>
                <c:pt idx="10">
                  <c:v>0.25</c:v>
                </c:pt>
                <c:pt idx="11">
                  <c:v>0.23</c:v>
                </c:pt>
                <c:pt idx="12">
                  <c:v>0.24</c:v>
                </c:pt>
                <c:pt idx="13">
                  <c:v>0.24</c:v>
                </c:pt>
                <c:pt idx="14">
                  <c:v>0.23</c:v>
                </c:pt>
                <c:pt idx="15">
                  <c:v>0.25</c:v>
                </c:pt>
                <c:pt idx="16">
                  <c:v>0.3</c:v>
                </c:pt>
              </c:numCache>
            </c:numRef>
          </c:val>
          <c:smooth val="0"/>
          <c:extLst>
            <c:ext xmlns:c16="http://schemas.microsoft.com/office/drawing/2014/chart" uri="{C3380CC4-5D6E-409C-BE32-E72D297353CC}">
              <c16:uniqueId val="{00000000-5651-4554-8A77-4A9997151568}"/>
            </c:ext>
          </c:extLst>
        </c:ser>
        <c:ser>
          <c:idx val="1"/>
          <c:order val="1"/>
          <c:tx>
            <c:strRef>
              <c:f>'Figure 1'!$A$16</c:f>
              <c:strCache>
                <c:ptCount val="1"/>
                <c:pt idx="0">
                  <c:v>Canada</c:v>
                </c:pt>
              </c:strCache>
            </c:strRef>
          </c:tx>
          <c:spPr>
            <a:ln w="25400" cap="rnd">
              <a:solidFill>
                <a:schemeClr val="accent1"/>
              </a:solidFill>
              <a:prstDash val="dash"/>
              <a:round/>
            </a:ln>
            <a:effectLst/>
          </c:spPr>
          <c:marker>
            <c:symbol val="none"/>
          </c:marker>
          <c:cat>
            <c:numRef>
              <c:f>'Figure 1'!$B$14:$R$14</c:f>
              <c:numCache>
                <c:formatCode>General</c:formatCode>
                <c:ptCount val="17"/>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numCache>
            </c:numRef>
          </c:cat>
          <c:val>
            <c:numRef>
              <c:f>'Figure 1'!$B$16:$R$16</c:f>
              <c:numCache>
                <c:formatCode>General</c:formatCode>
                <c:ptCount val="17"/>
                <c:pt idx="0">
                  <c:v>0.34</c:v>
                </c:pt>
                <c:pt idx="1">
                  <c:v>0.31</c:v>
                </c:pt>
                <c:pt idx="2">
                  <c:v>0.3</c:v>
                </c:pt>
                <c:pt idx="3">
                  <c:v>0.28000000000000003</c:v>
                </c:pt>
                <c:pt idx="4">
                  <c:v>0.28000000000000003</c:v>
                </c:pt>
                <c:pt idx="5">
                  <c:v>0.34</c:v>
                </c:pt>
                <c:pt idx="6">
                  <c:v>0.33</c:v>
                </c:pt>
                <c:pt idx="7">
                  <c:v>0.26</c:v>
                </c:pt>
                <c:pt idx="8">
                  <c:v>0.24</c:v>
                </c:pt>
                <c:pt idx="9">
                  <c:v>0.23</c:v>
                </c:pt>
                <c:pt idx="10">
                  <c:v>0.22</c:v>
                </c:pt>
                <c:pt idx="11">
                  <c:v>0.24</c:v>
                </c:pt>
                <c:pt idx="12">
                  <c:v>0.25</c:v>
                </c:pt>
                <c:pt idx="13">
                  <c:v>0.22</c:v>
                </c:pt>
                <c:pt idx="14">
                  <c:v>0.21</c:v>
                </c:pt>
                <c:pt idx="15">
                  <c:v>0.21</c:v>
                </c:pt>
                <c:pt idx="16">
                  <c:v>0.24</c:v>
                </c:pt>
              </c:numCache>
            </c:numRef>
          </c:val>
          <c:smooth val="0"/>
          <c:extLst>
            <c:ext xmlns:c16="http://schemas.microsoft.com/office/drawing/2014/chart" uri="{C3380CC4-5D6E-409C-BE32-E72D297353CC}">
              <c16:uniqueId val="{00000001-5651-4554-8A77-4A9997151568}"/>
            </c:ext>
          </c:extLst>
        </c:ser>
        <c:ser>
          <c:idx val="2"/>
          <c:order val="2"/>
          <c:tx>
            <c:strRef>
              <c:f>'Figure 1'!$A$17</c:f>
              <c:strCache>
                <c:ptCount val="1"/>
                <c:pt idx="0">
                  <c:v>Germany</c:v>
                </c:pt>
              </c:strCache>
            </c:strRef>
          </c:tx>
          <c:spPr>
            <a:ln w="19050" cap="rnd">
              <a:solidFill>
                <a:schemeClr val="accent3"/>
              </a:solidFill>
              <a:round/>
            </a:ln>
            <a:effectLst/>
          </c:spPr>
          <c:marker>
            <c:symbol val="none"/>
          </c:marker>
          <c:cat>
            <c:numRef>
              <c:f>'Figure 1'!$B$14:$R$14</c:f>
              <c:numCache>
                <c:formatCode>General</c:formatCode>
                <c:ptCount val="17"/>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numCache>
            </c:numRef>
          </c:cat>
          <c:val>
            <c:numRef>
              <c:f>'Figure 1'!$B$17:$R$17</c:f>
              <c:numCache>
                <c:formatCode>General</c:formatCode>
                <c:ptCount val="17"/>
                <c:pt idx="0">
                  <c:v>1.1299999999999999</c:v>
                </c:pt>
                <c:pt idx="1">
                  <c:v>1.1200000000000001</c:v>
                </c:pt>
                <c:pt idx="2">
                  <c:v>0.94</c:v>
                </c:pt>
                <c:pt idx="3">
                  <c:v>0.85</c:v>
                </c:pt>
                <c:pt idx="4">
                  <c:v>0.88</c:v>
                </c:pt>
                <c:pt idx="5">
                  <c:v>1</c:v>
                </c:pt>
                <c:pt idx="6">
                  <c:v>0.9</c:v>
                </c:pt>
                <c:pt idx="7">
                  <c:v>0.77</c:v>
                </c:pt>
                <c:pt idx="8">
                  <c:v>0.68</c:v>
                </c:pt>
                <c:pt idx="9">
                  <c:v>0.64</c:v>
                </c:pt>
                <c:pt idx="10">
                  <c:v>0.65</c:v>
                </c:pt>
                <c:pt idx="11">
                  <c:v>0.64</c:v>
                </c:pt>
                <c:pt idx="12">
                  <c:v>0.63</c:v>
                </c:pt>
                <c:pt idx="13">
                  <c:v>0.66</c:v>
                </c:pt>
                <c:pt idx="14">
                  <c:v>0.68</c:v>
                </c:pt>
                <c:pt idx="15">
                  <c:v>0.59</c:v>
                </c:pt>
                <c:pt idx="16">
                  <c:v>0.61</c:v>
                </c:pt>
              </c:numCache>
            </c:numRef>
          </c:val>
          <c:smooth val="0"/>
          <c:extLst>
            <c:ext xmlns:c16="http://schemas.microsoft.com/office/drawing/2014/chart" uri="{C3380CC4-5D6E-409C-BE32-E72D297353CC}">
              <c16:uniqueId val="{00000002-5651-4554-8A77-4A9997151568}"/>
            </c:ext>
          </c:extLst>
        </c:ser>
        <c:ser>
          <c:idx val="3"/>
          <c:order val="3"/>
          <c:tx>
            <c:strRef>
              <c:f>'Figure 1'!$A$18</c:f>
              <c:strCache>
                <c:ptCount val="1"/>
                <c:pt idx="0">
                  <c:v>Japan</c:v>
                </c:pt>
              </c:strCache>
            </c:strRef>
          </c:tx>
          <c:spPr>
            <a:ln w="19050" cap="rnd">
              <a:solidFill>
                <a:schemeClr val="accent4"/>
              </a:solidFill>
              <a:round/>
            </a:ln>
            <a:effectLst/>
          </c:spPr>
          <c:marker>
            <c:symbol val="none"/>
          </c:marker>
          <c:cat>
            <c:numRef>
              <c:f>'Figure 1'!$B$14:$R$14</c:f>
              <c:numCache>
                <c:formatCode>General</c:formatCode>
                <c:ptCount val="17"/>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numCache>
            </c:numRef>
          </c:cat>
          <c:val>
            <c:numRef>
              <c:f>'Figure 1'!$B$18:$R$18</c:f>
              <c:numCache>
                <c:formatCode>General</c:formatCode>
                <c:ptCount val="17"/>
                <c:pt idx="0">
                  <c:v>0.09</c:v>
                </c:pt>
                <c:pt idx="1">
                  <c:v>0.1</c:v>
                </c:pt>
                <c:pt idx="2">
                  <c:v>0.1</c:v>
                </c:pt>
                <c:pt idx="3">
                  <c:v>0.09</c:v>
                </c:pt>
                <c:pt idx="4">
                  <c:v>0.08</c:v>
                </c:pt>
                <c:pt idx="5">
                  <c:v>0.13</c:v>
                </c:pt>
                <c:pt idx="6">
                  <c:v>0.18</c:v>
                </c:pt>
                <c:pt idx="7">
                  <c:v>0.22</c:v>
                </c:pt>
                <c:pt idx="8">
                  <c:v>0.13</c:v>
                </c:pt>
                <c:pt idx="9">
                  <c:v>0.13</c:v>
                </c:pt>
                <c:pt idx="10">
                  <c:v>0.12</c:v>
                </c:pt>
                <c:pt idx="11">
                  <c:v>0.12</c:v>
                </c:pt>
                <c:pt idx="12">
                  <c:v>0.11</c:v>
                </c:pt>
                <c:pt idx="13">
                  <c:v>0.12</c:v>
                </c:pt>
                <c:pt idx="14">
                  <c:v>0.12</c:v>
                </c:pt>
                <c:pt idx="15">
                  <c:v>0.12</c:v>
                </c:pt>
                <c:pt idx="16">
                  <c:v>0.12</c:v>
                </c:pt>
              </c:numCache>
            </c:numRef>
          </c:val>
          <c:smooth val="0"/>
          <c:extLst>
            <c:ext xmlns:c16="http://schemas.microsoft.com/office/drawing/2014/chart" uri="{C3380CC4-5D6E-409C-BE32-E72D297353CC}">
              <c16:uniqueId val="{00000003-5651-4554-8A77-4A9997151568}"/>
            </c:ext>
          </c:extLst>
        </c:ser>
        <c:ser>
          <c:idx val="4"/>
          <c:order val="4"/>
          <c:tx>
            <c:strRef>
              <c:f>'Figure 1'!$A$19</c:f>
              <c:strCache>
                <c:ptCount val="1"/>
                <c:pt idx="0">
                  <c:v>Korea</c:v>
                </c:pt>
              </c:strCache>
            </c:strRef>
          </c:tx>
          <c:spPr>
            <a:ln w="25400" cap="rnd">
              <a:solidFill>
                <a:schemeClr val="tx2"/>
              </a:solidFill>
              <a:prstDash val="sysDot"/>
              <a:round/>
            </a:ln>
            <a:effectLst/>
          </c:spPr>
          <c:marker>
            <c:symbol val="none"/>
          </c:marker>
          <c:cat>
            <c:numRef>
              <c:f>'Figure 1'!$B$14:$R$14</c:f>
              <c:numCache>
                <c:formatCode>General</c:formatCode>
                <c:ptCount val="17"/>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numCache>
            </c:numRef>
          </c:cat>
          <c:val>
            <c:numRef>
              <c:f>'Figure 1'!$B$19:$R$19</c:f>
              <c:numCache>
                <c:formatCode>General</c:formatCode>
                <c:ptCount val="17"/>
                <c:pt idx="4">
                  <c:v>0.25</c:v>
                </c:pt>
                <c:pt idx="5">
                  <c:v>0.38</c:v>
                </c:pt>
                <c:pt idx="6">
                  <c:v>0.28000000000000003</c:v>
                </c:pt>
                <c:pt idx="7">
                  <c:v>0.22</c:v>
                </c:pt>
                <c:pt idx="8">
                  <c:v>0.3</c:v>
                </c:pt>
                <c:pt idx="9">
                  <c:v>0.34</c:v>
                </c:pt>
                <c:pt idx="10">
                  <c:v>0.33</c:v>
                </c:pt>
                <c:pt idx="11">
                  <c:v>0.32</c:v>
                </c:pt>
                <c:pt idx="12">
                  <c:v>0.34</c:v>
                </c:pt>
                <c:pt idx="13">
                  <c:v>0.28999999999999998</c:v>
                </c:pt>
                <c:pt idx="14">
                  <c:v>0.35</c:v>
                </c:pt>
                <c:pt idx="15">
                  <c:v>0.36</c:v>
                </c:pt>
              </c:numCache>
            </c:numRef>
          </c:val>
          <c:smooth val="0"/>
          <c:extLst>
            <c:ext xmlns:c16="http://schemas.microsoft.com/office/drawing/2014/chart" uri="{C3380CC4-5D6E-409C-BE32-E72D297353CC}">
              <c16:uniqueId val="{00000004-5651-4554-8A77-4A9997151568}"/>
            </c:ext>
          </c:extLst>
        </c:ser>
        <c:ser>
          <c:idx val="5"/>
          <c:order val="5"/>
          <c:tx>
            <c:strRef>
              <c:f>'Figure 1'!$A$20</c:f>
              <c:strCache>
                <c:ptCount val="1"/>
                <c:pt idx="0">
                  <c:v>Netherlands</c:v>
                </c:pt>
              </c:strCache>
            </c:strRef>
          </c:tx>
          <c:spPr>
            <a:ln w="19050" cap="rnd">
              <a:solidFill>
                <a:schemeClr val="accent6"/>
              </a:solidFill>
              <a:round/>
            </a:ln>
            <a:effectLst/>
          </c:spPr>
          <c:marker>
            <c:symbol val="none"/>
          </c:marker>
          <c:cat>
            <c:numRef>
              <c:f>'Figure 1'!$B$14:$R$14</c:f>
              <c:numCache>
                <c:formatCode>General</c:formatCode>
                <c:ptCount val="17"/>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numCache>
            </c:numRef>
          </c:cat>
          <c:val>
            <c:numRef>
              <c:f>'Figure 1'!$B$20:$R$20</c:f>
              <c:numCache>
                <c:formatCode>General</c:formatCode>
                <c:ptCount val="17"/>
                <c:pt idx="0">
                  <c:v>1.24</c:v>
                </c:pt>
                <c:pt idx="1">
                  <c:v>1.1599999999999999</c:v>
                </c:pt>
                <c:pt idx="2">
                  <c:v>1.07</c:v>
                </c:pt>
                <c:pt idx="3">
                  <c:v>0.98</c:v>
                </c:pt>
                <c:pt idx="4">
                  <c:v>0.94</c:v>
                </c:pt>
                <c:pt idx="5">
                  <c:v>1.0900000000000001</c:v>
                </c:pt>
                <c:pt idx="6">
                  <c:v>1.0900000000000001</c:v>
                </c:pt>
                <c:pt idx="7">
                  <c:v>1.01</c:v>
                </c:pt>
                <c:pt idx="8">
                  <c:v>0.87</c:v>
                </c:pt>
                <c:pt idx="9">
                  <c:v>0.82</c:v>
                </c:pt>
                <c:pt idx="10">
                  <c:v>0.82</c:v>
                </c:pt>
                <c:pt idx="11">
                  <c:v>0.76</c:v>
                </c:pt>
                <c:pt idx="12">
                  <c:v>0.71</c:v>
                </c:pt>
                <c:pt idx="13">
                  <c:v>0.64</c:v>
                </c:pt>
                <c:pt idx="14">
                  <c:v>0.59</c:v>
                </c:pt>
                <c:pt idx="15">
                  <c:v>0.56000000000000005</c:v>
                </c:pt>
                <c:pt idx="16">
                  <c:v>0.55000000000000004</c:v>
                </c:pt>
              </c:numCache>
            </c:numRef>
          </c:val>
          <c:smooth val="0"/>
          <c:extLst>
            <c:ext xmlns:c16="http://schemas.microsoft.com/office/drawing/2014/chart" uri="{C3380CC4-5D6E-409C-BE32-E72D297353CC}">
              <c16:uniqueId val="{00000005-5651-4554-8A77-4A9997151568}"/>
            </c:ext>
          </c:extLst>
        </c:ser>
        <c:ser>
          <c:idx val="6"/>
          <c:order val="6"/>
          <c:tx>
            <c:strRef>
              <c:f>'Figure 1'!$A$21</c:f>
              <c:strCache>
                <c:ptCount val="1"/>
                <c:pt idx="0">
                  <c:v>United Kingdom</c:v>
                </c:pt>
              </c:strCache>
            </c:strRef>
          </c:tx>
          <c:spPr>
            <a:ln w="19050" cap="rnd">
              <a:solidFill>
                <a:schemeClr val="accent1">
                  <a:lumMod val="60000"/>
                </a:schemeClr>
              </a:solidFill>
              <a:prstDash val="sysDot"/>
              <a:round/>
            </a:ln>
            <a:effectLst/>
          </c:spPr>
          <c:marker>
            <c:symbol val="none"/>
          </c:marker>
          <c:cat>
            <c:numRef>
              <c:f>'Figure 1'!$B$14:$R$14</c:f>
              <c:numCache>
                <c:formatCode>General</c:formatCode>
                <c:ptCount val="17"/>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numCache>
            </c:numRef>
          </c:cat>
          <c:val>
            <c:numRef>
              <c:f>'Figure 1'!$B$21:$R$21</c:f>
              <c:numCache>
                <c:formatCode>General</c:formatCode>
                <c:ptCount val="17"/>
                <c:pt idx="0">
                  <c:v>0.41</c:v>
                </c:pt>
                <c:pt idx="1">
                  <c:v>0.38</c:v>
                </c:pt>
                <c:pt idx="2">
                  <c:v>0.28999999999999998</c:v>
                </c:pt>
                <c:pt idx="3">
                  <c:v>0.28999999999999998</c:v>
                </c:pt>
                <c:pt idx="4">
                  <c:v>0.31</c:v>
                </c:pt>
                <c:pt idx="5">
                  <c:v>0.39</c:v>
                </c:pt>
                <c:pt idx="6">
                  <c:v>0.37</c:v>
                </c:pt>
                <c:pt idx="7">
                  <c:v>0.22</c:v>
                </c:pt>
              </c:numCache>
            </c:numRef>
          </c:val>
          <c:smooth val="0"/>
          <c:extLst>
            <c:ext xmlns:c16="http://schemas.microsoft.com/office/drawing/2014/chart" uri="{C3380CC4-5D6E-409C-BE32-E72D297353CC}">
              <c16:uniqueId val="{00000006-5651-4554-8A77-4A9997151568}"/>
            </c:ext>
          </c:extLst>
        </c:ser>
        <c:ser>
          <c:idx val="7"/>
          <c:order val="7"/>
          <c:tx>
            <c:strRef>
              <c:f>'Figure 1'!$A$22</c:f>
              <c:strCache>
                <c:ptCount val="1"/>
                <c:pt idx="0">
                  <c:v>United States</c:v>
                </c:pt>
              </c:strCache>
            </c:strRef>
          </c:tx>
          <c:spPr>
            <a:ln w="25400" cap="rnd">
              <a:solidFill>
                <a:schemeClr val="tx2"/>
              </a:solidFill>
              <a:prstDash val="sysDash"/>
              <a:round/>
            </a:ln>
            <a:effectLst/>
          </c:spPr>
          <c:marker>
            <c:symbol val="none"/>
          </c:marker>
          <c:cat>
            <c:numRef>
              <c:f>'Figure 1'!$B$14:$R$14</c:f>
              <c:numCache>
                <c:formatCode>General</c:formatCode>
                <c:ptCount val="17"/>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numCache>
            </c:numRef>
          </c:cat>
          <c:val>
            <c:numRef>
              <c:f>'Figure 1'!$B$22:$R$22</c:f>
              <c:numCache>
                <c:formatCode>General</c:formatCode>
                <c:ptCount val="17"/>
                <c:pt idx="0">
                  <c:v>0.13</c:v>
                </c:pt>
                <c:pt idx="1">
                  <c:v>0.13</c:v>
                </c:pt>
                <c:pt idx="2">
                  <c:v>0.13</c:v>
                </c:pt>
                <c:pt idx="3">
                  <c:v>0.12</c:v>
                </c:pt>
                <c:pt idx="4">
                  <c:v>0.17</c:v>
                </c:pt>
                <c:pt idx="5">
                  <c:v>0.16</c:v>
                </c:pt>
                <c:pt idx="6">
                  <c:v>0.14000000000000001</c:v>
                </c:pt>
                <c:pt idx="7">
                  <c:v>0.13</c:v>
                </c:pt>
                <c:pt idx="8">
                  <c:v>0.12</c:v>
                </c:pt>
                <c:pt idx="9">
                  <c:v>0.11</c:v>
                </c:pt>
                <c:pt idx="10">
                  <c:v>0.1</c:v>
                </c:pt>
                <c:pt idx="11">
                  <c:v>0.1</c:v>
                </c:pt>
                <c:pt idx="12">
                  <c:v>0.11</c:v>
                </c:pt>
                <c:pt idx="13">
                  <c:v>0.1</c:v>
                </c:pt>
                <c:pt idx="14">
                  <c:v>0.1</c:v>
                </c:pt>
                <c:pt idx="15">
                  <c:v>0.11</c:v>
                </c:pt>
                <c:pt idx="16">
                  <c:v>0.15</c:v>
                </c:pt>
              </c:numCache>
            </c:numRef>
          </c:val>
          <c:smooth val="0"/>
          <c:extLst>
            <c:ext xmlns:c16="http://schemas.microsoft.com/office/drawing/2014/chart" uri="{C3380CC4-5D6E-409C-BE32-E72D297353CC}">
              <c16:uniqueId val="{00000007-5651-4554-8A77-4A9997151568}"/>
            </c:ext>
          </c:extLst>
        </c:ser>
        <c:ser>
          <c:idx val="8"/>
          <c:order val="8"/>
          <c:tx>
            <c:strRef>
              <c:f>'Figure 1'!$A$23</c:f>
              <c:strCache>
                <c:ptCount val="1"/>
                <c:pt idx="0">
                  <c:v>OECD average</c:v>
                </c:pt>
              </c:strCache>
            </c:strRef>
          </c:tx>
          <c:spPr>
            <a:ln w="38100" cap="rnd">
              <a:solidFill>
                <a:schemeClr val="tx2"/>
              </a:solidFill>
              <a:round/>
            </a:ln>
            <a:effectLst/>
          </c:spPr>
          <c:marker>
            <c:symbol val="none"/>
          </c:marker>
          <c:cat>
            <c:numRef>
              <c:f>'Figure 1'!$B$14:$R$14</c:f>
              <c:numCache>
                <c:formatCode>General</c:formatCode>
                <c:ptCount val="17"/>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numCache>
            </c:numRef>
          </c:cat>
          <c:val>
            <c:numRef>
              <c:f>'Figure 1'!$B$23:$R$23</c:f>
              <c:numCache>
                <c:formatCode>General</c:formatCode>
                <c:ptCount val="17"/>
                <c:pt idx="0">
                  <c:v>0.53</c:v>
                </c:pt>
                <c:pt idx="1">
                  <c:v>0.52</c:v>
                </c:pt>
                <c:pt idx="2">
                  <c:v>0.5</c:v>
                </c:pt>
                <c:pt idx="3">
                  <c:v>0.46</c:v>
                </c:pt>
                <c:pt idx="4">
                  <c:v>0.44</c:v>
                </c:pt>
                <c:pt idx="5">
                  <c:v>0.53</c:v>
                </c:pt>
                <c:pt idx="6">
                  <c:v>0.56999999999999995</c:v>
                </c:pt>
                <c:pt idx="7">
                  <c:v>0.52</c:v>
                </c:pt>
                <c:pt idx="8">
                  <c:v>0.51</c:v>
                </c:pt>
                <c:pt idx="9">
                  <c:v>0.51</c:v>
                </c:pt>
                <c:pt idx="10">
                  <c:v>0.52</c:v>
                </c:pt>
                <c:pt idx="11">
                  <c:v>0.51</c:v>
                </c:pt>
                <c:pt idx="12">
                  <c:v>0.52</c:v>
                </c:pt>
                <c:pt idx="13">
                  <c:v>0.5</c:v>
                </c:pt>
                <c:pt idx="14">
                  <c:v>0.47</c:v>
                </c:pt>
                <c:pt idx="15">
                  <c:v>0.45</c:v>
                </c:pt>
              </c:numCache>
            </c:numRef>
          </c:val>
          <c:smooth val="0"/>
          <c:extLst>
            <c:ext xmlns:c16="http://schemas.microsoft.com/office/drawing/2014/chart" uri="{C3380CC4-5D6E-409C-BE32-E72D297353CC}">
              <c16:uniqueId val="{00000008-5651-4554-8A77-4A9997151568}"/>
            </c:ext>
          </c:extLst>
        </c:ser>
        <c:dLbls>
          <c:showLegendKey val="0"/>
          <c:showVal val="0"/>
          <c:showCatName val="0"/>
          <c:showSerName val="0"/>
          <c:showPercent val="0"/>
          <c:showBubbleSize val="0"/>
        </c:dLbls>
        <c:marker val="1"/>
        <c:smooth val="0"/>
        <c:axId val="570897456"/>
        <c:axId val="570907856"/>
      </c:lineChart>
      <c:lineChart>
        <c:grouping val="standard"/>
        <c:varyColors val="0"/>
        <c:ser>
          <c:idx val="9"/>
          <c:order val="9"/>
          <c:tx>
            <c:v>dummy</c:v>
          </c:tx>
          <c:spPr>
            <a:ln w="28575" cap="rnd">
              <a:solidFill>
                <a:schemeClr val="accent4">
                  <a:lumMod val="60000"/>
                </a:schemeClr>
              </a:solidFill>
              <a:round/>
            </a:ln>
            <a:effectLst/>
          </c:spPr>
          <c:marker>
            <c:symbol val="none"/>
          </c:marker>
          <c:val>
            <c:numLit>
              <c:formatCode>General</c:formatCode>
              <c:ptCount val="1"/>
              <c:pt idx="0">
                <c:v>0</c:v>
              </c:pt>
            </c:numLit>
          </c:val>
          <c:smooth val="0"/>
          <c:extLst>
            <c:ext xmlns:c16="http://schemas.microsoft.com/office/drawing/2014/chart" uri="{C3380CC4-5D6E-409C-BE32-E72D297353CC}">
              <c16:uniqueId val="{00000009-5651-4554-8A77-4A9997151568}"/>
            </c:ext>
          </c:extLst>
        </c:ser>
        <c:dLbls>
          <c:showLegendKey val="0"/>
          <c:showVal val="0"/>
          <c:showCatName val="0"/>
          <c:showSerName val="0"/>
          <c:showPercent val="0"/>
          <c:showBubbleSize val="0"/>
        </c:dLbls>
        <c:marker val="1"/>
        <c:smooth val="0"/>
        <c:axId val="1288462384"/>
        <c:axId val="1288451984"/>
      </c:lineChart>
      <c:catAx>
        <c:axId val="570897456"/>
        <c:scaling>
          <c:orientation val="minMax"/>
        </c:scaling>
        <c:delete val="0"/>
        <c:axPos val="b"/>
        <c:numFmt formatCode="General" sourceLinked="1"/>
        <c:majorTickMark val="in"/>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570907856"/>
        <c:crosses val="autoZero"/>
        <c:auto val="1"/>
        <c:lblAlgn val="ctr"/>
        <c:lblOffset val="100"/>
        <c:tickLblSkip val="2"/>
        <c:tickMarkSkip val="2"/>
        <c:noMultiLvlLbl val="0"/>
      </c:catAx>
      <c:valAx>
        <c:axId val="570907856"/>
        <c:scaling>
          <c:orientation val="minMax"/>
        </c:scaling>
        <c:delete val="0"/>
        <c:axPos val="l"/>
        <c:numFmt formatCode="#,##0.0" sourceLinked="0"/>
        <c:majorTickMark val="in"/>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570897456"/>
        <c:crosses val="autoZero"/>
        <c:crossBetween val="midCat"/>
      </c:valAx>
      <c:valAx>
        <c:axId val="1288451984"/>
        <c:scaling>
          <c:orientation val="minMax"/>
          <c:max val="1.4"/>
        </c:scaling>
        <c:delete val="0"/>
        <c:axPos val="r"/>
        <c:numFmt formatCode="#,##0.0" sourceLinked="0"/>
        <c:majorTickMark val="in"/>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288462384"/>
        <c:crosses val="max"/>
        <c:crossBetween val="between"/>
      </c:valAx>
      <c:catAx>
        <c:axId val="1288462384"/>
        <c:scaling>
          <c:orientation val="minMax"/>
        </c:scaling>
        <c:delete val="1"/>
        <c:axPos val="b"/>
        <c:majorTickMark val="out"/>
        <c:minorTickMark val="none"/>
        <c:tickLblPos val="nextTo"/>
        <c:crossAx val="1288451984"/>
        <c:crosses val="autoZero"/>
        <c:auto val="1"/>
        <c:lblAlgn val="ctr"/>
        <c:lblOffset val="100"/>
        <c:noMultiLvlLbl val="0"/>
      </c:catAx>
      <c:spPr>
        <a:noFill/>
        <a:ln>
          <a:noFill/>
        </a:ln>
        <a:effectLst/>
      </c:spPr>
    </c:plotArea>
    <c:legend>
      <c:legendPos val="t"/>
      <c:legendEntry>
        <c:idx val="9"/>
        <c:delete val="1"/>
      </c:legendEntry>
      <c:layout>
        <c:manualLayout>
          <c:xMode val="edge"/>
          <c:yMode val="edge"/>
          <c:x val="0.18312223566512625"/>
          <c:y val="6.4128270005264068E-2"/>
          <c:w val="0.68665225411055342"/>
          <c:h val="0.18236666137874938"/>
        </c:manualLayout>
      </c:layout>
      <c:overlay val="1"/>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861798131656718E-2"/>
          <c:y val="9.0848297891144153E-2"/>
          <c:w val="0.85627643224252126"/>
          <c:h val="0.79011153442519744"/>
        </c:manualLayout>
      </c:layout>
      <c:barChart>
        <c:barDir val="col"/>
        <c:grouping val="clustered"/>
        <c:varyColors val="0"/>
        <c:ser>
          <c:idx val="1"/>
          <c:order val="0"/>
          <c:tx>
            <c:strRef>
              <c:f>'Figure 2 &amp; 3'!$A$32</c:f>
              <c:strCache>
                <c:ptCount val="1"/>
                <c:pt idx="0">
                  <c:v>Workforce Australia Online</c:v>
                </c:pt>
              </c:strCache>
            </c:strRef>
          </c:tx>
          <c:spPr>
            <a:solidFill>
              <a:srgbClr val="725091"/>
            </a:solidFill>
            <a:ln>
              <a:noFill/>
            </a:ln>
            <a:effectLst/>
          </c:spPr>
          <c:invertIfNegative val="0"/>
          <c:cat>
            <c:strRef>
              <c:f>'Figure 2 &amp; 3'!$B$30:$L$30</c:f>
              <c:strCache>
                <c:ptCount val="11"/>
                <c:pt idx="0">
                  <c:v>2015-16</c:v>
                </c:pt>
                <c:pt idx="1">
                  <c:v>2016-17</c:v>
                </c:pt>
                <c:pt idx="2">
                  <c:v>2017-18</c:v>
                </c:pt>
                <c:pt idx="3">
                  <c:v>2018-19</c:v>
                </c:pt>
                <c:pt idx="4">
                  <c:v>2019-20</c:v>
                </c:pt>
                <c:pt idx="5">
                  <c:v>2020-21</c:v>
                </c:pt>
                <c:pt idx="6">
                  <c:v>2021-22</c:v>
                </c:pt>
                <c:pt idx="7">
                  <c:v>2022-23</c:v>
                </c:pt>
                <c:pt idx="8">
                  <c:v>2023-24</c:v>
                </c:pt>
                <c:pt idx="9">
                  <c:v>2024-25</c:v>
                </c:pt>
                <c:pt idx="10">
                  <c:v>2025-26</c:v>
                </c:pt>
              </c:strCache>
            </c:strRef>
          </c:cat>
          <c:val>
            <c:numRef>
              <c:f>'Figure 2 &amp; 3'!$B$32:$L$32</c:f>
              <c:numCache>
                <c:formatCode>General</c:formatCode>
                <c:ptCount val="11"/>
                <c:pt idx="7" formatCode="#,##0.0">
                  <c:v>252.01137045629031</c:v>
                </c:pt>
                <c:pt idx="8">
                  <c:v>423.27068419993361</c:v>
                </c:pt>
                <c:pt idx="9">
                  <c:v>505.28459168880306</c:v>
                </c:pt>
                <c:pt idx="10">
                  <c:v>524.656735423432</c:v>
                </c:pt>
              </c:numCache>
            </c:numRef>
          </c:val>
          <c:extLst>
            <c:ext xmlns:c16="http://schemas.microsoft.com/office/drawing/2014/chart" uri="{C3380CC4-5D6E-409C-BE32-E72D297353CC}">
              <c16:uniqueId val="{00000000-B662-4564-A041-5F7F5C2AE6C7}"/>
            </c:ext>
          </c:extLst>
        </c:ser>
        <c:ser>
          <c:idx val="2"/>
          <c:order val="1"/>
          <c:tx>
            <c:strRef>
              <c:f>'Figure 2 &amp; 3'!$A$33</c:f>
              <c:strCache>
                <c:ptCount val="1"/>
                <c:pt idx="0">
                  <c:v>Workforce Australia Provider</c:v>
                </c:pt>
              </c:strCache>
            </c:strRef>
          </c:tx>
          <c:spPr>
            <a:solidFill>
              <a:srgbClr val="C1AED2"/>
            </a:solidFill>
            <a:ln>
              <a:noFill/>
            </a:ln>
            <a:effectLst/>
          </c:spPr>
          <c:invertIfNegative val="0"/>
          <c:cat>
            <c:strRef>
              <c:f>'Figure 2 &amp; 3'!$B$30:$L$30</c:f>
              <c:strCache>
                <c:ptCount val="11"/>
                <c:pt idx="0">
                  <c:v>2015-16</c:v>
                </c:pt>
                <c:pt idx="1">
                  <c:v>2016-17</c:v>
                </c:pt>
                <c:pt idx="2">
                  <c:v>2017-18</c:v>
                </c:pt>
                <c:pt idx="3">
                  <c:v>2018-19</c:v>
                </c:pt>
                <c:pt idx="4">
                  <c:v>2019-20</c:v>
                </c:pt>
                <c:pt idx="5">
                  <c:v>2020-21</c:v>
                </c:pt>
                <c:pt idx="6">
                  <c:v>2021-22</c:v>
                </c:pt>
                <c:pt idx="7">
                  <c:v>2022-23</c:v>
                </c:pt>
                <c:pt idx="8">
                  <c:v>2023-24</c:v>
                </c:pt>
                <c:pt idx="9">
                  <c:v>2024-25</c:v>
                </c:pt>
                <c:pt idx="10">
                  <c:v>2025-26</c:v>
                </c:pt>
              </c:strCache>
            </c:strRef>
          </c:cat>
          <c:val>
            <c:numRef>
              <c:f>'Figure 2 &amp; 3'!$B$33:$L$33</c:f>
              <c:numCache>
                <c:formatCode>General</c:formatCode>
                <c:ptCount val="11"/>
                <c:pt idx="7" formatCode="#,##0.0">
                  <c:v>1635.9528321972039</c:v>
                </c:pt>
                <c:pt idx="8">
                  <c:v>14642.877435929822</c:v>
                </c:pt>
                <c:pt idx="9">
                  <c:v>13481.673684687152</c:v>
                </c:pt>
                <c:pt idx="10">
                  <c:v>13767.317014133554</c:v>
                </c:pt>
              </c:numCache>
            </c:numRef>
          </c:val>
          <c:extLst>
            <c:ext xmlns:c16="http://schemas.microsoft.com/office/drawing/2014/chart" uri="{C3380CC4-5D6E-409C-BE32-E72D297353CC}">
              <c16:uniqueId val="{00000001-B662-4564-A041-5F7F5C2AE6C7}"/>
            </c:ext>
          </c:extLst>
        </c:ser>
        <c:dLbls>
          <c:showLegendKey val="0"/>
          <c:showVal val="0"/>
          <c:showCatName val="0"/>
          <c:showSerName val="0"/>
          <c:showPercent val="0"/>
          <c:showBubbleSize val="0"/>
        </c:dLbls>
        <c:gapWidth val="100"/>
        <c:axId val="794596128"/>
        <c:axId val="794589056"/>
      </c:barChart>
      <c:barChart>
        <c:barDir val="col"/>
        <c:grouping val="clustered"/>
        <c:varyColors val="0"/>
        <c:ser>
          <c:idx val="6"/>
          <c:order val="3"/>
          <c:tx>
            <c:strRef>
              <c:f>'Figure 2 &amp; 3'!$A$38</c:f>
              <c:strCache>
                <c:ptCount val="1"/>
                <c:pt idx="0">
                  <c:v>Covid-years</c:v>
                </c:pt>
              </c:strCache>
            </c:strRef>
          </c:tx>
          <c:spPr>
            <a:solidFill>
              <a:schemeClr val="accent1">
                <a:lumMod val="60000"/>
              </a:schemeClr>
            </a:solidFill>
            <a:ln>
              <a:noFill/>
            </a:ln>
            <a:effectLst/>
          </c:spPr>
          <c:invertIfNegative val="0"/>
          <c:dPt>
            <c:idx val="5"/>
            <c:invertIfNegative val="0"/>
            <c:bubble3D val="0"/>
            <c:spPr>
              <a:solidFill>
                <a:srgbClr val="DBEFF0"/>
              </a:solidFill>
              <a:ln>
                <a:noFill/>
              </a:ln>
              <a:effectLst/>
            </c:spPr>
            <c:extLst>
              <c:ext xmlns:c16="http://schemas.microsoft.com/office/drawing/2014/chart" uri="{C3380CC4-5D6E-409C-BE32-E72D297353CC}">
                <c16:uniqueId val="{00000003-B662-4564-A041-5F7F5C2AE6C7}"/>
              </c:ext>
            </c:extLst>
          </c:dPt>
          <c:dPt>
            <c:idx val="6"/>
            <c:invertIfNegative val="0"/>
            <c:bubble3D val="0"/>
            <c:spPr>
              <a:solidFill>
                <a:srgbClr val="DBEFF0"/>
              </a:solidFill>
              <a:ln>
                <a:noFill/>
              </a:ln>
              <a:effectLst/>
            </c:spPr>
            <c:extLst>
              <c:ext xmlns:c16="http://schemas.microsoft.com/office/drawing/2014/chart" uri="{C3380CC4-5D6E-409C-BE32-E72D297353CC}">
                <c16:uniqueId val="{00000005-B662-4564-A041-5F7F5C2AE6C7}"/>
              </c:ext>
            </c:extLst>
          </c:dPt>
          <c:cat>
            <c:strRef>
              <c:f>'Figure 2 &amp; 3'!$B$30:$L$30</c:f>
              <c:strCache>
                <c:ptCount val="11"/>
                <c:pt idx="0">
                  <c:v>2015-16</c:v>
                </c:pt>
                <c:pt idx="1">
                  <c:v>2016-17</c:v>
                </c:pt>
                <c:pt idx="2">
                  <c:v>2017-18</c:v>
                </c:pt>
                <c:pt idx="3">
                  <c:v>2018-19</c:v>
                </c:pt>
                <c:pt idx="4">
                  <c:v>2019-20</c:v>
                </c:pt>
                <c:pt idx="5">
                  <c:v>2020-21</c:v>
                </c:pt>
                <c:pt idx="6">
                  <c:v>2021-22</c:v>
                </c:pt>
                <c:pt idx="7">
                  <c:v>2022-23</c:v>
                </c:pt>
                <c:pt idx="8">
                  <c:v>2023-24</c:v>
                </c:pt>
                <c:pt idx="9">
                  <c:v>2024-25</c:v>
                </c:pt>
                <c:pt idx="10">
                  <c:v>2025-26</c:v>
                </c:pt>
              </c:strCache>
            </c:strRef>
          </c:cat>
          <c:val>
            <c:numRef>
              <c:f>'Figure 2 &amp; 3'!$B$38:$L$38</c:f>
              <c:numCache>
                <c:formatCode>General</c:formatCode>
                <c:ptCount val="11"/>
                <c:pt idx="5">
                  <c:v>15500</c:v>
                </c:pt>
                <c:pt idx="6">
                  <c:v>15500</c:v>
                </c:pt>
              </c:numCache>
            </c:numRef>
          </c:val>
          <c:extLst>
            <c:ext xmlns:c16="http://schemas.microsoft.com/office/drawing/2014/chart" uri="{C3380CC4-5D6E-409C-BE32-E72D297353CC}">
              <c16:uniqueId val="{00000006-B662-4564-A041-5F7F5C2AE6C7}"/>
            </c:ext>
          </c:extLst>
        </c:ser>
        <c:dLbls>
          <c:showLegendKey val="0"/>
          <c:showVal val="0"/>
          <c:showCatName val="0"/>
          <c:showSerName val="0"/>
          <c:showPercent val="0"/>
          <c:showBubbleSize val="0"/>
        </c:dLbls>
        <c:gapWidth val="0"/>
        <c:axId val="683239584"/>
        <c:axId val="683223360"/>
      </c:barChart>
      <c:lineChart>
        <c:grouping val="standard"/>
        <c:varyColors val="0"/>
        <c:ser>
          <c:idx val="3"/>
          <c:order val="2"/>
          <c:tx>
            <c:strRef>
              <c:f>'Figure 2 &amp; 3'!$A$34</c:f>
              <c:strCache>
                <c:ptCount val="1"/>
                <c:pt idx="0">
                  <c:v>Average</c:v>
                </c:pt>
              </c:strCache>
            </c:strRef>
          </c:tx>
          <c:spPr>
            <a:ln w="28575" cap="rnd">
              <a:solidFill>
                <a:srgbClr val="3D4D7D">
                  <a:lumMod val="75000"/>
                </a:srgbClr>
              </a:solidFill>
              <a:round/>
            </a:ln>
            <a:effectLst/>
          </c:spPr>
          <c:marker>
            <c:symbol val="none"/>
          </c:marker>
          <c:cat>
            <c:strRef>
              <c:f>'Figure 2 &amp; 3'!$B$30:$L$30</c:f>
              <c:strCache>
                <c:ptCount val="11"/>
                <c:pt idx="0">
                  <c:v>2015-16</c:v>
                </c:pt>
                <c:pt idx="1">
                  <c:v>2016-17</c:v>
                </c:pt>
                <c:pt idx="2">
                  <c:v>2017-18</c:v>
                </c:pt>
                <c:pt idx="3">
                  <c:v>2018-19</c:v>
                </c:pt>
                <c:pt idx="4">
                  <c:v>2019-20</c:v>
                </c:pt>
                <c:pt idx="5">
                  <c:v>2020-21</c:v>
                </c:pt>
                <c:pt idx="6">
                  <c:v>2021-22</c:v>
                </c:pt>
                <c:pt idx="7">
                  <c:v>2022-23</c:v>
                </c:pt>
                <c:pt idx="8">
                  <c:v>2023-24</c:v>
                </c:pt>
                <c:pt idx="9">
                  <c:v>2024-25</c:v>
                </c:pt>
                <c:pt idx="10">
                  <c:v>2025-26</c:v>
                </c:pt>
              </c:strCache>
            </c:strRef>
          </c:cat>
          <c:val>
            <c:numRef>
              <c:f>'Figure 2 &amp; 3'!$B$34:$L$34</c:f>
              <c:numCache>
                <c:formatCode>General</c:formatCode>
                <c:ptCount val="11"/>
                <c:pt idx="0">
                  <c:v>742.07041891132178</c:v>
                </c:pt>
                <c:pt idx="1">
                  <c:v>2479.9243926503336</c:v>
                </c:pt>
                <c:pt idx="2">
                  <c:v>3643.4781247610254</c:v>
                </c:pt>
                <c:pt idx="3">
                  <c:v>3535.379935674659</c:v>
                </c:pt>
                <c:pt idx="4">
                  <c:v>2679.378672412859</c:v>
                </c:pt>
                <c:pt idx="5">
                  <c:v>3995.8535440874589</c:v>
                </c:pt>
                <c:pt idx="6">
                  <c:v>6405.8735789365464</c:v>
                </c:pt>
                <c:pt idx="7">
                  <c:v>899.47651786164295</c:v>
                </c:pt>
                <c:pt idx="8">
                  <c:v>3543.611484261176</c:v>
                </c:pt>
                <c:pt idx="9">
                  <c:v>3352.8145572714693</c:v>
                </c:pt>
                <c:pt idx="10">
                  <c:v>3430.6170682563074</c:v>
                </c:pt>
              </c:numCache>
            </c:numRef>
          </c:val>
          <c:smooth val="0"/>
          <c:extLst>
            <c:ext xmlns:c16="http://schemas.microsoft.com/office/drawing/2014/chart" uri="{C3380CC4-5D6E-409C-BE32-E72D297353CC}">
              <c16:uniqueId val="{00000007-B662-4564-A041-5F7F5C2AE6C7}"/>
            </c:ext>
          </c:extLst>
        </c:ser>
        <c:dLbls>
          <c:showLegendKey val="0"/>
          <c:showVal val="0"/>
          <c:showCatName val="0"/>
          <c:showSerName val="0"/>
          <c:showPercent val="0"/>
          <c:showBubbleSize val="0"/>
        </c:dLbls>
        <c:marker val="1"/>
        <c:smooth val="0"/>
        <c:axId val="683239584"/>
        <c:axId val="683223360"/>
      </c:lineChart>
      <c:catAx>
        <c:axId val="794596128"/>
        <c:scaling>
          <c:orientation val="minMax"/>
        </c:scaling>
        <c:delete val="0"/>
        <c:axPos val="b"/>
        <c:numFmt formatCode="General" sourceLinked="1"/>
        <c:majorTickMark val="in"/>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794589056"/>
        <c:crosses val="autoZero"/>
        <c:auto val="1"/>
        <c:lblAlgn val="ctr"/>
        <c:lblOffset val="100"/>
        <c:tickLblSkip val="2"/>
        <c:tickMarkSkip val="1"/>
        <c:noMultiLvlLbl val="0"/>
      </c:catAx>
      <c:valAx>
        <c:axId val="794589056"/>
        <c:scaling>
          <c:orientation val="minMax"/>
        </c:scaling>
        <c:delete val="0"/>
        <c:axPos val="l"/>
        <c:numFmt formatCode="General" sourceLinked="0"/>
        <c:majorTickMark val="in"/>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794596128"/>
        <c:crosses val="autoZero"/>
        <c:crossBetween val="between"/>
        <c:dispUnits>
          <c:builtInUnit val="thousands"/>
        </c:dispUnits>
      </c:valAx>
      <c:valAx>
        <c:axId val="683223360"/>
        <c:scaling>
          <c:orientation val="minMax"/>
          <c:max val="16000"/>
        </c:scaling>
        <c:delete val="0"/>
        <c:axPos val="r"/>
        <c:numFmt formatCode="General" sourceLinked="0"/>
        <c:majorTickMark val="in"/>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683239584"/>
        <c:crosses val="max"/>
        <c:crossBetween val="between"/>
        <c:dispUnits>
          <c:builtInUnit val="thousands"/>
        </c:dispUnits>
      </c:valAx>
      <c:catAx>
        <c:axId val="683239584"/>
        <c:scaling>
          <c:orientation val="minMax"/>
        </c:scaling>
        <c:delete val="1"/>
        <c:axPos val="b"/>
        <c:numFmt formatCode="General" sourceLinked="1"/>
        <c:majorTickMark val="out"/>
        <c:minorTickMark val="none"/>
        <c:tickLblPos val="nextTo"/>
        <c:crossAx val="683223360"/>
        <c:crosses val="autoZero"/>
        <c:auto val="1"/>
        <c:lblAlgn val="ctr"/>
        <c:lblOffset val="100"/>
        <c:noMultiLvlLbl val="0"/>
      </c:cat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947063606973559E-2"/>
          <c:y val="8.976481261424421E-2"/>
          <c:w val="0.85879351038299057"/>
          <c:h val="0.78966483314874736"/>
        </c:manualLayout>
      </c:layout>
      <c:barChart>
        <c:barDir val="col"/>
        <c:grouping val="stacked"/>
        <c:varyColors val="0"/>
        <c:ser>
          <c:idx val="5"/>
          <c:order val="0"/>
          <c:tx>
            <c:strRef>
              <c:f>'TOTAL PAYMENTS (2)'!$A$3</c:f>
              <c:strCache>
                <c:ptCount val="1"/>
                <c:pt idx="0">
                  <c:v>Workforce Australia Online</c:v>
                </c:pt>
              </c:strCache>
            </c:strRef>
          </c:tx>
          <c:spPr>
            <a:solidFill>
              <a:srgbClr val="725091"/>
            </a:solidFill>
            <a:ln>
              <a:noFill/>
            </a:ln>
          </c:spPr>
          <c:invertIfNegative val="0"/>
          <c:cat>
            <c:strRef>
              <c:f>'TOTAL PAYMENTS (2)'!$B$2:$L$2</c:f>
              <c:strCache>
                <c:ptCount val="11"/>
                <c:pt idx="0">
                  <c:v>2015-16</c:v>
                </c:pt>
                <c:pt idx="1">
                  <c:v>2016-17</c:v>
                </c:pt>
                <c:pt idx="2">
                  <c:v>2017-18</c:v>
                </c:pt>
                <c:pt idx="3">
                  <c:v>2018-19</c:v>
                </c:pt>
                <c:pt idx="4">
                  <c:v>2019-20</c:v>
                </c:pt>
                <c:pt idx="5">
                  <c:v>2020-21</c:v>
                </c:pt>
                <c:pt idx="6">
                  <c:v>2021-22</c:v>
                </c:pt>
                <c:pt idx="7">
                  <c:v>2022-23</c:v>
                </c:pt>
                <c:pt idx="8">
                  <c:v>2023-24</c:v>
                </c:pt>
                <c:pt idx="9">
                  <c:v>2024-25</c:v>
                </c:pt>
                <c:pt idx="10">
                  <c:v>2025-26</c:v>
                </c:pt>
              </c:strCache>
            </c:strRef>
          </c:cat>
          <c:val>
            <c:numRef>
              <c:f>'TOTAL PAYMENTS (2)'!$B$3:$L$3</c:f>
              <c:numCache>
                <c:formatCode>General</c:formatCode>
                <c:ptCount val="11"/>
                <c:pt idx="7" formatCode="_(* #,##0.00_);_(* \(#,##0.00\);_(* &quot;-&quot;??_);_(@_)">
                  <c:v>144.89476838663282</c:v>
                </c:pt>
                <c:pt idx="8" formatCode="_(* #,##0.00_);_(* \(#,##0.00\);_(* &quot;-&quot;??_);_(@_)">
                  <c:v>120.64511641801373</c:v>
                </c:pt>
                <c:pt idx="9" formatCode="_(* #,##0.00_);_(* \(#,##0.00\);_(* &quot;-&quot;??_);_(@_)">
                  <c:v>146.09655678359218</c:v>
                </c:pt>
                <c:pt idx="10">
                  <c:v>157.34824422299474</c:v>
                </c:pt>
              </c:numCache>
            </c:numRef>
          </c:val>
          <c:extLst>
            <c:ext xmlns:c16="http://schemas.microsoft.com/office/drawing/2014/chart" uri="{C3380CC4-5D6E-409C-BE32-E72D297353CC}">
              <c16:uniqueId val="{00000000-A447-4249-9A08-7F25548D1835}"/>
            </c:ext>
          </c:extLst>
        </c:ser>
        <c:ser>
          <c:idx val="3"/>
          <c:order val="2"/>
          <c:tx>
            <c:strRef>
              <c:f>'TOTAL PAYMENTS (2)'!$A$5</c:f>
              <c:strCache>
                <c:ptCount val="1"/>
                <c:pt idx="0">
                  <c:v>Workforce Australia Provider</c:v>
                </c:pt>
              </c:strCache>
            </c:strRef>
          </c:tx>
          <c:spPr>
            <a:solidFill>
              <a:srgbClr val="9778B4">
                <a:lumMod val="60000"/>
                <a:lumOff val="40000"/>
              </a:srgbClr>
            </a:solidFill>
            <a:ln>
              <a:noFill/>
            </a:ln>
          </c:spPr>
          <c:invertIfNegative val="0"/>
          <c:cat>
            <c:strRef>
              <c:f>'TOTAL PAYMENTS (2)'!$B$2:$L$2</c:f>
              <c:strCache>
                <c:ptCount val="11"/>
                <c:pt idx="0">
                  <c:v>2015-16</c:v>
                </c:pt>
                <c:pt idx="1">
                  <c:v>2016-17</c:v>
                </c:pt>
                <c:pt idx="2">
                  <c:v>2017-18</c:v>
                </c:pt>
                <c:pt idx="3">
                  <c:v>2018-19</c:v>
                </c:pt>
                <c:pt idx="4">
                  <c:v>2019-20</c:v>
                </c:pt>
                <c:pt idx="5">
                  <c:v>2020-21</c:v>
                </c:pt>
                <c:pt idx="6">
                  <c:v>2021-22</c:v>
                </c:pt>
                <c:pt idx="7">
                  <c:v>2022-23</c:v>
                </c:pt>
                <c:pt idx="8">
                  <c:v>2023-24</c:v>
                </c:pt>
                <c:pt idx="9">
                  <c:v>2024-25</c:v>
                </c:pt>
                <c:pt idx="10">
                  <c:v>2025-26</c:v>
                </c:pt>
              </c:strCache>
            </c:strRef>
          </c:cat>
          <c:val>
            <c:numRef>
              <c:f>'TOTAL PAYMENTS (2)'!$B$5:$L$5</c:f>
              <c:numCache>
                <c:formatCode>General</c:formatCode>
                <c:ptCount val="11"/>
                <c:pt idx="7" formatCode="_(* #,##0.00_);_(* \(#,##0.00\);_(* &quot;-&quot;??_);_(@_)">
                  <c:v>826.91516819286073</c:v>
                </c:pt>
                <c:pt idx="8" formatCode="_(* #,##0.00_);_(* \(#,##0.00\);_(* &quot;-&quot;??_);_(@_)">
                  <c:v>1173.345078078032</c:v>
                </c:pt>
                <c:pt idx="9" formatCode="_(* #,##0.00_);_(* \(#,##0.00\);_(* &quot;-&quot;??_);_(@_)">
                  <c:v>1095.8610944598327</c:v>
                </c:pt>
                <c:pt idx="10">
                  <c:v>1160.7634735621536</c:v>
                </c:pt>
              </c:numCache>
            </c:numRef>
          </c:val>
          <c:extLst>
            <c:ext xmlns:c16="http://schemas.microsoft.com/office/drawing/2014/chart" uri="{C3380CC4-5D6E-409C-BE32-E72D297353CC}">
              <c16:uniqueId val="{00000001-A447-4249-9A08-7F25548D1835}"/>
            </c:ext>
          </c:extLst>
        </c:ser>
        <c:dLbls>
          <c:showLegendKey val="0"/>
          <c:showVal val="0"/>
          <c:showCatName val="0"/>
          <c:showSerName val="0"/>
          <c:showPercent val="0"/>
          <c:showBubbleSize val="0"/>
        </c:dLbls>
        <c:gapWidth val="150"/>
        <c:overlap val="100"/>
        <c:axId val="334424256"/>
        <c:axId val="334424648"/>
      </c:barChart>
      <c:barChart>
        <c:barDir val="col"/>
        <c:grouping val="stacked"/>
        <c:varyColors val="0"/>
        <c:ser>
          <c:idx val="1"/>
          <c:order val="3"/>
          <c:tx>
            <c:strRef>
              <c:f>'TOTAL PAYMENTS (2)'!$A$6</c:f>
              <c:strCache>
                <c:ptCount val="1"/>
                <c:pt idx="0">
                  <c:v>covid years</c:v>
                </c:pt>
              </c:strCache>
            </c:strRef>
          </c:tx>
          <c:spPr>
            <a:solidFill>
              <a:srgbClr val="DBEFF0"/>
            </a:solidFill>
          </c:spPr>
          <c:invertIfNegative val="0"/>
          <c:cat>
            <c:strRef>
              <c:f>'TOTAL PAYMENTS (2)'!$B$2:$L$2</c:f>
              <c:strCache>
                <c:ptCount val="11"/>
                <c:pt idx="0">
                  <c:v>2015-16</c:v>
                </c:pt>
                <c:pt idx="1">
                  <c:v>2016-17</c:v>
                </c:pt>
                <c:pt idx="2">
                  <c:v>2017-18</c:v>
                </c:pt>
                <c:pt idx="3">
                  <c:v>2018-19</c:v>
                </c:pt>
                <c:pt idx="4">
                  <c:v>2019-20</c:v>
                </c:pt>
                <c:pt idx="5">
                  <c:v>2020-21</c:v>
                </c:pt>
                <c:pt idx="6">
                  <c:v>2021-22</c:v>
                </c:pt>
                <c:pt idx="7">
                  <c:v>2022-23</c:v>
                </c:pt>
                <c:pt idx="8">
                  <c:v>2023-24</c:v>
                </c:pt>
                <c:pt idx="9">
                  <c:v>2024-25</c:v>
                </c:pt>
                <c:pt idx="10">
                  <c:v>2025-26</c:v>
                </c:pt>
              </c:strCache>
            </c:strRef>
          </c:cat>
          <c:val>
            <c:numRef>
              <c:f>'TOTAL PAYMENTS (2)'!$B$6:$L$6</c:f>
              <c:numCache>
                <c:formatCode>General</c:formatCode>
                <c:ptCount val="11"/>
                <c:pt idx="5" formatCode="_(* #,##0.00_);_(* \(#,##0.00\);_(* &quot;-&quot;??_);_(@_)">
                  <c:v>10</c:v>
                </c:pt>
                <c:pt idx="6" formatCode="_(* #,##0.00_);_(* \(#,##0.00\);_(* &quot;-&quot;??_);_(@_)">
                  <c:v>10</c:v>
                </c:pt>
              </c:numCache>
            </c:numRef>
          </c:val>
          <c:extLst>
            <c:ext xmlns:c16="http://schemas.microsoft.com/office/drawing/2014/chart" uri="{C3380CC4-5D6E-409C-BE32-E72D297353CC}">
              <c16:uniqueId val="{00000002-A447-4249-9A08-7F25548D1835}"/>
            </c:ext>
          </c:extLst>
        </c:ser>
        <c:dLbls>
          <c:showLegendKey val="0"/>
          <c:showVal val="0"/>
          <c:showCatName val="0"/>
          <c:showSerName val="0"/>
          <c:showPercent val="0"/>
          <c:showBubbleSize val="0"/>
        </c:dLbls>
        <c:gapWidth val="0"/>
        <c:overlap val="100"/>
        <c:axId val="372832064"/>
        <c:axId val="372847456"/>
      </c:barChart>
      <c:lineChart>
        <c:grouping val="standard"/>
        <c:varyColors val="0"/>
        <c:ser>
          <c:idx val="0"/>
          <c:order val="1"/>
          <c:tx>
            <c:strRef>
              <c:f>'TOTAL PAYMENTS (2)'!$A$4</c:f>
              <c:strCache>
                <c:ptCount val="1"/>
                <c:pt idx="0">
                  <c:v>Total Expenditure</c:v>
                </c:pt>
              </c:strCache>
            </c:strRef>
          </c:tx>
          <c:spPr>
            <a:ln>
              <a:solidFill>
                <a:srgbClr val="3D4D7D">
                  <a:lumMod val="75000"/>
                </a:srgbClr>
              </a:solidFill>
            </a:ln>
          </c:spPr>
          <c:marker>
            <c:symbol val="none"/>
          </c:marker>
          <c:cat>
            <c:strRef>
              <c:f>'TOTAL PAYMENTS (2)'!$B$2:$L$2</c:f>
              <c:strCache>
                <c:ptCount val="11"/>
                <c:pt idx="0">
                  <c:v>2015-16</c:v>
                </c:pt>
                <c:pt idx="1">
                  <c:v>2016-17</c:v>
                </c:pt>
                <c:pt idx="2">
                  <c:v>2017-18</c:v>
                </c:pt>
                <c:pt idx="3">
                  <c:v>2018-19</c:v>
                </c:pt>
                <c:pt idx="4">
                  <c:v>2019-20</c:v>
                </c:pt>
                <c:pt idx="5">
                  <c:v>2020-21</c:v>
                </c:pt>
                <c:pt idx="6">
                  <c:v>2021-22</c:v>
                </c:pt>
                <c:pt idx="7">
                  <c:v>2022-23</c:v>
                </c:pt>
                <c:pt idx="8">
                  <c:v>2023-24</c:v>
                </c:pt>
                <c:pt idx="9">
                  <c:v>2024-25</c:v>
                </c:pt>
                <c:pt idx="10">
                  <c:v>2025-26</c:v>
                </c:pt>
              </c:strCache>
            </c:strRef>
          </c:cat>
          <c:val>
            <c:numRef>
              <c:f>'TOTAL PAYMENTS (2)'!$B$4:$L$4</c:f>
              <c:numCache>
                <c:formatCode>_(* #,##0.00_);_(* \(#,##0.00\);_(* "-"??_);_(@_)</c:formatCode>
                <c:ptCount val="11"/>
                <c:pt idx="0" formatCode="0.000">
                  <c:v>962.8586306500074</c:v>
                </c:pt>
                <c:pt idx="1">
                  <c:v>1201.2133776900055</c:v>
                </c:pt>
                <c:pt idx="2">
                  <c:v>1496.0449093299999</c:v>
                </c:pt>
                <c:pt idx="3">
                  <c:v>1378.4198892599998</c:v>
                </c:pt>
                <c:pt idx="4">
                  <c:v>1136.8094625100002</c:v>
                </c:pt>
                <c:pt idx="5">
                  <c:v>1278.9008977599999</c:v>
                </c:pt>
                <c:pt idx="6">
                  <c:v>1308.4573313600001</c:v>
                </c:pt>
                <c:pt idx="7">
                  <c:v>971.80993657949352</c:v>
                </c:pt>
                <c:pt idx="8">
                  <c:v>1293.9901944960457</c:v>
                </c:pt>
                <c:pt idx="9">
                  <c:v>1241.9576512434248</c:v>
                </c:pt>
                <c:pt idx="10" formatCode="General">
                  <c:v>1318.1117177851484</c:v>
                </c:pt>
              </c:numCache>
            </c:numRef>
          </c:val>
          <c:smooth val="0"/>
          <c:extLst>
            <c:ext xmlns:c16="http://schemas.microsoft.com/office/drawing/2014/chart" uri="{C3380CC4-5D6E-409C-BE32-E72D297353CC}">
              <c16:uniqueId val="{00000003-A447-4249-9A08-7F25548D1835}"/>
            </c:ext>
          </c:extLst>
        </c:ser>
        <c:dLbls>
          <c:showLegendKey val="0"/>
          <c:showVal val="0"/>
          <c:showCatName val="0"/>
          <c:showSerName val="0"/>
          <c:showPercent val="0"/>
          <c:showBubbleSize val="0"/>
        </c:dLbls>
        <c:marker val="1"/>
        <c:smooth val="0"/>
        <c:axId val="334424256"/>
        <c:axId val="334424648"/>
      </c:lineChart>
      <c:catAx>
        <c:axId val="334424256"/>
        <c:scaling>
          <c:orientation val="minMax"/>
        </c:scaling>
        <c:delete val="0"/>
        <c:axPos val="b"/>
        <c:numFmt formatCode="General" sourceLinked="0"/>
        <c:majorTickMark val="in"/>
        <c:minorTickMark val="none"/>
        <c:tickLblPos val="low"/>
        <c:spPr>
          <a:ln w="9525">
            <a:solidFill>
              <a:srgbClr val="808080"/>
            </a:solidFill>
            <a:prstDash val="solid"/>
          </a:ln>
        </c:spPr>
        <c:crossAx val="334424648"/>
        <c:crosses val="autoZero"/>
        <c:auto val="1"/>
        <c:lblAlgn val="ctr"/>
        <c:lblOffset val="100"/>
        <c:tickLblSkip val="2"/>
        <c:noMultiLvlLbl val="0"/>
      </c:catAx>
      <c:valAx>
        <c:axId val="334424648"/>
        <c:scaling>
          <c:orientation val="minMax"/>
          <c:max val="1800"/>
        </c:scaling>
        <c:delete val="0"/>
        <c:axPos val="l"/>
        <c:numFmt formatCode="#,##0.0" sourceLinked="0"/>
        <c:majorTickMark val="in"/>
        <c:minorTickMark val="none"/>
        <c:tickLblPos val="nextTo"/>
        <c:spPr>
          <a:ln w="9525">
            <a:solidFill>
              <a:srgbClr val="808080"/>
            </a:solidFill>
            <a:prstDash val="solid"/>
          </a:ln>
        </c:spPr>
        <c:crossAx val="334424256"/>
        <c:crosses val="autoZero"/>
        <c:crossBetween val="between"/>
        <c:majorUnit val="200"/>
        <c:minorUnit val="1"/>
        <c:dispUnits>
          <c:builtInUnit val="thousands"/>
        </c:dispUnits>
      </c:valAx>
      <c:valAx>
        <c:axId val="372847456"/>
        <c:scaling>
          <c:orientation val="minMax"/>
          <c:max val="1.8"/>
        </c:scaling>
        <c:delete val="0"/>
        <c:axPos val="r"/>
        <c:numFmt formatCode="#,##0.0" sourceLinked="0"/>
        <c:majorTickMark val="in"/>
        <c:minorTickMark val="none"/>
        <c:tickLblPos val="nextTo"/>
        <c:spPr>
          <a:solidFill>
            <a:srgbClr val="FFFFFF"/>
          </a:solidFill>
          <a:ln w="9525">
            <a:solidFill>
              <a:srgbClr val="FFFFFF">
                <a:lumMod val="50000"/>
              </a:srgbClr>
            </a:solidFill>
          </a:ln>
        </c:spPr>
        <c:crossAx val="372832064"/>
        <c:crosses val="max"/>
        <c:crossBetween val="between"/>
      </c:valAx>
      <c:catAx>
        <c:axId val="372832064"/>
        <c:scaling>
          <c:orientation val="minMax"/>
        </c:scaling>
        <c:delete val="1"/>
        <c:axPos val="b"/>
        <c:numFmt formatCode="General" sourceLinked="1"/>
        <c:majorTickMark val="out"/>
        <c:minorTickMark val="none"/>
        <c:tickLblPos val="nextTo"/>
        <c:crossAx val="372847456"/>
        <c:crosses val="autoZero"/>
        <c:auto val="1"/>
        <c:lblAlgn val="ctr"/>
        <c:lblOffset val="100"/>
        <c:noMultiLvlLbl val="0"/>
      </c:catAx>
      <c:spPr>
        <a:solidFill>
          <a:srgbClr val="FFFFFF"/>
        </a:solidFill>
        <a:ln>
          <a:noFill/>
          <a:round/>
        </a:ln>
        <a:effectLst/>
        <a:extLst>
          <a:ext uri="{91240B29-F687-4F45-9708-019B960494DF}">
            <a14:hiddenLine xmlns:a14="http://schemas.microsoft.com/office/drawing/2010/main">
              <a:noFill/>
              <a:round/>
            </a14:hiddenLine>
          </a:ext>
        </a:extLst>
      </c:spPr>
    </c:plotArea>
    <c:plotVisOnly val="1"/>
    <c:dispBlanksAs val="gap"/>
    <c:showDLblsOverMax val="0"/>
  </c:chart>
  <c:spPr>
    <a:solidFill>
      <a:srgbClr val="FFFFFF"/>
    </a:solidFill>
    <a:ln w="9525" cap="flat" cmpd="sng" algn="ctr">
      <a:noFill/>
      <a:prstDash val="solid"/>
      <a:round/>
    </a:ln>
    <a:effectLst/>
    <a:extLst>
      <a:ext uri="{91240B29-F687-4F45-9708-019B960494DF}">
        <a14:hiddenLine xmlns:a14="http://schemas.microsoft.com/office/drawing/2010/main" w="9525" cap="flat" cmpd="sng" algn="ctr">
          <a:solidFill>
            <a:srgbClr val="000000">
              <a:tint val="75000"/>
              <a:shade val="95000"/>
              <a:satMod val="105000"/>
            </a:srgbClr>
          </a:solidFill>
          <a:prstDash val="solid"/>
          <a:round/>
        </a14:hiddenLine>
      </a:ext>
    </a:extLst>
  </c:spPr>
  <c:txPr>
    <a:bodyPr/>
    <a:lstStyle/>
    <a:p>
      <a:pPr>
        <a:defRPr sz="900" b="1">
          <a:solidFill>
            <a:schemeClr val="tx1"/>
          </a:solidFill>
          <a:latin typeface="+mn-lt"/>
          <a:cs typeface="Arial" panose="020B0604020202020204" pitchFamily="34" charset="0"/>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150829752014796E-2"/>
          <c:y val="0.10368274646742597"/>
          <c:w val="0.86022000802873466"/>
          <c:h val="0.77556914891602613"/>
        </c:manualLayout>
      </c:layout>
      <c:lineChart>
        <c:grouping val="standard"/>
        <c:varyColors val="0"/>
        <c:ser>
          <c:idx val="0"/>
          <c:order val="0"/>
          <c:tx>
            <c:strRef>
              <c:f>'Fig 1-2'!$A$17</c:f>
              <c:strCache>
                <c:ptCount val="1"/>
                <c:pt idx="0">
                  <c:v>Nominal expenditure ($b)</c:v>
                </c:pt>
              </c:strCache>
            </c:strRef>
          </c:tx>
          <c:spPr>
            <a:ln w="28575">
              <a:solidFill>
                <a:srgbClr val="7C8DBF"/>
              </a:solidFill>
            </a:ln>
          </c:spPr>
          <c:marker>
            <c:symbol val="none"/>
          </c:marker>
          <c:cat>
            <c:strRef>
              <c:f>'Fig 1-2'!$B$2:$AF$2</c:f>
              <c:strCache>
                <c:ptCount val="31"/>
                <c:pt idx="0">
                  <c:v>1991–92</c:v>
                </c:pt>
                <c:pt idx="1">
                  <c:v>1992–93</c:v>
                </c:pt>
                <c:pt idx="2">
                  <c:v>1993–94</c:v>
                </c:pt>
                <c:pt idx="3">
                  <c:v>1994–95</c:v>
                </c:pt>
                <c:pt idx="4">
                  <c:v>1995–96</c:v>
                </c:pt>
                <c:pt idx="5">
                  <c:v>1996–97</c:v>
                </c:pt>
                <c:pt idx="6">
                  <c:v>1997–98</c:v>
                </c:pt>
                <c:pt idx="7">
                  <c:v>1998–99</c:v>
                </c:pt>
                <c:pt idx="8">
                  <c:v>1999–00</c:v>
                </c:pt>
                <c:pt idx="9">
                  <c:v>2000–01</c:v>
                </c:pt>
                <c:pt idx="10">
                  <c:v>2001–02</c:v>
                </c:pt>
                <c:pt idx="11">
                  <c:v>2002–03</c:v>
                </c:pt>
                <c:pt idx="12">
                  <c:v>2003–04</c:v>
                </c:pt>
                <c:pt idx="13">
                  <c:v>2004–05</c:v>
                </c:pt>
                <c:pt idx="14">
                  <c:v>2005–06</c:v>
                </c:pt>
                <c:pt idx="15">
                  <c:v>2006–07</c:v>
                </c:pt>
                <c:pt idx="16">
                  <c:v>2007–08</c:v>
                </c:pt>
                <c:pt idx="17">
                  <c:v>2008–09</c:v>
                </c:pt>
                <c:pt idx="18">
                  <c:v>2009–10</c:v>
                </c:pt>
                <c:pt idx="19">
                  <c:v>2010–11</c:v>
                </c:pt>
                <c:pt idx="20">
                  <c:v>2011–12</c:v>
                </c:pt>
                <c:pt idx="21">
                  <c:v>2012–13</c:v>
                </c:pt>
                <c:pt idx="22">
                  <c:v>2013–14</c:v>
                </c:pt>
                <c:pt idx="23">
                  <c:v>2014–15</c:v>
                </c:pt>
                <c:pt idx="24">
                  <c:v>2015–16</c:v>
                </c:pt>
                <c:pt idx="25">
                  <c:v>2016–17</c:v>
                </c:pt>
                <c:pt idx="26">
                  <c:v>2017–18</c:v>
                </c:pt>
                <c:pt idx="27">
                  <c:v>2018–19</c:v>
                </c:pt>
                <c:pt idx="28">
                  <c:v>2019-20</c:v>
                </c:pt>
                <c:pt idx="29">
                  <c:v>2020-21</c:v>
                </c:pt>
                <c:pt idx="30">
                  <c:v>2021-22</c:v>
                </c:pt>
              </c:strCache>
            </c:strRef>
          </c:cat>
          <c:val>
            <c:numRef>
              <c:f>'Fig 1-2'!$B$17:$AF$17</c:f>
              <c:numCache>
                <c:formatCode>#,##0.0</c:formatCode>
                <c:ptCount val="31"/>
                <c:pt idx="0">
                  <c:v>6.7363629999999999</c:v>
                </c:pt>
                <c:pt idx="1">
                  <c:v>7.4914100000000001</c:v>
                </c:pt>
                <c:pt idx="2">
                  <c:v>7.5978180000000002</c:v>
                </c:pt>
                <c:pt idx="3">
                  <c:v>7.0610059999999999</c:v>
                </c:pt>
                <c:pt idx="4">
                  <c:v>5.765174</c:v>
                </c:pt>
                <c:pt idx="5">
                  <c:v>6.0478290000000001</c:v>
                </c:pt>
                <c:pt idx="6">
                  <c:v>5.8048359999999999</c:v>
                </c:pt>
                <c:pt idx="7">
                  <c:v>5.3706690000000004</c:v>
                </c:pt>
                <c:pt idx="8">
                  <c:v>4.9544499999999996</c:v>
                </c:pt>
                <c:pt idx="9">
                  <c:v>4.9183490000000001</c:v>
                </c:pt>
                <c:pt idx="10">
                  <c:v>5.07822</c:v>
                </c:pt>
                <c:pt idx="11">
                  <c:v>4.8310690000000003</c:v>
                </c:pt>
                <c:pt idx="12">
                  <c:v>4.7547329999999999</c:v>
                </c:pt>
                <c:pt idx="13">
                  <c:v>4.6274129999999998</c:v>
                </c:pt>
                <c:pt idx="14">
                  <c:v>4.5277200000000004</c:v>
                </c:pt>
                <c:pt idx="15">
                  <c:v>4.4939780000000003</c:v>
                </c:pt>
                <c:pt idx="16">
                  <c:v>4.1808170000000002</c:v>
                </c:pt>
                <c:pt idx="17">
                  <c:v>4.8859300000000001</c:v>
                </c:pt>
                <c:pt idx="18">
                  <c:v>6.1368109999999998</c:v>
                </c:pt>
                <c:pt idx="19">
                  <c:v>6.148714</c:v>
                </c:pt>
                <c:pt idx="20">
                  <c:v>6.6004699999999996</c:v>
                </c:pt>
                <c:pt idx="21">
                  <c:v>7.492413</c:v>
                </c:pt>
                <c:pt idx="22">
                  <c:v>8.8138810000000003</c:v>
                </c:pt>
                <c:pt idx="23">
                  <c:v>9.5357889999999994</c:v>
                </c:pt>
                <c:pt idx="24">
                  <c:v>9.91</c:v>
                </c:pt>
                <c:pt idx="25">
                  <c:v>9.99</c:v>
                </c:pt>
                <c:pt idx="26">
                  <c:v>10.01</c:v>
                </c:pt>
                <c:pt idx="27">
                  <c:v>9.68</c:v>
                </c:pt>
                <c:pt idx="28">
                  <c:v>18.528089999999999</c:v>
                </c:pt>
                <c:pt idx="29">
                  <c:v>27.409400000000002</c:v>
                </c:pt>
                <c:pt idx="30">
                  <c:v>14.84366</c:v>
                </c:pt>
              </c:numCache>
            </c:numRef>
          </c:val>
          <c:smooth val="0"/>
          <c:extLst>
            <c:ext xmlns:c16="http://schemas.microsoft.com/office/drawing/2014/chart" uri="{C3380CC4-5D6E-409C-BE32-E72D297353CC}">
              <c16:uniqueId val="{00000000-52E8-4B4E-81D6-B0483722B117}"/>
            </c:ext>
          </c:extLst>
        </c:ser>
        <c:ser>
          <c:idx val="1"/>
          <c:order val="1"/>
          <c:tx>
            <c:strRef>
              <c:f>'Fig 1-2'!$A$18</c:f>
              <c:strCache>
                <c:ptCount val="1"/>
                <c:pt idx="0">
                  <c:v>Real expenditure ($b)</c:v>
                </c:pt>
              </c:strCache>
            </c:strRef>
          </c:tx>
          <c:spPr>
            <a:ln w="28575">
              <a:solidFill>
                <a:srgbClr val="3D4D7D"/>
              </a:solidFill>
            </a:ln>
          </c:spPr>
          <c:marker>
            <c:symbol val="none"/>
          </c:marker>
          <c:cat>
            <c:strRef>
              <c:f>'Fig 1-2'!$B$2:$AF$2</c:f>
              <c:strCache>
                <c:ptCount val="31"/>
                <c:pt idx="0">
                  <c:v>1991–92</c:v>
                </c:pt>
                <c:pt idx="1">
                  <c:v>1992–93</c:v>
                </c:pt>
                <c:pt idx="2">
                  <c:v>1993–94</c:v>
                </c:pt>
                <c:pt idx="3">
                  <c:v>1994–95</c:v>
                </c:pt>
                <c:pt idx="4">
                  <c:v>1995–96</c:v>
                </c:pt>
                <c:pt idx="5">
                  <c:v>1996–97</c:v>
                </c:pt>
                <c:pt idx="6">
                  <c:v>1997–98</c:v>
                </c:pt>
                <c:pt idx="7">
                  <c:v>1998–99</c:v>
                </c:pt>
                <c:pt idx="8">
                  <c:v>1999–00</c:v>
                </c:pt>
                <c:pt idx="9">
                  <c:v>2000–01</c:v>
                </c:pt>
                <c:pt idx="10">
                  <c:v>2001–02</c:v>
                </c:pt>
                <c:pt idx="11">
                  <c:v>2002–03</c:v>
                </c:pt>
                <c:pt idx="12">
                  <c:v>2003–04</c:v>
                </c:pt>
                <c:pt idx="13">
                  <c:v>2004–05</c:v>
                </c:pt>
                <c:pt idx="14">
                  <c:v>2005–06</c:v>
                </c:pt>
                <c:pt idx="15">
                  <c:v>2006–07</c:v>
                </c:pt>
                <c:pt idx="16">
                  <c:v>2007–08</c:v>
                </c:pt>
                <c:pt idx="17">
                  <c:v>2008–09</c:v>
                </c:pt>
                <c:pt idx="18">
                  <c:v>2009–10</c:v>
                </c:pt>
                <c:pt idx="19">
                  <c:v>2010–11</c:v>
                </c:pt>
                <c:pt idx="20">
                  <c:v>2011–12</c:v>
                </c:pt>
                <c:pt idx="21">
                  <c:v>2012–13</c:v>
                </c:pt>
                <c:pt idx="22">
                  <c:v>2013–14</c:v>
                </c:pt>
                <c:pt idx="23">
                  <c:v>2014–15</c:v>
                </c:pt>
                <c:pt idx="24">
                  <c:v>2015–16</c:v>
                </c:pt>
                <c:pt idx="25">
                  <c:v>2016–17</c:v>
                </c:pt>
                <c:pt idx="26">
                  <c:v>2017–18</c:v>
                </c:pt>
                <c:pt idx="27">
                  <c:v>2018–19</c:v>
                </c:pt>
                <c:pt idx="28">
                  <c:v>2019-20</c:v>
                </c:pt>
                <c:pt idx="29">
                  <c:v>2020-21</c:v>
                </c:pt>
                <c:pt idx="30">
                  <c:v>2021-22</c:v>
                </c:pt>
              </c:strCache>
            </c:strRef>
          </c:cat>
          <c:val>
            <c:numRef>
              <c:f>'Fig 1-2'!$B$18:$AF$18</c:f>
              <c:numCache>
                <c:formatCode>0.0</c:formatCode>
                <c:ptCount val="31"/>
                <c:pt idx="0">
                  <c:v>6.7363629999999999</c:v>
                </c:pt>
                <c:pt idx="1">
                  <c:v>7.4137948943224199</c:v>
                </c:pt>
                <c:pt idx="2">
                  <c:v>7.3844482637362638</c:v>
                </c:pt>
                <c:pt idx="3">
                  <c:v>6.6489283627760258</c:v>
                </c:pt>
                <c:pt idx="4">
                  <c:v>5.2069725839636911</c:v>
                </c:pt>
                <c:pt idx="5">
                  <c:v>5.390897966405376</c:v>
                </c:pt>
                <c:pt idx="6">
                  <c:v>5.1762316534727422</c:v>
                </c:pt>
                <c:pt idx="7">
                  <c:v>4.7290404026548662</c:v>
                </c:pt>
                <c:pt idx="8">
                  <c:v>4.2604344976593449</c:v>
                </c:pt>
                <c:pt idx="9">
                  <c:v>3.9894760230978261</c:v>
                </c:pt>
                <c:pt idx="10">
                  <c:v>4.0048842007926027</c:v>
                </c:pt>
                <c:pt idx="11">
                  <c:v>3.6988114049374805</c:v>
                </c:pt>
                <c:pt idx="12">
                  <c:v>3.5548849104571074</c:v>
                </c:pt>
                <c:pt idx="13">
                  <c:v>3.3782519853255888</c:v>
                </c:pt>
                <c:pt idx="14">
                  <c:v>3.2026645023696685</c:v>
                </c:pt>
                <c:pt idx="15">
                  <c:v>3.0873473716916</c:v>
                </c:pt>
                <c:pt idx="16">
                  <c:v>2.7786782621764545</c:v>
                </c:pt>
                <c:pt idx="17">
                  <c:v>3.1491500242914983</c:v>
                </c:pt>
                <c:pt idx="18">
                  <c:v>3.8656567312054868</c:v>
                </c:pt>
                <c:pt idx="19">
                  <c:v>3.7562366415963169</c:v>
                </c:pt>
                <c:pt idx="20">
                  <c:v>3.941465956489123</c:v>
                </c:pt>
                <c:pt idx="21">
                  <c:v>4.3745433359413202</c:v>
                </c:pt>
                <c:pt idx="22">
                  <c:v>5.0101280238038566</c:v>
                </c:pt>
                <c:pt idx="23">
                  <c:v>5.3291514467587175</c:v>
                </c:pt>
                <c:pt idx="24">
                  <c:v>5.4628531855955673</c:v>
                </c:pt>
                <c:pt idx="25">
                  <c:v>5.4144620971402642</c:v>
                </c:pt>
                <c:pt idx="26">
                  <c:v>5.3226185704742823</c:v>
                </c:pt>
                <c:pt idx="27">
                  <c:v>5.0637108433734941</c:v>
                </c:pt>
                <c:pt idx="28">
                  <c:v>9.5644355642023342</c:v>
                </c:pt>
                <c:pt idx="29">
                  <c:v>13.923345500957243</c:v>
                </c:pt>
                <c:pt idx="30">
                  <c:v>7.2192790386965378</c:v>
                </c:pt>
              </c:numCache>
            </c:numRef>
          </c:val>
          <c:smooth val="0"/>
          <c:extLst>
            <c:ext xmlns:c16="http://schemas.microsoft.com/office/drawing/2014/chart" uri="{C3380CC4-5D6E-409C-BE32-E72D297353CC}">
              <c16:uniqueId val="{00000001-52E8-4B4E-81D6-B0483722B117}"/>
            </c:ext>
          </c:extLst>
        </c:ser>
        <c:dLbls>
          <c:showLegendKey val="0"/>
          <c:showVal val="0"/>
          <c:showCatName val="0"/>
          <c:showSerName val="0"/>
          <c:showPercent val="0"/>
          <c:showBubbleSize val="0"/>
        </c:dLbls>
        <c:marker val="1"/>
        <c:smooth val="0"/>
        <c:axId val="128900480"/>
        <c:axId val="137106560"/>
      </c:lineChart>
      <c:lineChart>
        <c:grouping val="standard"/>
        <c:varyColors val="0"/>
        <c:ser>
          <c:idx val="2"/>
          <c:order val="2"/>
          <c:tx>
            <c:strRef>
              <c:f>'Fig 1-2'!$A$21</c:f>
              <c:strCache>
                <c:ptCount val="1"/>
                <c:pt idx="0">
                  <c:v>Real payment rates</c:v>
                </c:pt>
              </c:strCache>
            </c:strRef>
          </c:tx>
          <c:spPr>
            <a:ln w="28575">
              <a:solidFill>
                <a:srgbClr val="A14D7D"/>
              </a:solidFill>
            </a:ln>
          </c:spPr>
          <c:marker>
            <c:symbol val="none"/>
          </c:marker>
          <c:val>
            <c:numRef>
              <c:f>'Fig 1-2'!$B$21:$AF$21</c:f>
              <c:numCache>
                <c:formatCode>_-* #,##0_-;\-* #,##0_-;_-* "-"??_-;_-@_-</c:formatCode>
                <c:ptCount val="31"/>
                <c:pt idx="0">
                  <c:v>276.47500000000002</c:v>
                </c:pt>
                <c:pt idx="1">
                  <c:v>279.17728968089511</c:v>
                </c:pt>
                <c:pt idx="2">
                  <c:v>279.32893772893772</c:v>
                </c:pt>
                <c:pt idx="3">
                  <c:v>280.18509463722404</c:v>
                </c:pt>
                <c:pt idx="4">
                  <c:v>279.80423600605144</c:v>
                </c:pt>
                <c:pt idx="5">
                  <c:v>284.92877939529677</c:v>
                </c:pt>
                <c:pt idx="6">
                  <c:v>286.68483943241233</c:v>
                </c:pt>
                <c:pt idx="7">
                  <c:v>284.85176991150439</c:v>
                </c:pt>
                <c:pt idx="8">
                  <c:v>281.774540871444</c:v>
                </c:pt>
                <c:pt idx="9">
                  <c:v>284.77143342391304</c:v>
                </c:pt>
                <c:pt idx="10">
                  <c:v>287.06472919418758</c:v>
                </c:pt>
                <c:pt idx="11">
                  <c:v>286.90070535428026</c:v>
                </c:pt>
                <c:pt idx="12">
                  <c:v>287.71512210394491</c:v>
                </c:pt>
                <c:pt idx="13">
                  <c:v>287.9507490064201</c:v>
                </c:pt>
                <c:pt idx="14">
                  <c:v>286.28059834123223</c:v>
                </c:pt>
                <c:pt idx="15">
                  <c:v>287.9717779056387</c:v>
                </c:pt>
                <c:pt idx="16">
                  <c:v>285.95519064848321</c:v>
                </c:pt>
                <c:pt idx="17">
                  <c:v>288.26801619433201</c:v>
                </c:pt>
                <c:pt idx="18">
                  <c:v>287.88596676338699</c:v>
                </c:pt>
                <c:pt idx="19">
                  <c:v>286.67912509593248</c:v>
                </c:pt>
                <c:pt idx="20">
                  <c:v>289.34868717179302</c:v>
                </c:pt>
                <c:pt idx="21">
                  <c:v>287.82990220048902</c:v>
                </c:pt>
                <c:pt idx="22">
                  <c:v>285.56807902880269</c:v>
                </c:pt>
                <c:pt idx="23">
                  <c:v>287.93758483501051</c:v>
                </c:pt>
                <c:pt idx="24">
                  <c:v>288.52243767313013</c:v>
                </c:pt>
                <c:pt idx="25">
                  <c:v>287.33504312301409</c:v>
                </c:pt>
                <c:pt idx="26">
                  <c:v>287.00133600534406</c:v>
                </c:pt>
                <c:pt idx="27">
                  <c:v>287.95932092004381</c:v>
                </c:pt>
                <c:pt idx="28">
                  <c:v>352.78373740397086</c:v>
                </c:pt>
                <c:pt idx="29">
                  <c:v>410.03872989380335</c:v>
                </c:pt>
                <c:pt idx="30">
                  <c:v>308.73370672097764</c:v>
                </c:pt>
              </c:numCache>
            </c:numRef>
          </c:val>
          <c:smooth val="0"/>
          <c:extLst>
            <c:ext xmlns:c16="http://schemas.microsoft.com/office/drawing/2014/chart" uri="{C3380CC4-5D6E-409C-BE32-E72D297353CC}">
              <c16:uniqueId val="{00000002-52E8-4B4E-81D6-B0483722B117}"/>
            </c:ext>
          </c:extLst>
        </c:ser>
        <c:ser>
          <c:idx val="3"/>
          <c:order val="3"/>
          <c:tx>
            <c:strRef>
              <c:f>'Fig 1-2'!$A$20</c:f>
              <c:strCache>
                <c:ptCount val="1"/>
                <c:pt idx="0">
                  <c:v>Nominal payment rates</c:v>
                </c:pt>
              </c:strCache>
            </c:strRef>
          </c:tx>
          <c:spPr>
            <a:ln w="28575">
              <a:solidFill>
                <a:srgbClr val="C389B7"/>
              </a:solidFill>
            </a:ln>
          </c:spPr>
          <c:marker>
            <c:symbol val="none"/>
          </c:marker>
          <c:val>
            <c:numRef>
              <c:f>'Fig 1-2'!$B$20:$AF$20</c:f>
              <c:numCache>
                <c:formatCode>_-* #,##0_-;\-* #,##0_-;_-* "-"??_-;_-@_-</c:formatCode>
                <c:ptCount val="31"/>
                <c:pt idx="0">
                  <c:v>276.47500000000002</c:v>
                </c:pt>
                <c:pt idx="1">
                  <c:v>282.09999999999997</c:v>
                </c:pt>
                <c:pt idx="2">
                  <c:v>287.39999999999998</c:v>
                </c:pt>
                <c:pt idx="3">
                  <c:v>297.55</c:v>
                </c:pt>
                <c:pt idx="4">
                  <c:v>309.8</c:v>
                </c:pt>
                <c:pt idx="5">
                  <c:v>319.64999999999998</c:v>
                </c:pt>
                <c:pt idx="6">
                  <c:v>321.5</c:v>
                </c:pt>
                <c:pt idx="7">
                  <c:v>323.5</c:v>
                </c:pt>
                <c:pt idx="8">
                  <c:v>327.67499999999995</c:v>
                </c:pt>
                <c:pt idx="9">
                  <c:v>351.07499999999999</c:v>
                </c:pt>
                <c:pt idx="10">
                  <c:v>364</c:v>
                </c:pt>
                <c:pt idx="11">
                  <c:v>374.72500000000002</c:v>
                </c:pt>
                <c:pt idx="12">
                  <c:v>384.82499999999999</c:v>
                </c:pt>
                <c:pt idx="13">
                  <c:v>394.42500000000001</c:v>
                </c:pt>
                <c:pt idx="14">
                  <c:v>404.72500000000002</c:v>
                </c:pt>
                <c:pt idx="15">
                  <c:v>419.17500000000001</c:v>
                </c:pt>
                <c:pt idx="16">
                  <c:v>430.25</c:v>
                </c:pt>
                <c:pt idx="17">
                  <c:v>447.25</c:v>
                </c:pt>
                <c:pt idx="18">
                  <c:v>457.02499999999998</c:v>
                </c:pt>
                <c:pt idx="19">
                  <c:v>469.27499999999998</c:v>
                </c:pt>
                <c:pt idx="20">
                  <c:v>484.55</c:v>
                </c:pt>
                <c:pt idx="21">
                  <c:v>492.97500000000002</c:v>
                </c:pt>
                <c:pt idx="22">
                  <c:v>502.375</c:v>
                </c:pt>
                <c:pt idx="23">
                  <c:v>515.22500000000002</c:v>
                </c:pt>
                <c:pt idx="24">
                  <c:v>523.4</c:v>
                </c:pt>
                <c:pt idx="25">
                  <c:v>530.15</c:v>
                </c:pt>
                <c:pt idx="26">
                  <c:v>539.75</c:v>
                </c:pt>
                <c:pt idx="27">
                  <c:v>550.47500000000002</c:v>
                </c:pt>
                <c:pt idx="28">
                  <c:v>683.40769230769229</c:v>
                </c:pt>
                <c:pt idx="29">
                  <c:v>807.19935897435903</c:v>
                </c:pt>
                <c:pt idx="30">
                  <c:v>634.79166666666674</c:v>
                </c:pt>
              </c:numCache>
            </c:numRef>
          </c:val>
          <c:smooth val="0"/>
          <c:extLst>
            <c:ext xmlns:c16="http://schemas.microsoft.com/office/drawing/2014/chart" uri="{C3380CC4-5D6E-409C-BE32-E72D297353CC}">
              <c16:uniqueId val="{00000003-52E8-4B4E-81D6-B0483722B117}"/>
            </c:ext>
          </c:extLst>
        </c:ser>
        <c:dLbls>
          <c:showLegendKey val="0"/>
          <c:showVal val="0"/>
          <c:showCatName val="0"/>
          <c:showSerName val="0"/>
          <c:showPercent val="0"/>
          <c:showBubbleSize val="0"/>
        </c:dLbls>
        <c:marker val="1"/>
        <c:smooth val="0"/>
        <c:axId val="137561216"/>
        <c:axId val="137108480"/>
      </c:lineChart>
      <c:catAx>
        <c:axId val="128900480"/>
        <c:scaling>
          <c:orientation val="minMax"/>
        </c:scaling>
        <c:delete val="0"/>
        <c:axPos val="b"/>
        <c:numFmt formatCode="General" sourceLinked="0"/>
        <c:majorTickMark val="in"/>
        <c:minorTickMark val="none"/>
        <c:tickLblPos val="low"/>
        <c:spPr>
          <a:ln w="9525">
            <a:solidFill>
              <a:schemeClr val="bg1">
                <a:lumMod val="50000"/>
              </a:schemeClr>
            </a:solidFill>
            <a:prstDash val="solid"/>
          </a:ln>
        </c:spPr>
        <c:txPr>
          <a:bodyPr rot="0"/>
          <a:lstStyle/>
          <a:p>
            <a:pPr>
              <a:defRPr/>
            </a:pPr>
            <a:endParaRPr lang="en-US"/>
          </a:p>
        </c:txPr>
        <c:crossAx val="137106560"/>
        <c:crosses val="autoZero"/>
        <c:auto val="1"/>
        <c:lblAlgn val="ctr"/>
        <c:lblOffset val="100"/>
        <c:tickLblSkip val="5"/>
        <c:noMultiLvlLbl val="0"/>
      </c:catAx>
      <c:valAx>
        <c:axId val="137106560"/>
        <c:scaling>
          <c:orientation val="minMax"/>
        </c:scaling>
        <c:delete val="0"/>
        <c:axPos val="l"/>
        <c:title>
          <c:tx>
            <c:rich>
              <a:bodyPr rot="0" vert="horz"/>
              <a:lstStyle/>
              <a:p>
                <a:pPr>
                  <a:defRPr/>
                </a:pPr>
                <a:r>
                  <a:rPr lang="en-US"/>
                  <a:t>$b </a:t>
                </a:r>
              </a:p>
            </c:rich>
          </c:tx>
          <c:layout>
            <c:manualLayout>
              <c:xMode val="edge"/>
              <c:yMode val="edge"/>
              <c:x val="7.3380923256720687E-2"/>
              <c:y val="1.8203339635352516E-2"/>
            </c:manualLayout>
          </c:layout>
          <c:overlay val="0"/>
        </c:title>
        <c:numFmt formatCode="0" sourceLinked="0"/>
        <c:majorTickMark val="in"/>
        <c:minorTickMark val="none"/>
        <c:tickLblPos val="nextTo"/>
        <c:spPr>
          <a:ln w="9525">
            <a:solidFill>
              <a:schemeClr val="bg1">
                <a:lumMod val="50000"/>
              </a:schemeClr>
            </a:solidFill>
            <a:prstDash val="solid"/>
          </a:ln>
        </c:spPr>
        <c:crossAx val="128900480"/>
        <c:crosses val="autoZero"/>
        <c:crossBetween val="between"/>
      </c:valAx>
      <c:valAx>
        <c:axId val="137108480"/>
        <c:scaling>
          <c:orientation val="minMax"/>
          <c:min val="0"/>
        </c:scaling>
        <c:delete val="0"/>
        <c:axPos val="r"/>
        <c:title>
          <c:tx>
            <c:rich>
              <a:bodyPr rot="0" vert="horz"/>
              <a:lstStyle/>
              <a:p>
                <a:pPr>
                  <a:defRPr/>
                </a:pPr>
                <a:r>
                  <a:rPr lang="en-AU"/>
                  <a:t>$</a:t>
                </a:r>
              </a:p>
            </c:rich>
          </c:tx>
          <c:layout>
            <c:manualLayout>
              <c:xMode val="edge"/>
              <c:yMode val="edge"/>
              <c:x val="0.90511166091114781"/>
              <c:y val="1.634681780291666E-2"/>
            </c:manualLayout>
          </c:layout>
          <c:overlay val="0"/>
        </c:title>
        <c:numFmt formatCode="0" sourceLinked="0"/>
        <c:majorTickMark val="in"/>
        <c:minorTickMark val="none"/>
        <c:tickLblPos val="nextTo"/>
        <c:spPr>
          <a:ln w="9525">
            <a:solidFill>
              <a:schemeClr val="bg1">
                <a:lumMod val="50000"/>
              </a:schemeClr>
            </a:solidFill>
          </a:ln>
        </c:spPr>
        <c:crossAx val="137561216"/>
        <c:crosses val="max"/>
        <c:crossBetween val="between"/>
      </c:valAx>
      <c:catAx>
        <c:axId val="137561216"/>
        <c:scaling>
          <c:orientation val="minMax"/>
        </c:scaling>
        <c:delete val="1"/>
        <c:axPos val="b"/>
        <c:majorTickMark val="out"/>
        <c:minorTickMark val="none"/>
        <c:tickLblPos val="nextTo"/>
        <c:crossAx val="137108480"/>
        <c:crosses val="autoZero"/>
        <c:auto val="1"/>
        <c:lblAlgn val="ctr"/>
        <c:lblOffset val="100"/>
        <c:noMultiLvlLbl val="0"/>
      </c:catAx>
      <c:spPr>
        <a:solidFill>
          <a:srgbClr val="FFFFFF"/>
        </a:solidFill>
        <a:ln>
          <a:noFill/>
          <a:round/>
        </a:ln>
        <a:effectLst/>
        <a:extLst>
          <a:ext uri="{91240B29-F687-4F45-9708-019B960494DF}">
            <a14:hiddenLine xmlns:a14="http://schemas.microsoft.com/office/drawing/2010/main">
              <a:noFill/>
              <a:round/>
            </a14:hiddenLine>
          </a:ext>
        </a:extLst>
      </c:spPr>
    </c:plotArea>
    <c:plotVisOnly val="1"/>
    <c:dispBlanksAs val="gap"/>
    <c:showDLblsOverMax val="0"/>
  </c:chart>
  <c:spPr>
    <a:solidFill>
      <a:srgbClr val="FFFFFF"/>
    </a:solidFill>
    <a:ln w="9525" cap="flat" cmpd="sng" algn="ctr">
      <a:noFill/>
      <a:prstDash val="solid"/>
      <a:round/>
    </a:ln>
    <a:effectLst/>
    <a:extLst>
      <a:ext uri="{91240B29-F687-4F45-9708-019B960494DF}">
        <a14:hiddenLine xmlns:a14="http://schemas.microsoft.com/office/drawing/2010/main" w="9525" cap="flat" cmpd="sng" algn="ctr">
          <a:solidFill>
            <a:srgbClr val="000000">
              <a:tint val="75000"/>
              <a:shade val="95000"/>
              <a:satMod val="105000"/>
            </a:srgbClr>
          </a:solidFill>
          <a:prstDash val="solid"/>
          <a:round/>
        </a14:hiddenLine>
      </a:ext>
    </a:extLst>
  </c:spPr>
  <c:txPr>
    <a:bodyPr/>
    <a:lstStyle/>
    <a:p>
      <a:pPr>
        <a:defRPr sz="900" b="1"/>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94641975308642E-2"/>
          <c:y val="9.3248984740922206E-2"/>
          <c:w val="0.84639679485908093"/>
          <c:h val="0.78812297311115087"/>
        </c:manualLayout>
      </c:layout>
      <c:lineChart>
        <c:grouping val="standard"/>
        <c:varyColors val="0"/>
        <c:ser>
          <c:idx val="2"/>
          <c:order val="1"/>
          <c:tx>
            <c:strRef>
              <c:f>'https://pboprotected.sharepoint.com/sites/SRRHub/ADM  HPRM Export/20_107/Update 2022/[JobSeeker short paper update - charts from public data (and 1 BlueBook extracts).xlsx]Fig 1-3'!$B$23</c:f>
              <c:strCache>
                <c:ptCount val="1"/>
                <c:pt idx="0">
                  <c:v>Newstart recipients </c:v>
                </c:pt>
              </c:strCache>
            </c:strRef>
          </c:tx>
          <c:spPr>
            <a:ln>
              <a:solidFill>
                <a:srgbClr val="3D4D7D"/>
              </a:solidFill>
            </a:ln>
          </c:spPr>
          <c:marker>
            <c:symbol val="none"/>
          </c:marker>
          <c:cat>
            <c:numRef>
              <c:f>'[1]Fig 1-3'!$C$19:$AG$19</c:f>
              <c:numCache>
                <c:formatCode>General</c:formatCode>
                <c:ptCount val="31"/>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pt idx="25">
                  <c:v>2017</c:v>
                </c:pt>
                <c:pt idx="26">
                  <c:v>2018</c:v>
                </c:pt>
                <c:pt idx="27">
                  <c:v>2019</c:v>
                </c:pt>
                <c:pt idx="28">
                  <c:v>2020</c:v>
                </c:pt>
                <c:pt idx="29">
                  <c:v>2021</c:v>
                </c:pt>
                <c:pt idx="30">
                  <c:v>2022</c:v>
                </c:pt>
              </c:numCache>
            </c:numRef>
          </c:cat>
          <c:val>
            <c:numRef>
              <c:f>'[1]Fig 1-3'!$C$23:$AG$23</c:f>
              <c:numCache>
                <c:formatCode>General</c:formatCode>
                <c:ptCount val="31"/>
                <c:pt idx="0">
                  <c:v>831.03399999999999</c:v>
                </c:pt>
                <c:pt idx="1">
                  <c:v>889.56600000000003</c:v>
                </c:pt>
                <c:pt idx="2">
                  <c:v>848.59799999999996</c:v>
                </c:pt>
                <c:pt idx="3">
                  <c:v>773.65899999999999</c:v>
                </c:pt>
                <c:pt idx="4">
                  <c:v>790.54200000000003</c:v>
                </c:pt>
                <c:pt idx="5">
                  <c:v>769.85900000000004</c:v>
                </c:pt>
                <c:pt idx="6">
                  <c:v>759.81200000000001</c:v>
                </c:pt>
                <c:pt idx="7">
                  <c:v>629.17700000000002</c:v>
                </c:pt>
                <c:pt idx="8">
                  <c:v>552.87900000000002</c:v>
                </c:pt>
                <c:pt idx="9">
                  <c:v>541.00400000000002</c:v>
                </c:pt>
                <c:pt idx="10">
                  <c:v>554.82100000000003</c:v>
                </c:pt>
                <c:pt idx="11">
                  <c:v>512.33199999999999</c:v>
                </c:pt>
                <c:pt idx="12">
                  <c:v>483.09300000000002</c:v>
                </c:pt>
                <c:pt idx="13">
                  <c:v>453.61399999999998</c:v>
                </c:pt>
                <c:pt idx="14">
                  <c:v>437.66699999999997</c:v>
                </c:pt>
                <c:pt idx="15">
                  <c:v>417.79300000000001</c:v>
                </c:pt>
                <c:pt idx="16">
                  <c:v>399.40100000000001</c:v>
                </c:pt>
                <c:pt idx="17">
                  <c:v>520.19399999999996</c:v>
                </c:pt>
                <c:pt idx="18">
                  <c:v>553.89300000000003</c:v>
                </c:pt>
                <c:pt idx="19">
                  <c:v>527.48</c:v>
                </c:pt>
                <c:pt idx="20">
                  <c:v>549.77300000000002</c:v>
                </c:pt>
                <c:pt idx="21">
                  <c:v>660.673</c:v>
                </c:pt>
                <c:pt idx="22">
                  <c:v>705.81399999999996</c:v>
                </c:pt>
                <c:pt idx="23">
                  <c:v>748.71900000000005</c:v>
                </c:pt>
                <c:pt idx="24">
                  <c:v>732.1</c:v>
                </c:pt>
                <c:pt idx="25">
                  <c:v>733.08799999999997</c:v>
                </c:pt>
                <c:pt idx="26">
                  <c:v>727.53300000000002</c:v>
                </c:pt>
                <c:pt idx="27">
                  <c:v>686.78499999999997</c:v>
                </c:pt>
                <c:pt idx="28">
                  <c:v>1441.287</c:v>
                </c:pt>
                <c:pt idx="29">
                  <c:v>1001.253</c:v>
                </c:pt>
                <c:pt idx="30">
                  <c:v>831.601</c:v>
                </c:pt>
              </c:numCache>
            </c:numRef>
          </c:val>
          <c:smooth val="0"/>
          <c:extLst>
            <c:ext xmlns:c16="http://schemas.microsoft.com/office/drawing/2014/chart" uri="{C3380CC4-5D6E-409C-BE32-E72D297353CC}">
              <c16:uniqueId val="{00000000-A49A-4DD2-8423-4DCB7135DC68}"/>
            </c:ext>
          </c:extLst>
        </c:ser>
        <c:dLbls>
          <c:showLegendKey val="0"/>
          <c:showVal val="0"/>
          <c:showCatName val="0"/>
          <c:showSerName val="0"/>
          <c:showPercent val="0"/>
          <c:showBubbleSize val="0"/>
        </c:dLbls>
        <c:marker val="1"/>
        <c:smooth val="0"/>
        <c:axId val="166627200"/>
        <c:axId val="166628736"/>
      </c:lineChart>
      <c:lineChart>
        <c:grouping val="standard"/>
        <c:varyColors val="0"/>
        <c:ser>
          <c:idx val="1"/>
          <c:order val="0"/>
          <c:tx>
            <c:strRef>
              <c:f>'https://pboprotected.sharepoint.com/sites/SRRHub/ADM  HPRM Export/20_107/Update 2022/[JobSeeker short paper update - charts from public data (and 1 BlueBook extracts).xlsx]Fig 1-3'!$B$24</c:f>
              <c:strCache>
                <c:ptCount val="1"/>
                <c:pt idx="0">
                  <c:v>Unemployed persons</c:v>
                </c:pt>
              </c:strCache>
            </c:strRef>
          </c:tx>
          <c:spPr>
            <a:ln>
              <a:solidFill>
                <a:srgbClr val="7C8DBF"/>
              </a:solidFill>
            </a:ln>
          </c:spPr>
          <c:marker>
            <c:symbol val="none"/>
          </c:marker>
          <c:cat>
            <c:numRef>
              <c:f>'[1]Fig 1-3'!$C$19:$AG$19</c:f>
              <c:numCache>
                <c:formatCode>General</c:formatCode>
                <c:ptCount val="31"/>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pt idx="25">
                  <c:v>2017</c:v>
                </c:pt>
                <c:pt idx="26">
                  <c:v>2018</c:v>
                </c:pt>
                <c:pt idx="27">
                  <c:v>2019</c:v>
                </c:pt>
                <c:pt idx="28">
                  <c:v>2020</c:v>
                </c:pt>
                <c:pt idx="29">
                  <c:v>2021</c:v>
                </c:pt>
                <c:pt idx="30">
                  <c:v>2022</c:v>
                </c:pt>
              </c:numCache>
            </c:numRef>
          </c:cat>
          <c:val>
            <c:numRef>
              <c:f>'[1]Fig 1-3'!$C$24:$AG$24</c:f>
              <c:numCache>
                <c:formatCode>General</c:formatCode>
                <c:ptCount val="31"/>
                <c:pt idx="0">
                  <c:v>873.70563963333325</c:v>
                </c:pt>
                <c:pt idx="1">
                  <c:v>935.65403201666652</c:v>
                </c:pt>
                <c:pt idx="2">
                  <c:v>911.97928559999991</c:v>
                </c:pt>
                <c:pt idx="3">
                  <c:v>788.13351430833336</c:v>
                </c:pt>
                <c:pt idx="4">
                  <c:v>757.61771314999999</c:v>
                </c:pt>
                <c:pt idx="5">
                  <c:v>781.53499344166676</c:v>
                </c:pt>
                <c:pt idx="6">
                  <c:v>731.251698175</c:v>
                </c:pt>
                <c:pt idx="7">
                  <c:v>674.59700942500001</c:v>
                </c:pt>
                <c:pt idx="8">
                  <c:v>621.93120278333333</c:v>
                </c:pt>
                <c:pt idx="9">
                  <c:v>608.58220012499999</c:v>
                </c:pt>
                <c:pt idx="10">
                  <c:v>654.64656382500004</c:v>
                </c:pt>
                <c:pt idx="11">
                  <c:v>608.50183220833333</c:v>
                </c:pt>
                <c:pt idx="12">
                  <c:v>565.88715270833336</c:v>
                </c:pt>
                <c:pt idx="13">
                  <c:v>531.83883294999998</c:v>
                </c:pt>
                <c:pt idx="14">
                  <c:v>521.8707153416666</c:v>
                </c:pt>
                <c:pt idx="15">
                  <c:v>486.4012085833333</c:v>
                </c:pt>
                <c:pt idx="16">
                  <c:v>468.99104013333334</c:v>
                </c:pt>
                <c:pt idx="17">
                  <c:v>557.91814001666671</c:v>
                </c:pt>
                <c:pt idx="18">
                  <c:v>629.20808105833339</c:v>
                </c:pt>
                <c:pt idx="19">
                  <c:v>591.18326552499991</c:v>
                </c:pt>
                <c:pt idx="20">
                  <c:v>614.36000374999992</c:v>
                </c:pt>
                <c:pt idx="21">
                  <c:v>656.79511934166669</c:v>
                </c:pt>
                <c:pt idx="22">
                  <c:v>713.27999280000006</c:v>
                </c:pt>
                <c:pt idx="23">
                  <c:v>762.69408925000005</c:v>
                </c:pt>
                <c:pt idx="24">
                  <c:v>741.46542356666669</c:v>
                </c:pt>
                <c:pt idx="25">
                  <c:v>727.91375856666673</c:v>
                </c:pt>
                <c:pt idx="26">
                  <c:v>720.97159790833337</c:v>
                </c:pt>
                <c:pt idx="27">
                  <c:v>686.89424828333324</c:v>
                </c:pt>
                <c:pt idx="28">
                  <c:v>761.58501574999991</c:v>
                </c:pt>
                <c:pt idx="29">
                  <c:v>854.74914608333336</c:v>
                </c:pt>
                <c:pt idx="30">
                  <c:v>591.29733055833333</c:v>
                </c:pt>
              </c:numCache>
            </c:numRef>
          </c:val>
          <c:smooth val="0"/>
          <c:extLst>
            <c:ext xmlns:c16="http://schemas.microsoft.com/office/drawing/2014/chart" uri="{C3380CC4-5D6E-409C-BE32-E72D297353CC}">
              <c16:uniqueId val="{00000001-A49A-4DD2-8423-4DCB7135DC68}"/>
            </c:ext>
          </c:extLst>
        </c:ser>
        <c:dLbls>
          <c:showLegendKey val="0"/>
          <c:showVal val="0"/>
          <c:showCatName val="0"/>
          <c:showSerName val="0"/>
          <c:showPercent val="0"/>
          <c:showBubbleSize val="0"/>
        </c:dLbls>
        <c:marker val="1"/>
        <c:smooth val="0"/>
        <c:axId val="166636928"/>
        <c:axId val="166635008"/>
      </c:lineChart>
      <c:catAx>
        <c:axId val="166627200"/>
        <c:scaling>
          <c:orientation val="minMax"/>
        </c:scaling>
        <c:delete val="0"/>
        <c:axPos val="b"/>
        <c:numFmt formatCode="General" sourceLinked="1"/>
        <c:majorTickMark val="in"/>
        <c:minorTickMark val="none"/>
        <c:tickLblPos val="low"/>
        <c:spPr>
          <a:ln w="9525">
            <a:solidFill>
              <a:schemeClr val="bg1">
                <a:lumMod val="50000"/>
              </a:schemeClr>
            </a:solidFill>
            <a:prstDash val="solid"/>
          </a:ln>
        </c:spPr>
        <c:txPr>
          <a:bodyPr rot="0" vert="horz"/>
          <a:lstStyle/>
          <a:p>
            <a:pPr>
              <a:defRPr/>
            </a:pPr>
            <a:endParaRPr lang="en-US"/>
          </a:p>
        </c:txPr>
        <c:crossAx val="166628736"/>
        <c:crosses val="autoZero"/>
        <c:auto val="1"/>
        <c:lblAlgn val="ctr"/>
        <c:lblOffset val="100"/>
        <c:tickLblSkip val="3"/>
        <c:noMultiLvlLbl val="0"/>
      </c:catAx>
      <c:valAx>
        <c:axId val="166628736"/>
        <c:scaling>
          <c:orientation val="minMax"/>
          <c:min val="300"/>
        </c:scaling>
        <c:delete val="0"/>
        <c:axPos val="l"/>
        <c:title>
          <c:tx>
            <c:rich>
              <a:bodyPr rot="0" vert="horz"/>
              <a:lstStyle/>
              <a:p>
                <a:pPr>
                  <a:defRPr/>
                </a:pPr>
                <a:r>
                  <a:rPr lang="en-US"/>
                  <a:t>'000</a:t>
                </a:r>
              </a:p>
            </c:rich>
          </c:tx>
          <c:layout>
            <c:manualLayout>
              <c:xMode val="edge"/>
              <c:yMode val="edge"/>
              <c:x val="7.5338702793825443E-2"/>
              <c:y val="1.6032067501316017E-2"/>
            </c:manualLayout>
          </c:layout>
          <c:overlay val="0"/>
        </c:title>
        <c:numFmt formatCode="#,##0" sourceLinked="0"/>
        <c:majorTickMark val="in"/>
        <c:minorTickMark val="none"/>
        <c:tickLblPos val="nextTo"/>
        <c:spPr>
          <a:ln w="9525">
            <a:solidFill>
              <a:schemeClr val="bg1">
                <a:lumMod val="50000"/>
              </a:schemeClr>
            </a:solidFill>
            <a:prstDash val="solid"/>
          </a:ln>
        </c:spPr>
        <c:crossAx val="166627200"/>
        <c:crosses val="autoZero"/>
        <c:crossBetween val="between"/>
      </c:valAx>
      <c:valAx>
        <c:axId val="166635008"/>
        <c:scaling>
          <c:orientation val="minMax"/>
          <c:max val="1500"/>
          <c:min val="300"/>
        </c:scaling>
        <c:delete val="0"/>
        <c:axPos val="r"/>
        <c:title>
          <c:tx>
            <c:rich>
              <a:bodyPr rot="0" vert="horz"/>
              <a:lstStyle/>
              <a:p>
                <a:pPr>
                  <a:defRPr/>
                </a:pPr>
                <a:r>
                  <a:rPr lang="en-US"/>
                  <a:t>'000</a:t>
                </a:r>
              </a:p>
            </c:rich>
          </c:tx>
          <c:layout>
            <c:manualLayout>
              <c:xMode val="edge"/>
              <c:yMode val="edge"/>
              <c:x val="0.87427814911045421"/>
              <c:y val="1.6032067501316017E-2"/>
            </c:manualLayout>
          </c:layout>
          <c:overlay val="0"/>
        </c:title>
        <c:numFmt formatCode="#,##0" sourceLinked="0"/>
        <c:majorTickMark val="in"/>
        <c:minorTickMark val="none"/>
        <c:tickLblPos val="nextTo"/>
        <c:spPr>
          <a:ln w="9525">
            <a:solidFill>
              <a:schemeClr val="bg1">
                <a:lumMod val="50000"/>
              </a:schemeClr>
            </a:solidFill>
            <a:prstDash val="solid"/>
          </a:ln>
        </c:spPr>
        <c:crossAx val="166636928"/>
        <c:crosses val="max"/>
        <c:crossBetween val="between"/>
      </c:valAx>
      <c:catAx>
        <c:axId val="166636928"/>
        <c:scaling>
          <c:orientation val="minMax"/>
        </c:scaling>
        <c:delete val="1"/>
        <c:axPos val="b"/>
        <c:numFmt formatCode="General" sourceLinked="1"/>
        <c:majorTickMark val="out"/>
        <c:minorTickMark val="none"/>
        <c:tickLblPos val="nextTo"/>
        <c:crossAx val="166635008"/>
        <c:crosses val="autoZero"/>
        <c:auto val="1"/>
        <c:lblAlgn val="ctr"/>
        <c:lblOffset val="100"/>
        <c:noMultiLvlLbl val="0"/>
      </c:catAx>
      <c:spPr>
        <a:solidFill>
          <a:srgbClr val="FFFFFF"/>
        </a:solidFill>
        <a:ln>
          <a:noFill/>
          <a:round/>
        </a:ln>
        <a:effectLst/>
        <a:extLst>
          <a:ext uri="{91240B29-F687-4F45-9708-019B960494DF}">
            <a14:hiddenLine xmlns:a14="http://schemas.microsoft.com/office/drawing/2010/main">
              <a:noFill/>
              <a:round/>
            </a14:hiddenLine>
          </a:ext>
        </a:extLst>
      </c:spPr>
    </c:plotArea>
    <c:plotVisOnly val="1"/>
    <c:dispBlanksAs val="gap"/>
    <c:showDLblsOverMax val="0"/>
  </c:chart>
  <c:spPr>
    <a:solidFill>
      <a:srgbClr val="FFFFFF"/>
    </a:solidFill>
    <a:ln w="9525" cap="flat" cmpd="sng" algn="ctr">
      <a:noFill/>
      <a:prstDash val="solid"/>
      <a:round/>
    </a:ln>
    <a:effectLst/>
    <a:extLst>
      <a:ext uri="{91240B29-F687-4F45-9708-019B960494DF}">
        <a14:hiddenLine xmlns:a14="http://schemas.microsoft.com/office/drawing/2010/main" w="9525" cap="flat" cmpd="sng" algn="ctr">
          <a:solidFill>
            <a:srgbClr val="202C47">
              <a:tint val="75000"/>
              <a:shade val="95000"/>
              <a:satMod val="105000"/>
            </a:srgbClr>
          </a:solidFill>
          <a:prstDash val="solid"/>
          <a:round/>
        </a14:hiddenLine>
      </a:ext>
    </a:extLst>
  </c:spPr>
  <c:txPr>
    <a:bodyPr/>
    <a:lstStyle/>
    <a:p>
      <a:pPr>
        <a:defRPr sz="900" b="1"/>
      </a:pPr>
      <a:endParaRPr lang="en-US"/>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501794958249861E-2"/>
          <c:y val="8.8914856256314484E-2"/>
          <c:w val="0.85902060731073604"/>
          <c:h val="0.78756121956484504"/>
        </c:manualLayout>
      </c:layout>
      <c:lineChart>
        <c:grouping val="standard"/>
        <c:varyColors val="0"/>
        <c:ser>
          <c:idx val="0"/>
          <c:order val="0"/>
          <c:spPr>
            <a:ln>
              <a:solidFill>
                <a:schemeClr val="bg2">
                  <a:lumMod val="40000"/>
                  <a:lumOff val="60000"/>
                </a:schemeClr>
              </a:solidFill>
            </a:ln>
          </c:spPr>
          <c:marker>
            <c:symbol val="none"/>
          </c:marker>
          <c:dPt>
            <c:idx val="13"/>
            <c:marker>
              <c:symbol val="circle"/>
              <c:size val="10"/>
              <c:spPr>
                <a:solidFill>
                  <a:srgbClr val="C00000"/>
                </a:solidFill>
                <a:ln>
                  <a:solidFill>
                    <a:srgbClr val="C00000"/>
                  </a:solidFill>
                </a:ln>
              </c:spPr>
            </c:marker>
            <c:bubble3D val="0"/>
            <c:extLst>
              <c:ext xmlns:c16="http://schemas.microsoft.com/office/drawing/2014/chart" uri="{C3380CC4-5D6E-409C-BE32-E72D297353CC}">
                <c16:uniqueId val="{00000000-9DB9-46DD-8D34-E5B3EF09FB27}"/>
              </c:ext>
            </c:extLst>
          </c:dPt>
          <c:cat>
            <c:numRef>
              <c:f>'Fig 2-6 Durations'!$C$5:$R$5</c:f>
              <c:numCache>
                <c:formatCode>mmm\-yy</c:formatCode>
                <c:ptCount val="16"/>
                <c:pt idx="0">
                  <c:v>39263</c:v>
                </c:pt>
                <c:pt idx="1">
                  <c:v>39629</c:v>
                </c:pt>
                <c:pt idx="2">
                  <c:v>39994</c:v>
                </c:pt>
                <c:pt idx="3">
                  <c:v>40359</c:v>
                </c:pt>
                <c:pt idx="4">
                  <c:v>40724</c:v>
                </c:pt>
                <c:pt idx="5">
                  <c:v>41090</c:v>
                </c:pt>
                <c:pt idx="6">
                  <c:v>41455</c:v>
                </c:pt>
                <c:pt idx="7">
                  <c:v>41820</c:v>
                </c:pt>
                <c:pt idx="8">
                  <c:v>42185</c:v>
                </c:pt>
                <c:pt idx="9">
                  <c:v>42551</c:v>
                </c:pt>
                <c:pt idx="10">
                  <c:v>42916</c:v>
                </c:pt>
                <c:pt idx="11">
                  <c:v>43281</c:v>
                </c:pt>
                <c:pt idx="12">
                  <c:v>43646</c:v>
                </c:pt>
                <c:pt idx="13">
                  <c:v>44012</c:v>
                </c:pt>
                <c:pt idx="14">
                  <c:v>44377</c:v>
                </c:pt>
                <c:pt idx="15">
                  <c:v>44742</c:v>
                </c:pt>
              </c:numCache>
            </c:numRef>
          </c:cat>
          <c:val>
            <c:numRef>
              <c:f>'Fig 2-6 Durations'!$C$17:$R$17</c:f>
              <c:numCache>
                <c:formatCode>_-* #,##0_-;\-* #,##0_-;_-* "-"??_-;_-@_-</c:formatCode>
                <c:ptCount val="16"/>
                <c:pt idx="0">
                  <c:v>50.176762176484523</c:v>
                </c:pt>
                <c:pt idx="1">
                  <c:v>50.217701007258363</c:v>
                </c:pt>
                <c:pt idx="2">
                  <c:v>59.323060242909378</c:v>
                </c:pt>
                <c:pt idx="3">
                  <c:v>50.080250156618703</c:v>
                </c:pt>
                <c:pt idx="4">
                  <c:v>47.932623037840301</c:v>
                </c:pt>
                <c:pt idx="5">
                  <c:v>48.753576476109231</c:v>
                </c:pt>
                <c:pt idx="6">
                  <c:v>50.540585130616812</c:v>
                </c:pt>
                <c:pt idx="7" formatCode="0">
                  <c:v>41.701354747851418</c:v>
                </c:pt>
                <c:pt idx="8" formatCode="0">
                  <c:v>38.921945349323309</c:v>
                </c:pt>
                <c:pt idx="9" formatCode="0">
                  <c:v>37.366616582434091</c:v>
                </c:pt>
                <c:pt idx="10" formatCode="0">
                  <c:v>36.199883233663627</c:v>
                </c:pt>
                <c:pt idx="11" formatCode="0">
                  <c:v>33.069290327723962</c:v>
                </c:pt>
                <c:pt idx="12" formatCode="0">
                  <c:v>33.051100417161123</c:v>
                </c:pt>
                <c:pt idx="13" formatCode="0">
                  <c:v>63.628548651309558</c:v>
                </c:pt>
                <c:pt idx="14" formatCode="0">
                  <c:v>25.293507235433999</c:v>
                </c:pt>
                <c:pt idx="15" formatCode="0">
                  <c:v>27.105186261199783</c:v>
                </c:pt>
              </c:numCache>
            </c:numRef>
          </c:val>
          <c:smooth val="0"/>
          <c:extLst>
            <c:ext xmlns:c16="http://schemas.microsoft.com/office/drawing/2014/chart" uri="{C3380CC4-5D6E-409C-BE32-E72D297353CC}">
              <c16:uniqueId val="{00000001-9DB9-46DD-8D34-E5B3EF09FB27}"/>
            </c:ext>
          </c:extLst>
        </c:ser>
        <c:dLbls>
          <c:showLegendKey val="0"/>
          <c:showVal val="0"/>
          <c:showCatName val="0"/>
          <c:showSerName val="0"/>
          <c:showPercent val="0"/>
          <c:showBubbleSize val="0"/>
        </c:dLbls>
        <c:marker val="1"/>
        <c:smooth val="0"/>
        <c:axId val="160925952"/>
        <c:axId val="160940032"/>
      </c:lineChart>
      <c:lineChart>
        <c:grouping val="standard"/>
        <c:varyColors val="0"/>
        <c:ser>
          <c:idx val="1"/>
          <c:order val="1"/>
          <c:spPr>
            <a:ln>
              <a:solidFill>
                <a:srgbClr val="7C8DBF"/>
              </a:solidFill>
            </a:ln>
          </c:spPr>
          <c:marker>
            <c:symbol val="none"/>
          </c:marker>
          <c:dPt>
            <c:idx val="14"/>
            <c:marker>
              <c:symbol val="circle"/>
              <c:size val="10"/>
              <c:spPr>
                <a:solidFill>
                  <a:srgbClr val="C00000"/>
                </a:solidFill>
                <a:ln>
                  <a:solidFill>
                    <a:srgbClr val="C00000"/>
                  </a:solidFill>
                </a:ln>
              </c:spPr>
            </c:marker>
            <c:bubble3D val="0"/>
            <c:extLst>
              <c:ext xmlns:c16="http://schemas.microsoft.com/office/drawing/2014/chart" uri="{C3380CC4-5D6E-409C-BE32-E72D297353CC}">
                <c16:uniqueId val="{00000002-9DB9-46DD-8D34-E5B3EF09FB27}"/>
              </c:ext>
            </c:extLst>
          </c:dPt>
          <c:cat>
            <c:numRef>
              <c:f>'Fig 2-6 Durations'!$C$5:$R$5</c:f>
              <c:numCache>
                <c:formatCode>mmm\-yy</c:formatCode>
                <c:ptCount val="16"/>
                <c:pt idx="0">
                  <c:v>39263</c:v>
                </c:pt>
                <c:pt idx="1">
                  <c:v>39629</c:v>
                </c:pt>
                <c:pt idx="2">
                  <c:v>39994</c:v>
                </c:pt>
                <c:pt idx="3">
                  <c:v>40359</c:v>
                </c:pt>
                <c:pt idx="4">
                  <c:v>40724</c:v>
                </c:pt>
                <c:pt idx="5">
                  <c:v>41090</c:v>
                </c:pt>
                <c:pt idx="6">
                  <c:v>41455</c:v>
                </c:pt>
                <c:pt idx="7">
                  <c:v>41820</c:v>
                </c:pt>
                <c:pt idx="8">
                  <c:v>42185</c:v>
                </c:pt>
                <c:pt idx="9">
                  <c:v>42551</c:v>
                </c:pt>
                <c:pt idx="10">
                  <c:v>42916</c:v>
                </c:pt>
                <c:pt idx="11">
                  <c:v>43281</c:v>
                </c:pt>
                <c:pt idx="12">
                  <c:v>43646</c:v>
                </c:pt>
                <c:pt idx="13">
                  <c:v>44012</c:v>
                </c:pt>
                <c:pt idx="14">
                  <c:v>44377</c:v>
                </c:pt>
                <c:pt idx="15">
                  <c:v>44742</c:v>
                </c:pt>
              </c:numCache>
            </c:numRef>
          </c:cat>
          <c:val>
            <c:numRef>
              <c:f>'Fig 2-6 Durations'!$C$18:$R$18</c:f>
              <c:numCache>
                <c:formatCode>_-* #,##0_-;\-* #,##0_-;_-* "-"??_-;_-@_-</c:formatCode>
                <c:ptCount val="16"/>
                <c:pt idx="0">
                  <c:v>17.730790128125651</c:v>
                </c:pt>
                <c:pt idx="1">
                  <c:v>17.873515589595417</c:v>
                </c:pt>
                <c:pt idx="2">
                  <c:v>16.087459678504558</c:v>
                </c:pt>
                <c:pt idx="3">
                  <c:v>24.006622217648534</c:v>
                </c:pt>
                <c:pt idx="4">
                  <c:v>20.321718358989916</c:v>
                </c:pt>
                <c:pt idx="5">
                  <c:v>18.957096838149564</c:v>
                </c:pt>
                <c:pt idx="6">
                  <c:v>19.485131070892862</c:v>
                </c:pt>
                <c:pt idx="7" formatCode="0">
                  <c:v>25.568350868642447</c:v>
                </c:pt>
                <c:pt idx="8" formatCode="0">
                  <c:v>20.537478012445256</c:v>
                </c:pt>
                <c:pt idx="9" formatCode="0">
                  <c:v>19.000409780084688</c:v>
                </c:pt>
                <c:pt idx="10" formatCode="0">
                  <c:v>18.561209568291936</c:v>
                </c:pt>
                <c:pt idx="11" formatCode="0">
                  <c:v>18.804232935138337</c:v>
                </c:pt>
                <c:pt idx="12" formatCode="0">
                  <c:v>17.275420983277154</c:v>
                </c:pt>
                <c:pt idx="13" formatCode="0">
                  <c:v>10.340688565150453</c:v>
                </c:pt>
                <c:pt idx="14" formatCode="0">
                  <c:v>34.099972734164091</c:v>
                </c:pt>
                <c:pt idx="15" formatCode="0">
                  <c:v>13.853518694662464</c:v>
                </c:pt>
              </c:numCache>
            </c:numRef>
          </c:val>
          <c:smooth val="0"/>
          <c:extLst>
            <c:ext xmlns:c16="http://schemas.microsoft.com/office/drawing/2014/chart" uri="{C3380CC4-5D6E-409C-BE32-E72D297353CC}">
              <c16:uniqueId val="{00000003-9DB9-46DD-8D34-E5B3EF09FB27}"/>
            </c:ext>
          </c:extLst>
        </c:ser>
        <c:ser>
          <c:idx val="2"/>
          <c:order val="2"/>
          <c:spPr>
            <a:ln>
              <a:solidFill>
                <a:srgbClr val="3D4D7D"/>
              </a:solidFill>
            </a:ln>
          </c:spPr>
          <c:marker>
            <c:symbol val="none"/>
          </c:marker>
          <c:dPt>
            <c:idx val="15"/>
            <c:marker>
              <c:symbol val="circle"/>
              <c:size val="10"/>
              <c:spPr>
                <a:solidFill>
                  <a:srgbClr val="C00000"/>
                </a:solidFill>
                <a:ln>
                  <a:solidFill>
                    <a:srgbClr val="C00000"/>
                  </a:solidFill>
                </a:ln>
              </c:spPr>
            </c:marker>
            <c:bubble3D val="0"/>
            <c:extLst>
              <c:ext xmlns:c16="http://schemas.microsoft.com/office/drawing/2014/chart" uri="{C3380CC4-5D6E-409C-BE32-E72D297353CC}">
                <c16:uniqueId val="{00000004-9DB9-46DD-8D34-E5B3EF09FB27}"/>
              </c:ext>
            </c:extLst>
          </c:dPt>
          <c:cat>
            <c:numRef>
              <c:f>'Fig 2-6 Durations'!$C$5:$R$5</c:f>
              <c:numCache>
                <c:formatCode>mmm\-yy</c:formatCode>
                <c:ptCount val="16"/>
                <c:pt idx="0">
                  <c:v>39263</c:v>
                </c:pt>
                <c:pt idx="1">
                  <c:v>39629</c:v>
                </c:pt>
                <c:pt idx="2">
                  <c:v>39994</c:v>
                </c:pt>
                <c:pt idx="3">
                  <c:v>40359</c:v>
                </c:pt>
                <c:pt idx="4">
                  <c:v>40724</c:v>
                </c:pt>
                <c:pt idx="5">
                  <c:v>41090</c:v>
                </c:pt>
                <c:pt idx="6">
                  <c:v>41455</c:v>
                </c:pt>
                <c:pt idx="7">
                  <c:v>41820</c:v>
                </c:pt>
                <c:pt idx="8">
                  <c:v>42185</c:v>
                </c:pt>
                <c:pt idx="9">
                  <c:v>42551</c:v>
                </c:pt>
                <c:pt idx="10">
                  <c:v>42916</c:v>
                </c:pt>
                <c:pt idx="11">
                  <c:v>43281</c:v>
                </c:pt>
                <c:pt idx="12">
                  <c:v>43646</c:v>
                </c:pt>
                <c:pt idx="13">
                  <c:v>44012</c:v>
                </c:pt>
                <c:pt idx="14">
                  <c:v>44377</c:v>
                </c:pt>
                <c:pt idx="15">
                  <c:v>44742</c:v>
                </c:pt>
              </c:numCache>
            </c:numRef>
          </c:cat>
          <c:val>
            <c:numRef>
              <c:f>'Fig 2-6 Durations'!$C$19:$R$19</c:f>
              <c:numCache>
                <c:formatCode>_-* #,##0_-;\-* #,##0_-;_-* "-"??_-;_-@_-</c:formatCode>
                <c:ptCount val="16"/>
                <c:pt idx="0">
                  <c:v>19.981186855691693</c:v>
                </c:pt>
                <c:pt idx="1">
                  <c:v>19.771858357890942</c:v>
                </c:pt>
                <c:pt idx="2">
                  <c:v>15.809101988873381</c:v>
                </c:pt>
                <c:pt idx="3">
                  <c:v>17.544724342066068</c:v>
                </c:pt>
                <c:pt idx="4">
                  <c:v>23.186850686281947</c:v>
                </c:pt>
                <c:pt idx="5">
                  <c:v>23.468595220209068</c:v>
                </c:pt>
                <c:pt idx="6">
                  <c:v>21.355496592111379</c:v>
                </c:pt>
                <c:pt idx="7" formatCode="0">
                  <c:v>22.490627842462747</c:v>
                </c:pt>
                <c:pt idx="8" formatCode="0">
                  <c:v>29.051353044333055</c:v>
                </c:pt>
                <c:pt idx="9" formatCode="0">
                  <c:v>30.567408823931157</c:v>
                </c:pt>
                <c:pt idx="10" formatCode="0">
                  <c:v>30.034456981972152</c:v>
                </c:pt>
                <c:pt idx="11" formatCode="0">
                  <c:v>27.805474115950759</c:v>
                </c:pt>
                <c:pt idx="12" formatCode="0">
                  <c:v>27.40959688985636</c:v>
                </c:pt>
                <c:pt idx="13" formatCode="0">
                  <c:v>14.146800741281924</c:v>
                </c:pt>
                <c:pt idx="14" formatCode="0">
                  <c:v>22.125776402168086</c:v>
                </c:pt>
                <c:pt idx="15" formatCode="0">
                  <c:v>35.961115967874022</c:v>
                </c:pt>
              </c:numCache>
            </c:numRef>
          </c:val>
          <c:smooth val="0"/>
          <c:extLst>
            <c:ext xmlns:c16="http://schemas.microsoft.com/office/drawing/2014/chart" uri="{C3380CC4-5D6E-409C-BE32-E72D297353CC}">
              <c16:uniqueId val="{00000005-9DB9-46DD-8D34-E5B3EF09FB27}"/>
            </c:ext>
          </c:extLst>
        </c:ser>
        <c:ser>
          <c:idx val="3"/>
          <c:order val="3"/>
          <c:spPr>
            <a:ln>
              <a:solidFill>
                <a:srgbClr val="2E3A5E"/>
              </a:solidFill>
            </a:ln>
          </c:spPr>
          <c:marker>
            <c:symbol val="none"/>
          </c:marker>
          <c:cat>
            <c:numRef>
              <c:f>'Fig 2-6 Durations'!$C$5:$R$5</c:f>
              <c:numCache>
                <c:formatCode>mmm\-yy</c:formatCode>
                <c:ptCount val="16"/>
                <c:pt idx="0">
                  <c:v>39263</c:v>
                </c:pt>
                <c:pt idx="1">
                  <c:v>39629</c:v>
                </c:pt>
                <c:pt idx="2">
                  <c:v>39994</c:v>
                </c:pt>
                <c:pt idx="3">
                  <c:v>40359</c:v>
                </c:pt>
                <c:pt idx="4">
                  <c:v>40724</c:v>
                </c:pt>
                <c:pt idx="5">
                  <c:v>41090</c:v>
                </c:pt>
                <c:pt idx="6">
                  <c:v>41455</c:v>
                </c:pt>
                <c:pt idx="7">
                  <c:v>41820</c:v>
                </c:pt>
                <c:pt idx="8">
                  <c:v>42185</c:v>
                </c:pt>
                <c:pt idx="9">
                  <c:v>42551</c:v>
                </c:pt>
                <c:pt idx="10">
                  <c:v>42916</c:v>
                </c:pt>
                <c:pt idx="11">
                  <c:v>43281</c:v>
                </c:pt>
                <c:pt idx="12">
                  <c:v>43646</c:v>
                </c:pt>
                <c:pt idx="13">
                  <c:v>44012</c:v>
                </c:pt>
                <c:pt idx="14">
                  <c:v>44377</c:v>
                </c:pt>
                <c:pt idx="15">
                  <c:v>44742</c:v>
                </c:pt>
              </c:numCache>
            </c:numRef>
          </c:cat>
          <c:val>
            <c:numRef>
              <c:f>'Fig 2-6 Durations'!$C$20:$R$20</c:f>
              <c:numCache>
                <c:formatCode>_-* #,##0_-;\-* #,##0_-;_-* "-"??_-;_-@_-</c:formatCode>
                <c:ptCount val="16"/>
                <c:pt idx="0">
                  <c:v>12.111260839698128</c:v>
                </c:pt>
                <c:pt idx="1">
                  <c:v>12.136925045255269</c:v>
                </c:pt>
                <c:pt idx="2">
                  <c:v>8.7803780897126842</c:v>
                </c:pt>
                <c:pt idx="3">
                  <c:v>8.3684032836666997</c:v>
                </c:pt>
                <c:pt idx="4">
                  <c:v>8.5588079168878437</c:v>
                </c:pt>
                <c:pt idx="5">
                  <c:v>8.8207314655321376</c:v>
                </c:pt>
                <c:pt idx="6">
                  <c:v>8.6187872063789506</c:v>
                </c:pt>
                <c:pt idx="7">
                  <c:v>10.239666541043391</c:v>
                </c:pt>
                <c:pt idx="8">
                  <c:v>11.489223593898378</c:v>
                </c:pt>
                <c:pt idx="9">
                  <c:v>13.065564813550063</c:v>
                </c:pt>
                <c:pt idx="10">
                  <c:v>15.204450216072285</c:v>
                </c:pt>
                <c:pt idx="11">
                  <c:v>20.321002621186942</c:v>
                </c:pt>
                <c:pt idx="12">
                  <c:v>22.263881709705366</c:v>
                </c:pt>
                <c:pt idx="13">
                  <c:v>11.883962042258066</c:v>
                </c:pt>
                <c:pt idx="14">
                  <c:v>18.480743628233824</c:v>
                </c:pt>
                <c:pt idx="15">
                  <c:v>23.080179076263736</c:v>
                </c:pt>
              </c:numCache>
            </c:numRef>
          </c:val>
          <c:smooth val="0"/>
          <c:extLst>
            <c:ext xmlns:c16="http://schemas.microsoft.com/office/drawing/2014/chart" uri="{C3380CC4-5D6E-409C-BE32-E72D297353CC}">
              <c16:uniqueId val="{00000006-9DB9-46DD-8D34-E5B3EF09FB27}"/>
            </c:ext>
          </c:extLst>
        </c:ser>
        <c:dLbls>
          <c:showLegendKey val="0"/>
          <c:showVal val="0"/>
          <c:showCatName val="0"/>
          <c:showSerName val="0"/>
          <c:showPercent val="0"/>
          <c:showBubbleSize val="0"/>
        </c:dLbls>
        <c:marker val="1"/>
        <c:smooth val="0"/>
        <c:axId val="160948224"/>
        <c:axId val="160941952"/>
      </c:lineChart>
      <c:dateAx>
        <c:axId val="160925952"/>
        <c:scaling>
          <c:orientation val="minMax"/>
          <c:max val="44562"/>
        </c:scaling>
        <c:delete val="0"/>
        <c:axPos val="b"/>
        <c:numFmt formatCode="yyyy" sourceLinked="0"/>
        <c:majorTickMark val="in"/>
        <c:minorTickMark val="none"/>
        <c:tickLblPos val="low"/>
        <c:spPr>
          <a:ln w="9525">
            <a:solidFill>
              <a:schemeClr val="bg1">
                <a:lumMod val="50000"/>
              </a:schemeClr>
            </a:solidFill>
          </a:ln>
        </c:spPr>
        <c:txPr>
          <a:bodyPr rot="0" vert="horz"/>
          <a:lstStyle/>
          <a:p>
            <a:pPr>
              <a:defRPr b="1"/>
            </a:pPr>
            <a:endParaRPr lang="en-US"/>
          </a:p>
        </c:txPr>
        <c:crossAx val="160940032"/>
        <c:crosses val="autoZero"/>
        <c:auto val="1"/>
        <c:lblOffset val="100"/>
        <c:baseTimeUnit val="years"/>
        <c:majorUnit val="3"/>
        <c:majorTimeUnit val="years"/>
      </c:dateAx>
      <c:valAx>
        <c:axId val="160940032"/>
        <c:scaling>
          <c:orientation val="minMax"/>
          <c:max val="70"/>
        </c:scaling>
        <c:delete val="0"/>
        <c:axPos val="l"/>
        <c:title>
          <c:tx>
            <c:rich>
              <a:bodyPr rot="0" vert="horz"/>
              <a:lstStyle/>
              <a:p>
                <a:pPr algn="l">
                  <a:defRPr b="1"/>
                </a:pPr>
                <a:r>
                  <a:rPr lang="en-AU" sz="800" b="1"/>
                  <a:t>%</a:t>
                </a:r>
              </a:p>
            </c:rich>
          </c:tx>
          <c:layout>
            <c:manualLayout>
              <c:xMode val="edge"/>
              <c:yMode val="edge"/>
              <c:x val="6.9628314722624401E-2"/>
              <c:y val="2.1376090001754691E-2"/>
            </c:manualLayout>
          </c:layout>
          <c:overlay val="0"/>
        </c:title>
        <c:numFmt formatCode="0" sourceLinked="0"/>
        <c:majorTickMark val="in"/>
        <c:minorTickMark val="none"/>
        <c:tickLblPos val="nextTo"/>
        <c:spPr>
          <a:ln w="9525">
            <a:solidFill>
              <a:schemeClr val="bg1">
                <a:lumMod val="50000"/>
              </a:schemeClr>
            </a:solidFill>
          </a:ln>
        </c:spPr>
        <c:txPr>
          <a:bodyPr/>
          <a:lstStyle/>
          <a:p>
            <a:pPr>
              <a:defRPr b="1"/>
            </a:pPr>
            <a:endParaRPr lang="en-US"/>
          </a:p>
        </c:txPr>
        <c:crossAx val="160925952"/>
        <c:crosses val="autoZero"/>
        <c:crossBetween val="midCat"/>
      </c:valAx>
      <c:valAx>
        <c:axId val="160941952"/>
        <c:scaling>
          <c:orientation val="minMax"/>
          <c:max val="70"/>
          <c:min val="0"/>
        </c:scaling>
        <c:delete val="0"/>
        <c:axPos val="r"/>
        <c:title>
          <c:tx>
            <c:rich>
              <a:bodyPr rot="0" vert="horz"/>
              <a:lstStyle/>
              <a:p>
                <a:pPr marL="0" marR="0" lvl="0" indent="0" algn="l"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AU" sz="800" b="1" i="0" baseline="0">
                    <a:effectLst/>
                  </a:rPr>
                  <a:t>%</a:t>
                </a:r>
                <a:endParaRPr lang="en-AU" sz="800" b="1">
                  <a:effectLst/>
                </a:endParaRPr>
              </a:p>
            </c:rich>
          </c:tx>
          <c:layout>
            <c:manualLayout>
              <c:xMode val="edge"/>
              <c:yMode val="edge"/>
              <c:x val="0.89676312501239597"/>
              <c:y val="2.1376090001754691E-2"/>
            </c:manualLayout>
          </c:layout>
          <c:overlay val="0"/>
        </c:title>
        <c:numFmt formatCode="0" sourceLinked="0"/>
        <c:majorTickMark val="in"/>
        <c:minorTickMark val="none"/>
        <c:tickLblPos val="nextTo"/>
        <c:spPr>
          <a:ln w="9525">
            <a:solidFill>
              <a:schemeClr val="bg1">
                <a:lumMod val="50000"/>
              </a:schemeClr>
            </a:solidFill>
          </a:ln>
        </c:spPr>
        <c:txPr>
          <a:bodyPr rot="-60000000" vert="horz"/>
          <a:lstStyle/>
          <a:p>
            <a:pPr>
              <a:defRPr b="1"/>
            </a:pPr>
            <a:endParaRPr lang="en-US"/>
          </a:p>
        </c:txPr>
        <c:crossAx val="160948224"/>
        <c:crosses val="max"/>
        <c:crossBetween val="between"/>
        <c:majorUnit val="10"/>
        <c:minorUnit val="2"/>
      </c:valAx>
      <c:dateAx>
        <c:axId val="160948224"/>
        <c:scaling>
          <c:orientation val="minMax"/>
        </c:scaling>
        <c:delete val="1"/>
        <c:axPos val="b"/>
        <c:numFmt formatCode="mmm\-yy" sourceLinked="1"/>
        <c:majorTickMark val="out"/>
        <c:minorTickMark val="none"/>
        <c:tickLblPos val="nextTo"/>
        <c:crossAx val="160941952"/>
        <c:crosses val="autoZero"/>
        <c:auto val="1"/>
        <c:lblOffset val="100"/>
        <c:baseTimeUnit val="years"/>
      </c:dateAx>
      <c:spPr>
        <a:noFill/>
      </c:spPr>
    </c:plotArea>
    <c:plotVisOnly val="1"/>
    <c:dispBlanksAs val="gap"/>
    <c:showDLblsOverMax val="0"/>
  </c:chart>
  <c:spPr>
    <a:noFill/>
    <a:ln>
      <a:noFill/>
    </a:ln>
  </c:spPr>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0.07147</cdr:x>
      <cdr:y>0</cdr:y>
    </cdr:from>
    <cdr:to>
      <cdr:x>0.20001</cdr:x>
      <cdr:y>0.05828</cdr:y>
    </cdr:to>
    <cdr:sp macro="" textlink="">
      <cdr:nvSpPr>
        <cdr:cNvPr id="2" name="TextBox 4">
          <a:extLst xmlns:a="http://schemas.openxmlformats.org/drawingml/2006/main">
            <a:ext uri="{FF2B5EF4-FFF2-40B4-BE49-F238E27FC236}">
              <a16:creationId xmlns:a16="http://schemas.microsoft.com/office/drawing/2014/main" id="{91E48DF7-008B-F5DB-2424-B578203DC899}"/>
            </a:ext>
          </a:extLst>
        </cdr:cNvPr>
        <cdr:cNvSpPr txBox="1"/>
      </cdr:nvSpPr>
      <cdr:spPr>
        <a:xfrm xmlns:a="http://schemas.openxmlformats.org/drawingml/2006/main">
          <a:off x="360362" y="0"/>
          <a:ext cx="648072" cy="138499"/>
        </a:xfrm>
        <a:prstGeom xmlns:a="http://schemas.openxmlformats.org/drawingml/2006/main" prst="rect">
          <a:avLst/>
        </a:prstGeom>
        <a:noFill xmlns:a="http://schemas.openxmlformats.org/drawingml/2006/main"/>
      </cdr:spPr>
      <cdr:txBody>
        <a:bodyPr xmlns:a="http://schemas.openxmlformats.org/drawingml/2006/main" wrap="square" lIns="0" tIns="0" rIns="0" bIns="0"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en-US" sz="900" b="1" dirty="0"/>
            <a:t>% of GDP</a:t>
          </a:r>
          <a:endParaRPr lang="en-AU" sz="900" b="1" dirty="0"/>
        </a:p>
      </cdr:txBody>
    </cdr:sp>
  </cdr:relSizeAnchor>
  <cdr:relSizeAnchor xmlns:cdr="http://schemas.openxmlformats.org/drawingml/2006/chartDrawing">
    <cdr:from>
      <cdr:x>0.79999</cdr:x>
      <cdr:y>0</cdr:y>
    </cdr:from>
    <cdr:to>
      <cdr:x>0.92853</cdr:x>
      <cdr:y>0.05828</cdr:y>
    </cdr:to>
    <cdr:sp macro="" textlink="">
      <cdr:nvSpPr>
        <cdr:cNvPr id="3" name="TextBox 4">
          <a:extLst xmlns:a="http://schemas.openxmlformats.org/drawingml/2006/main">
            <a:ext uri="{FF2B5EF4-FFF2-40B4-BE49-F238E27FC236}">
              <a16:creationId xmlns:a16="http://schemas.microsoft.com/office/drawing/2014/main" id="{A75C9357-B014-00E6-5B74-34711F7DE604}"/>
            </a:ext>
          </a:extLst>
        </cdr:cNvPr>
        <cdr:cNvSpPr txBox="1"/>
      </cdr:nvSpPr>
      <cdr:spPr>
        <a:xfrm xmlns:a="http://schemas.openxmlformats.org/drawingml/2006/main">
          <a:off x="4033465" y="0"/>
          <a:ext cx="648072" cy="138499"/>
        </a:xfrm>
        <a:prstGeom xmlns:a="http://schemas.openxmlformats.org/drawingml/2006/main" prst="rect">
          <a:avLst/>
        </a:prstGeom>
        <a:noFill xmlns:a="http://schemas.openxmlformats.org/drawingml/2006/main"/>
      </cdr:spPr>
      <cdr:txBody>
        <a:bodyPr xmlns:a="http://schemas.openxmlformats.org/drawingml/2006/main" wrap="square" lIns="0" tIns="0" rIns="0" bIns="0"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900" b="1" dirty="0"/>
            <a:t>% of GDP</a:t>
          </a:r>
          <a:endParaRPr lang="en-AU" sz="900" b="1" dirty="0"/>
        </a:p>
      </cdr:txBody>
    </cdr:sp>
  </cdr:relSizeAnchor>
</c:userShapes>
</file>

<file path=word/drawings/drawing2.xml><?xml version="1.0" encoding="utf-8"?>
<c:userShapes xmlns:c="http://schemas.openxmlformats.org/drawingml/2006/chart">
  <cdr:relSizeAnchor xmlns:cdr="http://schemas.openxmlformats.org/drawingml/2006/chartDrawing">
    <cdr:from>
      <cdr:x>0.6571</cdr:x>
      <cdr:y>0.06199</cdr:y>
    </cdr:from>
    <cdr:to>
      <cdr:x>0.88982</cdr:x>
      <cdr:y>0.16946</cdr:y>
    </cdr:to>
    <cdr:sp macro="" textlink="">
      <cdr:nvSpPr>
        <cdr:cNvPr id="15" name="TextBox 3">
          <a:extLst xmlns:a="http://schemas.openxmlformats.org/drawingml/2006/main">
            <a:ext uri="{FF2B5EF4-FFF2-40B4-BE49-F238E27FC236}">
              <a16:creationId xmlns:a16="http://schemas.microsoft.com/office/drawing/2014/main" id="{D721FA98-E74F-C238-A428-77D7786BB3D7}"/>
            </a:ext>
          </a:extLst>
        </cdr:cNvPr>
        <cdr:cNvSpPr txBox="1"/>
      </cdr:nvSpPr>
      <cdr:spPr>
        <a:xfrm xmlns:a="http://schemas.openxmlformats.org/drawingml/2006/main">
          <a:off x="3313039" y="147307"/>
          <a:ext cx="1173351" cy="255401"/>
        </a:xfrm>
        <a:prstGeom xmlns:a="http://schemas.openxmlformats.org/drawingml/2006/main" prst="roundRect">
          <a:avLst/>
        </a:prstGeom>
        <a:ln xmlns:a="http://schemas.openxmlformats.org/drawingml/2006/main">
          <a:noFill/>
        </a:ln>
      </cdr:spPr>
      <cdr:style>
        <a:lnRef xmlns:a="http://schemas.openxmlformats.org/drawingml/2006/main" idx="2">
          <a:schemeClr val="accent3"/>
        </a:lnRef>
        <a:fillRef xmlns:a="http://schemas.openxmlformats.org/drawingml/2006/main" idx="1">
          <a:schemeClr val="lt1"/>
        </a:fillRef>
        <a:effectRef xmlns:a="http://schemas.openxmlformats.org/drawingml/2006/main" idx="0">
          <a:schemeClr val="accent3"/>
        </a:effectRef>
        <a:fontRef xmlns:a="http://schemas.openxmlformats.org/drawingml/2006/main" idx="minor">
          <a:schemeClr val="dk1"/>
        </a:fontRef>
      </cdr:style>
      <cdr:txBody>
        <a:bodyPr xmlns:a="http://schemas.openxmlformats.org/drawingml/2006/main" wrap="square" rtlCol="0">
          <a:sp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US" sz="900" dirty="0">
              <a:ln w="0"/>
              <a:effectLst>
                <a:outerShdw blurRad="38100" dist="19050" dir="2700000" algn="tl" rotWithShape="0">
                  <a:schemeClr val="dk1">
                    <a:alpha val="40000"/>
                  </a:schemeClr>
                </a:outerShdw>
              </a:effectLst>
            </a:rPr>
            <a:t>Workforce Australia</a:t>
          </a:r>
        </a:p>
      </cdr:txBody>
    </cdr:sp>
  </cdr:relSizeAnchor>
  <cdr:relSizeAnchor xmlns:cdr="http://schemas.openxmlformats.org/drawingml/2006/chartDrawing">
    <cdr:from>
      <cdr:x>0.36398</cdr:x>
      <cdr:y>0.38082</cdr:y>
    </cdr:from>
    <cdr:to>
      <cdr:x>0.61487</cdr:x>
      <cdr:y>0.54594</cdr:y>
    </cdr:to>
    <cdr:sp macro="" textlink="">
      <cdr:nvSpPr>
        <cdr:cNvPr id="2" name="TextBox 1">
          <a:extLst xmlns:a="http://schemas.openxmlformats.org/drawingml/2006/main">
            <a:ext uri="{FF2B5EF4-FFF2-40B4-BE49-F238E27FC236}">
              <a16:creationId xmlns:a16="http://schemas.microsoft.com/office/drawing/2014/main" id="{08366711-6B88-63CE-8DEC-C5A1453F2E3D}"/>
            </a:ext>
          </a:extLst>
        </cdr:cNvPr>
        <cdr:cNvSpPr txBox="1"/>
      </cdr:nvSpPr>
      <cdr:spPr>
        <a:xfrm xmlns:a="http://schemas.openxmlformats.org/drawingml/2006/main">
          <a:off x="1835150" y="1028403"/>
          <a:ext cx="1264941" cy="44587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900" b="1" dirty="0">
              <a:solidFill>
                <a:srgbClr val="C1AED2"/>
              </a:solidFill>
            </a:rPr>
            <a:t>Workforce Australia Employment Services Provider</a:t>
          </a:r>
        </a:p>
      </cdr:txBody>
    </cdr:sp>
  </cdr:relSizeAnchor>
  <cdr:relSizeAnchor xmlns:cdr="http://schemas.openxmlformats.org/drawingml/2006/chartDrawing">
    <cdr:from>
      <cdr:x>0.34118</cdr:x>
      <cdr:y>0.81101</cdr:y>
    </cdr:from>
    <cdr:to>
      <cdr:x>0.63022</cdr:x>
      <cdr:y>0.87991</cdr:y>
    </cdr:to>
    <cdr:sp macro="" textlink="">
      <cdr:nvSpPr>
        <cdr:cNvPr id="3" name="TextBox 1">
          <a:extLst xmlns:a="http://schemas.openxmlformats.org/drawingml/2006/main">
            <a:ext uri="{FF2B5EF4-FFF2-40B4-BE49-F238E27FC236}">
              <a16:creationId xmlns:a16="http://schemas.microsoft.com/office/drawing/2014/main" id="{A9AEBCAD-D3C2-6626-00CD-EFB9F4626153}"/>
            </a:ext>
          </a:extLst>
        </cdr:cNvPr>
        <cdr:cNvSpPr txBox="1"/>
      </cdr:nvSpPr>
      <cdr:spPr>
        <a:xfrm xmlns:a="http://schemas.openxmlformats.org/drawingml/2006/main">
          <a:off x="1720186" y="2190101"/>
          <a:ext cx="1457325" cy="186069"/>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AU" sz="900" b="1" dirty="0">
              <a:solidFill>
                <a:srgbClr val="725091"/>
              </a:solidFill>
              <a:latin typeface="+mn-lt"/>
            </a:rPr>
            <a:t>Workforce Australia Online</a:t>
          </a:r>
        </a:p>
      </cdr:txBody>
    </cdr:sp>
  </cdr:relSizeAnchor>
  <cdr:relSizeAnchor xmlns:cdr="http://schemas.openxmlformats.org/drawingml/2006/chartDrawing">
    <cdr:from>
      <cdr:x>0.22637</cdr:x>
      <cdr:y>0.61792</cdr:y>
    </cdr:from>
    <cdr:to>
      <cdr:x>0.38067</cdr:x>
      <cdr:y>0.74098</cdr:y>
    </cdr:to>
    <cdr:sp macro="" textlink="">
      <cdr:nvSpPr>
        <cdr:cNvPr id="5" name="TextBox 1">
          <a:extLst xmlns:a="http://schemas.openxmlformats.org/drawingml/2006/main">
            <a:ext uri="{FF2B5EF4-FFF2-40B4-BE49-F238E27FC236}">
              <a16:creationId xmlns:a16="http://schemas.microsoft.com/office/drawing/2014/main" id="{3EE21B7A-8A36-A54A-8497-0372A002C4CD}"/>
            </a:ext>
          </a:extLst>
        </cdr:cNvPr>
        <cdr:cNvSpPr txBox="1"/>
      </cdr:nvSpPr>
      <cdr:spPr>
        <a:xfrm xmlns:a="http://schemas.openxmlformats.org/drawingml/2006/main">
          <a:off x="1141350" y="1668661"/>
          <a:ext cx="777974" cy="332319"/>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AU" sz="900" b="1" dirty="0">
              <a:solidFill>
                <a:schemeClr val="bg2">
                  <a:lumMod val="75000"/>
                </a:schemeClr>
              </a:solidFill>
              <a:latin typeface="+mn-lt"/>
            </a:rPr>
            <a:t>Average</a:t>
          </a:r>
          <a:r>
            <a:rPr lang="en-AU" sz="900" b="1" dirty="0">
              <a:solidFill>
                <a:srgbClr val="54B0C9"/>
              </a:solidFill>
              <a:latin typeface="+mn-lt"/>
            </a:rPr>
            <a:t> </a:t>
          </a:r>
          <a:r>
            <a:rPr lang="en-AU" sz="900" b="1" dirty="0">
              <a:solidFill>
                <a:schemeClr val="bg2">
                  <a:lumMod val="75000"/>
                </a:schemeClr>
              </a:solidFill>
              <a:latin typeface="+mn-lt"/>
            </a:rPr>
            <a:t>cost</a:t>
          </a:r>
        </a:p>
      </cdr:txBody>
    </cdr:sp>
  </cdr:relSizeAnchor>
  <cdr:relSizeAnchor xmlns:cdr="http://schemas.openxmlformats.org/drawingml/2006/chartDrawing">
    <cdr:from>
      <cdr:x>0.05726</cdr:x>
      <cdr:y>0</cdr:y>
    </cdr:from>
    <cdr:to>
      <cdr:x>0.20353</cdr:x>
      <cdr:y>0.09713</cdr:y>
    </cdr:to>
    <cdr:sp macro="" textlink="">
      <cdr:nvSpPr>
        <cdr:cNvPr id="6" name="TextBox 5">
          <a:extLst xmlns:a="http://schemas.openxmlformats.org/drawingml/2006/main">
            <a:ext uri="{FF2B5EF4-FFF2-40B4-BE49-F238E27FC236}">
              <a16:creationId xmlns:a16="http://schemas.microsoft.com/office/drawing/2014/main" id="{3AFC8E1F-5CDB-15F7-41B5-3DF0CBD1F023}"/>
            </a:ext>
          </a:extLst>
        </cdr:cNvPr>
        <cdr:cNvSpPr txBox="1"/>
      </cdr:nvSpPr>
      <cdr:spPr>
        <a:xfrm xmlns:a="http://schemas.openxmlformats.org/drawingml/2006/main">
          <a:off x="288703" y="-1049445"/>
          <a:ext cx="737489" cy="23083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en-US" sz="900" b="1" dirty="0"/>
            <a:t>$‘000</a:t>
          </a:r>
          <a:endParaRPr lang="en-AU" sz="900" b="1" dirty="0"/>
        </a:p>
      </cdr:txBody>
    </cdr:sp>
  </cdr:relSizeAnchor>
  <cdr:relSizeAnchor xmlns:cdr="http://schemas.openxmlformats.org/drawingml/2006/chartDrawing">
    <cdr:from>
      <cdr:x>0.84277</cdr:x>
      <cdr:y>0</cdr:y>
    </cdr:from>
    <cdr:to>
      <cdr:x>0.94274</cdr:x>
      <cdr:y>0.09713</cdr:y>
    </cdr:to>
    <cdr:sp macro="" textlink="">
      <cdr:nvSpPr>
        <cdr:cNvPr id="7" name="TextBox 5">
          <a:extLst xmlns:a="http://schemas.openxmlformats.org/drawingml/2006/main">
            <a:ext uri="{FF2B5EF4-FFF2-40B4-BE49-F238E27FC236}">
              <a16:creationId xmlns:a16="http://schemas.microsoft.com/office/drawing/2014/main" id="{210B80F9-BA91-7CE5-04BB-95D09CF113E0}"/>
            </a:ext>
          </a:extLst>
        </cdr:cNvPr>
        <cdr:cNvSpPr txBox="1"/>
      </cdr:nvSpPr>
      <cdr:spPr>
        <a:xfrm xmlns:a="http://schemas.openxmlformats.org/drawingml/2006/main" flipH="1">
          <a:off x="4249141" y="0"/>
          <a:ext cx="504059" cy="23083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algn="r"/>
          <a:r>
            <a:rPr lang="en-US" sz="900" b="1" dirty="0"/>
            <a:t>$‘000</a:t>
          </a:r>
          <a:endParaRPr lang="en-AU" sz="900" b="1" dirty="0"/>
        </a:p>
      </cdr:txBody>
    </cdr:sp>
  </cdr:relSizeAnchor>
  <cdr:relSizeAnchor xmlns:cdr="http://schemas.openxmlformats.org/drawingml/2006/chartDrawing">
    <cdr:from>
      <cdr:x>0.61742</cdr:x>
      <cdr:y>0.06646</cdr:y>
    </cdr:from>
    <cdr:to>
      <cdr:x>0.61742</cdr:x>
      <cdr:y>0.88005</cdr:y>
    </cdr:to>
    <cdr:cxnSp macro="">
      <cdr:nvCxnSpPr>
        <cdr:cNvPr id="8" name="Straight Connector 7">
          <a:extLst xmlns:a="http://schemas.openxmlformats.org/drawingml/2006/main">
            <a:ext uri="{FF2B5EF4-FFF2-40B4-BE49-F238E27FC236}">
              <a16:creationId xmlns:a16="http://schemas.microsoft.com/office/drawing/2014/main" id="{60442E27-0751-4851-7B80-02C12E618A1F}"/>
            </a:ext>
          </a:extLst>
        </cdr:cNvPr>
        <cdr:cNvCxnSpPr/>
      </cdr:nvCxnSpPr>
      <cdr:spPr>
        <a:xfrm xmlns:a="http://schemas.openxmlformats.org/drawingml/2006/main">
          <a:off x="3112986" y="157932"/>
          <a:ext cx="0" cy="1933228"/>
        </a:xfrm>
        <a:prstGeom xmlns:a="http://schemas.openxmlformats.org/drawingml/2006/main" prst="line">
          <a:avLst/>
        </a:prstGeom>
        <a:ln xmlns:a="http://schemas.openxmlformats.org/drawingml/2006/main" w="9525">
          <a:solidFill>
            <a:schemeClr val="bg1">
              <a:lumMod val="50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0.11019</cdr:x>
      <cdr:y>0.11237</cdr:y>
    </cdr:from>
    <cdr:to>
      <cdr:x>0.26308</cdr:x>
      <cdr:y>0.11237</cdr:y>
    </cdr:to>
    <cdr:cxnSp macro="">
      <cdr:nvCxnSpPr>
        <cdr:cNvPr id="9" name="Straight Arrow Connector 8">
          <a:extLst xmlns:a="http://schemas.openxmlformats.org/drawingml/2006/main">
            <a:ext uri="{FF2B5EF4-FFF2-40B4-BE49-F238E27FC236}">
              <a16:creationId xmlns:a16="http://schemas.microsoft.com/office/drawing/2014/main" id="{F4A0D35D-8D30-3F1C-E5FD-A6D4EB73FE36}"/>
            </a:ext>
          </a:extLst>
        </cdr:cNvPr>
        <cdr:cNvCxnSpPr/>
      </cdr:nvCxnSpPr>
      <cdr:spPr>
        <a:xfrm xmlns:a="http://schemas.openxmlformats.org/drawingml/2006/main" flipH="1">
          <a:off x="555545" y="267037"/>
          <a:ext cx="770856"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0.11019</cdr:x>
      <cdr:y>0.11237</cdr:y>
    </cdr:from>
    <cdr:to>
      <cdr:x>0.26308</cdr:x>
      <cdr:y>0.11237</cdr:y>
    </cdr:to>
    <cdr:cxnSp macro="">
      <cdr:nvCxnSpPr>
        <cdr:cNvPr id="10" name="Straight Arrow Connector 9">
          <a:extLst xmlns:a="http://schemas.openxmlformats.org/drawingml/2006/main">
            <a:ext uri="{FF2B5EF4-FFF2-40B4-BE49-F238E27FC236}">
              <a16:creationId xmlns:a16="http://schemas.microsoft.com/office/drawing/2014/main" id="{F4A0D35D-8D30-3F1C-E5FD-A6D4EB73FE36}"/>
            </a:ext>
          </a:extLst>
        </cdr:cNvPr>
        <cdr:cNvCxnSpPr/>
      </cdr:nvCxnSpPr>
      <cdr:spPr>
        <a:xfrm xmlns:a="http://schemas.openxmlformats.org/drawingml/2006/main" flipH="1">
          <a:off x="555545" y="267037"/>
          <a:ext cx="770856" cy="0"/>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0.25721</cdr:x>
      <cdr:y>0.06199</cdr:y>
    </cdr:from>
    <cdr:to>
      <cdr:x>0.38574</cdr:x>
      <cdr:y>0.16946</cdr:y>
    </cdr:to>
    <cdr:sp macro="" textlink="">
      <cdr:nvSpPr>
        <cdr:cNvPr id="11" name="TextBox 3">
          <a:extLst xmlns:a="http://schemas.openxmlformats.org/drawingml/2006/main">
            <a:ext uri="{FF2B5EF4-FFF2-40B4-BE49-F238E27FC236}">
              <a16:creationId xmlns:a16="http://schemas.microsoft.com/office/drawing/2014/main" id="{C5FED031-FAE8-2DED-B606-42D10692C3E5}"/>
            </a:ext>
          </a:extLst>
        </cdr:cNvPr>
        <cdr:cNvSpPr txBox="1"/>
      </cdr:nvSpPr>
      <cdr:spPr>
        <a:xfrm xmlns:a="http://schemas.openxmlformats.org/drawingml/2006/main">
          <a:off x="1296815" y="147307"/>
          <a:ext cx="648072" cy="255402"/>
        </a:xfrm>
        <a:prstGeom xmlns:a="http://schemas.openxmlformats.org/drawingml/2006/main" prst="roundRect">
          <a:avLst/>
        </a:prstGeom>
        <a:ln xmlns:a="http://schemas.openxmlformats.org/drawingml/2006/main">
          <a:noFill/>
        </a:ln>
      </cdr:spPr>
      <cdr:style>
        <a:lnRef xmlns:a="http://schemas.openxmlformats.org/drawingml/2006/main" idx="2">
          <a:schemeClr val="accent3"/>
        </a:lnRef>
        <a:fillRef xmlns:a="http://schemas.openxmlformats.org/drawingml/2006/main" idx="1">
          <a:schemeClr val="lt1"/>
        </a:fillRef>
        <a:effectRef xmlns:a="http://schemas.openxmlformats.org/drawingml/2006/main" idx="0">
          <a:schemeClr val="accent3"/>
        </a:effectRef>
        <a:fontRef xmlns:a="http://schemas.openxmlformats.org/drawingml/2006/main" idx="minor">
          <a:schemeClr val="dk1"/>
        </a:fontRef>
      </cdr:style>
      <cdr:txBody>
        <a:bodyPr xmlns:a="http://schemas.openxmlformats.org/drawingml/2006/main" wrap="square" rtlCol="0">
          <a:sp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US" sz="900" dirty="0" err="1">
              <a:ln w="0"/>
              <a:effectLst>
                <a:outerShdw blurRad="38100" dist="19050" dir="2700000" algn="tl" rotWithShape="0">
                  <a:schemeClr val="dk1">
                    <a:alpha val="40000"/>
                  </a:schemeClr>
                </a:outerShdw>
              </a:effectLst>
            </a:rPr>
            <a:t>jobactive</a:t>
          </a:r>
          <a:endParaRPr lang="en-AU" sz="900" dirty="0">
            <a:ln w="0"/>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0.38154</cdr:x>
      <cdr:y>0.11237</cdr:y>
    </cdr:from>
    <cdr:to>
      <cdr:x>0.61426</cdr:x>
      <cdr:y>0.11237</cdr:y>
    </cdr:to>
    <cdr:cxnSp macro="">
      <cdr:nvCxnSpPr>
        <cdr:cNvPr id="12" name="Straight Arrow Connector 11">
          <a:extLst xmlns:a="http://schemas.openxmlformats.org/drawingml/2006/main">
            <a:ext uri="{FF2B5EF4-FFF2-40B4-BE49-F238E27FC236}">
              <a16:creationId xmlns:a16="http://schemas.microsoft.com/office/drawing/2014/main" id="{F4CB3038-81A4-C5DC-DB86-D80F9DEE90C3}"/>
            </a:ext>
          </a:extLst>
        </cdr:cNvPr>
        <cdr:cNvCxnSpPr/>
      </cdr:nvCxnSpPr>
      <cdr:spPr>
        <a:xfrm xmlns:a="http://schemas.openxmlformats.org/drawingml/2006/main">
          <a:off x="1923664" y="267037"/>
          <a:ext cx="1173351" cy="0"/>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0.88141</cdr:x>
      <cdr:y>0.11237</cdr:y>
    </cdr:from>
    <cdr:to>
      <cdr:x>0.92426</cdr:x>
      <cdr:y>0.11237</cdr:y>
    </cdr:to>
    <cdr:cxnSp macro="">
      <cdr:nvCxnSpPr>
        <cdr:cNvPr id="16" name="Straight Arrow Connector 15">
          <a:extLst xmlns:a="http://schemas.openxmlformats.org/drawingml/2006/main">
            <a:ext uri="{FF2B5EF4-FFF2-40B4-BE49-F238E27FC236}">
              <a16:creationId xmlns:a16="http://schemas.microsoft.com/office/drawing/2014/main" id="{67CC1CB9-3748-001F-6A90-337CD3D33FBF}"/>
            </a:ext>
          </a:extLst>
        </cdr:cNvPr>
        <cdr:cNvCxnSpPr/>
      </cdr:nvCxnSpPr>
      <cdr:spPr>
        <a:xfrm xmlns:a="http://schemas.openxmlformats.org/drawingml/2006/main">
          <a:off x="4443958" y="267037"/>
          <a:ext cx="216046" cy="0"/>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0.62433</cdr:x>
      <cdr:y>0.11237</cdr:y>
    </cdr:from>
    <cdr:to>
      <cdr:x>0.68146</cdr:x>
      <cdr:y>0.11237</cdr:y>
    </cdr:to>
    <cdr:cxnSp macro="">
      <cdr:nvCxnSpPr>
        <cdr:cNvPr id="17" name="Straight Arrow Connector 16">
          <a:extLst xmlns:a="http://schemas.openxmlformats.org/drawingml/2006/main">
            <a:ext uri="{FF2B5EF4-FFF2-40B4-BE49-F238E27FC236}">
              <a16:creationId xmlns:a16="http://schemas.microsoft.com/office/drawing/2014/main" id="{4EEDE74F-8157-A255-DA71-C904637B0905}"/>
            </a:ext>
          </a:extLst>
        </cdr:cNvPr>
        <cdr:cNvCxnSpPr/>
      </cdr:nvCxnSpPr>
      <cdr:spPr>
        <a:xfrm xmlns:a="http://schemas.openxmlformats.org/drawingml/2006/main" flipH="1">
          <a:off x="3147814" y="267047"/>
          <a:ext cx="288032" cy="0"/>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0.46242</cdr:x>
      <cdr:y>0.12706</cdr:y>
    </cdr:from>
    <cdr:to>
      <cdr:x>0.61953</cdr:x>
      <cdr:y>0.24826</cdr:y>
    </cdr:to>
    <cdr:sp macro="" textlink="">
      <cdr:nvSpPr>
        <cdr:cNvPr id="13" name="Rectangle 12">
          <a:extLst xmlns:a="http://schemas.openxmlformats.org/drawingml/2006/main">
            <a:ext uri="{FF2B5EF4-FFF2-40B4-BE49-F238E27FC236}">
              <a16:creationId xmlns:a16="http://schemas.microsoft.com/office/drawing/2014/main" id="{506E944C-5DC0-FE9E-A53D-2AD1F8EE8405}"/>
            </a:ext>
          </a:extLst>
        </cdr:cNvPr>
        <cdr:cNvSpPr/>
      </cdr:nvSpPr>
      <cdr:spPr>
        <a:xfrm xmlns:a="http://schemas.openxmlformats.org/drawingml/2006/main">
          <a:off x="2331486" y="301927"/>
          <a:ext cx="792132" cy="28799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en-US" sz="1200" dirty="0">
              <a:solidFill>
                <a:srgbClr val="54B0C9"/>
              </a:solidFill>
            </a:rPr>
            <a:t>Covid-19</a:t>
          </a:r>
          <a:endParaRPr lang="en-AU" sz="1200" dirty="0">
            <a:solidFill>
              <a:srgbClr val="54B0C9"/>
            </a:solidFill>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0.61426</cdr:x>
      <cdr:y>0.06069</cdr:y>
    </cdr:from>
    <cdr:to>
      <cdr:x>0.61426</cdr:x>
      <cdr:y>0.87428</cdr:y>
    </cdr:to>
    <cdr:cxnSp macro="">
      <cdr:nvCxnSpPr>
        <cdr:cNvPr id="2" name="Straight Connector 2">
          <a:extLst xmlns:a="http://schemas.openxmlformats.org/drawingml/2006/main">
            <a:ext uri="{FF2B5EF4-FFF2-40B4-BE49-F238E27FC236}">
              <a16:creationId xmlns:a16="http://schemas.microsoft.com/office/drawing/2014/main" id="{75CFD70A-4094-4692-985B-A0502C7AD0AE}"/>
            </a:ext>
          </a:extLst>
        </cdr:cNvPr>
        <cdr:cNvCxnSpPr/>
      </cdr:nvCxnSpPr>
      <cdr:spPr>
        <a:xfrm xmlns:a="http://schemas.openxmlformats.org/drawingml/2006/main">
          <a:off x="3097014" y="144239"/>
          <a:ext cx="0" cy="1933487"/>
        </a:xfrm>
        <a:prstGeom xmlns:a="http://schemas.openxmlformats.org/drawingml/2006/main" prst="line">
          <a:avLst/>
        </a:prstGeom>
        <a:ln xmlns:a="http://schemas.openxmlformats.org/drawingml/2006/main" w="9525">
          <a:solidFill>
            <a:schemeClr val="bg1">
              <a:lumMod val="50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0.38198</cdr:x>
      <cdr:y>0.4161</cdr:y>
    </cdr:from>
    <cdr:to>
      <cdr:x>0.65334</cdr:x>
      <cdr:y>0.6434</cdr:y>
    </cdr:to>
    <cdr:sp macro="" textlink="">
      <cdr:nvSpPr>
        <cdr:cNvPr id="3" name="TextBox 2"/>
        <cdr:cNvSpPr txBox="1"/>
      </cdr:nvSpPr>
      <cdr:spPr>
        <a:xfrm xmlns:a="http://schemas.openxmlformats.org/drawingml/2006/main">
          <a:off x="1925910" y="988850"/>
          <a:ext cx="1368170" cy="5401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900" b="1" dirty="0">
              <a:solidFill>
                <a:srgbClr val="C1AED2"/>
              </a:solidFill>
            </a:rPr>
            <a:t>Workforce Australia Employment Services Provider</a:t>
          </a:r>
          <a:endParaRPr lang="en-AU" sz="900" b="1" baseline="0" dirty="0">
            <a:solidFill>
              <a:srgbClr val="C1AED2"/>
            </a:solidFill>
            <a:latin typeface="+mn-lt"/>
          </a:endParaRPr>
        </a:p>
      </cdr:txBody>
    </cdr:sp>
  </cdr:relSizeAnchor>
  <cdr:relSizeAnchor xmlns:cdr="http://schemas.openxmlformats.org/drawingml/2006/chartDrawing">
    <cdr:from>
      <cdr:x>0.34693</cdr:x>
      <cdr:y>0.79544</cdr:y>
    </cdr:from>
    <cdr:to>
      <cdr:x>0.65307</cdr:x>
      <cdr:y>0.91664</cdr:y>
    </cdr:to>
    <cdr:sp macro="" textlink="">
      <cdr:nvSpPr>
        <cdr:cNvPr id="6" name="TextBox 1"/>
        <cdr:cNvSpPr txBox="1"/>
      </cdr:nvSpPr>
      <cdr:spPr>
        <a:xfrm xmlns:a="http://schemas.openxmlformats.org/drawingml/2006/main">
          <a:off x="1749186" y="1890345"/>
          <a:ext cx="1543528" cy="288030"/>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AU" sz="900" b="1" dirty="0">
              <a:solidFill>
                <a:srgbClr val="725091"/>
              </a:solidFill>
              <a:latin typeface="+mn-lt"/>
            </a:rPr>
            <a:t>Workforce Australia Online</a:t>
          </a:r>
        </a:p>
      </cdr:txBody>
    </cdr:sp>
  </cdr:relSizeAnchor>
  <cdr:relSizeAnchor xmlns:cdr="http://schemas.openxmlformats.org/drawingml/2006/chartDrawing">
    <cdr:from>
      <cdr:x>0.07147</cdr:x>
      <cdr:y>0</cdr:y>
    </cdr:from>
    <cdr:to>
      <cdr:x>0.20001</cdr:x>
      <cdr:y>0.05828</cdr:y>
    </cdr:to>
    <cdr:sp macro="" textlink="">
      <cdr:nvSpPr>
        <cdr:cNvPr id="4" name="TextBox 4">
          <a:extLst xmlns:a="http://schemas.openxmlformats.org/drawingml/2006/main">
            <a:ext uri="{FF2B5EF4-FFF2-40B4-BE49-F238E27FC236}">
              <a16:creationId xmlns:a16="http://schemas.microsoft.com/office/drawing/2014/main" id="{93E8E73C-A002-09D9-39B8-3ADEEECAF6FF}"/>
            </a:ext>
          </a:extLst>
        </cdr:cNvPr>
        <cdr:cNvSpPr txBox="1"/>
      </cdr:nvSpPr>
      <cdr:spPr>
        <a:xfrm xmlns:a="http://schemas.openxmlformats.org/drawingml/2006/main">
          <a:off x="360363" y="0"/>
          <a:ext cx="648085" cy="138502"/>
        </a:xfrm>
        <a:prstGeom xmlns:a="http://schemas.openxmlformats.org/drawingml/2006/main" prst="rect">
          <a:avLst/>
        </a:prstGeom>
        <a:noFill xmlns:a="http://schemas.openxmlformats.org/drawingml/2006/main"/>
      </cdr:spPr>
      <cdr:txBody>
        <a:bodyPr xmlns:a="http://schemas.openxmlformats.org/drawingml/2006/main" wrap="square" lIns="0" tIns="0" rIns="0" bIns="0"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dirty="0"/>
            <a:t>$b</a:t>
          </a:r>
          <a:endParaRPr lang="en-AU" sz="900" b="1" dirty="0"/>
        </a:p>
      </cdr:txBody>
    </cdr:sp>
  </cdr:relSizeAnchor>
  <cdr:relSizeAnchor xmlns:cdr="http://schemas.openxmlformats.org/drawingml/2006/chartDrawing">
    <cdr:from>
      <cdr:x>0.08138</cdr:x>
      <cdr:y>0.12129</cdr:y>
    </cdr:from>
    <cdr:to>
      <cdr:x>0.3432</cdr:x>
      <cdr:y>0.3031</cdr:y>
    </cdr:to>
    <cdr:sp macro="" textlink="">
      <cdr:nvSpPr>
        <cdr:cNvPr id="7" name="TextBox 1">
          <a:extLst xmlns:a="http://schemas.openxmlformats.org/drawingml/2006/main">
            <a:ext uri="{FF2B5EF4-FFF2-40B4-BE49-F238E27FC236}">
              <a16:creationId xmlns:a16="http://schemas.microsoft.com/office/drawing/2014/main" id="{905C9D98-4E93-43A3-5D74-569DD8847B4B}"/>
            </a:ext>
          </a:extLst>
        </cdr:cNvPr>
        <cdr:cNvSpPr txBox="1"/>
      </cdr:nvSpPr>
      <cdr:spPr>
        <a:xfrm xmlns:a="http://schemas.openxmlformats.org/drawingml/2006/main">
          <a:off x="410310" y="288244"/>
          <a:ext cx="1320065" cy="43207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baseline="0" dirty="0">
              <a:solidFill>
                <a:srgbClr val="2B526A"/>
              </a:solidFill>
              <a:latin typeface="+mn-lt"/>
            </a:rPr>
            <a:t>Australian Government</a:t>
          </a:r>
          <a:r>
            <a:rPr lang="en-US" sz="900" b="1" dirty="0">
              <a:solidFill>
                <a:srgbClr val="2B526A"/>
              </a:solidFill>
              <a:latin typeface="+mn-lt"/>
            </a:rPr>
            <a:t> expenditure</a:t>
          </a:r>
          <a:endParaRPr lang="en-AU" sz="900" b="1" baseline="0" dirty="0">
            <a:solidFill>
              <a:srgbClr val="2B526A"/>
            </a:solidFill>
            <a:latin typeface="+mn-lt"/>
          </a:endParaRPr>
        </a:p>
      </cdr:txBody>
    </cdr:sp>
  </cdr:relSizeAnchor>
  <cdr:relSizeAnchor xmlns:cdr="http://schemas.openxmlformats.org/drawingml/2006/chartDrawing">
    <cdr:from>
      <cdr:x>0.79999</cdr:x>
      <cdr:y>0</cdr:y>
    </cdr:from>
    <cdr:to>
      <cdr:x>0.92853</cdr:x>
      <cdr:y>0.05828</cdr:y>
    </cdr:to>
    <cdr:sp macro="" textlink="">
      <cdr:nvSpPr>
        <cdr:cNvPr id="9" name="TextBox 4">
          <a:extLst xmlns:a="http://schemas.openxmlformats.org/drawingml/2006/main">
            <a:ext uri="{FF2B5EF4-FFF2-40B4-BE49-F238E27FC236}">
              <a16:creationId xmlns:a16="http://schemas.microsoft.com/office/drawing/2014/main" id="{4CD22815-EB58-E85C-B7F9-7922A70A35FD}"/>
            </a:ext>
          </a:extLst>
        </cdr:cNvPr>
        <cdr:cNvSpPr txBox="1"/>
      </cdr:nvSpPr>
      <cdr:spPr>
        <a:xfrm xmlns:a="http://schemas.openxmlformats.org/drawingml/2006/main">
          <a:off x="4033453" y="0"/>
          <a:ext cx="648085" cy="138502"/>
        </a:xfrm>
        <a:prstGeom xmlns:a="http://schemas.openxmlformats.org/drawingml/2006/main" prst="rect">
          <a:avLst/>
        </a:prstGeom>
        <a:noFill xmlns:a="http://schemas.openxmlformats.org/drawingml/2006/main"/>
      </cdr:spPr>
      <cdr:txBody>
        <a:bodyPr xmlns:a="http://schemas.openxmlformats.org/drawingml/2006/main" wrap="square" lIns="0" tIns="0" rIns="0" bIns="0"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900" b="1" dirty="0"/>
            <a:t>$b</a:t>
          </a:r>
          <a:endParaRPr lang="en-AU" sz="900" b="1" dirty="0"/>
        </a:p>
      </cdr:txBody>
    </cdr:sp>
  </cdr:relSizeAnchor>
  <cdr:relSizeAnchor xmlns:cdr="http://schemas.openxmlformats.org/drawingml/2006/chartDrawing">
    <cdr:from>
      <cdr:x>0.10011</cdr:x>
      <cdr:y>0.03039</cdr:y>
    </cdr:from>
    <cdr:to>
      <cdr:x>0.52852</cdr:x>
      <cdr:y>0.13786</cdr:y>
    </cdr:to>
    <cdr:sp macro="" textlink="">
      <cdr:nvSpPr>
        <cdr:cNvPr id="5" name="TextBox 3">
          <a:extLst xmlns:a="http://schemas.openxmlformats.org/drawingml/2006/main">
            <a:ext uri="{FF2B5EF4-FFF2-40B4-BE49-F238E27FC236}">
              <a16:creationId xmlns:a16="http://schemas.microsoft.com/office/drawing/2014/main" id="{4BC3B544-165B-9EF0-E3DF-05AC996274CA}"/>
            </a:ext>
          </a:extLst>
        </cdr:cNvPr>
        <cdr:cNvSpPr txBox="1"/>
      </cdr:nvSpPr>
      <cdr:spPr>
        <a:xfrm xmlns:a="http://schemas.openxmlformats.org/drawingml/2006/main">
          <a:off x="504726" y="72231"/>
          <a:ext cx="2160000" cy="255389"/>
        </a:xfrm>
        <a:prstGeom xmlns:a="http://schemas.openxmlformats.org/drawingml/2006/main" prst="roundRect">
          <a:avLst/>
        </a:prstGeom>
        <a:solidFill xmlns:a="http://schemas.openxmlformats.org/drawingml/2006/main">
          <a:schemeClr val="lt1">
            <a:alpha val="0"/>
          </a:schemeClr>
        </a:solidFill>
        <a:ln xmlns:a="http://schemas.openxmlformats.org/drawingml/2006/main">
          <a:noFill/>
        </a:ln>
      </cdr:spPr>
      <cdr:style>
        <a:lnRef xmlns:a="http://schemas.openxmlformats.org/drawingml/2006/main" idx="2">
          <a:schemeClr val="accent3"/>
        </a:lnRef>
        <a:fillRef xmlns:a="http://schemas.openxmlformats.org/drawingml/2006/main" idx="1">
          <a:schemeClr val="lt1"/>
        </a:fillRef>
        <a:effectRef xmlns:a="http://schemas.openxmlformats.org/drawingml/2006/main" idx="0">
          <a:schemeClr val="accent3"/>
        </a:effectRef>
        <a:fontRef xmlns:a="http://schemas.openxmlformats.org/drawingml/2006/main" idx="minor">
          <a:schemeClr val="dk1"/>
        </a:fontRef>
      </cdr:style>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algn="ctr"/>
          <a:r>
            <a:rPr lang="en-US" sz="900" dirty="0" err="1">
              <a:ln w="0"/>
              <a:effectLst>
                <a:outerShdw blurRad="38100" dist="19050" dir="2700000" algn="tl" rotWithShape="0">
                  <a:schemeClr val="dk1">
                    <a:alpha val="40000"/>
                  </a:schemeClr>
                </a:outerShdw>
              </a:effectLst>
            </a:rPr>
            <a:t>jobactive</a:t>
          </a:r>
          <a:endParaRPr lang="en-AU" sz="900" dirty="0">
            <a:ln w="0"/>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0.64945</cdr:x>
      <cdr:y>0.03039</cdr:y>
    </cdr:from>
    <cdr:to>
      <cdr:x>0.88981</cdr:x>
      <cdr:y>0.13785</cdr:y>
    </cdr:to>
    <cdr:sp macro="" textlink="">
      <cdr:nvSpPr>
        <cdr:cNvPr id="8" name="TextBox 3">
          <a:extLst xmlns:a="http://schemas.openxmlformats.org/drawingml/2006/main">
            <a:ext uri="{FF2B5EF4-FFF2-40B4-BE49-F238E27FC236}">
              <a16:creationId xmlns:a16="http://schemas.microsoft.com/office/drawing/2014/main" id="{64458C9A-0EA6-6AE7-A1CC-B960E126A215}"/>
            </a:ext>
          </a:extLst>
        </cdr:cNvPr>
        <cdr:cNvSpPr txBox="1"/>
      </cdr:nvSpPr>
      <cdr:spPr>
        <a:xfrm xmlns:a="http://schemas.openxmlformats.org/drawingml/2006/main">
          <a:off x="3274483" y="72221"/>
          <a:ext cx="1211872" cy="255389"/>
        </a:xfrm>
        <a:prstGeom xmlns:a="http://schemas.openxmlformats.org/drawingml/2006/main" prst="roundRect">
          <a:avLst/>
        </a:prstGeom>
        <a:solidFill xmlns:a="http://schemas.openxmlformats.org/drawingml/2006/main">
          <a:schemeClr val="lt1">
            <a:alpha val="0"/>
          </a:schemeClr>
        </a:solidFill>
        <a:ln xmlns:a="http://schemas.openxmlformats.org/drawingml/2006/main">
          <a:noFill/>
        </a:ln>
      </cdr:spPr>
      <cdr:style>
        <a:lnRef xmlns:a="http://schemas.openxmlformats.org/drawingml/2006/main" idx="2">
          <a:schemeClr val="accent3"/>
        </a:lnRef>
        <a:fillRef xmlns:a="http://schemas.openxmlformats.org/drawingml/2006/main" idx="1">
          <a:schemeClr val="lt1"/>
        </a:fillRef>
        <a:effectRef xmlns:a="http://schemas.openxmlformats.org/drawingml/2006/main" idx="0">
          <a:schemeClr val="accent3"/>
        </a:effectRef>
        <a:fontRef xmlns:a="http://schemas.openxmlformats.org/drawingml/2006/main" idx="minor">
          <a:schemeClr val="dk1"/>
        </a:fontRef>
      </cdr:style>
      <cdr:txBody>
        <a:bodyPr xmlns:a="http://schemas.openxmlformats.org/drawingml/2006/main" wrap="square" rtlCol="0">
          <a:sp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US" sz="900" dirty="0">
              <a:ln w="0"/>
              <a:effectLst>
                <a:outerShdw blurRad="38100" dist="19050" dir="2700000" algn="tl" rotWithShape="0">
                  <a:schemeClr val="dk1">
                    <a:alpha val="40000"/>
                  </a:schemeClr>
                </a:outerShdw>
              </a:effectLst>
            </a:rPr>
            <a:t>Workforce Australia</a:t>
          </a:r>
        </a:p>
      </cdr:txBody>
    </cdr:sp>
  </cdr:relSizeAnchor>
  <cdr:relSizeAnchor xmlns:cdr="http://schemas.openxmlformats.org/drawingml/2006/chartDrawing">
    <cdr:from>
      <cdr:x>0.38787</cdr:x>
      <cdr:y>0.09277</cdr:y>
    </cdr:from>
    <cdr:to>
      <cdr:x>0.61213</cdr:x>
      <cdr:y>0.09277</cdr:y>
    </cdr:to>
    <cdr:cxnSp macro="">
      <cdr:nvCxnSpPr>
        <cdr:cNvPr id="11" name="Straight Arrow Connector 10">
          <a:extLst xmlns:a="http://schemas.openxmlformats.org/drawingml/2006/main">
            <a:ext uri="{FF2B5EF4-FFF2-40B4-BE49-F238E27FC236}">
              <a16:creationId xmlns:a16="http://schemas.microsoft.com/office/drawing/2014/main" id="{1FA77402-CC37-C024-6DCD-210836AE8A7C}"/>
            </a:ext>
          </a:extLst>
        </cdr:cNvPr>
        <cdr:cNvCxnSpPr/>
      </cdr:nvCxnSpPr>
      <cdr:spPr>
        <a:xfrm xmlns:a="http://schemas.openxmlformats.org/drawingml/2006/main">
          <a:off x="1955602" y="220467"/>
          <a:ext cx="1130696" cy="0"/>
        </a:xfrm>
        <a:prstGeom xmlns:a="http://schemas.openxmlformats.org/drawingml/2006/main" prst="straightConnector1">
          <a:avLst/>
        </a:prstGeom>
        <a:ln xmlns:a="http://schemas.openxmlformats.org/drawingml/2006/main" w="6350">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0.87448</cdr:x>
      <cdr:y>0.09099</cdr:y>
    </cdr:from>
    <cdr:to>
      <cdr:x>0.91418</cdr:x>
      <cdr:y>0.09099</cdr:y>
    </cdr:to>
    <cdr:cxnSp macro="">
      <cdr:nvCxnSpPr>
        <cdr:cNvPr id="12" name="Straight Arrow Connector 11">
          <a:extLst xmlns:a="http://schemas.openxmlformats.org/drawingml/2006/main">
            <a:ext uri="{FF2B5EF4-FFF2-40B4-BE49-F238E27FC236}">
              <a16:creationId xmlns:a16="http://schemas.microsoft.com/office/drawing/2014/main" id="{C06B44B1-73E2-6035-EAEF-5A1D8FD9AA2E}"/>
            </a:ext>
          </a:extLst>
        </cdr:cNvPr>
        <cdr:cNvCxnSpPr/>
      </cdr:nvCxnSpPr>
      <cdr:spPr>
        <a:xfrm xmlns:a="http://schemas.openxmlformats.org/drawingml/2006/main">
          <a:off x="4409017" y="216237"/>
          <a:ext cx="200187" cy="0"/>
        </a:xfrm>
        <a:prstGeom xmlns:a="http://schemas.openxmlformats.org/drawingml/2006/main" prst="straightConnector1">
          <a:avLst/>
        </a:prstGeom>
        <a:ln xmlns:a="http://schemas.openxmlformats.org/drawingml/2006/main" w="6350">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0.10011</cdr:x>
      <cdr:y>0.09099</cdr:y>
    </cdr:from>
    <cdr:to>
      <cdr:x>0.253</cdr:x>
      <cdr:y>0.09099</cdr:y>
    </cdr:to>
    <cdr:cxnSp macro="">
      <cdr:nvCxnSpPr>
        <cdr:cNvPr id="15" name="Straight Arrow Connector 14">
          <a:extLst xmlns:a="http://schemas.openxmlformats.org/drawingml/2006/main">
            <a:ext uri="{FF2B5EF4-FFF2-40B4-BE49-F238E27FC236}">
              <a16:creationId xmlns:a16="http://schemas.microsoft.com/office/drawing/2014/main" id="{9153FC70-3082-CCEB-C4D5-706F12BA75C1}"/>
            </a:ext>
          </a:extLst>
        </cdr:cNvPr>
        <cdr:cNvCxnSpPr/>
      </cdr:nvCxnSpPr>
      <cdr:spPr>
        <a:xfrm xmlns:a="http://schemas.openxmlformats.org/drawingml/2006/main" flipH="1">
          <a:off x="504726" y="216247"/>
          <a:ext cx="770880" cy="0"/>
        </a:xfrm>
        <a:prstGeom xmlns:a="http://schemas.openxmlformats.org/drawingml/2006/main" prst="straightConnector1">
          <a:avLst/>
        </a:prstGeom>
        <a:ln xmlns:a="http://schemas.openxmlformats.org/drawingml/2006/main" w="6350">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0.61255</cdr:x>
      <cdr:y>0.09277</cdr:y>
    </cdr:from>
    <cdr:to>
      <cdr:x>0.67975</cdr:x>
      <cdr:y>0.09277</cdr:y>
    </cdr:to>
    <cdr:cxnSp macro="">
      <cdr:nvCxnSpPr>
        <cdr:cNvPr id="17" name="Straight Arrow Connector 16">
          <a:extLst xmlns:a="http://schemas.openxmlformats.org/drawingml/2006/main">
            <a:ext uri="{FF2B5EF4-FFF2-40B4-BE49-F238E27FC236}">
              <a16:creationId xmlns:a16="http://schemas.microsoft.com/office/drawing/2014/main" id="{FA14C06F-968B-D1EF-87DB-888CE6ED0F81}"/>
            </a:ext>
          </a:extLst>
        </cdr:cNvPr>
        <cdr:cNvCxnSpPr/>
      </cdr:nvCxnSpPr>
      <cdr:spPr>
        <a:xfrm xmlns:a="http://schemas.openxmlformats.org/drawingml/2006/main" flipH="1">
          <a:off x="3088416" y="220467"/>
          <a:ext cx="338816" cy="0"/>
        </a:xfrm>
        <a:prstGeom xmlns:a="http://schemas.openxmlformats.org/drawingml/2006/main" prst="straightConnector1">
          <a:avLst/>
        </a:prstGeom>
        <a:ln xmlns:a="http://schemas.openxmlformats.org/drawingml/2006/main" w="6350">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0.45715</cdr:x>
      <cdr:y>0.1516</cdr:y>
    </cdr:from>
    <cdr:to>
      <cdr:x>0.61426</cdr:x>
      <cdr:y>0.2728</cdr:y>
    </cdr:to>
    <cdr:sp macro="" textlink="">
      <cdr:nvSpPr>
        <cdr:cNvPr id="10" name="TextBox 1">
          <a:extLst xmlns:a="http://schemas.openxmlformats.org/drawingml/2006/main">
            <a:ext uri="{FF2B5EF4-FFF2-40B4-BE49-F238E27FC236}">
              <a16:creationId xmlns:a16="http://schemas.microsoft.com/office/drawing/2014/main" id="{5CA87968-07F9-A4FB-5FD6-EAD19A3E95AF}"/>
            </a:ext>
          </a:extLst>
        </cdr:cNvPr>
        <cdr:cNvSpPr txBox="1"/>
      </cdr:nvSpPr>
      <cdr:spPr>
        <a:xfrm xmlns:a="http://schemas.openxmlformats.org/drawingml/2006/main">
          <a:off x="2304926" y="360264"/>
          <a:ext cx="792087" cy="2880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100" b="0" baseline="0" dirty="0">
              <a:solidFill>
                <a:srgbClr val="54B0C9"/>
              </a:solidFill>
              <a:latin typeface="+mn-lt"/>
            </a:rPr>
            <a:t>Covid-19</a:t>
          </a:r>
          <a:endParaRPr lang="en-AU" sz="1100" b="0" baseline="0" dirty="0">
            <a:solidFill>
              <a:srgbClr val="54B0C9"/>
            </a:solidFill>
            <a:latin typeface="+mn-lt"/>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0.13406</cdr:x>
      <cdr:y>0.62955</cdr:y>
    </cdr:from>
    <cdr:to>
      <cdr:x>0.76677</cdr:x>
      <cdr:y>0.70912</cdr:y>
    </cdr:to>
    <cdr:sp macro="" textlink="">
      <cdr:nvSpPr>
        <cdr:cNvPr id="2" name="TextBox 1"/>
        <cdr:cNvSpPr txBox="1"/>
      </cdr:nvSpPr>
      <cdr:spPr>
        <a:xfrm xmlns:a="http://schemas.openxmlformats.org/drawingml/2006/main">
          <a:off x="673578" y="1779749"/>
          <a:ext cx="3179022" cy="22494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AU" sz="900" b="1" dirty="0">
              <a:solidFill>
                <a:srgbClr val="7C8DBF"/>
              </a:solidFill>
            </a:rPr>
            <a:t>Nominal expenditure  (LHS)</a:t>
          </a:r>
        </a:p>
      </cdr:txBody>
    </cdr:sp>
  </cdr:relSizeAnchor>
  <cdr:relSizeAnchor xmlns:cdr="http://schemas.openxmlformats.org/drawingml/2006/chartDrawing">
    <cdr:from>
      <cdr:x>0.05223</cdr:x>
      <cdr:y>0.77155</cdr:y>
    </cdr:from>
    <cdr:to>
      <cdr:x>0.51888</cdr:x>
      <cdr:y>0.90971</cdr:y>
    </cdr:to>
    <cdr:sp macro="" textlink="">
      <cdr:nvSpPr>
        <cdr:cNvPr id="4" name="TextBox 3"/>
        <cdr:cNvSpPr txBox="1"/>
      </cdr:nvSpPr>
      <cdr:spPr>
        <a:xfrm xmlns:a="http://schemas.openxmlformats.org/drawingml/2006/main">
          <a:off x="262446" y="2181196"/>
          <a:ext cx="2344661" cy="3905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AU" sz="900" b="1" dirty="0">
              <a:solidFill>
                <a:srgbClr val="3D4D7D"/>
              </a:solidFill>
            </a:rPr>
            <a:t>Real expenditure  (LHS)</a:t>
          </a:r>
        </a:p>
      </cdr:txBody>
    </cdr:sp>
  </cdr:relSizeAnchor>
  <cdr:relSizeAnchor xmlns:cdr="http://schemas.openxmlformats.org/drawingml/2006/chartDrawing">
    <cdr:from>
      <cdr:x>0.47468</cdr:x>
      <cdr:y>0.2822</cdr:y>
    </cdr:from>
    <cdr:to>
      <cdr:x>0.91524</cdr:x>
      <cdr:y>0.352</cdr:y>
    </cdr:to>
    <cdr:sp macro="" textlink="">
      <cdr:nvSpPr>
        <cdr:cNvPr id="5" name="TextBox 4"/>
        <cdr:cNvSpPr txBox="1"/>
      </cdr:nvSpPr>
      <cdr:spPr>
        <a:xfrm xmlns:a="http://schemas.openxmlformats.org/drawingml/2006/main">
          <a:off x="2385002" y="797775"/>
          <a:ext cx="2213573" cy="1973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AU" sz="900" b="1" dirty="0">
              <a:solidFill>
                <a:srgbClr val="C389B7"/>
              </a:solidFill>
            </a:rPr>
            <a:t>Nominal payment rates (RHS)</a:t>
          </a:r>
        </a:p>
      </cdr:txBody>
    </cdr:sp>
  </cdr:relSizeAnchor>
  <cdr:relSizeAnchor xmlns:cdr="http://schemas.openxmlformats.org/drawingml/2006/chartDrawing">
    <cdr:from>
      <cdr:x>0.33921</cdr:x>
      <cdr:y>0.53544</cdr:y>
    </cdr:from>
    <cdr:to>
      <cdr:x>0.70009</cdr:x>
      <cdr:y>0.60652</cdr:y>
    </cdr:to>
    <cdr:sp macro="" textlink="">
      <cdr:nvSpPr>
        <cdr:cNvPr id="6" name="TextBox 5"/>
        <cdr:cNvSpPr txBox="1"/>
      </cdr:nvSpPr>
      <cdr:spPr>
        <a:xfrm xmlns:a="http://schemas.openxmlformats.org/drawingml/2006/main">
          <a:off x="1704329" y="1513712"/>
          <a:ext cx="1813225" cy="20094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AU" sz="900" b="1" dirty="0">
              <a:solidFill>
                <a:srgbClr val="8D487F"/>
              </a:solidFill>
            </a:rPr>
            <a:t>Real payment rates (RHS)</a:t>
          </a:r>
        </a:p>
      </cdr:txBody>
    </cdr:sp>
  </cdr:relSizeAnchor>
</c:userShapes>
</file>

<file path=word/drawings/drawing5.xml><?xml version="1.0" encoding="utf-8"?>
<c:userShapes xmlns:c="http://schemas.openxmlformats.org/drawingml/2006/chart">
  <cdr:relSizeAnchor xmlns:cdr="http://schemas.openxmlformats.org/drawingml/2006/chartDrawing">
    <cdr:from>
      <cdr:x>0.25915</cdr:x>
      <cdr:y>0.55648</cdr:y>
    </cdr:from>
    <cdr:to>
      <cdr:x>0.61007</cdr:x>
      <cdr:y>0.7147</cdr:y>
    </cdr:to>
    <cdr:sp macro="" textlink="">
      <cdr:nvSpPr>
        <cdr:cNvPr id="4" name="TextBox 3"/>
        <cdr:cNvSpPr txBox="1"/>
      </cdr:nvSpPr>
      <cdr:spPr>
        <a:xfrm xmlns:a="http://schemas.openxmlformats.org/drawingml/2006/main">
          <a:off x="1586335" y="1773878"/>
          <a:ext cx="2148122" cy="5043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AU" sz="900" b="1" baseline="0">
              <a:solidFill>
                <a:srgbClr val="7C8DBF"/>
              </a:solidFill>
            </a:rPr>
            <a:t>Unemployed persons (ABS)</a:t>
          </a:r>
          <a:r>
            <a:rPr lang="en-AU" sz="900" b="1">
              <a:solidFill>
                <a:srgbClr val="7C8DBF"/>
              </a:solidFill>
            </a:rPr>
            <a:t> </a:t>
          </a:r>
        </a:p>
      </cdr:txBody>
    </cdr:sp>
  </cdr:relSizeAnchor>
  <cdr:relSizeAnchor xmlns:cdr="http://schemas.openxmlformats.org/drawingml/2006/chartDrawing">
    <cdr:from>
      <cdr:x>0.57269</cdr:x>
      <cdr:y>0.18628</cdr:y>
    </cdr:from>
    <cdr:to>
      <cdr:x>0.846</cdr:x>
      <cdr:y>0.32588</cdr:y>
    </cdr:to>
    <cdr:sp macro="" textlink="">
      <cdr:nvSpPr>
        <cdr:cNvPr id="5" name="TextBox 1"/>
        <cdr:cNvSpPr txBox="1"/>
      </cdr:nvSpPr>
      <cdr:spPr>
        <a:xfrm xmlns:a="http://schemas.openxmlformats.org/drawingml/2006/main">
          <a:off x="2681093" y="442690"/>
          <a:ext cx="1279511" cy="33175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AU" sz="900" b="1" baseline="0" dirty="0" err="1">
              <a:solidFill>
                <a:srgbClr val="3D4D7D"/>
              </a:solidFill>
            </a:rPr>
            <a:t>JobSeeker</a:t>
          </a:r>
          <a:r>
            <a:rPr lang="en-AU" sz="900" b="1" baseline="0" dirty="0">
              <a:solidFill>
                <a:srgbClr val="3D4D7D"/>
              </a:solidFill>
            </a:rPr>
            <a:t> recipients </a:t>
          </a:r>
          <a:endParaRPr lang="en-AU" sz="900" b="1" dirty="0">
            <a:solidFill>
              <a:srgbClr val="3D4D7D"/>
            </a:solidFill>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0.38388</cdr:x>
      <cdr:y>0.44017</cdr:y>
    </cdr:from>
    <cdr:to>
      <cdr:x>0.65</cdr:x>
      <cdr:y>0.52601</cdr:y>
    </cdr:to>
    <cdr:sp macro="" textlink="">
      <cdr:nvSpPr>
        <cdr:cNvPr id="2" name="TextBox 1"/>
        <cdr:cNvSpPr txBox="1"/>
      </cdr:nvSpPr>
      <cdr:spPr>
        <a:xfrm xmlns:a="http://schemas.openxmlformats.org/drawingml/2006/main">
          <a:off x="1935486" y="1046051"/>
          <a:ext cx="1341750" cy="20399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050" b="1" dirty="0">
              <a:solidFill>
                <a:srgbClr val="3D4D7D"/>
              </a:solidFill>
            </a:rPr>
            <a:t>2 to under 5 years</a:t>
          </a:r>
        </a:p>
      </cdr:txBody>
    </cdr:sp>
  </cdr:relSizeAnchor>
  <cdr:relSizeAnchor xmlns:cdr="http://schemas.openxmlformats.org/drawingml/2006/chartDrawing">
    <cdr:from>
      <cdr:x>0.07147</cdr:x>
      <cdr:y>0.5</cdr:y>
    </cdr:from>
    <cdr:to>
      <cdr:x>0.3308</cdr:x>
      <cdr:y>0.58878</cdr:y>
    </cdr:to>
    <cdr:sp macro="" textlink="">
      <cdr:nvSpPr>
        <cdr:cNvPr id="3" name="TextBox 2"/>
        <cdr:cNvSpPr txBox="1"/>
      </cdr:nvSpPr>
      <cdr:spPr>
        <a:xfrm xmlns:a="http://schemas.openxmlformats.org/drawingml/2006/main">
          <a:off x="360363" y="1188243"/>
          <a:ext cx="1307516" cy="21098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050" b="1" dirty="0">
              <a:solidFill>
                <a:srgbClr val="7C8DBF"/>
              </a:solidFill>
            </a:rPr>
            <a:t>1 to under 2</a:t>
          </a:r>
          <a:r>
            <a:rPr lang="en-AU" sz="1050" b="1" baseline="0" dirty="0">
              <a:solidFill>
                <a:srgbClr val="7C8DBF"/>
              </a:solidFill>
            </a:rPr>
            <a:t> </a:t>
          </a:r>
          <a:r>
            <a:rPr lang="en-AU" sz="1050" b="1" dirty="0">
              <a:solidFill>
                <a:srgbClr val="7C8DBF"/>
              </a:solidFill>
            </a:rPr>
            <a:t>years</a:t>
          </a:r>
        </a:p>
      </cdr:txBody>
    </cdr:sp>
  </cdr:relSizeAnchor>
  <cdr:relSizeAnchor xmlns:cdr="http://schemas.openxmlformats.org/drawingml/2006/chartDrawing">
    <cdr:from>
      <cdr:x>0.46804</cdr:x>
      <cdr:y>0.73648</cdr:y>
    </cdr:from>
    <cdr:to>
      <cdr:x>0.70281</cdr:x>
      <cdr:y>0.82399</cdr:y>
    </cdr:to>
    <cdr:sp macro="" textlink="">
      <cdr:nvSpPr>
        <cdr:cNvPr id="4" name="TextBox 3"/>
        <cdr:cNvSpPr txBox="1"/>
      </cdr:nvSpPr>
      <cdr:spPr>
        <a:xfrm xmlns:a="http://schemas.openxmlformats.org/drawingml/2006/main">
          <a:off x="2359808" y="1750240"/>
          <a:ext cx="1183687" cy="20796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050" b="1" dirty="0">
              <a:solidFill>
                <a:srgbClr val="2E3A5E"/>
              </a:solidFill>
            </a:rPr>
            <a:t>5 years </a:t>
          </a:r>
          <a:r>
            <a:rPr lang="en-AU" sz="1050" b="1" baseline="0" dirty="0">
              <a:solidFill>
                <a:srgbClr val="2E3A5E"/>
              </a:solidFill>
            </a:rPr>
            <a:t> or more</a:t>
          </a:r>
          <a:endParaRPr lang="en-AU" sz="1050" b="1" dirty="0">
            <a:solidFill>
              <a:srgbClr val="2E3A5E"/>
            </a:solidFill>
          </a:endParaRPr>
        </a:p>
      </cdr:txBody>
    </cdr:sp>
  </cdr:relSizeAnchor>
  <cdr:relSizeAnchor xmlns:cdr="http://schemas.openxmlformats.org/drawingml/2006/chartDrawing">
    <cdr:from>
      <cdr:x>0.10786</cdr:x>
      <cdr:y>0.12624</cdr:y>
    </cdr:from>
    <cdr:to>
      <cdr:x>0.36475</cdr:x>
      <cdr:y>0.21184</cdr:y>
    </cdr:to>
    <cdr:sp macro="" textlink="">
      <cdr:nvSpPr>
        <cdr:cNvPr id="5" name="TextBox 1">
          <a:extLst xmlns:a="http://schemas.openxmlformats.org/drawingml/2006/main">
            <a:ext uri="{FF2B5EF4-FFF2-40B4-BE49-F238E27FC236}">
              <a16:creationId xmlns:a16="http://schemas.microsoft.com/office/drawing/2014/main" id="{ED22939F-A63D-4416-A3B8-FABD5756E2A1}"/>
            </a:ext>
          </a:extLst>
        </cdr:cNvPr>
        <cdr:cNvSpPr txBox="1"/>
      </cdr:nvSpPr>
      <cdr:spPr>
        <a:xfrm xmlns:a="http://schemas.openxmlformats.org/drawingml/2006/main">
          <a:off x="543807" y="300003"/>
          <a:ext cx="1295213" cy="20342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050" b="1" dirty="0">
              <a:solidFill>
                <a:schemeClr val="bg2">
                  <a:lumMod val="40000"/>
                  <a:lumOff val="60000"/>
                </a:schemeClr>
              </a:solidFill>
              <a:latin typeface="+mn-lt"/>
              <a:ea typeface="+mn-ea"/>
              <a:cs typeface="+mn-cs"/>
            </a:rPr>
            <a:t>Under 1 year</a:t>
          </a:r>
        </a:p>
      </cdr:txBody>
    </cdr:sp>
  </cdr:relSizeAnchor>
  <cdr:relSizeAnchor xmlns:cdr="http://schemas.openxmlformats.org/drawingml/2006/chartDrawing">
    <cdr:from>
      <cdr:x>0.6598</cdr:x>
      <cdr:y>0.09085</cdr:y>
    </cdr:from>
    <cdr:to>
      <cdr:x>0.77975</cdr:x>
      <cdr:y>0.14896</cdr:y>
    </cdr:to>
    <cdr:cxnSp macro="">
      <cdr:nvCxnSpPr>
        <cdr:cNvPr id="7" name="Straight Arrow Connector 6">
          <a:extLst xmlns:a="http://schemas.openxmlformats.org/drawingml/2006/main">
            <a:ext uri="{FF2B5EF4-FFF2-40B4-BE49-F238E27FC236}">
              <a16:creationId xmlns:a16="http://schemas.microsoft.com/office/drawing/2014/main" id="{8597B426-7157-E2B5-012E-C5E1ADDA7AA0}"/>
            </a:ext>
          </a:extLst>
        </cdr:cNvPr>
        <cdr:cNvCxnSpPr/>
      </cdr:nvCxnSpPr>
      <cdr:spPr>
        <a:xfrm xmlns:a="http://schemas.openxmlformats.org/drawingml/2006/main">
          <a:off x="3326625" y="215900"/>
          <a:ext cx="604776" cy="138098"/>
        </a:xfrm>
        <a:prstGeom xmlns:a="http://schemas.openxmlformats.org/drawingml/2006/main" prst="straightConnector1">
          <a:avLst/>
        </a:prstGeom>
        <a:ln xmlns:a="http://schemas.openxmlformats.org/drawingml/2006/main">
          <a:solidFill>
            <a:srgbClr val="C00000"/>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0.31262</cdr:x>
      <cdr:y>0</cdr:y>
    </cdr:from>
    <cdr:to>
      <cdr:x>0.71113</cdr:x>
      <cdr:y>0.20274</cdr:y>
    </cdr:to>
    <cdr:sp macro="" textlink="">
      <cdr:nvSpPr>
        <cdr:cNvPr id="8" name="TextBox 7">
          <a:extLst xmlns:a="http://schemas.openxmlformats.org/drawingml/2006/main">
            <a:ext uri="{FF2B5EF4-FFF2-40B4-BE49-F238E27FC236}">
              <a16:creationId xmlns:a16="http://schemas.microsoft.com/office/drawing/2014/main" id="{4F16887D-40D4-11E9-7616-24F3573E812F}"/>
            </a:ext>
          </a:extLst>
        </cdr:cNvPr>
        <cdr:cNvSpPr txBox="1"/>
      </cdr:nvSpPr>
      <cdr:spPr>
        <a:xfrm xmlns:a="http://schemas.openxmlformats.org/drawingml/2006/main">
          <a:off x="1576190" y="0"/>
          <a:ext cx="2009248" cy="4818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050" dirty="0">
              <a:solidFill>
                <a:srgbClr val="C00000"/>
              </a:solidFill>
            </a:rPr>
            <a:t>Spike due to COVID</a:t>
          </a:r>
          <a:r>
            <a:rPr lang="en-AU" sz="1050" baseline="0" dirty="0">
              <a:solidFill>
                <a:srgbClr val="C00000"/>
              </a:solidFill>
            </a:rPr>
            <a:t> and associated policy responses</a:t>
          </a:r>
          <a:endParaRPr lang="en-AU" sz="1050" dirty="0">
            <a:solidFill>
              <a:srgbClr val="C00000"/>
            </a:solidFill>
          </a:endParaRPr>
        </a:p>
      </cdr:txBody>
    </cdr:sp>
  </cdr:relSizeAnchor>
  <cdr:relSizeAnchor xmlns:cdr="http://schemas.openxmlformats.org/drawingml/2006/chartDrawing">
    <cdr:from>
      <cdr:x>0.66818</cdr:x>
      <cdr:y>0.36814</cdr:y>
    </cdr:from>
    <cdr:to>
      <cdr:x>0.82981</cdr:x>
      <cdr:y>0.47507</cdr:y>
    </cdr:to>
    <cdr:cxnSp macro="">
      <cdr:nvCxnSpPr>
        <cdr:cNvPr id="9" name="Straight Arrow Connector 8">
          <a:extLst xmlns:a="http://schemas.openxmlformats.org/drawingml/2006/main">
            <a:ext uri="{FF2B5EF4-FFF2-40B4-BE49-F238E27FC236}">
              <a16:creationId xmlns:a16="http://schemas.microsoft.com/office/drawing/2014/main" id="{9D66B6A1-5173-1DC1-648D-B9503A1CBAD5}"/>
            </a:ext>
          </a:extLst>
        </cdr:cNvPr>
        <cdr:cNvCxnSpPr/>
      </cdr:nvCxnSpPr>
      <cdr:spPr>
        <a:xfrm xmlns:a="http://schemas.openxmlformats.org/drawingml/2006/main">
          <a:off x="3368872" y="874888"/>
          <a:ext cx="814923" cy="254118"/>
        </a:xfrm>
        <a:prstGeom xmlns:a="http://schemas.openxmlformats.org/drawingml/2006/main" prst="straightConnector1">
          <a:avLst/>
        </a:prstGeom>
        <a:ln xmlns:a="http://schemas.openxmlformats.org/drawingml/2006/main">
          <a:solidFill>
            <a:srgbClr val="C00000"/>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0.41931</cdr:x>
      <cdr:y>0.1993</cdr:y>
    </cdr:from>
    <cdr:to>
      <cdr:x>0.76481</cdr:x>
      <cdr:y>0.37458</cdr:y>
    </cdr:to>
    <cdr:sp macro="" textlink="">
      <cdr:nvSpPr>
        <cdr:cNvPr id="11" name="TextBox 1">
          <a:extLst xmlns:a="http://schemas.openxmlformats.org/drawingml/2006/main">
            <a:ext uri="{FF2B5EF4-FFF2-40B4-BE49-F238E27FC236}">
              <a16:creationId xmlns:a16="http://schemas.microsoft.com/office/drawing/2014/main" id="{C224C03A-C87C-8F83-0573-CF039CFE012E}"/>
            </a:ext>
          </a:extLst>
        </cdr:cNvPr>
        <cdr:cNvSpPr txBox="1"/>
      </cdr:nvSpPr>
      <cdr:spPr>
        <a:xfrm xmlns:a="http://schemas.openxmlformats.org/drawingml/2006/main">
          <a:off x="2114135" y="473632"/>
          <a:ext cx="1741977" cy="41655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050" dirty="0">
              <a:solidFill>
                <a:srgbClr val="C00000"/>
              </a:solidFill>
            </a:rPr>
            <a:t>Some stayed</a:t>
          </a:r>
          <a:r>
            <a:rPr lang="en-AU" sz="1050" baseline="0" dirty="0">
              <a:solidFill>
                <a:srgbClr val="C00000"/>
              </a:solidFill>
            </a:rPr>
            <a:t> on in the 2nd year and the 3rd year</a:t>
          </a:r>
          <a:endParaRPr lang="en-AU" sz="1050" dirty="0">
            <a:solidFill>
              <a:srgbClr val="C00000"/>
            </a:solidFill>
          </a:endParaRPr>
        </a:p>
      </cdr:txBody>
    </cdr:sp>
  </cdr:relSizeAnchor>
  <cdr:relSizeAnchor xmlns:cdr="http://schemas.openxmlformats.org/drawingml/2006/chartDrawing">
    <cdr:from>
      <cdr:x>0.72875</cdr:x>
      <cdr:y>0.34374</cdr:y>
    </cdr:from>
    <cdr:to>
      <cdr:x>0.89038</cdr:x>
      <cdr:y>0.45068</cdr:y>
    </cdr:to>
    <cdr:cxnSp macro="">
      <cdr:nvCxnSpPr>
        <cdr:cNvPr id="12" name="Straight Arrow Connector 11">
          <a:extLst xmlns:a="http://schemas.openxmlformats.org/drawingml/2006/main">
            <a:ext uri="{FF2B5EF4-FFF2-40B4-BE49-F238E27FC236}">
              <a16:creationId xmlns:a16="http://schemas.microsoft.com/office/drawing/2014/main" id="{87F28677-590E-0E47-42D9-A770F9B19FA6}"/>
            </a:ext>
          </a:extLst>
        </cdr:cNvPr>
        <cdr:cNvCxnSpPr/>
      </cdr:nvCxnSpPr>
      <cdr:spPr>
        <a:xfrm xmlns:a="http://schemas.openxmlformats.org/drawingml/2006/main">
          <a:off x="3674267" y="816887"/>
          <a:ext cx="814922" cy="254141"/>
        </a:xfrm>
        <a:prstGeom xmlns:a="http://schemas.openxmlformats.org/drawingml/2006/main" prst="straightConnector1">
          <a:avLst/>
        </a:prstGeom>
        <a:ln xmlns:a="http://schemas.openxmlformats.org/drawingml/2006/main">
          <a:solidFill>
            <a:srgbClr val="C00000"/>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PBO 2021">
      <a:dk1>
        <a:srgbClr val="000000"/>
      </a:dk1>
      <a:lt1>
        <a:srgbClr val="FFFFFF"/>
      </a:lt1>
      <a:dk2>
        <a:srgbClr val="9778B4"/>
      </a:dk2>
      <a:lt2>
        <a:srgbClr val="3D4D7D"/>
      </a:lt2>
      <a:accent1>
        <a:srgbClr val="8D487F"/>
      </a:accent1>
      <a:accent2>
        <a:srgbClr val="C64E45"/>
      </a:accent2>
      <a:accent3>
        <a:srgbClr val="F1873D"/>
      </a:accent3>
      <a:accent4>
        <a:srgbClr val="FCC648"/>
      </a:accent4>
      <a:accent5>
        <a:srgbClr val="86BE57"/>
      </a:accent5>
      <a:accent6>
        <a:srgbClr val="788183"/>
      </a:accent6>
      <a:hlink>
        <a:srgbClr val="005AFF"/>
      </a:hlink>
      <a:folHlink>
        <a:srgbClr val="005AFF"/>
      </a:folHlink>
    </a:clrScheme>
    <a:fontScheme name="PBO 2021">
      <a:majorFont>
        <a:latin typeface="Calibri Light"/>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BO new">
    <a:dk1>
      <a:srgbClr val="000000"/>
    </a:dk1>
    <a:lt1>
      <a:srgbClr val="FFFFFF"/>
    </a:lt1>
    <a:dk2>
      <a:srgbClr val="9778B4"/>
    </a:dk2>
    <a:lt2>
      <a:srgbClr val="3D4D7D"/>
    </a:lt2>
    <a:accent1>
      <a:srgbClr val="4DADB5"/>
    </a:accent1>
    <a:accent2>
      <a:srgbClr val="398389"/>
    </a:accent2>
    <a:accent3>
      <a:srgbClr val="3984A3"/>
    </a:accent3>
    <a:accent4>
      <a:srgbClr val="2B526A"/>
    </a:accent4>
    <a:accent5>
      <a:srgbClr val="6C88B7"/>
    </a:accent5>
    <a:accent6>
      <a:srgbClr val="788183"/>
    </a:accent6>
    <a:hlink>
      <a:srgbClr val="000000"/>
    </a:hlink>
    <a:folHlink>
      <a:srgbClr val="3D4D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BO new">
    <a:dk1>
      <a:srgbClr val="000000"/>
    </a:dk1>
    <a:lt1>
      <a:srgbClr val="FFFFFF"/>
    </a:lt1>
    <a:dk2>
      <a:srgbClr val="9778B4"/>
    </a:dk2>
    <a:lt2>
      <a:srgbClr val="3D4D7D"/>
    </a:lt2>
    <a:accent1>
      <a:srgbClr val="4DADB5"/>
    </a:accent1>
    <a:accent2>
      <a:srgbClr val="398389"/>
    </a:accent2>
    <a:accent3>
      <a:srgbClr val="3984A3"/>
    </a:accent3>
    <a:accent4>
      <a:srgbClr val="2B526A"/>
    </a:accent4>
    <a:accent5>
      <a:srgbClr val="6C88B7"/>
    </a:accent5>
    <a:accent6>
      <a:srgbClr val="788183"/>
    </a:accent6>
    <a:hlink>
      <a:srgbClr val="000000"/>
    </a:hlink>
    <a:folHlink>
      <a:srgbClr val="3D4D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BO new">
    <a:dk1>
      <a:srgbClr val="000000"/>
    </a:dk1>
    <a:lt1>
      <a:srgbClr val="FFFFFF"/>
    </a:lt1>
    <a:dk2>
      <a:srgbClr val="9778B4"/>
    </a:dk2>
    <a:lt2>
      <a:srgbClr val="3D4D7D"/>
    </a:lt2>
    <a:accent1>
      <a:srgbClr val="4DADB5"/>
    </a:accent1>
    <a:accent2>
      <a:srgbClr val="398389"/>
    </a:accent2>
    <a:accent3>
      <a:srgbClr val="3984A3"/>
    </a:accent3>
    <a:accent4>
      <a:srgbClr val="2B526A"/>
    </a:accent4>
    <a:accent5>
      <a:srgbClr val="6C88B7"/>
    </a:accent5>
    <a:accent6>
      <a:srgbClr val="788183"/>
    </a:accent6>
    <a:hlink>
      <a:srgbClr val="000000"/>
    </a:hlink>
    <a:folHlink>
      <a:srgbClr val="3D4D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BO new">
    <a:dk1>
      <a:srgbClr val="000000"/>
    </a:dk1>
    <a:lt1>
      <a:srgbClr val="FFFFFF"/>
    </a:lt1>
    <a:dk2>
      <a:srgbClr val="9778B4"/>
    </a:dk2>
    <a:lt2>
      <a:srgbClr val="3D4D7D"/>
    </a:lt2>
    <a:accent1>
      <a:srgbClr val="4DADB5"/>
    </a:accent1>
    <a:accent2>
      <a:srgbClr val="398389"/>
    </a:accent2>
    <a:accent3>
      <a:srgbClr val="3984A3"/>
    </a:accent3>
    <a:accent4>
      <a:srgbClr val="2B526A"/>
    </a:accent4>
    <a:accent5>
      <a:srgbClr val="6C88B7"/>
    </a:accent5>
    <a:accent6>
      <a:srgbClr val="788183"/>
    </a:accent6>
    <a:hlink>
      <a:srgbClr val="000000"/>
    </a:hlink>
    <a:folHlink>
      <a:srgbClr val="3D4D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BO new">
    <a:dk1>
      <a:srgbClr val="000000"/>
    </a:dk1>
    <a:lt1>
      <a:srgbClr val="FFFFFF"/>
    </a:lt1>
    <a:dk2>
      <a:srgbClr val="9778B4"/>
    </a:dk2>
    <a:lt2>
      <a:srgbClr val="3D4D7D"/>
    </a:lt2>
    <a:accent1>
      <a:srgbClr val="4DADB5"/>
    </a:accent1>
    <a:accent2>
      <a:srgbClr val="398389"/>
    </a:accent2>
    <a:accent3>
      <a:srgbClr val="3984A3"/>
    </a:accent3>
    <a:accent4>
      <a:srgbClr val="2B526A"/>
    </a:accent4>
    <a:accent5>
      <a:srgbClr val="6C88B7"/>
    </a:accent5>
    <a:accent6>
      <a:srgbClr val="788183"/>
    </a:accent6>
    <a:hlink>
      <a:srgbClr val="000000"/>
    </a:hlink>
    <a:folHlink>
      <a:srgbClr val="3D4D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BO new">
    <a:dk1>
      <a:srgbClr val="000000"/>
    </a:dk1>
    <a:lt1>
      <a:srgbClr val="FFFFFF"/>
    </a:lt1>
    <a:dk2>
      <a:srgbClr val="9778B4"/>
    </a:dk2>
    <a:lt2>
      <a:srgbClr val="3D4D7D"/>
    </a:lt2>
    <a:accent1>
      <a:srgbClr val="4DADB5"/>
    </a:accent1>
    <a:accent2>
      <a:srgbClr val="398389"/>
    </a:accent2>
    <a:accent3>
      <a:srgbClr val="3984A3"/>
    </a:accent3>
    <a:accent4>
      <a:srgbClr val="2B526A"/>
    </a:accent4>
    <a:accent5>
      <a:srgbClr val="6C88B7"/>
    </a:accent5>
    <a:accent6>
      <a:srgbClr val="788183"/>
    </a:accent6>
    <a:hlink>
      <a:srgbClr val="000000"/>
    </a:hlink>
    <a:folHlink>
      <a:srgbClr val="3D4D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ad8e907a-e1a6-4b76-8caa-2c3a6e0bcaac">PRQ-151418482-3015</_dlc_DocId>
    <_dlc_DocIdUrl xmlns="ad8e907a-e1a6-4b76-8caa-2c3a6e0bcaac">
      <Url>https://pboprotected.sharepoint.com/sites/PRQHub/_layouts/15/DocIdRedir.aspx?ID=PRQ-151418482-3015</Url>
      <Description>PRQ-151418482-3015</Description>
    </_dlc_DocIdUrl>
    <PR_x0020_ID xmlns="ad8e907a-e1a6-4b76-8caa-2c3a6e0bcaac">PR-2022-068</PR_x0020_ID>
    <n5dfb72b69c24bd0be10e5c7f2c63979 xmlns="392fc61f-e94e-493b-9859-a48021fe120e">
      <Terms xmlns="http://schemas.microsoft.com/office/infopath/2007/PartnerControls">
        <TermInfo xmlns="http://schemas.microsoft.com/office/infopath/2007/PartnerControls">
          <TermName xmlns="http://schemas.microsoft.com/office/infopath/2007/PartnerControls">Response - draft</TermName>
          <TermId xmlns="http://schemas.microsoft.com/office/infopath/2007/PartnerControls">fe250779-e8d4-4391-b8b3-3695d3990251</TermId>
        </TermInfo>
      </Terms>
    </n5dfb72b69c24bd0be10e5c7f2c63979>
    <_ip_UnifiedCompliancePolicyUIAction xmlns="http://schemas.microsoft.com/sharepoint/v3" xsi:nil="true"/>
    <IconOverlay xmlns="http://schemas.microsoft.com/sharepoint/v4" xsi:nil="true"/>
    <_ip_UnifiedCompliancePolicyProperties xmlns="http://schemas.microsoft.com/sharepoint/v3" xsi:nil="true"/>
    <TaxCatchAll xmlns="ad8e907a-e1a6-4b76-8caa-2c3a6e0bcaac">
      <Value>8</Value>
    </TaxCatchAll>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HarvardAnglia2008OfficeOnline.xsl" StyleName="Harvard – Anglia 2008">
  <b:Source>
    <b:Tag>Com17</b:Tag>
    <b:SourceType>Report</b:SourceType>
    <b:Guid>{5D22630B-20D5-45CA-BA98-CA8033D5E870}</b:Guid>
    <b:Author>
      <b:Author>
        <b:Corporate>Commonwealth of Australia</b:Corporate>
      </b:Author>
    </b:Author>
    <b:Title>2017-18 Budget</b:Title>
    <b:Year>2017</b:Year>
    <b:Publisher>Commonwealth of Australia</b:Publisher>
    <b:City>Canberra</b:City>
    <b:RefOrder>1</b:RefOrder>
  </b:Source>
</b:Sources>
</file>

<file path=customXml/item4.xml><?xml version="1.0" encoding="utf-8"?>
<ct:contentTypeSchema xmlns:ct="http://schemas.microsoft.com/office/2006/metadata/contentType" xmlns:ma="http://schemas.microsoft.com/office/2006/metadata/properties/metaAttributes" ct:_="" ma:_="" ma:contentTypeName="Document" ma:contentTypeID="0x010100C8215EFC147243408AAD18E5E049EEF9" ma:contentTypeVersion="15" ma:contentTypeDescription="Create a new document." ma:contentTypeScope="" ma:versionID="ce1f88862b74b0f39b39e998df35a943">
  <xsd:schema xmlns:xsd="http://www.w3.org/2001/XMLSchema" xmlns:xs="http://www.w3.org/2001/XMLSchema" xmlns:p="http://schemas.microsoft.com/office/2006/metadata/properties" xmlns:ns1="http://schemas.microsoft.com/sharepoint/v3" xmlns:ns2="ad8e907a-e1a6-4b76-8caa-2c3a6e0bcaac" xmlns:ns3="392fc61f-e94e-493b-9859-a48021fe120e" xmlns:ns4="http://schemas.microsoft.com/sharepoint/v4" targetNamespace="http://schemas.microsoft.com/office/2006/metadata/properties" ma:root="true" ma:fieldsID="de85e0cccfc52c5b05748f0cce2456dc" ns1:_="" ns2:_="" ns3:_="" ns4:_="">
    <xsd:import namespace="http://schemas.microsoft.com/sharepoint/v3"/>
    <xsd:import namespace="ad8e907a-e1a6-4b76-8caa-2c3a6e0bcaac"/>
    <xsd:import namespace="392fc61f-e94e-493b-9859-a48021fe120e"/>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3:n5dfb72b69c24bd0be10e5c7f2c63979" minOccurs="0"/>
                <xsd:element ref="ns2:TaxCatchAll" minOccurs="0"/>
                <xsd:element ref="ns2:PR_x0020_ID"/>
                <xsd:element ref="ns3:MediaServiceMetadata" minOccurs="0"/>
                <xsd:element ref="ns3:MediaServiceFastMetadata" minOccurs="0"/>
                <xsd:element ref="ns3:MediaServiceAutoKeyPoints" minOccurs="0"/>
                <xsd:element ref="ns3:MediaServiceKeyPoints" minOccurs="0"/>
                <xsd:element ref="ns4:IconOverlay" minOccurs="0"/>
                <xsd:element ref="ns1:_ip_UnifiedCompliancePolicyProperties" minOccurs="0"/>
                <xsd:element ref="ns1:_ip_UnifiedCompliancePolicyUIAction" minOccurs="0"/>
                <xsd:element ref="ns2:SharedWithUsers" minOccurs="0"/>
                <xsd:element ref="ns2:SharedWithDetail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d8e907a-e1a6-4b76-8caa-2c3a6e0bcaa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3" nillable="true" ma:displayName="Taxonomy Catch All Column" ma:hidden="true" ma:list="{7162e0b1-20f3-465a-b0e3-74ffe66b3512}" ma:internalName="TaxCatchAll" ma:showField="CatchAllData" ma:web="ad8e907a-e1a6-4b76-8caa-2c3a6e0bcaac">
      <xsd:complexType>
        <xsd:complexContent>
          <xsd:extension base="dms:MultiChoiceLookup">
            <xsd:sequence>
              <xsd:element name="Value" type="dms:Lookup" maxOccurs="unbounded" minOccurs="0" nillable="true"/>
            </xsd:sequence>
          </xsd:extension>
        </xsd:complexContent>
      </xsd:complexType>
    </xsd:element>
    <xsd:element name="PR_x0020_ID" ma:index="14" ma:displayName="PR ID" ma:default="" ma:description="ID of the parliamentarian request" ma:internalName="PR_x0020_ID0">
      <xsd:simpleType>
        <xsd:restriction base="dms:Text">
          <xsd:maxLength value="255"/>
        </xsd:restriction>
      </xsd:simple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92fc61f-e94e-493b-9859-a48021fe120e" elementFormDefault="qualified">
    <xsd:import namespace="http://schemas.microsoft.com/office/2006/documentManagement/types"/>
    <xsd:import namespace="http://schemas.microsoft.com/office/infopath/2007/PartnerControls"/>
    <xsd:element name="n5dfb72b69c24bd0be10e5c7f2c63979" ma:index="12" ma:taxonomy="true" ma:internalName="n5dfb72b69c24bd0be10e5c7f2c63979" ma:taxonomyFieldName="DocType" ma:displayName="DocType" ma:default="3;#Other|a82e5e6b-4124-495e-bcdc-32042f6b6fbc" ma:fieldId="{75dfb72b-69c2-4bd0-be10-e5c7f2c63979}" ma:sspId="8511bdff-a9c3-4342-ad56-d9f2319b2060" ma:termSetId="a18ff4e3-1268-49c1-bbce-f08b63b82ba6" ma:anchorId="00000000-0000-0000-0000-000000000000" ma:open="false" ma:isKeyword="false">
      <xsd:complexType>
        <xsd:sequence>
          <xsd:element ref="pc:Terms" minOccurs="0" maxOccurs="1"/>
        </xsd:sequence>
      </xsd:complexType>
    </xsd:element>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9"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F1E573F-EAF1-47B0-95E2-65530A7EC75C}">
  <ds:schemaRefs>
    <ds:schemaRef ds:uri="http://purl.org/dc/terms/"/>
    <ds:schemaRef ds:uri="http://schemas.microsoft.com/office/infopath/2007/PartnerControls"/>
    <ds:schemaRef ds:uri="http://schemas.microsoft.com/office/2006/documentManagement/types"/>
    <ds:schemaRef ds:uri="ad8e907a-e1a6-4b76-8caa-2c3a6e0bcaac"/>
    <ds:schemaRef ds:uri="http://schemas.microsoft.com/office/2006/metadata/properties"/>
    <ds:schemaRef ds:uri="http://schemas.microsoft.com/sharepoint/v4"/>
    <ds:schemaRef ds:uri="http://www.w3.org/XML/1998/namespace"/>
    <ds:schemaRef ds:uri="http://purl.org/dc/elements/1.1/"/>
    <ds:schemaRef ds:uri="392fc61f-e94e-493b-9859-a48021fe120e"/>
    <ds:schemaRef ds:uri="http://schemas.microsoft.com/sharepoint/v3"/>
    <ds:schemaRef ds:uri="http://schemas.openxmlformats.org/package/2006/metadata/core-properties"/>
    <ds:schemaRef ds:uri="http://purl.org/dc/dcmitype/"/>
  </ds:schemaRefs>
</ds:datastoreItem>
</file>

<file path=customXml/itemProps2.xml><?xml version="1.0" encoding="utf-8"?>
<ds:datastoreItem xmlns:ds="http://schemas.openxmlformats.org/officeDocument/2006/customXml" ds:itemID="{FED0FD7C-34CE-4D78-A2A9-118771C9592C}">
  <ds:schemaRefs>
    <ds:schemaRef ds:uri="http://schemas.microsoft.com/sharepoint/events"/>
  </ds:schemaRefs>
</ds:datastoreItem>
</file>

<file path=customXml/itemProps3.xml><?xml version="1.0" encoding="utf-8"?>
<ds:datastoreItem xmlns:ds="http://schemas.openxmlformats.org/officeDocument/2006/customXml" ds:itemID="{395123ED-7333-4FD7-A520-E6AB1C05F09C}">
  <ds:schemaRefs>
    <ds:schemaRef ds:uri="http://schemas.openxmlformats.org/officeDocument/2006/bibliography"/>
  </ds:schemaRefs>
</ds:datastoreItem>
</file>

<file path=customXml/itemProps4.xml><?xml version="1.0" encoding="utf-8"?>
<ds:datastoreItem xmlns:ds="http://schemas.openxmlformats.org/officeDocument/2006/customXml" ds:itemID="{8292782E-6BB7-4AA9-BE5F-B59CBB30AB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d8e907a-e1a6-4b76-8caa-2c3a6e0bcaac"/>
    <ds:schemaRef ds:uri="392fc61f-e94e-493b-9859-a48021fe120e"/>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60CF09A-E1A1-4C9F-BCEB-A63EB1A892B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PRR%20-%20RBA</Template>
  <TotalTime>2419</TotalTime>
  <Pages>19</Pages>
  <Words>3890</Words>
  <Characters>22179</Characters>
  <Application>Microsoft Office Word</Application>
  <DocSecurity>0</DocSecurity>
  <Lines>184</Lines>
  <Paragraphs>52</Paragraphs>
  <ScaleCrop>false</ScaleCrop>
  <HeadingPairs>
    <vt:vector size="2" baseType="variant">
      <vt:variant>
        <vt:lpstr>Title</vt:lpstr>
      </vt:variant>
      <vt:variant>
        <vt:i4>1</vt:i4>
      </vt:variant>
    </vt:vector>
  </HeadingPairs>
  <TitlesOfParts>
    <vt:vector size="1" baseType="lpstr">
      <vt:lpstr>Insert title of proposal</vt:lpstr>
    </vt:vector>
  </TitlesOfParts>
  <Company>Parliament of Australia</Company>
  <LinksUpToDate>false</LinksUpToDate>
  <CharactersWithSpaces>26017</CharactersWithSpaces>
  <SharedDoc>false</SharedDoc>
  <HLinks>
    <vt:vector size="120" baseType="variant">
      <vt:variant>
        <vt:i4>2949205</vt:i4>
      </vt:variant>
      <vt:variant>
        <vt:i4>135</vt:i4>
      </vt:variant>
      <vt:variant>
        <vt:i4>0</vt:i4>
      </vt:variant>
      <vt:variant>
        <vt:i4>5</vt:i4>
      </vt:variant>
      <vt:variant>
        <vt:lpwstr>https://www.oecd-ilibrary.org/employment/data/oecd-employment-and-labour-market-statistics/labour-market-programmes-expenditure-and-participants_data-00312-en</vt:lpwstr>
      </vt:variant>
      <vt:variant>
        <vt:lpwstr/>
      </vt:variant>
      <vt:variant>
        <vt:i4>2949205</vt:i4>
      </vt:variant>
      <vt:variant>
        <vt:i4>123</vt:i4>
      </vt:variant>
      <vt:variant>
        <vt:i4>0</vt:i4>
      </vt:variant>
      <vt:variant>
        <vt:i4>5</vt:i4>
      </vt:variant>
      <vt:variant>
        <vt:lpwstr>https://www.oecd-ilibrary.org/employment/data/oecd-employment-and-labour-market-statistics/labour-market-programmes-expenditure-and-participants_data-00312-en</vt:lpwstr>
      </vt:variant>
      <vt:variant>
        <vt:lpwstr/>
      </vt:variant>
      <vt:variant>
        <vt:i4>2949205</vt:i4>
      </vt:variant>
      <vt:variant>
        <vt:i4>111</vt:i4>
      </vt:variant>
      <vt:variant>
        <vt:i4>0</vt:i4>
      </vt:variant>
      <vt:variant>
        <vt:i4>5</vt:i4>
      </vt:variant>
      <vt:variant>
        <vt:lpwstr>https://www.oecd-ilibrary.org/employment/data/oecd-employment-and-labour-market-statistics/labour-market-programmes-expenditure-and-participants_data-00312-en</vt:lpwstr>
      </vt:variant>
      <vt:variant>
        <vt:lpwstr/>
      </vt:variant>
      <vt:variant>
        <vt:i4>2949205</vt:i4>
      </vt:variant>
      <vt:variant>
        <vt:i4>99</vt:i4>
      </vt:variant>
      <vt:variant>
        <vt:i4>0</vt:i4>
      </vt:variant>
      <vt:variant>
        <vt:i4>5</vt:i4>
      </vt:variant>
      <vt:variant>
        <vt:lpwstr>https://www.oecd-ilibrary.org/employment/data/oecd-employment-and-labour-market-statistics/labour-market-programmes-expenditure-and-participants_data-00312-en</vt:lpwstr>
      </vt:variant>
      <vt:variant>
        <vt:lpwstr/>
      </vt:variant>
      <vt:variant>
        <vt:i4>2949205</vt:i4>
      </vt:variant>
      <vt:variant>
        <vt:i4>87</vt:i4>
      </vt:variant>
      <vt:variant>
        <vt:i4>0</vt:i4>
      </vt:variant>
      <vt:variant>
        <vt:i4>5</vt:i4>
      </vt:variant>
      <vt:variant>
        <vt:lpwstr>https://www.oecd-ilibrary.org/employment/data/oecd-employment-and-labour-market-statistics/labour-market-programmes-expenditure-and-participants_data-00312-en</vt:lpwstr>
      </vt:variant>
      <vt:variant>
        <vt:lpwstr/>
      </vt:variant>
      <vt:variant>
        <vt:i4>3407916</vt:i4>
      </vt:variant>
      <vt:variant>
        <vt:i4>30</vt:i4>
      </vt:variant>
      <vt:variant>
        <vt:i4>0</vt:i4>
      </vt:variant>
      <vt:variant>
        <vt:i4>5</vt:i4>
      </vt:variant>
      <vt:variant>
        <vt:lpwstr>https://www.servicesaustralia.gov.au/jobseeker-payment</vt:lpwstr>
      </vt:variant>
      <vt:variant>
        <vt:lpwstr/>
      </vt:variant>
      <vt:variant>
        <vt:i4>3539057</vt:i4>
      </vt:variant>
      <vt:variant>
        <vt:i4>27</vt:i4>
      </vt:variant>
      <vt:variant>
        <vt:i4>0</vt:i4>
      </vt:variant>
      <vt:variant>
        <vt:i4>5</vt:i4>
      </vt:variant>
      <vt:variant>
        <vt:lpwstr>https://stats.oecd.org/</vt:lpwstr>
      </vt:variant>
      <vt:variant>
        <vt:lpwstr/>
      </vt:variant>
      <vt:variant>
        <vt:i4>39</vt:i4>
      </vt:variant>
      <vt:variant>
        <vt:i4>24</vt:i4>
      </vt:variant>
      <vt:variant>
        <vt:i4>0</vt:i4>
      </vt:variant>
      <vt:variant>
        <vt:i4>5</vt:i4>
      </vt:variant>
      <vt:variant>
        <vt:lpwstr>https://www.dss.gov.au/sites/default/files/documents/10_2022/2021-22-annual-report.pdf</vt:lpwstr>
      </vt:variant>
      <vt:variant>
        <vt:lpwstr/>
      </vt:variant>
      <vt:variant>
        <vt:i4>1179657</vt:i4>
      </vt:variant>
      <vt:variant>
        <vt:i4>21</vt:i4>
      </vt:variant>
      <vt:variant>
        <vt:i4>0</vt:i4>
      </vt:variant>
      <vt:variant>
        <vt:i4>5</vt:i4>
      </vt:variant>
      <vt:variant>
        <vt:lpwstr>https://obpr.pmc.gov.au/published-impact-analyses-and-reports/new-employment-services-model-0</vt:lpwstr>
      </vt:variant>
      <vt:variant>
        <vt:lpwstr/>
      </vt:variant>
      <vt:variant>
        <vt:i4>7995423</vt:i4>
      </vt:variant>
      <vt:variant>
        <vt:i4>18</vt:i4>
      </vt:variant>
      <vt:variant>
        <vt:i4>0</vt:i4>
      </vt:variant>
      <vt:variant>
        <vt:i4>5</vt:i4>
      </vt:variant>
      <vt:variant>
        <vt:lpwstr>https://archive.budget.gov.au/2021-22/bp2/download/bp2_2021-22.pdf</vt:lpwstr>
      </vt:variant>
      <vt:variant>
        <vt:lpwstr/>
      </vt:variant>
      <vt:variant>
        <vt:i4>6946871</vt:i4>
      </vt:variant>
      <vt:variant>
        <vt:i4>15</vt:i4>
      </vt:variant>
      <vt:variant>
        <vt:i4>0</vt:i4>
      </vt:variant>
      <vt:variant>
        <vt:i4>5</vt:i4>
      </vt:variant>
      <vt:variant>
        <vt:lpwstr>https://archive.budget.gov.au/</vt:lpwstr>
      </vt:variant>
      <vt:variant>
        <vt:lpwstr/>
      </vt:variant>
      <vt:variant>
        <vt:i4>5111898</vt:i4>
      </vt:variant>
      <vt:variant>
        <vt:i4>12</vt:i4>
      </vt:variant>
      <vt:variant>
        <vt:i4>0</vt:i4>
      </vt:variant>
      <vt:variant>
        <vt:i4>5</vt:i4>
      </vt:variant>
      <vt:variant>
        <vt:lpwstr>https://data.gov.au/data/</vt:lpwstr>
      </vt:variant>
      <vt:variant>
        <vt:lpwstr/>
      </vt:variant>
      <vt:variant>
        <vt:i4>5111898</vt:i4>
      </vt:variant>
      <vt:variant>
        <vt:i4>9</vt:i4>
      </vt:variant>
      <vt:variant>
        <vt:i4>0</vt:i4>
      </vt:variant>
      <vt:variant>
        <vt:i4>5</vt:i4>
      </vt:variant>
      <vt:variant>
        <vt:lpwstr>https://data.gov.au/data/</vt:lpwstr>
      </vt:variant>
      <vt:variant>
        <vt:lpwstr/>
      </vt:variant>
      <vt:variant>
        <vt:i4>1441850</vt:i4>
      </vt:variant>
      <vt:variant>
        <vt:i4>6</vt:i4>
      </vt:variant>
      <vt:variant>
        <vt:i4>0</vt:i4>
      </vt:variant>
      <vt:variant>
        <vt:i4>5</vt:i4>
      </vt:variant>
      <vt:variant>
        <vt:lpwstr>https://www.abs.gov.au/AUSSTATS/abs@.nsf/mediareleasesbyTopic/7F8C0D328D26E03FCA258567007BDEB1?OpenDocument</vt:lpwstr>
      </vt:variant>
      <vt:variant>
        <vt:lpwstr/>
      </vt:variant>
      <vt:variant>
        <vt:i4>4980816</vt:i4>
      </vt:variant>
      <vt:variant>
        <vt:i4>3</vt:i4>
      </vt:variant>
      <vt:variant>
        <vt:i4>0</vt:i4>
      </vt:variant>
      <vt:variant>
        <vt:i4>5</vt:i4>
      </vt:variant>
      <vt:variant>
        <vt:lpwstr>https://www.aph.gov.au/About_Parliament/Parliamentary_departments/Parliamentary_Budget_Office/Publications/Research_reports/JobSeeker_Payment</vt:lpwstr>
      </vt:variant>
      <vt:variant>
        <vt:lpwstr/>
      </vt:variant>
      <vt:variant>
        <vt:i4>7012392</vt:i4>
      </vt:variant>
      <vt:variant>
        <vt:i4>0</vt:i4>
      </vt:variant>
      <vt:variant>
        <vt:i4>0</vt:i4>
      </vt:variant>
      <vt:variant>
        <vt:i4>5</vt:i4>
      </vt:variant>
      <vt:variant>
        <vt:lpwstr>http://www.pbo.gov.au/</vt:lpwstr>
      </vt:variant>
      <vt:variant>
        <vt:lpwstr/>
      </vt:variant>
      <vt:variant>
        <vt:i4>3407916</vt:i4>
      </vt:variant>
      <vt:variant>
        <vt:i4>3</vt:i4>
      </vt:variant>
      <vt:variant>
        <vt:i4>0</vt:i4>
      </vt:variant>
      <vt:variant>
        <vt:i4>5</vt:i4>
      </vt:variant>
      <vt:variant>
        <vt:lpwstr>https://www.servicesaustralia.gov.au/jobseeker-payment</vt:lpwstr>
      </vt:variant>
      <vt:variant>
        <vt:lpwstr/>
      </vt:variant>
      <vt:variant>
        <vt:i4>7995423</vt:i4>
      </vt:variant>
      <vt:variant>
        <vt:i4>0</vt:i4>
      </vt:variant>
      <vt:variant>
        <vt:i4>0</vt:i4>
      </vt:variant>
      <vt:variant>
        <vt:i4>5</vt:i4>
      </vt:variant>
      <vt:variant>
        <vt:lpwstr>https://archive.budget.gov.au/2021-22/bp2/download/bp2_2021-22.pdf</vt:lpwstr>
      </vt:variant>
      <vt:variant>
        <vt:lpwstr/>
      </vt:variant>
      <vt:variant>
        <vt:i4>1179749</vt:i4>
      </vt:variant>
      <vt:variant>
        <vt:i4>9</vt:i4>
      </vt:variant>
      <vt:variant>
        <vt:i4>0</vt:i4>
      </vt:variant>
      <vt:variant>
        <vt:i4>5</vt:i4>
      </vt:variant>
      <vt:variant>
        <vt:lpwstr>mailto:pbo@pbo.gov.au</vt:lpwstr>
      </vt:variant>
      <vt:variant>
        <vt:lpwstr/>
      </vt:variant>
      <vt:variant>
        <vt:i4>7012392</vt:i4>
      </vt:variant>
      <vt:variant>
        <vt:i4>6</vt:i4>
      </vt:variant>
      <vt:variant>
        <vt:i4>0</vt:i4>
      </vt:variant>
      <vt:variant>
        <vt:i4>5</vt:i4>
      </vt:variant>
      <vt:variant>
        <vt:lpwstr>http://www.pbo.gov.au/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Expenditure on employment services</dc:title>
  <dc:subject/>
  <dc:creator>Parliamentary Budget Office (PBO)</dc:creator>
  <cp:keywords/>
  <cp:lastPrinted>2022-11-01T23:55:00Z</cp:lastPrinted>
  <dcterms:created xsi:type="dcterms:W3CDTF">2022-10-23T23:26:00Z</dcterms:created>
  <dcterms:modified xsi:type="dcterms:W3CDTF">2023-03-01T05:51:00Z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Status">
    <vt:lpwstr/>
  </property>
  <property fmtid="{D5CDD505-2E9C-101B-9397-08002B2CF9AE}" pid="3" name="xTOCH2">
    <vt:lpwstr>Y</vt:lpwstr>
  </property>
  <property fmtid="{D5CDD505-2E9C-101B-9397-08002B2CF9AE}" pid="4" name="xTOCH3">
    <vt:lpwstr>N</vt:lpwstr>
  </property>
  <property fmtid="{D5CDD505-2E9C-101B-9397-08002B2CF9AE}" pid="5" name="xTOCTable">
    <vt:lpwstr>H</vt:lpwstr>
  </property>
  <property fmtid="{D5CDD505-2E9C-101B-9397-08002B2CF9AE}" pid="6" name="xTOCFigure">
    <vt:lpwstr>H</vt:lpwstr>
  </property>
  <property fmtid="{D5CDD505-2E9C-101B-9397-08002B2CF9AE}" pid="7" name="xTOCApp">
    <vt:lpwstr>H</vt:lpwstr>
  </property>
  <property fmtid="{D5CDD505-2E9C-101B-9397-08002B2CF9AE}" pid="8" name="xNumberedBodyText">
    <vt:lpwstr>False</vt:lpwstr>
  </property>
  <property fmtid="{D5CDD505-2E9C-101B-9397-08002B2CF9AE}" pid="9" name="xCR">
    <vt:lpwstr>Heading</vt:lpwstr>
  </property>
  <property fmtid="{D5CDD505-2E9C-101B-9397-08002B2CF9AE}" pid="10" name="xHeadingsNumbered">
    <vt:lpwstr>0</vt:lpwstr>
  </property>
  <property fmtid="{D5CDD505-2E9C-101B-9397-08002B2CF9AE}" pid="11" name="xAppendixName">
    <vt:lpwstr>Attachment</vt:lpwstr>
  </property>
  <property fmtid="{D5CDD505-2E9C-101B-9397-08002B2CF9AE}" pid="12" name="ContentTypeId">
    <vt:lpwstr>0x010100C8215EFC147243408AAD18E5E049EEF9</vt:lpwstr>
  </property>
  <property fmtid="{D5CDD505-2E9C-101B-9397-08002B2CF9AE}" pid="13" name="_dlc_DocIdItemGuid">
    <vt:lpwstr>0aa997fd-7786-40a8-804c-19d3a002c4de</vt:lpwstr>
  </property>
  <property fmtid="{D5CDD505-2E9C-101B-9397-08002B2CF9AE}" pid="14" name="DocType">
    <vt:lpwstr>8;#Response - draft|fe250779-e8d4-4391-b8b3-3695d3990251</vt:lpwstr>
  </property>
  <property fmtid="{D5CDD505-2E9C-101B-9397-08002B2CF9AE}" pid="15" name="Document Type">
    <vt:lpwstr>Current Template</vt:lpwstr>
  </property>
  <property fmtid="{D5CDD505-2E9C-101B-9397-08002B2CF9AE}" pid="16" name="_docset_NoMedatataSyncRequired">
    <vt:lpwstr>False</vt:lpwstr>
  </property>
  <property fmtid="{D5CDD505-2E9C-101B-9397-08002B2CF9AE}" pid="17" name="MSIP_Label_02081b7c-3c5d-4266-a0e9-2dfd3c6da554_Enabled">
    <vt:lpwstr>true</vt:lpwstr>
  </property>
  <property fmtid="{D5CDD505-2E9C-101B-9397-08002B2CF9AE}" pid="18" name="MSIP_Label_02081b7c-3c5d-4266-a0e9-2dfd3c6da554_SetDate">
    <vt:lpwstr>2022-11-01T23:55:28Z</vt:lpwstr>
  </property>
  <property fmtid="{D5CDD505-2E9C-101B-9397-08002B2CF9AE}" pid="19" name="MSIP_Label_02081b7c-3c5d-4266-a0e9-2dfd3c6da554_Method">
    <vt:lpwstr>Privileged</vt:lpwstr>
  </property>
  <property fmtid="{D5CDD505-2E9C-101B-9397-08002B2CF9AE}" pid="20" name="MSIP_Label_02081b7c-3c5d-4266-a0e9-2dfd3c6da554_Name">
    <vt:lpwstr>OFFICIAL Sensitive</vt:lpwstr>
  </property>
  <property fmtid="{D5CDD505-2E9C-101B-9397-08002B2CF9AE}" pid="21" name="MSIP_Label_02081b7c-3c5d-4266-a0e9-2dfd3c6da554_SiteId">
    <vt:lpwstr>dc2a6fc4-3a5c-4009-8148-25a15ab44bf4</vt:lpwstr>
  </property>
  <property fmtid="{D5CDD505-2E9C-101B-9397-08002B2CF9AE}" pid="22" name="MSIP_Label_02081b7c-3c5d-4266-a0e9-2dfd3c6da554_ActionId">
    <vt:lpwstr>246acc06-025b-479a-b3bf-0c3ac4be01ea</vt:lpwstr>
  </property>
  <property fmtid="{D5CDD505-2E9C-101B-9397-08002B2CF9AE}" pid="23" name="MSIP_Label_02081b7c-3c5d-4266-a0e9-2dfd3c6da554_ContentBits">
    <vt:lpwstr>3</vt:lpwstr>
  </property>
</Properties>
</file>