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C0BA" w14:textId="77777777" w:rsidR="00AA478E" w:rsidRDefault="00FC24A5" w:rsidP="002636AE">
      <w:pPr>
        <w:pStyle w:val="Heading1"/>
        <w:spacing w:before="0"/>
      </w:pPr>
      <w:r>
        <w:t>Request for budget analysis</w:t>
      </w:r>
    </w:p>
    <w:tbl>
      <w:tblPr>
        <w:tblStyle w:val="PBOTable2-11pt"/>
        <w:tblW w:w="4992" w:type="pct"/>
        <w:tblLook w:val="0620" w:firstRow="1" w:lastRow="0" w:firstColumn="0" w:lastColumn="0" w:noHBand="1" w:noVBand="1"/>
      </w:tblPr>
      <w:tblGrid>
        <w:gridCol w:w="3537"/>
        <w:gridCol w:w="2764"/>
        <w:gridCol w:w="2736"/>
      </w:tblGrid>
      <w:tr w:rsidR="00AA478E" w:rsidRPr="004F5F28" w14:paraId="1CFFEDCC" w14:textId="77777777" w:rsidTr="00D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07F6AAB7" w14:textId="2504FB64" w:rsidR="00AA478E" w:rsidRPr="004F5F28" w:rsidRDefault="002A74B0" w:rsidP="008838DF">
            <w:pPr>
              <w:pStyle w:val="NameofProposal"/>
              <w:spacing w:before="120" w:line="260" w:lineRule="atLeast"/>
            </w:pPr>
            <w:r>
              <w:t>Stage 3 tax cuts distributional analysis</w:t>
            </w:r>
          </w:p>
        </w:tc>
      </w:tr>
      <w:tr w:rsidR="00D11623" w:rsidRPr="004F5F28" w14:paraId="11BC8D6D" w14:textId="77777777" w:rsidTr="00D674A5">
        <w:tc>
          <w:tcPr>
            <w:tcW w:w="1957" w:type="pct"/>
          </w:tcPr>
          <w:p w14:paraId="2152713F" w14:textId="77777777" w:rsidR="00D11623" w:rsidRPr="004F5F28" w:rsidRDefault="00D11623" w:rsidP="00D11623">
            <w:pPr>
              <w:spacing w:before="120" w:line="260" w:lineRule="atLeast"/>
            </w:pPr>
            <w:r w:rsidRPr="004F5F28">
              <w:t xml:space="preserve">Person/party requesting the </w:t>
            </w:r>
            <w:r>
              <w:t>analysis</w:t>
            </w:r>
            <w:r w:rsidRPr="004F5F28">
              <w:t>:</w:t>
            </w:r>
          </w:p>
        </w:tc>
        <w:tc>
          <w:tcPr>
            <w:tcW w:w="3043" w:type="pct"/>
            <w:gridSpan w:val="2"/>
          </w:tcPr>
          <w:p w14:paraId="72CF31F6" w14:textId="210EEC16" w:rsidR="00D11623" w:rsidRPr="004F5F28" w:rsidRDefault="00BA30B9" w:rsidP="00D11623">
            <w:pPr>
              <w:spacing w:before="120" w:line="260" w:lineRule="atLeast"/>
            </w:pPr>
            <w:sdt>
              <w:sdtPr>
                <w:alias w:val="Requestor"/>
                <w:tag w:val="Requestor"/>
                <w:id w:val="39022088"/>
                <w:placeholder>
                  <w:docPart w:val="6B35BAF036F643AABC910BF369B63289"/>
                </w:placeholder>
                <w:dropDownList>
                  <w:listItem w:value="Choose an item."/>
                  <w:listItem w:displayText="Mr Adam Bandt MP, Australian Greens" w:value="Mr Adam Bandt MP, Australian Greens"/>
                  <w:listItem w:displayText="The Hon Anthony Albanese MP, Australian Labor Party" w:value="The Hon Anthony Albanese MP, Australian Labor Party"/>
                  <w:listItem w:displayText="The Hon Richard Marles MP, Australian Labor Party" w:value="The Hon Richard Marles MP, Australian Labor Party"/>
                  <w:listItem w:displayText="Dr Jim Chalmers MP, Australian Labor Party" w:value="Dr Jim Chalmers MP, Australian Labor Party"/>
                  <w:listItem w:displayText="Mr Stephen Jones MP, Australian Labor Party" w:value="Mr Stephen Jones MP, Australian Labor Party"/>
                  <w:listItem w:displayText="Senator Katy Gallagher, Australian Labor Party" w:value="Senator Katy Gallagher, Australian Labor Party"/>
                  <w:listItem w:displayText="The Hon Tanya Plibersek MP, Australian Labor Party" w:value="The Hon Tanya Plibersek MP, Australian Labor Party"/>
                  <w:listItem w:displayText="The Hon Linda Burney MP, Australian Labor Party" w:value="The Hon Linda Burney MP, Australian Labor Party"/>
                  <w:listItem w:displayText="Senator Jacqui Lambie, Jacqui Lambie Network" w:value="Senator Jacqui Lambie, Jacqui Lambie Network"/>
                  <w:listItem w:displayText="Mr Bert van Manen MP, Member for Forde" w:value="Mr Bert van Manen MP, Member for Forde"/>
                  <w:listItem w:displayText="Ms Rebekha Sharkie MP, Member for Mayo" w:value="Ms Rebekha Sharkie MP, Member for Mayo"/>
                  <w:listItem w:displayText="Senator Kimberley Kitching, Senator for Victoria" w:value="Senator Kimberley Kitching, Senator for Victoria"/>
                  <w:listItem w:displayText="The Hon Chris Bowen MP, Australian Labor Party" w:value="The Hon Chris Bowen MP, Australian Labor Party"/>
                  <w:listItem w:displayText="Senator Rex Patrick, Senator for South Australia" w:value="Senator Rex Patrick, Senator for South Australia"/>
                  <w:listItem w:displayText="The Hon Brendan O'Connor MP, Australian Labor Party" w:value="The Hon Brendan O'Connor MP, Australian Labor Party"/>
                  <w:listItem w:displayText="The Hon Mark Butler MP, Australian Labor Party" w:value="The Hon Mark Butler MP, Australian Labor Party"/>
                  <w:listItem w:displayText="Dr Helen Haines MP, Member for Indi" w:value="Dr Helen Haines MP, Member for Indi"/>
                  <w:listItem w:displayText="Senator the Hon Concetta Fierravanti-Wells, Senator for New South Wales" w:value="Senator the Hon Concetta Fierravanti-Wells, Senator for New South Wales"/>
                </w:dropDownList>
              </w:sdtPr>
              <w:sdtEndPr/>
              <w:sdtContent>
                <w:r w:rsidR="002A74B0">
                  <w:t>Mr Adam Bandt MP, Australian Greens</w:t>
                </w:r>
              </w:sdtContent>
            </w:sdt>
          </w:p>
        </w:tc>
      </w:tr>
      <w:tr w:rsidR="00AA478E" w:rsidRPr="004F5F28" w14:paraId="5C0B955B" w14:textId="77777777" w:rsidTr="00D674A5">
        <w:tc>
          <w:tcPr>
            <w:tcW w:w="1957" w:type="pct"/>
          </w:tcPr>
          <w:p w14:paraId="098A472C" w14:textId="77777777" w:rsidR="00AA478E" w:rsidRPr="004F5F28" w:rsidRDefault="008838DF" w:rsidP="008838DF">
            <w:pPr>
              <w:spacing w:before="120" w:line="260" w:lineRule="atLeast"/>
            </w:pPr>
            <w:r>
              <w:t>Date analysis</w:t>
            </w:r>
            <w:r w:rsidR="00AA478E" w:rsidRPr="004F5F28">
              <w:t xml:space="preserve"> completed:</w:t>
            </w:r>
          </w:p>
        </w:tc>
        <w:tc>
          <w:tcPr>
            <w:tcW w:w="3043" w:type="pct"/>
            <w:gridSpan w:val="2"/>
          </w:tcPr>
          <w:p w14:paraId="18D91BC8" w14:textId="00EBECAA" w:rsidR="00AA478E" w:rsidRPr="004F5F28" w:rsidRDefault="00C20E9D" w:rsidP="002E0CD6">
            <w:pPr>
              <w:spacing w:before="120" w:line="260" w:lineRule="atLeast"/>
            </w:pPr>
            <w:r>
              <w:t>7 July 2022</w:t>
            </w:r>
          </w:p>
        </w:tc>
      </w:tr>
      <w:tr w:rsidR="00AA478E" w:rsidRPr="004F5F28" w14:paraId="31F4DA3C" w14:textId="77777777" w:rsidTr="00D674A5">
        <w:tc>
          <w:tcPr>
            <w:tcW w:w="1957" w:type="pct"/>
          </w:tcPr>
          <w:p w14:paraId="436DABC2" w14:textId="77777777" w:rsidR="00AA478E" w:rsidRPr="004F5F28" w:rsidRDefault="00AA478E" w:rsidP="00B621D5">
            <w:pPr>
              <w:spacing w:before="120" w:line="260" w:lineRule="atLeast"/>
            </w:pPr>
            <w:r w:rsidRPr="004F5F28">
              <w:t>Expiry date of the</w:t>
            </w:r>
            <w:r w:rsidR="00B621D5">
              <w:t xml:space="preserve"> analysis:</w:t>
            </w:r>
          </w:p>
        </w:tc>
        <w:tc>
          <w:tcPr>
            <w:tcW w:w="3043" w:type="pct"/>
            <w:gridSpan w:val="2"/>
          </w:tcPr>
          <w:p w14:paraId="61631A4D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Release of the next economic and fiscal outlook report.</w:t>
            </w:r>
          </w:p>
        </w:tc>
      </w:tr>
      <w:tr w:rsidR="00AA478E" w:rsidRPr="004F5F28" w14:paraId="540664A0" w14:textId="77777777" w:rsidTr="00D674A5">
        <w:tc>
          <w:tcPr>
            <w:tcW w:w="1957" w:type="pct"/>
            <w:vMerge w:val="restart"/>
          </w:tcPr>
          <w:p w14:paraId="1964F69B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Status at time of request:</w:t>
            </w:r>
          </w:p>
        </w:tc>
        <w:tc>
          <w:tcPr>
            <w:tcW w:w="3043" w:type="pct"/>
            <w:gridSpan w:val="2"/>
          </w:tcPr>
          <w:p w14:paraId="515564BC" w14:textId="77777777" w:rsidR="00AA478E" w:rsidRPr="004F5F28" w:rsidRDefault="00AA478E" w:rsidP="002E0CD6">
            <w:pPr>
              <w:spacing w:before="120" w:line="260" w:lineRule="atLeast"/>
            </w:pPr>
            <w:r w:rsidRPr="004F5F28">
              <w:t>Submitted outside the caretaker period</w:t>
            </w:r>
          </w:p>
        </w:tc>
      </w:tr>
      <w:tr w:rsidR="00AA478E" w:rsidRPr="004F5F28" w14:paraId="059DC1EF" w14:textId="77777777" w:rsidTr="00D674A5">
        <w:tc>
          <w:tcPr>
            <w:tcW w:w="1957" w:type="pct"/>
            <w:vMerge/>
          </w:tcPr>
          <w:p w14:paraId="144F3049" w14:textId="77777777" w:rsidR="00AA478E" w:rsidRPr="004F5F28" w:rsidRDefault="00AA478E" w:rsidP="002E0CD6">
            <w:pPr>
              <w:spacing w:before="120" w:line="260" w:lineRule="atLeast"/>
            </w:pPr>
          </w:p>
        </w:tc>
        <w:tc>
          <w:tcPr>
            <w:tcW w:w="1529" w:type="pct"/>
          </w:tcPr>
          <w:p w14:paraId="3CFC120C" w14:textId="00A0B901" w:rsidR="00AA478E" w:rsidRPr="004F5F28" w:rsidRDefault="00BA30B9" w:rsidP="002E0CD6">
            <w:pPr>
              <w:spacing w:before="120" w:line="260" w:lineRule="atLeas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9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4F5F28">
              <w:t xml:space="preserve"> </w:t>
            </w:r>
            <w:r w:rsidR="00AA478E" w:rsidRPr="00F14C8A">
              <w:rPr>
                <w:strike/>
              </w:rPr>
              <w:t>Confidential</w:t>
            </w:r>
            <w:r w:rsidR="00147997">
              <w:t xml:space="preserve"> (</w:t>
            </w:r>
            <w:r w:rsidR="0013403E">
              <w:t>Public release requested on 30 August 2022)</w:t>
            </w:r>
          </w:p>
        </w:tc>
        <w:tc>
          <w:tcPr>
            <w:tcW w:w="1514" w:type="pct"/>
          </w:tcPr>
          <w:p w14:paraId="2D4D32AC" w14:textId="77777777" w:rsidR="00AA478E" w:rsidRPr="004F5F28" w:rsidRDefault="00BA30B9" w:rsidP="002E0CD6">
            <w:pPr>
              <w:spacing w:before="120" w:line="260" w:lineRule="atLeas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4F5F28">
              <w:t xml:space="preserve"> Not confidential</w:t>
            </w:r>
          </w:p>
        </w:tc>
      </w:tr>
      <w:tr w:rsidR="00AA478E" w:rsidRPr="004F5F28" w14:paraId="6D58F082" w14:textId="77777777" w:rsidTr="00D674A5">
        <w:tc>
          <w:tcPr>
            <w:tcW w:w="5000" w:type="pct"/>
            <w:gridSpan w:val="3"/>
          </w:tcPr>
          <w:p w14:paraId="1025B250" w14:textId="77777777" w:rsidR="00AA478E" w:rsidRDefault="00AA478E" w:rsidP="002E0CD6">
            <w:pPr>
              <w:spacing w:before="120" w:line="260" w:lineRule="atLeast"/>
            </w:pPr>
            <w:r w:rsidRPr="004F5F28">
              <w:t xml:space="preserve">Summary of </w:t>
            </w:r>
            <w:r w:rsidR="00B621D5">
              <w:t>request</w:t>
            </w:r>
            <w:r w:rsidRPr="004F5F28">
              <w:t>:</w:t>
            </w:r>
          </w:p>
          <w:p w14:paraId="499B2D85" w14:textId="3EE01090" w:rsidR="00850A5C" w:rsidRPr="00665115" w:rsidRDefault="00FA2FB4" w:rsidP="00850A5C">
            <w:pPr>
              <w:spacing w:line="260" w:lineRule="atLeast"/>
              <w:rPr>
                <w:color w:val="auto"/>
              </w:rPr>
            </w:pPr>
            <w:r>
              <w:t>The request sought</w:t>
            </w:r>
            <w:r w:rsidR="000A192E">
              <w:t xml:space="preserve"> estimated financial implications and distributional analysis of Stage 3 of the personal income tax plan as </w:t>
            </w:r>
            <w:r w:rsidR="00850A5C" w:rsidRPr="00665115">
              <w:rPr>
                <w:color w:val="auto"/>
              </w:rPr>
              <w:t xml:space="preserve">set out in the 2018-19 Budget measure </w:t>
            </w:r>
            <w:r w:rsidR="00850A5C" w:rsidRPr="006B1067">
              <w:rPr>
                <w:i/>
                <w:color w:val="auto"/>
              </w:rPr>
              <w:t>Personal income tax plan</w:t>
            </w:r>
            <w:r w:rsidR="00850A5C" w:rsidRPr="00665115">
              <w:rPr>
                <w:color w:val="auto"/>
              </w:rPr>
              <w:t xml:space="preserve"> and the 2019-20 Budget measure </w:t>
            </w:r>
            <w:r w:rsidR="00850A5C" w:rsidRPr="006B1067">
              <w:rPr>
                <w:i/>
                <w:color w:val="auto"/>
              </w:rPr>
              <w:t>Lower taxes for hard-working Australians: Building on the Personal Income Tax Plan</w:t>
            </w:r>
            <w:r w:rsidR="00850A5C" w:rsidRPr="00665115">
              <w:rPr>
                <w:color w:val="auto"/>
              </w:rPr>
              <w:t xml:space="preserve"> over </w:t>
            </w:r>
            <w:r w:rsidR="00EB02F3">
              <w:rPr>
                <w:color w:val="auto"/>
              </w:rPr>
              <w:t>the medium term</w:t>
            </w:r>
            <w:r w:rsidR="00850A5C" w:rsidRPr="00665115">
              <w:rPr>
                <w:color w:val="auto"/>
              </w:rPr>
              <w:t>.</w:t>
            </w:r>
            <w:r w:rsidR="00850A5C">
              <w:rPr>
                <w:color w:val="auto"/>
              </w:rPr>
              <w:t xml:space="preserve"> </w:t>
            </w:r>
            <w:r w:rsidR="00850A5C" w:rsidRPr="00665115">
              <w:rPr>
                <w:color w:val="auto"/>
              </w:rPr>
              <w:t>The</w:t>
            </w:r>
            <w:r w:rsidR="00850A5C" w:rsidRPr="00665115" w:rsidDel="007D1173">
              <w:rPr>
                <w:color w:val="auto"/>
              </w:rPr>
              <w:t xml:space="preserve"> </w:t>
            </w:r>
            <w:r w:rsidR="00850A5C">
              <w:rPr>
                <w:color w:val="auto"/>
              </w:rPr>
              <w:t>S</w:t>
            </w:r>
            <w:r w:rsidR="00850A5C" w:rsidRPr="00665115">
              <w:rPr>
                <w:color w:val="auto"/>
              </w:rPr>
              <w:t xml:space="preserve">tage 3 tax cuts </w:t>
            </w:r>
            <w:r w:rsidR="00850A5C">
              <w:rPr>
                <w:color w:val="auto"/>
              </w:rPr>
              <w:t xml:space="preserve">take effect from 1 July 2024 and </w:t>
            </w:r>
            <w:r w:rsidR="00850A5C" w:rsidRPr="00665115" w:rsidDel="007D1173">
              <w:rPr>
                <w:color w:val="auto"/>
              </w:rPr>
              <w:t>involve</w:t>
            </w:r>
            <w:r w:rsidR="00850A5C" w:rsidRPr="00665115">
              <w:rPr>
                <w:color w:val="auto"/>
              </w:rPr>
              <w:t>:</w:t>
            </w:r>
          </w:p>
          <w:p w14:paraId="612E27E6" w14:textId="77777777" w:rsidR="00850A5C" w:rsidRPr="00567854" w:rsidRDefault="00850A5C" w:rsidP="00567854">
            <w:pPr>
              <w:pStyle w:val="Bullet1"/>
            </w:pPr>
            <w:r w:rsidRPr="00567854">
              <w:t>removing the $120,000 to $180,000 tax bracket</w:t>
            </w:r>
          </w:p>
          <w:p w14:paraId="42BD8190" w14:textId="77777777" w:rsidR="00850A5C" w:rsidRPr="00567854" w:rsidRDefault="00850A5C" w:rsidP="00567854">
            <w:pPr>
              <w:pStyle w:val="Bullet1"/>
            </w:pPr>
            <w:r w:rsidRPr="00567854">
              <w:t>increasing the top tax bracket threshold from $180,000 to $200,000</w:t>
            </w:r>
          </w:p>
          <w:p w14:paraId="7B205770" w14:textId="77777777" w:rsidR="00850A5C" w:rsidRPr="00567854" w:rsidRDefault="00850A5C" w:rsidP="00567854">
            <w:pPr>
              <w:pStyle w:val="Bullet1"/>
            </w:pPr>
            <w:r w:rsidRPr="00567854">
              <w:t>reducing the marginal tax rate faced by the $45,000 to $200,000 tax bracket from 32.5% to 30%.</w:t>
            </w:r>
          </w:p>
          <w:p w14:paraId="097867BB" w14:textId="4610D49A" w:rsidR="00C000C6" w:rsidRDefault="00850A5C" w:rsidP="00C80ACA">
            <w:pPr>
              <w:spacing w:before="120" w:line="260" w:lineRule="atLeast"/>
            </w:pPr>
            <w:r>
              <w:t>The distributional analyses sought the aggregate change in tax paid for taxpayers affected by the Stage 3 tax cuts</w:t>
            </w:r>
            <w:r w:rsidR="00746138">
              <w:t xml:space="preserve"> split</w:t>
            </w:r>
            <w:r w:rsidR="00D51E01">
              <w:t xml:space="preserve"> by: </w:t>
            </w:r>
          </w:p>
          <w:p w14:paraId="5C9B40EC" w14:textId="77777777" w:rsidR="0098471F" w:rsidRPr="00665115" w:rsidRDefault="0098471F" w:rsidP="00E5133B">
            <w:pPr>
              <w:pStyle w:val="Bullet1"/>
            </w:pPr>
            <w:r w:rsidRPr="00665115">
              <w:t>taxable income quintiles</w:t>
            </w:r>
          </w:p>
          <w:p w14:paraId="4B16745A" w14:textId="77777777" w:rsidR="0098471F" w:rsidRPr="00665115" w:rsidRDefault="0098471F" w:rsidP="00E5133B">
            <w:pPr>
              <w:pStyle w:val="Bullet1"/>
            </w:pPr>
            <w:r w:rsidRPr="00665115">
              <w:t>gender</w:t>
            </w:r>
          </w:p>
          <w:p w14:paraId="377A79A3" w14:textId="77777777" w:rsidR="0098471F" w:rsidRPr="00665115" w:rsidRDefault="0098471F" w:rsidP="00E5133B">
            <w:pPr>
              <w:pStyle w:val="Bullet1"/>
            </w:pPr>
            <w:r w:rsidRPr="00665115">
              <w:t>the following taxable income brackets:</w:t>
            </w:r>
          </w:p>
          <w:p w14:paraId="70992CFE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Less than $45,000</w:t>
            </w:r>
          </w:p>
          <w:p w14:paraId="3F5FF0C1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$45,001 to $60,000</w:t>
            </w:r>
          </w:p>
          <w:p w14:paraId="5EA3E5EB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$60,001 to $90,000</w:t>
            </w:r>
          </w:p>
          <w:p w14:paraId="50B83EFD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$90,001 to $120,000</w:t>
            </w:r>
          </w:p>
          <w:p w14:paraId="475548DA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$120,001 to $150,000</w:t>
            </w:r>
          </w:p>
          <w:p w14:paraId="2DD89DFA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$150,001 to $180,000</w:t>
            </w:r>
          </w:p>
          <w:p w14:paraId="6A313DEF" w14:textId="77777777" w:rsidR="0098471F" w:rsidRPr="00665115" w:rsidRDefault="0098471F" w:rsidP="0098471F">
            <w:pPr>
              <w:pStyle w:val="Bullet2"/>
              <w:ind w:left="568"/>
            </w:pPr>
            <w:r w:rsidRPr="00665115">
              <w:t>Greater than $180,000.</w:t>
            </w:r>
          </w:p>
          <w:p w14:paraId="11D19E76" w14:textId="6DC9CFAE" w:rsidR="0098471F" w:rsidRDefault="0098471F" w:rsidP="00E5133B">
            <w:pPr>
              <w:pStyle w:val="Bullet1"/>
            </w:pPr>
            <w:r w:rsidRPr="00665115">
              <w:t>taxable income for the top percentile of taxpayers</w:t>
            </w:r>
          </w:p>
          <w:p w14:paraId="11365B4A" w14:textId="77777777" w:rsidR="0098471F" w:rsidRPr="0098471F" w:rsidRDefault="00DE74ED" w:rsidP="0098471F">
            <w:pPr>
              <w:pStyle w:val="Bullet1"/>
            </w:pPr>
            <w:r>
              <w:t xml:space="preserve">the proportion of </w:t>
            </w:r>
            <w:r w:rsidR="001432DD">
              <w:t>income earners</w:t>
            </w:r>
            <w:r w:rsidR="00AA6D12">
              <w:t xml:space="preserve"> </w:t>
            </w:r>
            <w:r w:rsidR="00416829">
              <w:t xml:space="preserve">at the bottom of the distribution that receive the same </w:t>
            </w:r>
            <w:r w:rsidR="00A82914">
              <w:t>aggregate dollar benefit as the top percentile.</w:t>
            </w:r>
          </w:p>
        </w:tc>
      </w:tr>
    </w:tbl>
    <w:p w14:paraId="080FA823" w14:textId="77777777" w:rsidR="00AA478E" w:rsidRPr="009B33D1" w:rsidRDefault="00B621D5" w:rsidP="009B33D1">
      <w:pPr>
        <w:pStyle w:val="Heading2"/>
      </w:pPr>
      <w:r>
        <w:lastRenderedPageBreak/>
        <w:t>O</w:t>
      </w:r>
      <w:r w:rsidR="00AA478E" w:rsidRPr="009B33D1">
        <w:t>verview</w:t>
      </w:r>
    </w:p>
    <w:p w14:paraId="7EF27EAD" w14:textId="77777777" w:rsidR="00330D46" w:rsidRPr="00621A71" w:rsidRDefault="00330D46" w:rsidP="00330D46">
      <w:bookmarkStart w:id="0" w:name="_Hlk63779408"/>
      <w:r>
        <w:t xml:space="preserve">The estimated financial implications of the Stage 3 tax cuts over the period to 2032-33 are at </w:t>
      </w:r>
      <w:r w:rsidRPr="5B22CD3E">
        <w:rPr>
          <w:u w:val="single"/>
        </w:rPr>
        <w:t>Attachment A</w:t>
      </w:r>
      <w:r>
        <w:t xml:space="preserve">.  </w:t>
      </w:r>
    </w:p>
    <w:p w14:paraId="37F2BBF8" w14:textId="77777777" w:rsidR="00330D46" w:rsidRPr="00621A71" w:rsidRDefault="00330D46" w:rsidP="00330D46">
      <w:r>
        <w:t xml:space="preserve">The requested distributional analyses are at </w:t>
      </w:r>
      <w:r w:rsidRPr="5B22CD3E">
        <w:rPr>
          <w:u w:val="single"/>
        </w:rPr>
        <w:t>Attachment B</w:t>
      </w:r>
      <w:r>
        <w:t xml:space="preserve">.  </w:t>
      </w:r>
    </w:p>
    <w:p w14:paraId="7621DC27" w14:textId="3587DF98" w:rsidR="00330D46" w:rsidRDefault="00330D46" w:rsidP="00330D46">
      <w:r w:rsidRPr="00621A71">
        <w:t xml:space="preserve">The income tax quintiles and percentiles used in the distributional analysis are at </w:t>
      </w:r>
      <w:r w:rsidRPr="00621A71">
        <w:rPr>
          <w:u w:val="single"/>
        </w:rPr>
        <w:t>Attachment C</w:t>
      </w:r>
      <w:r w:rsidRPr="00621A71">
        <w:t>.</w:t>
      </w:r>
    </w:p>
    <w:p w14:paraId="03BA904D" w14:textId="6717F737" w:rsidR="005961F6" w:rsidRPr="00D014E1" w:rsidRDefault="005961F6" w:rsidP="000F5C24">
      <w:pPr>
        <w:pStyle w:val="Heading2"/>
        <w:tabs>
          <w:tab w:val="center" w:pos="4535"/>
        </w:tabs>
      </w:pPr>
      <w:r w:rsidRPr="00D014E1">
        <w:t>Key assumptions</w:t>
      </w:r>
      <w:r w:rsidR="00D94D84">
        <w:tab/>
      </w:r>
    </w:p>
    <w:p w14:paraId="273E9E29" w14:textId="77777777" w:rsidR="005961F6" w:rsidRPr="00621A71" w:rsidRDefault="005961F6" w:rsidP="005961F6">
      <w:r>
        <w:t>The Parliamentary Budget Office (PBO) has assumed that t</w:t>
      </w:r>
      <w:r w:rsidRPr="00621A71">
        <w:t xml:space="preserve">here would be no significant behavioural response associated with </w:t>
      </w:r>
      <w:r w:rsidRPr="00621A71" w:rsidDel="00EF5100">
        <w:t xml:space="preserve">the </w:t>
      </w:r>
      <w:r w:rsidRPr="00621A71">
        <w:t>Stage 3 tax cuts, including to the labour supply.</w:t>
      </w:r>
    </w:p>
    <w:p w14:paraId="2846499C" w14:textId="77777777" w:rsidR="005961F6" w:rsidRPr="00567854" w:rsidRDefault="005961F6" w:rsidP="00567854">
      <w:pPr>
        <w:pStyle w:val="Bullet1"/>
      </w:pPr>
      <w:r w:rsidRPr="00567854">
        <w:t>While high-income earners can often adjust their taxable income in response to changes in their marginal tax rate, Stage 3 would not change the marginal tax rate for those with a taxable income greater than $200,000, suggesting any adjustment to taxable incomes is likely to be small.</w:t>
      </w:r>
    </w:p>
    <w:p w14:paraId="3899A568" w14:textId="48CBAA3D" w:rsidR="005961F6" w:rsidRPr="00567854" w:rsidRDefault="005961F6" w:rsidP="00567854">
      <w:pPr>
        <w:pStyle w:val="Bullet1"/>
      </w:pPr>
      <w:r w:rsidRPr="00567854">
        <w:t>Studies indicate that some people would choose to work more in response to a lower marginal tax rate, while others would work less. There is considerable uncertainty regarding the direction, magnitude</w:t>
      </w:r>
      <w:r w:rsidR="000B21D4" w:rsidRPr="00567854">
        <w:t>,</w:t>
      </w:r>
      <w:r w:rsidRPr="00567854">
        <w:t xml:space="preserve"> and timing of these effects on labour supply.</w:t>
      </w:r>
    </w:p>
    <w:p w14:paraId="0D3C25B9" w14:textId="77777777" w:rsidR="00FA2FB4" w:rsidRDefault="00FA2FB4" w:rsidP="00FA2FB4">
      <w:pPr>
        <w:pStyle w:val="Heading2"/>
      </w:pPr>
      <w:r>
        <w:t>Methodology</w:t>
      </w:r>
    </w:p>
    <w:p w14:paraId="17A28DC6" w14:textId="77777777" w:rsidR="00680BE7" w:rsidRPr="00621A71" w:rsidRDefault="00680BE7" w:rsidP="00680BE7">
      <w:r>
        <w:t xml:space="preserve">The financial implications of the Stage 3 tax cuts were estimated using a 16% sample of deidentified personal income tax and superannuation data for the </w:t>
      </w:r>
      <w:r w:rsidRPr="00BD4662">
        <w:t>2018-19</w:t>
      </w:r>
      <w:r>
        <w:t xml:space="preserve"> income year, provided by the Australian Taxation Office (ATO). </w:t>
      </w:r>
    </w:p>
    <w:p w14:paraId="5225B22E" w14:textId="77777777" w:rsidR="00680BE7" w:rsidRPr="00621A71" w:rsidRDefault="00680BE7" w:rsidP="00680BE7">
      <w:r w:rsidRPr="00621A71">
        <w:t>The financial implications and the associated distributional analyses of the Stage 3 tax cuts account for the timing of tax collections.</w:t>
      </w:r>
    </w:p>
    <w:p w14:paraId="0B3172F8" w14:textId="77777777" w:rsidR="00680BE7" w:rsidRPr="00592227" w:rsidRDefault="00680BE7" w:rsidP="00680BE7">
      <w:pPr>
        <w:pStyle w:val="BodyText"/>
      </w:pPr>
      <w:r>
        <w:t>Financial implications were rounded consistent with the PBO’s rounding rules as outlined on the PBO Costings and budget information webpage.</w:t>
      </w:r>
      <w:r>
        <w:rPr>
          <w:rStyle w:val="FootnoteReference"/>
        </w:rPr>
        <w:footnoteReference w:id="2"/>
      </w:r>
    </w:p>
    <w:p w14:paraId="099F621A" w14:textId="77777777" w:rsidR="00FE3B13" w:rsidRPr="00D014E1" w:rsidRDefault="00FE3B13" w:rsidP="009B33D1">
      <w:pPr>
        <w:pStyle w:val="Heading2"/>
      </w:pPr>
      <w:r w:rsidRPr="00D014E1">
        <w:t>Data sources</w:t>
      </w:r>
    </w:p>
    <w:p w14:paraId="6F87A1B4" w14:textId="77777777" w:rsidR="005C71AB" w:rsidRPr="00621A71" w:rsidRDefault="005C71AB" w:rsidP="005C71AB">
      <w:pPr>
        <w:pStyle w:val="Lettertext"/>
      </w:pPr>
      <w:r w:rsidRPr="00621A71">
        <w:t>The ATO provided a de-identified 16</w:t>
      </w:r>
      <w:r>
        <w:t>%</w:t>
      </w:r>
      <w:r w:rsidRPr="00621A71">
        <w:t xml:space="preserve"> sample of personal income tax return for the </w:t>
      </w:r>
      <w:r w:rsidRPr="00BD4662">
        <w:t>2018-19</w:t>
      </w:r>
      <w:r w:rsidRPr="00621A71">
        <w:t> income year.</w:t>
      </w:r>
    </w:p>
    <w:p w14:paraId="415369EE" w14:textId="77777777" w:rsidR="005C71AB" w:rsidRPr="00621A71" w:rsidRDefault="005C71AB" w:rsidP="005C71AB">
      <w:pPr>
        <w:pStyle w:val="Lettertext"/>
      </w:pPr>
      <w:r w:rsidRPr="00621A71">
        <w:t>Commonwealth of Australia, 202</w:t>
      </w:r>
      <w:r>
        <w:t>2</w:t>
      </w:r>
      <w:r w:rsidRPr="00621A71">
        <w:t>.</w:t>
      </w:r>
      <w:r w:rsidRPr="00621A71" w:rsidDel="00A23F5E">
        <w:t xml:space="preserve"> </w:t>
      </w:r>
      <w:r w:rsidRPr="00621A71">
        <w:rPr>
          <w:i/>
          <w:iCs/>
        </w:rPr>
        <w:t>202</w:t>
      </w:r>
      <w:r>
        <w:rPr>
          <w:i/>
          <w:iCs/>
        </w:rPr>
        <w:t>2</w:t>
      </w:r>
      <w:r w:rsidRPr="00621A71">
        <w:rPr>
          <w:i/>
          <w:iCs/>
        </w:rPr>
        <w:t>-</w:t>
      </w:r>
      <w:r>
        <w:rPr>
          <w:i/>
          <w:iCs/>
        </w:rPr>
        <w:t>23</w:t>
      </w:r>
      <w:r w:rsidRPr="00621A71">
        <w:rPr>
          <w:i/>
          <w:iCs/>
        </w:rPr>
        <w:t xml:space="preserve"> Budget</w:t>
      </w:r>
      <w:r w:rsidRPr="00621A71">
        <w:t>, Canberra:</w:t>
      </w:r>
      <w:r w:rsidRPr="00621A71" w:rsidDel="00A23F5E">
        <w:t xml:space="preserve"> </w:t>
      </w:r>
      <w:r w:rsidRPr="00621A71">
        <w:t>Commonwealth of Australia.</w:t>
      </w:r>
    </w:p>
    <w:p w14:paraId="3EE0926C" w14:textId="77777777" w:rsidR="00087777" w:rsidRPr="00087777" w:rsidRDefault="00087777" w:rsidP="00087777">
      <w:pPr>
        <w:pStyle w:val="Bullet1"/>
        <w:sectPr w:rsidR="00087777" w:rsidRPr="00087777" w:rsidSect="007C4069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907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14:paraId="485E1A44" w14:textId="31E14676" w:rsidR="00087777" w:rsidRDefault="00FF3E34" w:rsidP="00087777">
      <w:pPr>
        <w:pStyle w:val="Heading8"/>
        <w:spacing w:before="240" w:after="120"/>
      </w:pPr>
      <w:r>
        <w:rPr>
          <w:noProof/>
        </w:rPr>
        <w:lastRenderedPageBreak/>
        <w:t xml:space="preserve">Stage 3 tax cuts distributional analysis </w:t>
      </w:r>
      <w:r w:rsidR="00EA1AD9">
        <w:t>– financial implications</w:t>
      </w:r>
    </w:p>
    <w:bookmarkEnd w:id="0"/>
    <w:p w14:paraId="65312EA8" w14:textId="7886B6E0" w:rsidR="00E3434B" w:rsidRPr="00621A71" w:rsidRDefault="00E3434B" w:rsidP="00E3434B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fldChar w:fldCharType="begin"/>
      </w:r>
      <w:r w:rsidRPr="00621A71">
        <w:rPr>
          <w:noProof/>
        </w:rPr>
        <w:instrText xml:space="preserve"> STYLEREF 8 \s </w:instrText>
      </w:r>
      <w:r w:rsidRPr="00621A71">
        <w:rPr>
          <w:noProof/>
        </w:rPr>
        <w:fldChar w:fldCharType="separate"/>
      </w:r>
      <w:r w:rsidR="00110FCC">
        <w:rPr>
          <w:noProof/>
        </w:rPr>
        <w:t>A</w:t>
      </w:r>
      <w:r w:rsidRPr="00621A71">
        <w:rPr>
          <w:noProof/>
        </w:rPr>
        <w:fldChar w:fldCharType="end"/>
      </w:r>
      <w:r w:rsidRPr="00621A71">
        <w:rPr>
          <w:noProof/>
        </w:rPr>
        <w:fldChar w:fldCharType="begin"/>
      </w:r>
      <w:r w:rsidRPr="00621A71">
        <w:rPr>
          <w:noProof/>
        </w:rPr>
        <w:instrText xml:space="preserve"> SEQ AppendixTable\s 8 </w:instrText>
      </w:r>
      <w:r w:rsidRPr="00621A71">
        <w:rPr>
          <w:noProof/>
        </w:rPr>
        <w:fldChar w:fldCharType="separate"/>
      </w:r>
      <w:r w:rsidR="00110FCC">
        <w:rPr>
          <w:noProof/>
        </w:rPr>
        <w:t>1</w:t>
      </w:r>
      <w:r w:rsidRPr="00621A71">
        <w:rPr>
          <w:noProof/>
        </w:rPr>
        <w:fldChar w:fldCharType="end"/>
      </w:r>
      <w:r w:rsidRPr="00621A71">
        <w:t xml:space="preserve">: </w:t>
      </w:r>
      <w:r w:rsidRPr="00621A71">
        <w:rPr>
          <w:noProof/>
        </w:rPr>
        <w:t>Distributional analysis of the Stage 3 tax cuts</w:t>
      </w:r>
      <w:r w:rsidRPr="00621A71">
        <w:t xml:space="preserve"> – </w:t>
      </w:r>
      <w:r>
        <w:t>Impact of Stage 3 tax cuts on the f</w:t>
      </w:r>
      <w:r w:rsidRPr="00621A71">
        <w:t>iscal and underlying cash balances ($</w:t>
      </w:r>
      <w:proofErr w:type="gramStart"/>
      <w:r w:rsidRPr="00621A71">
        <w:t>m)</w:t>
      </w:r>
      <w:r w:rsidRPr="00621A71">
        <w:rPr>
          <w:vertAlign w:val="superscript"/>
        </w:rPr>
        <w:t>(</w:t>
      </w:r>
      <w:proofErr w:type="gramEnd"/>
      <w:r w:rsidRPr="00621A71">
        <w:rPr>
          <w:vertAlign w:val="superscript"/>
        </w:rPr>
        <w:t>a)</w:t>
      </w:r>
    </w:p>
    <w:tbl>
      <w:tblPr>
        <w:tblStyle w:val="LightGrid-Accent6"/>
        <w:tblW w:w="4988" w:type="pct"/>
        <w:tblLayout w:type="fixed"/>
        <w:tblLook w:val="0680" w:firstRow="0" w:lastRow="0" w:firstColumn="1" w:lastColumn="0" w:noHBand="1" w:noVBand="1"/>
      </w:tblPr>
      <w:tblGrid>
        <w:gridCol w:w="876"/>
        <w:gridCol w:w="1070"/>
        <w:gridCol w:w="596"/>
        <w:gridCol w:w="475"/>
        <w:gridCol w:w="442"/>
        <w:gridCol w:w="628"/>
        <w:gridCol w:w="292"/>
        <w:gridCol w:w="778"/>
        <w:gridCol w:w="142"/>
        <w:gridCol w:w="920"/>
        <w:gridCol w:w="9"/>
        <w:gridCol w:w="911"/>
        <w:gridCol w:w="159"/>
        <w:gridCol w:w="758"/>
        <w:gridCol w:w="313"/>
        <w:gridCol w:w="607"/>
        <w:gridCol w:w="463"/>
        <w:gridCol w:w="457"/>
        <w:gridCol w:w="613"/>
        <w:gridCol w:w="307"/>
        <w:gridCol w:w="764"/>
        <w:gridCol w:w="156"/>
        <w:gridCol w:w="914"/>
        <w:gridCol w:w="6"/>
        <w:gridCol w:w="1076"/>
        <w:gridCol w:w="6"/>
        <w:gridCol w:w="1005"/>
      </w:tblGrid>
      <w:tr w:rsidR="00E3434B" w:rsidRPr="00621A71" w14:paraId="12FC4909" w14:textId="77777777" w:rsidTr="001026C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3"/>
            <w:shd w:val="clear" w:color="auto" w:fill="A7B2D4" w:themeFill="background2" w:themeFillTint="66"/>
            <w:vAlign w:val="center"/>
          </w:tcPr>
          <w:p w14:paraId="2AD7D034" w14:textId="77777777" w:rsidR="00E3434B" w:rsidRPr="00D060A1" w:rsidRDefault="00E3434B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 w:right="-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shd w:val="clear" w:color="auto" w:fill="A7B2D4" w:themeFill="background2" w:themeFillTint="66"/>
            <w:vAlign w:val="center"/>
          </w:tcPr>
          <w:p w14:paraId="345B2752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280032C2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2AA7F845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12" w:type="pct"/>
            <w:shd w:val="clear" w:color="auto" w:fill="A7B2D4" w:themeFill="background2" w:themeFillTint="66"/>
            <w:vAlign w:val="center"/>
          </w:tcPr>
          <w:p w14:paraId="08EC46F6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6B6B0150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11" w:type="pct"/>
            <w:gridSpan w:val="2"/>
            <w:shd w:val="clear" w:color="auto" w:fill="A7B2D4" w:themeFill="background2" w:themeFillTint="66"/>
            <w:vAlign w:val="center"/>
          </w:tcPr>
          <w:p w14:paraId="031E51E0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3D37C2EF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1F3E2C63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2F39891D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4D4DEB63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414C043D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sz w:val="16"/>
                <w:szCs w:val="16"/>
              </w:rPr>
              <w:t>2032–33</w:t>
            </w:r>
          </w:p>
        </w:tc>
        <w:tc>
          <w:tcPr>
            <w:tcW w:w="367" w:type="pct"/>
            <w:gridSpan w:val="2"/>
            <w:shd w:val="clear" w:color="auto" w:fill="A7B2D4" w:themeFill="background2" w:themeFillTint="66"/>
            <w:vAlign w:val="center"/>
          </w:tcPr>
          <w:p w14:paraId="1C4B78BF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sz w:val="16"/>
                <w:szCs w:val="16"/>
              </w:rPr>
              <w:t>Total to     2025-26</w:t>
            </w:r>
          </w:p>
        </w:tc>
        <w:tc>
          <w:tcPr>
            <w:tcW w:w="343" w:type="pct"/>
            <w:shd w:val="clear" w:color="auto" w:fill="A7B2D4" w:themeFill="background2" w:themeFillTint="66"/>
            <w:vAlign w:val="center"/>
          </w:tcPr>
          <w:p w14:paraId="1663F009" w14:textId="77777777" w:rsidR="00E3434B" w:rsidRPr="00D060A1" w:rsidRDefault="00E3434B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sz w:val="16"/>
                <w:szCs w:val="16"/>
              </w:rPr>
              <w:t>Total to     2032-33</w:t>
            </w:r>
          </w:p>
        </w:tc>
      </w:tr>
      <w:tr w:rsidR="00E3434B" w:rsidRPr="00621A71" w14:paraId="4F3402FF" w14:textId="77777777" w:rsidTr="000B5F7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tcBorders>
              <w:right w:val="nil"/>
            </w:tcBorders>
            <w:shd w:val="clear" w:color="auto" w:fill="D3D8E9" w:themeFill="background2" w:themeFillTint="33"/>
            <w:vAlign w:val="center"/>
          </w:tcPr>
          <w:p w14:paraId="738AA7D9" w14:textId="77777777" w:rsidR="00E3434B" w:rsidRPr="00D060A1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 w:cstheme="minorHAnsi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sz w:val="16"/>
                <w:szCs w:val="16"/>
              </w:rPr>
              <w:t>Revenue</w:t>
            </w:r>
          </w:p>
        </w:tc>
        <w:tc>
          <w:tcPr>
            <w:tcW w:w="363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295617E9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6E004A8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B1F9805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4617BC60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3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17A2906F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28BB8D5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53E9A4B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DB2240F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161E341C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1FC1D5CA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A336206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044707F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tcBorders>
              <w:left w:val="nil"/>
            </w:tcBorders>
            <w:shd w:val="clear" w:color="auto" w:fill="D3D8E9" w:themeFill="background2" w:themeFillTint="33"/>
            <w:vAlign w:val="center"/>
          </w:tcPr>
          <w:p w14:paraId="6C9C9CB0" w14:textId="77777777" w:rsidR="00E3434B" w:rsidRPr="00D060A1" w:rsidRDefault="00E3434B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sz w:val="16"/>
                <w:szCs w:val="16"/>
              </w:rPr>
            </w:pPr>
          </w:p>
        </w:tc>
      </w:tr>
      <w:tr w:rsidR="00E3434B" w:rsidRPr="00621A71" w14:paraId="0CE69397" w14:textId="77777777" w:rsidTr="001026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3"/>
            <w:vAlign w:val="center"/>
          </w:tcPr>
          <w:p w14:paraId="1963E29B" w14:textId="77777777" w:rsidR="00E3434B" w:rsidRPr="00D060A1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  <w:t>Stage 3 tax cuts</w:t>
            </w:r>
          </w:p>
        </w:tc>
        <w:tc>
          <w:tcPr>
            <w:tcW w:w="311" w:type="pct"/>
            <w:gridSpan w:val="2"/>
            <w:vAlign w:val="center"/>
          </w:tcPr>
          <w:p w14:paraId="27F9125A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12" w:type="pct"/>
            <w:gridSpan w:val="2"/>
            <w:vAlign w:val="center"/>
          </w:tcPr>
          <w:p w14:paraId="1941C976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12" w:type="pct"/>
            <w:gridSpan w:val="2"/>
            <w:vAlign w:val="center"/>
          </w:tcPr>
          <w:p w14:paraId="0BDA6147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-17,700</w:t>
            </w:r>
          </w:p>
        </w:tc>
        <w:tc>
          <w:tcPr>
            <w:tcW w:w="312" w:type="pct"/>
            <w:vAlign w:val="center"/>
          </w:tcPr>
          <w:p w14:paraId="53D2971D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-20,800</w:t>
            </w:r>
          </w:p>
        </w:tc>
        <w:tc>
          <w:tcPr>
            <w:tcW w:w="312" w:type="pct"/>
            <w:gridSpan w:val="2"/>
            <w:vAlign w:val="center"/>
          </w:tcPr>
          <w:p w14:paraId="50FC27D3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-22,700</w:t>
            </w:r>
          </w:p>
        </w:tc>
        <w:tc>
          <w:tcPr>
            <w:tcW w:w="311" w:type="pct"/>
            <w:gridSpan w:val="2"/>
            <w:vAlign w:val="center"/>
          </w:tcPr>
          <w:p w14:paraId="74909FE4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-24,500</w:t>
            </w:r>
          </w:p>
        </w:tc>
        <w:tc>
          <w:tcPr>
            <w:tcW w:w="312" w:type="pct"/>
            <w:gridSpan w:val="2"/>
            <w:vAlign w:val="center"/>
          </w:tcPr>
          <w:p w14:paraId="6B52F0A7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-26,500</w:t>
            </w:r>
          </w:p>
        </w:tc>
        <w:tc>
          <w:tcPr>
            <w:tcW w:w="312" w:type="pct"/>
            <w:gridSpan w:val="2"/>
            <w:vAlign w:val="center"/>
          </w:tcPr>
          <w:p w14:paraId="67E71633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-28,900</w:t>
            </w:r>
          </w:p>
        </w:tc>
        <w:tc>
          <w:tcPr>
            <w:tcW w:w="312" w:type="pct"/>
            <w:gridSpan w:val="2"/>
            <w:vAlign w:val="center"/>
          </w:tcPr>
          <w:p w14:paraId="274B9325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-31,400</w:t>
            </w:r>
          </w:p>
        </w:tc>
        <w:tc>
          <w:tcPr>
            <w:tcW w:w="312" w:type="pct"/>
            <w:gridSpan w:val="2"/>
            <w:vAlign w:val="center"/>
          </w:tcPr>
          <w:p w14:paraId="1958CC82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-34,100</w:t>
            </w:r>
          </w:p>
        </w:tc>
        <w:tc>
          <w:tcPr>
            <w:tcW w:w="312" w:type="pct"/>
            <w:gridSpan w:val="2"/>
            <w:vAlign w:val="center"/>
          </w:tcPr>
          <w:p w14:paraId="7EAA5770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>-36,900</w:t>
            </w:r>
          </w:p>
        </w:tc>
        <w:tc>
          <w:tcPr>
            <w:tcW w:w="367" w:type="pct"/>
            <w:gridSpan w:val="2"/>
            <w:vAlign w:val="center"/>
          </w:tcPr>
          <w:p w14:paraId="67E95713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i/>
                <w:sz w:val="16"/>
                <w:szCs w:val="16"/>
              </w:rPr>
              <w:t>-38,</w:t>
            </w:r>
            <w:r w:rsidRPr="00AC4F70">
              <w:rPr>
                <w:rFonts w:asciiTheme="minorHAnsi" w:eastAsiaTheme="majorEastAsia" w:hAnsiTheme="minorHAnsi" w:cstheme="minorHAnsi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343" w:type="pct"/>
            <w:vAlign w:val="center"/>
          </w:tcPr>
          <w:p w14:paraId="7DBE699C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i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i/>
                <w:sz w:val="16"/>
                <w:szCs w:val="16"/>
              </w:rPr>
              <w:t>-243,</w:t>
            </w:r>
            <w:r w:rsidRPr="00AC4F70">
              <w:rPr>
                <w:rFonts w:asciiTheme="minorHAnsi" w:eastAsiaTheme="majorEastAsia" w:hAnsiTheme="minorHAnsi" w:cstheme="minorHAnsi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E3434B" w:rsidRPr="00621A71" w14:paraId="578FEE2E" w14:textId="77777777" w:rsidTr="001026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3"/>
            <w:shd w:val="clear" w:color="auto" w:fill="A7B2D4" w:themeFill="background2" w:themeFillTint="66"/>
            <w:vAlign w:val="center"/>
          </w:tcPr>
          <w:p w14:paraId="04B8BC89" w14:textId="77777777" w:rsidR="00E3434B" w:rsidRPr="00D060A1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 w:cstheme="minorHAnsi"/>
                <w:sz w:val="16"/>
                <w:szCs w:val="16"/>
              </w:rPr>
            </w:pPr>
            <w:r w:rsidRPr="00D060A1">
              <w:rPr>
                <w:rFonts w:asciiTheme="minorHAnsi" w:hAnsiTheme="minorHAnsi" w:cstheme="minorHAnsi"/>
                <w:sz w:val="16"/>
                <w:szCs w:val="16"/>
              </w:rPr>
              <w:t>Total</w:t>
            </w:r>
          </w:p>
        </w:tc>
        <w:tc>
          <w:tcPr>
            <w:tcW w:w="311" w:type="pct"/>
            <w:gridSpan w:val="2"/>
            <w:shd w:val="clear" w:color="auto" w:fill="A7B2D4" w:themeFill="background2" w:themeFillTint="66"/>
            <w:vAlign w:val="center"/>
          </w:tcPr>
          <w:p w14:paraId="3E257B7B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 xml:space="preserve"> -   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3EFF01DD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 xml:space="preserve"> -   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57F74F81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-17,700</w:t>
            </w:r>
          </w:p>
        </w:tc>
        <w:tc>
          <w:tcPr>
            <w:tcW w:w="312" w:type="pct"/>
            <w:shd w:val="clear" w:color="auto" w:fill="A7B2D4" w:themeFill="background2" w:themeFillTint="66"/>
            <w:vAlign w:val="center"/>
          </w:tcPr>
          <w:p w14:paraId="45B1E7FF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-20,800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551DFD33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-22,700</w:t>
            </w:r>
          </w:p>
        </w:tc>
        <w:tc>
          <w:tcPr>
            <w:tcW w:w="311" w:type="pct"/>
            <w:gridSpan w:val="2"/>
            <w:shd w:val="clear" w:color="auto" w:fill="A7B2D4" w:themeFill="background2" w:themeFillTint="66"/>
            <w:vAlign w:val="center"/>
          </w:tcPr>
          <w:p w14:paraId="7A876604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-24,500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37619526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-26,500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35A3A9A6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-28,900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62B00CC9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-31,400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16E75FCD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-34,100</w:t>
            </w:r>
          </w:p>
        </w:tc>
        <w:tc>
          <w:tcPr>
            <w:tcW w:w="312" w:type="pct"/>
            <w:gridSpan w:val="2"/>
            <w:shd w:val="clear" w:color="auto" w:fill="A7B2D4" w:themeFill="background2" w:themeFillTint="66"/>
            <w:vAlign w:val="center"/>
          </w:tcPr>
          <w:p w14:paraId="4552FAB6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-36,900</w:t>
            </w:r>
          </w:p>
        </w:tc>
        <w:tc>
          <w:tcPr>
            <w:tcW w:w="367" w:type="pct"/>
            <w:gridSpan w:val="2"/>
            <w:shd w:val="clear" w:color="auto" w:fill="A7B2D4" w:themeFill="background2" w:themeFillTint="66"/>
            <w:vAlign w:val="center"/>
          </w:tcPr>
          <w:p w14:paraId="1B68FDA6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-38,</w:t>
            </w:r>
            <w:r w:rsidRPr="00AC4F70">
              <w:rPr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343" w:type="pct"/>
            <w:shd w:val="clear" w:color="auto" w:fill="A7B2D4" w:themeFill="background2" w:themeFillTint="66"/>
            <w:vAlign w:val="center"/>
          </w:tcPr>
          <w:p w14:paraId="25D78181" w14:textId="77777777" w:rsidR="00E3434B" w:rsidRPr="00AC4F70" w:rsidRDefault="00E3434B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</w:pPr>
            <w:r w:rsidRPr="00AC4F70">
              <w:rPr>
                <w:rFonts w:asciiTheme="minorHAnsi" w:eastAsiaTheme="majorEastAsia" w:hAnsiTheme="minorHAnsi" w:cstheme="minorHAnsi"/>
                <w:b/>
                <w:sz w:val="16"/>
                <w:szCs w:val="16"/>
              </w:rPr>
              <w:t>-243,</w:t>
            </w:r>
            <w:r w:rsidRPr="00AC4F70">
              <w:rPr>
                <w:rFonts w:asciiTheme="minorHAnsi" w:eastAsiaTheme="majorEastAsia" w:hAnsiTheme="minorHAnsi" w:cstheme="minorHAnsi"/>
                <w:b/>
                <w:bCs/>
                <w:sz w:val="16"/>
                <w:szCs w:val="16"/>
              </w:rPr>
              <w:t>500</w:t>
            </w:r>
          </w:p>
        </w:tc>
      </w:tr>
    </w:tbl>
    <w:p w14:paraId="47B13D04" w14:textId="77777777" w:rsidR="00E3434B" w:rsidRPr="00E94CFD" w:rsidRDefault="00E3434B" w:rsidP="00E3434B">
      <w:pPr>
        <w:pStyle w:val="PRRfootnote2"/>
      </w:pPr>
      <w:r w:rsidRPr="00E94CFD">
        <w:t>(a)</w:t>
      </w:r>
      <w:r w:rsidRPr="00E94CFD">
        <w:tab/>
        <w:t xml:space="preserve">A positive number for the fiscal balance indicates an increase in revenue or a decrease in expenses or net capital investment in accrual terms. A negative number for the fiscal balance indicates a decrease in revenue or an increase in expenses or net capital investment in accrual terms. A positive number for the underlying cash balance indicates an increase in receipts or a decrease in payments or net capital investment in cash terms. A negative number for the underlying cash balance indicates a decrease in receipts or an increase in payments or net capital investment in cash terms.  </w:t>
      </w:r>
    </w:p>
    <w:p w14:paraId="757EA847" w14:textId="77777777" w:rsidR="00E3434B" w:rsidRPr="00E94CFD" w:rsidRDefault="00E3434B" w:rsidP="00E3434B">
      <w:pPr>
        <w:pStyle w:val="PRRfootnote2"/>
      </w:pPr>
      <w:r>
        <w:t xml:space="preserve">-    </w:t>
      </w:r>
      <w:r>
        <w:tab/>
      </w:r>
      <w:r w:rsidRPr="00E94CFD">
        <w:t>Indicates nil.</w:t>
      </w:r>
    </w:p>
    <w:p w14:paraId="62B8A89C" w14:textId="72BB7246" w:rsidR="00F70255" w:rsidRDefault="00F70255">
      <w:pPr>
        <w:spacing w:after="60" w:line="240" w:lineRule="auto"/>
      </w:pPr>
      <w:r>
        <w:br w:type="page"/>
      </w:r>
    </w:p>
    <w:p w14:paraId="7552CD8C" w14:textId="77777777" w:rsidR="00051A11" w:rsidRPr="00621A71" w:rsidRDefault="00051A11" w:rsidP="00051A11">
      <w:pPr>
        <w:pStyle w:val="Heading8"/>
        <w:spacing w:before="240" w:after="120"/>
      </w:pPr>
      <w:r w:rsidRPr="00621A71">
        <w:lastRenderedPageBreak/>
        <w:t>Distributional analysis of the Stage 3 tax cuts</w:t>
      </w:r>
    </w:p>
    <w:p w14:paraId="04A472DE" w14:textId="77777777" w:rsidR="00051A11" w:rsidRPr="00621A71" w:rsidRDefault="00051A11" w:rsidP="00051A11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B1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>– Total cost by income quintile – Fiscal and underlying cash balances ($</w:t>
      </w:r>
      <w:proofErr w:type="gramStart"/>
      <w:r w:rsidRPr="00621A71">
        <w:t>m)</w:t>
      </w:r>
      <w:r w:rsidRPr="00621A71">
        <w:rPr>
          <w:vertAlign w:val="superscript"/>
        </w:rPr>
        <w:t>(</w:t>
      </w:r>
      <w:proofErr w:type="gramEnd"/>
      <w:r w:rsidRPr="00621A71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531"/>
        <w:gridCol w:w="920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1067"/>
        <w:gridCol w:w="1070"/>
      </w:tblGrid>
      <w:tr w:rsidR="00051A11" w:rsidRPr="00621A71" w14:paraId="13F9F2A2" w14:textId="77777777" w:rsidTr="0065586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shd w:val="clear" w:color="auto" w:fill="A7B2D4" w:themeFill="background2" w:themeFillTint="66"/>
            <w:vAlign w:val="center"/>
          </w:tcPr>
          <w:p w14:paraId="33D75DA1" w14:textId="77777777" w:rsidR="00051A11" w:rsidRPr="00621A71" w:rsidRDefault="00051A11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682FBF0E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0AC16690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38885A0F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61F3D0AE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61999E3E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5D58941A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2A3692A5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0AA49EAF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686851C6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05160D99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11" w:type="pct"/>
            <w:shd w:val="clear" w:color="auto" w:fill="A7B2D4" w:themeFill="background2" w:themeFillTint="66"/>
            <w:vAlign w:val="center"/>
          </w:tcPr>
          <w:p w14:paraId="3A1452F1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2032–33</w:t>
            </w:r>
          </w:p>
        </w:tc>
        <w:tc>
          <w:tcPr>
            <w:tcW w:w="361" w:type="pct"/>
            <w:shd w:val="clear" w:color="auto" w:fill="A7B2D4" w:themeFill="background2" w:themeFillTint="66"/>
            <w:vAlign w:val="center"/>
          </w:tcPr>
          <w:p w14:paraId="38BEAF68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 20</w:t>
            </w:r>
            <w:r>
              <w:rPr>
                <w:rFonts w:asciiTheme="minorHAnsi" w:hAnsiTheme="minorHAnsi"/>
                <w:sz w:val="16"/>
                <w:szCs w:val="16"/>
              </w:rPr>
              <w:t>25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62" w:type="pct"/>
            <w:shd w:val="clear" w:color="auto" w:fill="A7B2D4" w:themeFill="background2" w:themeFillTint="66"/>
            <w:vAlign w:val="center"/>
          </w:tcPr>
          <w:p w14:paraId="065C0A0B" w14:textId="4024E7E2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to </w:t>
            </w:r>
            <w:r w:rsidR="00655860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203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-3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51A11" w:rsidRPr="00621A71" w14:paraId="3B9584C8" w14:textId="77777777" w:rsidTr="000B5F7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14:paraId="76DDF1E3" w14:textId="77777777" w:rsidR="00051A11" w:rsidRPr="00621A71" w:rsidRDefault="00051A11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20CDD">
              <w:rPr>
                <w:rFonts w:asciiTheme="minorHAnsi" w:hAnsiTheme="minorHAnsi"/>
                <w:i w:val="0"/>
                <w:iCs/>
                <w:sz w:val="16"/>
                <w:szCs w:val="16"/>
              </w:rPr>
              <w:t>Total change in net tax of Stage 3 tax cuts by income quintile</w:t>
            </w:r>
          </w:p>
        </w:tc>
      </w:tr>
      <w:tr w:rsidR="00051A11" w:rsidRPr="00621A71" w14:paraId="52D0D4A5" w14:textId="77777777" w:rsidTr="0065586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213B51C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1</w:t>
            </w:r>
          </w:p>
        </w:tc>
        <w:tc>
          <w:tcPr>
            <w:tcW w:w="311" w:type="pct"/>
          </w:tcPr>
          <w:p w14:paraId="7917E5CF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24D8331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152D64D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0982FB6E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00F46496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3AC375C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77894DD8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697C4FE0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611140AE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6DEB3A29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742326C2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61" w:type="pct"/>
          </w:tcPr>
          <w:p w14:paraId="0392E807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62" w:type="pct"/>
          </w:tcPr>
          <w:p w14:paraId="35DBF849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-   </w:t>
            </w:r>
          </w:p>
        </w:tc>
      </w:tr>
      <w:tr w:rsidR="00051A11" w:rsidRPr="00621A71" w14:paraId="79A2DF85" w14:textId="77777777" w:rsidTr="0065586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307AACC3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2</w:t>
            </w:r>
          </w:p>
        </w:tc>
        <w:tc>
          <w:tcPr>
            <w:tcW w:w="311" w:type="pct"/>
          </w:tcPr>
          <w:p w14:paraId="6D42811D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2B60324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24762B5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646A202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5660F0D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26CD6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.. </w:t>
            </w:r>
          </w:p>
        </w:tc>
        <w:tc>
          <w:tcPr>
            <w:tcW w:w="311" w:type="pct"/>
          </w:tcPr>
          <w:p w14:paraId="6004D63A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26CD6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.. </w:t>
            </w:r>
          </w:p>
        </w:tc>
        <w:tc>
          <w:tcPr>
            <w:tcW w:w="311" w:type="pct"/>
          </w:tcPr>
          <w:p w14:paraId="349B52A7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26CD6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.. </w:t>
            </w:r>
          </w:p>
        </w:tc>
        <w:tc>
          <w:tcPr>
            <w:tcW w:w="311" w:type="pct"/>
          </w:tcPr>
          <w:p w14:paraId="45BE938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26CD6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.. </w:t>
            </w:r>
          </w:p>
        </w:tc>
        <w:tc>
          <w:tcPr>
            <w:tcW w:w="311" w:type="pct"/>
          </w:tcPr>
          <w:p w14:paraId="3B2D969A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-100 </w:t>
            </w:r>
          </w:p>
        </w:tc>
        <w:tc>
          <w:tcPr>
            <w:tcW w:w="311" w:type="pct"/>
          </w:tcPr>
          <w:p w14:paraId="5EF76A82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100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4BDF1E4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-200 </w:t>
            </w:r>
          </w:p>
        </w:tc>
        <w:tc>
          <w:tcPr>
            <w:tcW w:w="361" w:type="pct"/>
          </w:tcPr>
          <w:p w14:paraId="15F58A8D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62" w:type="pct"/>
          </w:tcPr>
          <w:p w14:paraId="07D10B15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400</w:t>
            </w: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51A11" w:rsidRPr="00621A71" w14:paraId="15954BF3" w14:textId="77777777" w:rsidTr="0065586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865E8AD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3</w:t>
            </w:r>
          </w:p>
        </w:tc>
        <w:tc>
          <w:tcPr>
            <w:tcW w:w="311" w:type="pct"/>
          </w:tcPr>
          <w:p w14:paraId="789C1C52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17F77026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0A962D1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-700 </w:t>
            </w:r>
          </w:p>
        </w:tc>
        <w:tc>
          <w:tcPr>
            <w:tcW w:w="311" w:type="pct"/>
          </w:tcPr>
          <w:p w14:paraId="3E4D53B4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-900 </w:t>
            </w:r>
          </w:p>
        </w:tc>
        <w:tc>
          <w:tcPr>
            <w:tcW w:w="311" w:type="pct"/>
          </w:tcPr>
          <w:p w14:paraId="3790F3A3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-1,100 </w:t>
            </w:r>
          </w:p>
        </w:tc>
        <w:tc>
          <w:tcPr>
            <w:tcW w:w="311" w:type="pct"/>
          </w:tcPr>
          <w:p w14:paraId="4EDF867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300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70372DD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400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0FE5A4EA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700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77F44D64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1,900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7249F1D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200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19D05A9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2,500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</w:tcPr>
          <w:p w14:paraId="692F37D4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1,600</w:t>
            </w: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</w:tcPr>
          <w:p w14:paraId="537DA0F9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-13,700 </w:t>
            </w:r>
          </w:p>
        </w:tc>
      </w:tr>
      <w:tr w:rsidR="00051A11" w:rsidRPr="00621A71" w14:paraId="501693AE" w14:textId="77777777" w:rsidTr="0065586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B8F5470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4</w:t>
            </w:r>
          </w:p>
        </w:tc>
        <w:tc>
          <w:tcPr>
            <w:tcW w:w="311" w:type="pct"/>
          </w:tcPr>
          <w:p w14:paraId="64A71823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7955F38B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716D0CD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900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7F934D6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3,400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10C6D03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-3,700 </w:t>
            </w:r>
          </w:p>
        </w:tc>
        <w:tc>
          <w:tcPr>
            <w:tcW w:w="311" w:type="pct"/>
          </w:tcPr>
          <w:p w14:paraId="64BEDFC8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4,100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099BF7BE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4,400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3F7BDFB5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-4,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800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0E41F8A0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5,300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13EBCBBF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-6,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000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7F42C03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6,700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</w:tcPr>
          <w:p w14:paraId="4D494FD2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-6,</w:t>
            </w: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300</w:t>
            </w:r>
            <w:r w:rsidRPr="001A22BF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</w:tcPr>
          <w:p w14:paraId="1088183D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-41,300 </w:t>
            </w:r>
          </w:p>
        </w:tc>
      </w:tr>
      <w:tr w:rsidR="00051A11" w:rsidRPr="00621A71" w14:paraId="26D5DF73" w14:textId="77777777" w:rsidTr="0065586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0D2C6AE8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5</w:t>
            </w:r>
          </w:p>
        </w:tc>
        <w:tc>
          <w:tcPr>
            <w:tcW w:w="311" w:type="pct"/>
          </w:tcPr>
          <w:p w14:paraId="7C0E00F2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40474CBC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1" w:type="pct"/>
          </w:tcPr>
          <w:p w14:paraId="0A5795DA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-14,</w:t>
            </w:r>
            <w:r w:rsidRPr="00C26CD6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100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D1C7F98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-16,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500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2957DB4A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-17,900 </w:t>
            </w:r>
          </w:p>
        </w:tc>
        <w:tc>
          <w:tcPr>
            <w:tcW w:w="311" w:type="pct"/>
          </w:tcPr>
          <w:p w14:paraId="2A845D08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-19,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100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32F1C9C2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-20,700 </w:t>
            </w:r>
          </w:p>
        </w:tc>
        <w:tc>
          <w:tcPr>
            <w:tcW w:w="311" w:type="pct"/>
          </w:tcPr>
          <w:p w14:paraId="00D5E6C1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-22,</w:t>
            </w:r>
            <w:r w:rsidRPr="00C26CD6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400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29023456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-24,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100</w:t>
            </w:r>
            <w:r w:rsidRPr="00C31EB1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49E7FE3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-25,</w:t>
            </w:r>
            <w:r w:rsidRPr="00C26CD6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800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1" w:type="pct"/>
          </w:tcPr>
          <w:p w14:paraId="5F9D1918" w14:textId="77777777" w:rsidR="00051A11" w:rsidRPr="00C31EB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-27,</w:t>
            </w:r>
            <w:r w:rsidRPr="00C26CD6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500</w:t>
            </w:r>
            <w:r w:rsidRPr="00495A88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</w:tcPr>
          <w:p w14:paraId="28D885FC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-30,700 </w:t>
            </w:r>
          </w:p>
        </w:tc>
        <w:tc>
          <w:tcPr>
            <w:tcW w:w="362" w:type="pct"/>
          </w:tcPr>
          <w:p w14:paraId="1598ED57" w14:textId="77777777" w:rsidR="00051A11" w:rsidRPr="001A22BF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495A88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-187,900 </w:t>
            </w:r>
          </w:p>
        </w:tc>
      </w:tr>
      <w:tr w:rsidR="00051A11" w:rsidRPr="00621A71" w14:paraId="3B9D0A14" w14:textId="77777777" w:rsidTr="0065586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shd w:val="clear" w:color="auto" w:fill="A7B2D4" w:themeFill="background2" w:themeFillTint="66"/>
            <w:vAlign w:val="center"/>
          </w:tcPr>
          <w:p w14:paraId="75EA0522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2DD3D8B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332CFB8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5FB971B5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-17,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700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684C1188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-20,800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4949740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-22,700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21F4564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-24,500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359DDA2C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-26,500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03C7ACAB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-28,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900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1E37D811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-31,400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5F68C3A3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-34,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311" w:type="pct"/>
            <w:shd w:val="clear" w:color="auto" w:fill="A7B2D4" w:themeFill="background2" w:themeFillTint="66"/>
          </w:tcPr>
          <w:p w14:paraId="51263EA6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-36,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900</w:t>
            </w:r>
          </w:p>
        </w:tc>
        <w:tc>
          <w:tcPr>
            <w:tcW w:w="361" w:type="pct"/>
            <w:shd w:val="clear" w:color="auto" w:fill="A7B2D4" w:themeFill="background2" w:themeFillTint="66"/>
          </w:tcPr>
          <w:p w14:paraId="433E3880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-38,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362" w:type="pct"/>
            <w:shd w:val="clear" w:color="auto" w:fill="A7B2D4" w:themeFill="background2" w:themeFillTint="66"/>
          </w:tcPr>
          <w:p w14:paraId="450A6A4E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-243,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500</w:t>
            </w:r>
          </w:p>
        </w:tc>
      </w:tr>
    </w:tbl>
    <w:p w14:paraId="12986FA5" w14:textId="77777777" w:rsidR="00051A11" w:rsidRPr="00E94CFD" w:rsidRDefault="00051A11" w:rsidP="00051A11">
      <w:pPr>
        <w:pStyle w:val="PRRfootnote2"/>
      </w:pPr>
      <w:r w:rsidRPr="00E94CFD">
        <w:t>(a)</w:t>
      </w:r>
      <w:r w:rsidRPr="00E94CFD">
        <w:tab/>
        <w:t xml:space="preserve">A positive number for the fiscal balance indicates an increase in revenue or a decrease in expenses or net capital investment in accrual terms. A negative number for the fiscal balance indicates a decrease in revenue or an increase in expenses or net capital investment in accrual terms. A positive number for the underlying cash balance indicates an increase in receipts or a decrease in payments or net capital investment in cash terms. A negative number for the underlying cash balance indicates a decrease in receipts or an increase in payments or net capital investment in cash terms.  </w:t>
      </w:r>
    </w:p>
    <w:p w14:paraId="7CFFC044" w14:textId="77777777" w:rsidR="00051A11" w:rsidRPr="00E94CFD" w:rsidRDefault="00051A11" w:rsidP="00051A11">
      <w:pPr>
        <w:pStyle w:val="PRRfootnote2"/>
      </w:pPr>
      <w:r w:rsidRPr="00E94CFD">
        <w:t xml:space="preserve">(b) </w:t>
      </w:r>
      <w:r w:rsidRPr="00E94CFD">
        <w:tab/>
        <w:t>Quintiles are based on all individuals who have lodged a personal income tax return, irrespective of their net tax amount. The taxable income threshold for the quintiles is reported in Attachment C.</w:t>
      </w:r>
    </w:p>
    <w:p w14:paraId="15F9CC1B" w14:textId="0E364B2C" w:rsidR="00051A11" w:rsidRPr="00051A11" w:rsidRDefault="00051A11" w:rsidP="00051A11">
      <w:pPr>
        <w:pStyle w:val="PRRfootnote2"/>
        <w:numPr>
          <w:ilvl w:val="0"/>
          <w:numId w:val="45"/>
        </w:numPr>
        <w:ind w:left="284" w:hanging="284"/>
      </w:pPr>
      <w:r w:rsidRPr="00E94CFD">
        <w:t>Indicates nil.</w:t>
      </w:r>
    </w:p>
    <w:p w14:paraId="2B17F55C" w14:textId="77777777" w:rsidR="00051A11" w:rsidRPr="00621A71" w:rsidRDefault="00051A11" w:rsidP="00051A11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B2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>– Total cost by gender – Fiscal and underlying cash balances ($</w:t>
      </w:r>
      <w:proofErr w:type="gramStart"/>
      <w:r w:rsidRPr="00621A71">
        <w:t>m)</w:t>
      </w:r>
      <w:r w:rsidRPr="00621A71">
        <w:rPr>
          <w:vertAlign w:val="superscript"/>
        </w:rPr>
        <w:t>(</w:t>
      </w:r>
      <w:proofErr w:type="gramEnd"/>
      <w:r w:rsidRPr="00621A71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281"/>
        <w:gridCol w:w="942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1067"/>
        <w:gridCol w:w="1058"/>
      </w:tblGrid>
      <w:tr w:rsidR="009F074C" w:rsidRPr="00E01CF9" w14:paraId="4631375A" w14:textId="77777777" w:rsidTr="009F074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shd w:val="clear" w:color="auto" w:fill="A7B2D4" w:themeFill="background2" w:themeFillTint="66"/>
            <w:vAlign w:val="center"/>
          </w:tcPr>
          <w:p w14:paraId="512CA42F" w14:textId="77777777" w:rsidR="009F074C" w:rsidRPr="00E01CF9" w:rsidRDefault="009F074C" w:rsidP="009F074C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75DD9296" w14:textId="21DF2D98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471C871A" w14:textId="2A974578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0CA62C87" w14:textId="1D721DE0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4C458C22" w14:textId="5E4065E3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4887AA77" w14:textId="56F9CC15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74E4E952" w14:textId="3CD5961D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4FB99D78" w14:textId="5CEEF0C2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4FDB9FBE" w14:textId="24539C80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153AE4EF" w14:textId="585FBA90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70DE73C5" w14:textId="6C269E83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19" w:type="pct"/>
            <w:shd w:val="clear" w:color="auto" w:fill="A7B2D4" w:themeFill="background2" w:themeFillTint="66"/>
            <w:vAlign w:val="center"/>
          </w:tcPr>
          <w:p w14:paraId="7076CCE6" w14:textId="1CE9883D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2032–33</w:t>
            </w:r>
          </w:p>
        </w:tc>
        <w:tc>
          <w:tcPr>
            <w:tcW w:w="361" w:type="pct"/>
            <w:shd w:val="clear" w:color="auto" w:fill="A7B2D4" w:themeFill="background2" w:themeFillTint="66"/>
            <w:vAlign w:val="center"/>
          </w:tcPr>
          <w:p w14:paraId="189F8932" w14:textId="448004DC" w:rsidR="009F074C" w:rsidRPr="009F074C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 20</w:t>
            </w:r>
            <w:r>
              <w:rPr>
                <w:rFonts w:asciiTheme="minorHAnsi" w:hAnsiTheme="minorHAnsi"/>
                <w:sz w:val="16"/>
                <w:szCs w:val="16"/>
              </w:rPr>
              <w:t>25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58" w:type="pct"/>
            <w:shd w:val="clear" w:color="auto" w:fill="A7B2D4" w:themeFill="background2" w:themeFillTint="66"/>
            <w:vAlign w:val="center"/>
          </w:tcPr>
          <w:p w14:paraId="3B5EFD89" w14:textId="11EF9D20" w:rsidR="009F074C" w:rsidRPr="00E01CF9" w:rsidRDefault="009F074C" w:rsidP="009F07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203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-3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51A11" w:rsidRPr="00E01CF9" w14:paraId="5850FF75" w14:textId="77777777" w:rsidTr="000B5F7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14:paraId="69255594" w14:textId="77777777" w:rsidR="00051A11" w:rsidRPr="00E01CF9" w:rsidRDefault="00051A11" w:rsidP="000B5F7A">
            <w:pPr>
              <w:spacing w:after="0" w:line="240" w:lineRule="auto"/>
              <w:rPr>
                <w:sz w:val="16"/>
                <w:szCs w:val="16"/>
              </w:rPr>
            </w:pPr>
            <w:r w:rsidRPr="00E01CF9">
              <w:rPr>
                <w:rFonts w:asciiTheme="minorHAnsi" w:hAnsiTheme="minorHAnsi"/>
                <w:sz w:val="16"/>
                <w:szCs w:val="16"/>
              </w:rPr>
              <w:t xml:space="preserve">Total change in net tax of 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E01CF9">
              <w:rPr>
                <w:rFonts w:asciiTheme="minorHAnsi" w:hAnsiTheme="minorHAnsi"/>
                <w:sz w:val="16"/>
                <w:szCs w:val="16"/>
              </w:rPr>
              <w:t>tage 3 tax cuts by gender</w:t>
            </w:r>
          </w:p>
        </w:tc>
      </w:tr>
      <w:tr w:rsidR="00051A11" w:rsidRPr="00E01CF9" w14:paraId="6BF271B5" w14:textId="77777777" w:rsidTr="009F074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Align w:val="center"/>
          </w:tcPr>
          <w:p w14:paraId="36650C89" w14:textId="77777777" w:rsidR="00051A11" w:rsidRPr="00590EC8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590EC8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Female</w:t>
            </w:r>
          </w:p>
        </w:tc>
        <w:tc>
          <w:tcPr>
            <w:tcW w:w="319" w:type="pct"/>
          </w:tcPr>
          <w:p w14:paraId="5D9EC639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</w:tcPr>
          <w:p w14:paraId="2F276C79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</w:tcPr>
          <w:p w14:paraId="167929CA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-5,800 </w:t>
            </w:r>
          </w:p>
        </w:tc>
        <w:tc>
          <w:tcPr>
            <w:tcW w:w="319" w:type="pct"/>
          </w:tcPr>
          <w:p w14:paraId="4144D6F7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-6,800 </w:t>
            </w:r>
          </w:p>
        </w:tc>
        <w:tc>
          <w:tcPr>
            <w:tcW w:w="319" w:type="pct"/>
          </w:tcPr>
          <w:p w14:paraId="08F79E7F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-7,600 </w:t>
            </w:r>
          </w:p>
        </w:tc>
        <w:tc>
          <w:tcPr>
            <w:tcW w:w="319" w:type="pct"/>
          </w:tcPr>
          <w:p w14:paraId="1E881CAB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-8,200 </w:t>
            </w:r>
          </w:p>
        </w:tc>
        <w:tc>
          <w:tcPr>
            <w:tcW w:w="319" w:type="pct"/>
          </w:tcPr>
          <w:p w14:paraId="66C09E3E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-9,000 </w:t>
            </w:r>
          </w:p>
        </w:tc>
        <w:tc>
          <w:tcPr>
            <w:tcW w:w="319" w:type="pct"/>
          </w:tcPr>
          <w:p w14:paraId="06838D5D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-9,900 </w:t>
            </w:r>
          </w:p>
        </w:tc>
        <w:tc>
          <w:tcPr>
            <w:tcW w:w="319" w:type="pct"/>
          </w:tcPr>
          <w:p w14:paraId="7FD2DE48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-10,900 </w:t>
            </w:r>
          </w:p>
        </w:tc>
        <w:tc>
          <w:tcPr>
            <w:tcW w:w="319" w:type="pct"/>
          </w:tcPr>
          <w:p w14:paraId="57A66485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-11,900 </w:t>
            </w:r>
          </w:p>
        </w:tc>
        <w:tc>
          <w:tcPr>
            <w:tcW w:w="319" w:type="pct"/>
          </w:tcPr>
          <w:p w14:paraId="256B1F9B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-12,800 </w:t>
            </w:r>
          </w:p>
        </w:tc>
        <w:tc>
          <w:tcPr>
            <w:tcW w:w="361" w:type="pct"/>
          </w:tcPr>
          <w:p w14:paraId="19A83642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-12,600 </w:t>
            </w:r>
          </w:p>
        </w:tc>
        <w:tc>
          <w:tcPr>
            <w:tcW w:w="358" w:type="pct"/>
          </w:tcPr>
          <w:p w14:paraId="65363740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-82,900 </w:t>
            </w:r>
          </w:p>
        </w:tc>
      </w:tr>
      <w:tr w:rsidR="00051A11" w:rsidRPr="00E01CF9" w14:paraId="52E6995B" w14:textId="77777777" w:rsidTr="009F074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Align w:val="center"/>
          </w:tcPr>
          <w:p w14:paraId="4F011654" w14:textId="77777777" w:rsidR="00051A11" w:rsidRPr="00590EC8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590EC8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319" w:type="pct"/>
          </w:tcPr>
          <w:p w14:paraId="77C26BCE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</w:tcPr>
          <w:p w14:paraId="78AEAF20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</w:tcPr>
          <w:p w14:paraId="6081510A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-11,900 </w:t>
            </w:r>
          </w:p>
        </w:tc>
        <w:tc>
          <w:tcPr>
            <w:tcW w:w="319" w:type="pct"/>
          </w:tcPr>
          <w:p w14:paraId="5C0ED48F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46AFC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-14,000 </w:t>
            </w:r>
          </w:p>
        </w:tc>
        <w:tc>
          <w:tcPr>
            <w:tcW w:w="319" w:type="pct"/>
          </w:tcPr>
          <w:p w14:paraId="3FFD4951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-15,100 </w:t>
            </w:r>
          </w:p>
        </w:tc>
        <w:tc>
          <w:tcPr>
            <w:tcW w:w="319" w:type="pct"/>
          </w:tcPr>
          <w:p w14:paraId="72F27A52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-16,300 </w:t>
            </w:r>
          </w:p>
        </w:tc>
        <w:tc>
          <w:tcPr>
            <w:tcW w:w="319" w:type="pct"/>
          </w:tcPr>
          <w:p w14:paraId="5B4B8A15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-17,500 </w:t>
            </w:r>
          </w:p>
        </w:tc>
        <w:tc>
          <w:tcPr>
            <w:tcW w:w="319" w:type="pct"/>
          </w:tcPr>
          <w:p w14:paraId="7BFD2FDA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-19,000 </w:t>
            </w:r>
          </w:p>
        </w:tc>
        <w:tc>
          <w:tcPr>
            <w:tcW w:w="319" w:type="pct"/>
          </w:tcPr>
          <w:p w14:paraId="3B21B170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-20,</w:t>
            </w:r>
            <w:r w:rsidRPr="00846AFC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500</w:t>
            </w: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" w:type="pct"/>
          </w:tcPr>
          <w:p w14:paraId="16A0D741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-22,</w:t>
            </w:r>
            <w:r w:rsidRPr="00846AFC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>200</w:t>
            </w: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" w:type="pct"/>
          </w:tcPr>
          <w:p w14:paraId="336E899E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i/>
                <w:iCs/>
                <w:sz w:val="16"/>
                <w:szCs w:val="16"/>
              </w:rPr>
              <w:t xml:space="preserve">-24,100 </w:t>
            </w:r>
          </w:p>
        </w:tc>
        <w:tc>
          <w:tcPr>
            <w:tcW w:w="361" w:type="pct"/>
          </w:tcPr>
          <w:p w14:paraId="32A2444C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-25,</w:t>
            </w:r>
            <w:r w:rsidRPr="00846AFC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900</w:t>
            </w: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58" w:type="pct"/>
          </w:tcPr>
          <w:p w14:paraId="1622DF8B" w14:textId="77777777" w:rsidR="00051A11" w:rsidRPr="008C610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</w:pP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-160,</w:t>
            </w:r>
            <w:r w:rsidRPr="00846AFC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>600</w:t>
            </w:r>
            <w:r w:rsidRPr="008C6109">
              <w:rPr>
                <w:rFonts w:asciiTheme="minorHAnsi" w:eastAsiaTheme="majorEastAsia" w:hAnsi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51A11" w:rsidRPr="00E01CF9" w14:paraId="30821A2C" w14:textId="77777777" w:rsidTr="009F074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shd w:val="clear" w:color="auto" w:fill="A7B2D4" w:themeFill="background2" w:themeFillTint="66"/>
            <w:vAlign w:val="center"/>
          </w:tcPr>
          <w:p w14:paraId="73962B4C" w14:textId="77777777" w:rsidR="00051A11" w:rsidRPr="00E01CF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01CF9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6307EA6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41B7A178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 -  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3CBA59B4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-17,700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54101173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-20,800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077A586D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-22,700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7B9EF36F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-24,500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1BEDDF1D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-26,500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0F9523B2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-28,900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67871411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-31,400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4419B70D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-34,100 </w:t>
            </w:r>
          </w:p>
        </w:tc>
        <w:tc>
          <w:tcPr>
            <w:tcW w:w="319" w:type="pct"/>
            <w:shd w:val="clear" w:color="auto" w:fill="A7B2D4" w:themeFill="background2" w:themeFillTint="66"/>
          </w:tcPr>
          <w:p w14:paraId="299056A0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-36,900 </w:t>
            </w:r>
          </w:p>
        </w:tc>
        <w:tc>
          <w:tcPr>
            <w:tcW w:w="361" w:type="pct"/>
            <w:shd w:val="clear" w:color="auto" w:fill="A7B2D4" w:themeFill="background2" w:themeFillTint="66"/>
          </w:tcPr>
          <w:p w14:paraId="2157F6FE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-38,500 </w:t>
            </w:r>
          </w:p>
        </w:tc>
        <w:tc>
          <w:tcPr>
            <w:tcW w:w="358" w:type="pct"/>
            <w:shd w:val="clear" w:color="auto" w:fill="A7B2D4" w:themeFill="background2" w:themeFillTint="66"/>
          </w:tcPr>
          <w:p w14:paraId="46AB30F6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-243,500 </w:t>
            </w:r>
          </w:p>
        </w:tc>
      </w:tr>
    </w:tbl>
    <w:p w14:paraId="0A32C46F" w14:textId="77777777" w:rsidR="00051A11" w:rsidRPr="00E94CFD" w:rsidRDefault="00051A11" w:rsidP="00051A11">
      <w:pPr>
        <w:pStyle w:val="PRRfootnote2"/>
      </w:pPr>
      <w:r w:rsidRPr="00E94CFD">
        <w:t>(a)</w:t>
      </w:r>
      <w:r w:rsidRPr="00E94CFD">
        <w:tab/>
        <w:t xml:space="preserve">A positive number for the fiscal balance indicates an increase in revenue or a decrease in expenses or net capital investment in accrual terms. A negative number for the fiscal balance indicates a decrease in revenue or an increase in expenses or net capital investment in accrual terms. A positive number for the underlying cash balance indicates an increase in receipts or a decrease in payments or net capital investment in cash terms. A negative number for the underlying cash balance indicates a decrease in receipts or an increase in payments or net capital investment in cash terms.  </w:t>
      </w:r>
    </w:p>
    <w:p w14:paraId="58A67D83" w14:textId="77777777" w:rsidR="00051A11" w:rsidRPr="00E94CFD" w:rsidRDefault="00051A11" w:rsidP="00051A11">
      <w:pPr>
        <w:pStyle w:val="PRRfootnote2"/>
      </w:pPr>
      <w:r w:rsidRPr="00E94CFD">
        <w:t xml:space="preserve">(b)   </w:t>
      </w:r>
      <w:r>
        <w:t>The impact for individuals whose gender cannot be determined from their tax return is small and has been rounded to zero</w:t>
      </w:r>
      <w:r w:rsidRPr="00E94CFD">
        <w:t>.</w:t>
      </w:r>
    </w:p>
    <w:p w14:paraId="0629E45C" w14:textId="77777777" w:rsidR="00051A11" w:rsidRPr="00E94CFD" w:rsidRDefault="00051A11" w:rsidP="00051A11">
      <w:pPr>
        <w:pStyle w:val="PRRfootnote2"/>
        <w:numPr>
          <w:ilvl w:val="0"/>
          <w:numId w:val="45"/>
        </w:numPr>
        <w:ind w:left="284" w:hanging="284"/>
      </w:pPr>
      <w:r w:rsidRPr="00E94CFD">
        <w:t>Indicates nil.</w:t>
      </w:r>
    </w:p>
    <w:p w14:paraId="102A41C4" w14:textId="77777777" w:rsidR="00051A11" w:rsidRDefault="00051A11" w:rsidP="00051A11">
      <w:pPr>
        <w:pStyle w:val="Caption"/>
        <w:widowControl w:val="0"/>
        <w:tabs>
          <w:tab w:val="left" w:pos="9356"/>
        </w:tabs>
        <w:rPr>
          <w:color w:val="FF0000"/>
        </w:rPr>
      </w:pPr>
      <w:r>
        <w:rPr>
          <w:color w:val="FF0000"/>
        </w:rPr>
        <w:br w:type="page"/>
      </w:r>
    </w:p>
    <w:p w14:paraId="4029B35A" w14:textId="77777777" w:rsidR="00051A11" w:rsidRPr="00621A71" w:rsidRDefault="00051A11" w:rsidP="00051A11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Pr="00621A71">
        <w:rPr>
          <w:noProof/>
        </w:rPr>
        <w:t>B3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>– Total cost by specified taxable income brackets – Fiscal and underlying cash balances ($</w:t>
      </w:r>
      <w:proofErr w:type="gramStart"/>
      <w:r w:rsidRPr="00621A71">
        <w:t>m)</w:t>
      </w:r>
      <w:r w:rsidRPr="00621A71">
        <w:rPr>
          <w:vertAlign w:val="superscript"/>
        </w:rPr>
        <w:t>(</w:t>
      </w:r>
      <w:proofErr w:type="gramEnd"/>
      <w:r w:rsidRPr="00621A71">
        <w:rPr>
          <w:vertAlign w:val="superscript"/>
        </w:rPr>
        <w:t>a)</w:t>
      </w:r>
    </w:p>
    <w:tbl>
      <w:tblPr>
        <w:tblStyle w:val="LightGrid-Accent6"/>
        <w:tblW w:w="14783" w:type="dxa"/>
        <w:tblLayout w:type="fixed"/>
        <w:tblLook w:val="0680" w:firstRow="0" w:lastRow="0" w:firstColumn="1" w:lastColumn="0" w:noHBand="1" w:noVBand="1"/>
      </w:tblPr>
      <w:tblGrid>
        <w:gridCol w:w="2281"/>
        <w:gridCol w:w="16"/>
        <w:gridCol w:w="932"/>
        <w:gridCol w:w="19"/>
        <w:gridCol w:w="931"/>
        <w:gridCol w:w="20"/>
        <w:gridCol w:w="929"/>
        <w:gridCol w:w="21"/>
        <w:gridCol w:w="930"/>
        <w:gridCol w:w="19"/>
        <w:gridCol w:w="931"/>
        <w:gridCol w:w="19"/>
        <w:gridCol w:w="950"/>
        <w:gridCol w:w="956"/>
        <w:gridCol w:w="951"/>
        <w:gridCol w:w="950"/>
        <w:gridCol w:w="951"/>
        <w:gridCol w:w="951"/>
        <w:gridCol w:w="1005"/>
        <w:gridCol w:w="1021"/>
      </w:tblGrid>
      <w:tr w:rsidR="003956F1" w:rsidRPr="00621A71" w14:paraId="100F3A05" w14:textId="77777777" w:rsidTr="00F62B5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A7B2D4" w:themeFill="background2" w:themeFillTint="66"/>
            <w:vAlign w:val="center"/>
          </w:tcPr>
          <w:p w14:paraId="1AD2518C" w14:textId="77777777" w:rsidR="00051A11" w:rsidRPr="004947A9" w:rsidRDefault="00051A11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7B2D4" w:themeFill="background2" w:themeFillTint="66"/>
            <w:vAlign w:val="center"/>
          </w:tcPr>
          <w:p w14:paraId="118F3723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949" w:type="dxa"/>
            <w:gridSpan w:val="2"/>
            <w:shd w:val="clear" w:color="auto" w:fill="A7B2D4" w:themeFill="background2" w:themeFillTint="66"/>
            <w:vAlign w:val="center"/>
          </w:tcPr>
          <w:p w14:paraId="3E42F3EF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950" w:type="dxa"/>
            <w:gridSpan w:val="2"/>
            <w:shd w:val="clear" w:color="auto" w:fill="A7B2D4" w:themeFill="background2" w:themeFillTint="66"/>
            <w:vAlign w:val="center"/>
          </w:tcPr>
          <w:p w14:paraId="2994F6D6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952" w:type="dxa"/>
            <w:gridSpan w:val="2"/>
            <w:shd w:val="clear" w:color="auto" w:fill="A7B2D4" w:themeFill="background2" w:themeFillTint="66"/>
            <w:vAlign w:val="center"/>
          </w:tcPr>
          <w:p w14:paraId="52CE2F81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951" w:type="dxa"/>
            <w:gridSpan w:val="2"/>
            <w:shd w:val="clear" w:color="auto" w:fill="A7B2D4" w:themeFill="background2" w:themeFillTint="66"/>
            <w:vAlign w:val="center"/>
          </w:tcPr>
          <w:p w14:paraId="4B0157CE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960" w:type="dxa"/>
            <w:gridSpan w:val="2"/>
            <w:shd w:val="clear" w:color="auto" w:fill="A7B2D4" w:themeFill="background2" w:themeFillTint="66"/>
            <w:vAlign w:val="center"/>
          </w:tcPr>
          <w:p w14:paraId="0D9261EA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957" w:type="dxa"/>
            <w:shd w:val="clear" w:color="auto" w:fill="A7B2D4" w:themeFill="background2" w:themeFillTint="66"/>
            <w:vAlign w:val="center"/>
          </w:tcPr>
          <w:p w14:paraId="43C30CF3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952" w:type="dxa"/>
            <w:shd w:val="clear" w:color="auto" w:fill="A7B2D4" w:themeFill="background2" w:themeFillTint="66"/>
            <w:vAlign w:val="center"/>
          </w:tcPr>
          <w:p w14:paraId="2CD48FEF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951" w:type="dxa"/>
            <w:shd w:val="clear" w:color="auto" w:fill="A7B2D4" w:themeFill="background2" w:themeFillTint="66"/>
            <w:vAlign w:val="center"/>
          </w:tcPr>
          <w:p w14:paraId="71A28C81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952" w:type="dxa"/>
            <w:shd w:val="clear" w:color="auto" w:fill="A7B2D4" w:themeFill="background2" w:themeFillTint="66"/>
            <w:vAlign w:val="center"/>
          </w:tcPr>
          <w:p w14:paraId="03F5120D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952" w:type="dxa"/>
            <w:shd w:val="clear" w:color="auto" w:fill="A7B2D4" w:themeFill="background2" w:themeFillTint="66"/>
            <w:vAlign w:val="center"/>
          </w:tcPr>
          <w:p w14:paraId="6BC22076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2032–33</w:t>
            </w:r>
          </w:p>
        </w:tc>
        <w:tc>
          <w:tcPr>
            <w:tcW w:w="1006" w:type="dxa"/>
            <w:shd w:val="clear" w:color="auto" w:fill="A7B2D4" w:themeFill="background2" w:themeFillTint="66"/>
            <w:vAlign w:val="center"/>
          </w:tcPr>
          <w:p w14:paraId="1164415C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 20</w:t>
            </w:r>
            <w:r>
              <w:rPr>
                <w:rFonts w:asciiTheme="minorHAnsi" w:hAnsiTheme="minorHAnsi"/>
                <w:sz w:val="16"/>
                <w:szCs w:val="16"/>
              </w:rPr>
              <w:t>25-26</w:t>
            </w:r>
          </w:p>
        </w:tc>
        <w:tc>
          <w:tcPr>
            <w:tcW w:w="1022" w:type="dxa"/>
            <w:shd w:val="clear" w:color="auto" w:fill="A7B2D4" w:themeFill="background2" w:themeFillTint="66"/>
            <w:vAlign w:val="center"/>
          </w:tcPr>
          <w:p w14:paraId="4E2C2EE1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 203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-3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51A11" w:rsidRPr="00621A71" w14:paraId="0D4F25DF" w14:textId="77777777" w:rsidTr="00D04D9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3" w:type="dxa"/>
            <w:gridSpan w:val="20"/>
            <w:shd w:val="clear" w:color="auto" w:fill="D3D8E9" w:themeFill="background2" w:themeFillTint="33"/>
            <w:vAlign w:val="center"/>
          </w:tcPr>
          <w:p w14:paraId="333181D9" w14:textId="77777777" w:rsidR="00051A11" w:rsidRPr="00621A71" w:rsidRDefault="00051A11" w:rsidP="000B5F7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947A9">
              <w:rPr>
                <w:rFonts w:asciiTheme="minorHAnsi" w:hAnsiTheme="minorHAnsi"/>
                <w:i w:val="0"/>
                <w:iCs/>
                <w:sz w:val="16"/>
                <w:szCs w:val="16"/>
              </w:rPr>
              <w:t>Total change in net tax of Stage 3 tax cuts by taxable income bracket</w:t>
            </w:r>
          </w:p>
        </w:tc>
      </w:tr>
      <w:tr w:rsidR="00051A11" w:rsidRPr="00621A71" w14:paraId="2165B313" w14:textId="77777777" w:rsidTr="00F62B5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306C8CCB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Up to $45,000</w:t>
            </w:r>
          </w:p>
        </w:tc>
        <w:tc>
          <w:tcPr>
            <w:tcW w:w="945" w:type="dxa"/>
            <w:gridSpan w:val="2"/>
          </w:tcPr>
          <w:p w14:paraId="4F6204B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7E5C9AF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41B169B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0" w:type="dxa"/>
            <w:gridSpan w:val="2"/>
          </w:tcPr>
          <w:p w14:paraId="4E327577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0" w:type="dxa"/>
            <w:gridSpan w:val="2"/>
          </w:tcPr>
          <w:p w14:paraId="00D12F1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1" w:type="dxa"/>
          </w:tcPr>
          <w:p w14:paraId="740895E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7" w:type="dxa"/>
          </w:tcPr>
          <w:p w14:paraId="086B346F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2" w:type="dxa"/>
          </w:tcPr>
          <w:p w14:paraId="13C734D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1" w:type="dxa"/>
          </w:tcPr>
          <w:p w14:paraId="5C4387A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2" w:type="dxa"/>
          </w:tcPr>
          <w:p w14:paraId="25B8FB0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52" w:type="dxa"/>
          </w:tcPr>
          <w:p w14:paraId="4483D73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1006" w:type="dxa"/>
          </w:tcPr>
          <w:p w14:paraId="10E473B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1022" w:type="dxa"/>
          </w:tcPr>
          <w:p w14:paraId="2737C3F7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 -   </w:t>
            </w:r>
          </w:p>
        </w:tc>
      </w:tr>
      <w:tr w:rsidR="00051A11" w:rsidRPr="00621A71" w14:paraId="2F903F0B" w14:textId="77777777" w:rsidTr="00F62B5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5593994C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$45,001 to $60,000</w:t>
            </w:r>
          </w:p>
        </w:tc>
        <w:tc>
          <w:tcPr>
            <w:tcW w:w="945" w:type="dxa"/>
            <w:gridSpan w:val="2"/>
          </w:tcPr>
          <w:p w14:paraId="1A6CD7B2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5C9B8E6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56B2A48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0" w:type="dxa"/>
            <w:gridSpan w:val="2"/>
          </w:tcPr>
          <w:p w14:paraId="1E5E1E0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0" w:type="dxa"/>
            <w:gridSpan w:val="2"/>
          </w:tcPr>
          <w:p w14:paraId="1BB3476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1" w:type="dxa"/>
          </w:tcPr>
          <w:p w14:paraId="47C788E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7" w:type="dxa"/>
          </w:tcPr>
          <w:p w14:paraId="4CDC904A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2" w:type="dxa"/>
          </w:tcPr>
          <w:p w14:paraId="4498367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1" w:type="dxa"/>
          </w:tcPr>
          <w:p w14:paraId="1E6DFC9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2" w:type="dxa"/>
          </w:tcPr>
          <w:p w14:paraId="7C80481A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952" w:type="dxa"/>
          </w:tcPr>
          <w:p w14:paraId="605B1B6F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-300 </w:t>
            </w:r>
          </w:p>
        </w:tc>
        <w:tc>
          <w:tcPr>
            <w:tcW w:w="1006" w:type="dxa"/>
          </w:tcPr>
          <w:p w14:paraId="22385342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-600 </w:t>
            </w:r>
          </w:p>
        </w:tc>
        <w:tc>
          <w:tcPr>
            <w:tcW w:w="1022" w:type="dxa"/>
          </w:tcPr>
          <w:p w14:paraId="65DECDF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-2,700 </w:t>
            </w:r>
          </w:p>
        </w:tc>
      </w:tr>
      <w:tr w:rsidR="00051A11" w:rsidRPr="00621A71" w14:paraId="28F63919" w14:textId="77777777" w:rsidTr="00F62B5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4BCF5952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$60,001 to $90,000</w:t>
            </w:r>
          </w:p>
        </w:tc>
        <w:tc>
          <w:tcPr>
            <w:tcW w:w="945" w:type="dxa"/>
            <w:gridSpan w:val="2"/>
          </w:tcPr>
          <w:p w14:paraId="6CA26DD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2E5C9CC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31F7902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-2,100 </w:t>
            </w:r>
          </w:p>
        </w:tc>
        <w:tc>
          <w:tcPr>
            <w:tcW w:w="950" w:type="dxa"/>
            <w:gridSpan w:val="2"/>
          </w:tcPr>
          <w:p w14:paraId="0163014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-2,300 </w:t>
            </w:r>
          </w:p>
        </w:tc>
        <w:tc>
          <w:tcPr>
            <w:tcW w:w="950" w:type="dxa"/>
            <w:gridSpan w:val="2"/>
          </w:tcPr>
          <w:p w14:paraId="4E353FC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1" w:type="dxa"/>
          </w:tcPr>
          <w:p w14:paraId="6BDCDBEF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7" w:type="dxa"/>
          </w:tcPr>
          <w:p w14:paraId="12EE43E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2" w:type="dxa"/>
          </w:tcPr>
          <w:p w14:paraId="59B0CEB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1" w:type="dxa"/>
          </w:tcPr>
          <w:p w14:paraId="6EF7005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2" w:type="dxa"/>
          </w:tcPr>
          <w:p w14:paraId="14D617B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952" w:type="dxa"/>
          </w:tcPr>
          <w:p w14:paraId="74580A1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-2,400 </w:t>
            </w:r>
          </w:p>
        </w:tc>
        <w:tc>
          <w:tcPr>
            <w:tcW w:w="1006" w:type="dxa"/>
          </w:tcPr>
          <w:p w14:paraId="7088DD7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-4,400 </w:t>
            </w:r>
          </w:p>
        </w:tc>
        <w:tc>
          <w:tcPr>
            <w:tcW w:w="1022" w:type="dxa"/>
          </w:tcPr>
          <w:p w14:paraId="4DA408E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-21,200 </w:t>
            </w:r>
          </w:p>
        </w:tc>
      </w:tr>
      <w:tr w:rsidR="00051A11" w:rsidRPr="00621A71" w14:paraId="06EA5AA9" w14:textId="77777777" w:rsidTr="00F62B5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08F929E2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$90,001 to $120,000</w:t>
            </w:r>
          </w:p>
        </w:tc>
        <w:tc>
          <w:tcPr>
            <w:tcW w:w="945" w:type="dxa"/>
            <w:gridSpan w:val="2"/>
          </w:tcPr>
          <w:p w14:paraId="59C8869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7CE101C2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5F0D6FA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-2,600 </w:t>
            </w:r>
          </w:p>
        </w:tc>
        <w:tc>
          <w:tcPr>
            <w:tcW w:w="950" w:type="dxa"/>
            <w:gridSpan w:val="2"/>
          </w:tcPr>
          <w:p w14:paraId="218237F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-3,000 </w:t>
            </w:r>
          </w:p>
        </w:tc>
        <w:tc>
          <w:tcPr>
            <w:tcW w:w="950" w:type="dxa"/>
            <w:gridSpan w:val="2"/>
          </w:tcPr>
          <w:p w14:paraId="1BA9925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-3,100 </w:t>
            </w:r>
          </w:p>
        </w:tc>
        <w:tc>
          <w:tcPr>
            <w:tcW w:w="951" w:type="dxa"/>
          </w:tcPr>
          <w:p w14:paraId="5360C3E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-3,200 </w:t>
            </w:r>
          </w:p>
        </w:tc>
        <w:tc>
          <w:tcPr>
            <w:tcW w:w="957" w:type="dxa"/>
          </w:tcPr>
          <w:p w14:paraId="4247CDF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-3,300 </w:t>
            </w:r>
          </w:p>
        </w:tc>
        <w:tc>
          <w:tcPr>
            <w:tcW w:w="952" w:type="dxa"/>
          </w:tcPr>
          <w:p w14:paraId="57B4F87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-3,400 </w:t>
            </w:r>
          </w:p>
        </w:tc>
        <w:tc>
          <w:tcPr>
            <w:tcW w:w="951" w:type="dxa"/>
          </w:tcPr>
          <w:p w14:paraId="54AC932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-3,500 </w:t>
            </w:r>
          </w:p>
        </w:tc>
        <w:tc>
          <w:tcPr>
            <w:tcW w:w="952" w:type="dxa"/>
          </w:tcPr>
          <w:p w14:paraId="7B95C8D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-3,600 </w:t>
            </w:r>
          </w:p>
        </w:tc>
        <w:tc>
          <w:tcPr>
            <w:tcW w:w="952" w:type="dxa"/>
          </w:tcPr>
          <w:p w14:paraId="3C467DC7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-3,700 </w:t>
            </w:r>
          </w:p>
        </w:tc>
        <w:tc>
          <w:tcPr>
            <w:tcW w:w="1006" w:type="dxa"/>
          </w:tcPr>
          <w:p w14:paraId="7754126E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-5,600 </w:t>
            </w:r>
          </w:p>
        </w:tc>
        <w:tc>
          <w:tcPr>
            <w:tcW w:w="1022" w:type="dxa"/>
          </w:tcPr>
          <w:p w14:paraId="6F540FA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-29,400 </w:t>
            </w:r>
          </w:p>
        </w:tc>
      </w:tr>
      <w:tr w:rsidR="00051A11" w:rsidRPr="00621A71" w14:paraId="10C3042A" w14:textId="77777777" w:rsidTr="00F62B5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67A4ADC7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$120,001 to $150,000</w:t>
            </w:r>
          </w:p>
        </w:tc>
        <w:tc>
          <w:tcPr>
            <w:tcW w:w="945" w:type="dxa"/>
            <w:gridSpan w:val="2"/>
          </w:tcPr>
          <w:p w14:paraId="33ABA7D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5B521F2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7881B1F1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-2,700 </w:t>
            </w:r>
          </w:p>
        </w:tc>
        <w:tc>
          <w:tcPr>
            <w:tcW w:w="950" w:type="dxa"/>
            <w:gridSpan w:val="2"/>
          </w:tcPr>
          <w:p w14:paraId="2294732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-3,200 </w:t>
            </w:r>
          </w:p>
        </w:tc>
        <w:tc>
          <w:tcPr>
            <w:tcW w:w="950" w:type="dxa"/>
            <w:gridSpan w:val="2"/>
          </w:tcPr>
          <w:p w14:paraId="3412316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-3,500 </w:t>
            </w:r>
          </w:p>
        </w:tc>
        <w:tc>
          <w:tcPr>
            <w:tcW w:w="951" w:type="dxa"/>
          </w:tcPr>
          <w:p w14:paraId="38FD0F0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-3,800 </w:t>
            </w:r>
          </w:p>
        </w:tc>
        <w:tc>
          <w:tcPr>
            <w:tcW w:w="957" w:type="dxa"/>
          </w:tcPr>
          <w:p w14:paraId="5F3699F8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-4,100 </w:t>
            </w:r>
          </w:p>
        </w:tc>
        <w:tc>
          <w:tcPr>
            <w:tcW w:w="952" w:type="dxa"/>
          </w:tcPr>
          <w:p w14:paraId="4CBDA6C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-4,300 </w:t>
            </w:r>
          </w:p>
        </w:tc>
        <w:tc>
          <w:tcPr>
            <w:tcW w:w="951" w:type="dxa"/>
          </w:tcPr>
          <w:p w14:paraId="22B4A29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-4,600 </w:t>
            </w:r>
          </w:p>
        </w:tc>
        <w:tc>
          <w:tcPr>
            <w:tcW w:w="952" w:type="dxa"/>
          </w:tcPr>
          <w:p w14:paraId="06CD994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-4,800 </w:t>
            </w:r>
          </w:p>
        </w:tc>
        <w:tc>
          <w:tcPr>
            <w:tcW w:w="952" w:type="dxa"/>
          </w:tcPr>
          <w:p w14:paraId="187EE5C8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-5,000 </w:t>
            </w:r>
          </w:p>
        </w:tc>
        <w:tc>
          <w:tcPr>
            <w:tcW w:w="1006" w:type="dxa"/>
          </w:tcPr>
          <w:p w14:paraId="5741F615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-5,900 </w:t>
            </w:r>
          </w:p>
        </w:tc>
        <w:tc>
          <w:tcPr>
            <w:tcW w:w="1022" w:type="dxa"/>
          </w:tcPr>
          <w:p w14:paraId="188A67F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-36,000 </w:t>
            </w:r>
          </w:p>
        </w:tc>
      </w:tr>
      <w:tr w:rsidR="00051A11" w:rsidRPr="00621A71" w14:paraId="47AA2247" w14:textId="77777777" w:rsidTr="00F62B5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248370CA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$150,001 to $180,000</w:t>
            </w:r>
          </w:p>
        </w:tc>
        <w:tc>
          <w:tcPr>
            <w:tcW w:w="945" w:type="dxa"/>
            <w:gridSpan w:val="2"/>
          </w:tcPr>
          <w:p w14:paraId="618AAB5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1FDBAD5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4995340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-2,500 </w:t>
            </w:r>
          </w:p>
        </w:tc>
        <w:tc>
          <w:tcPr>
            <w:tcW w:w="950" w:type="dxa"/>
            <w:gridSpan w:val="2"/>
          </w:tcPr>
          <w:p w14:paraId="7BF8BE9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-2,900 </w:t>
            </w:r>
          </w:p>
        </w:tc>
        <w:tc>
          <w:tcPr>
            <w:tcW w:w="950" w:type="dxa"/>
            <w:gridSpan w:val="2"/>
          </w:tcPr>
          <w:p w14:paraId="10B4717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-3,300 </w:t>
            </w:r>
          </w:p>
        </w:tc>
        <w:tc>
          <w:tcPr>
            <w:tcW w:w="951" w:type="dxa"/>
          </w:tcPr>
          <w:p w14:paraId="75727896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-3,600 </w:t>
            </w:r>
          </w:p>
        </w:tc>
        <w:tc>
          <w:tcPr>
            <w:tcW w:w="957" w:type="dxa"/>
          </w:tcPr>
          <w:p w14:paraId="43890AD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-4,000 </w:t>
            </w:r>
          </w:p>
        </w:tc>
        <w:tc>
          <w:tcPr>
            <w:tcW w:w="952" w:type="dxa"/>
          </w:tcPr>
          <w:p w14:paraId="7B71361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-4,400 </w:t>
            </w:r>
          </w:p>
        </w:tc>
        <w:tc>
          <w:tcPr>
            <w:tcW w:w="951" w:type="dxa"/>
          </w:tcPr>
          <w:p w14:paraId="4133F5D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-4,800 </w:t>
            </w:r>
          </w:p>
        </w:tc>
        <w:tc>
          <w:tcPr>
            <w:tcW w:w="952" w:type="dxa"/>
          </w:tcPr>
          <w:p w14:paraId="016B97B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-5,300 </w:t>
            </w:r>
          </w:p>
        </w:tc>
        <w:tc>
          <w:tcPr>
            <w:tcW w:w="952" w:type="dxa"/>
          </w:tcPr>
          <w:p w14:paraId="17A83A6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-5,800 </w:t>
            </w:r>
          </w:p>
        </w:tc>
        <w:tc>
          <w:tcPr>
            <w:tcW w:w="1006" w:type="dxa"/>
          </w:tcPr>
          <w:p w14:paraId="2BD60D2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-5,400 </w:t>
            </w:r>
          </w:p>
        </w:tc>
        <w:tc>
          <w:tcPr>
            <w:tcW w:w="1022" w:type="dxa"/>
          </w:tcPr>
          <w:p w14:paraId="4DC2DD21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-36,600 </w:t>
            </w:r>
          </w:p>
        </w:tc>
      </w:tr>
      <w:tr w:rsidR="00051A11" w:rsidRPr="00621A71" w14:paraId="6084F1B7" w14:textId="77777777" w:rsidTr="00F62B5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vAlign w:val="bottom"/>
          </w:tcPr>
          <w:p w14:paraId="64F1D382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$180,001 and above</w:t>
            </w:r>
          </w:p>
        </w:tc>
        <w:tc>
          <w:tcPr>
            <w:tcW w:w="945" w:type="dxa"/>
            <w:gridSpan w:val="2"/>
          </w:tcPr>
          <w:p w14:paraId="2C4C1AA3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7EA6B514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949" w:type="dxa"/>
            <w:gridSpan w:val="2"/>
          </w:tcPr>
          <w:p w14:paraId="5C7DC69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-7,500 </w:t>
            </w:r>
          </w:p>
        </w:tc>
        <w:tc>
          <w:tcPr>
            <w:tcW w:w="950" w:type="dxa"/>
            <w:gridSpan w:val="2"/>
          </w:tcPr>
          <w:p w14:paraId="603942B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>-9,</w:t>
            </w:r>
            <w:r w:rsidRPr="00F2630F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100</w:t>
            </w: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50" w:type="dxa"/>
            <w:gridSpan w:val="2"/>
          </w:tcPr>
          <w:p w14:paraId="0FC20E0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-10,100 </w:t>
            </w:r>
          </w:p>
        </w:tc>
        <w:tc>
          <w:tcPr>
            <w:tcW w:w="951" w:type="dxa"/>
          </w:tcPr>
          <w:p w14:paraId="229FD877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-11,200 </w:t>
            </w:r>
          </w:p>
        </w:tc>
        <w:tc>
          <w:tcPr>
            <w:tcW w:w="957" w:type="dxa"/>
          </w:tcPr>
          <w:p w14:paraId="69400520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>-12,</w:t>
            </w:r>
            <w:r w:rsidRPr="00F2630F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400</w:t>
            </w: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52" w:type="dxa"/>
          </w:tcPr>
          <w:p w14:paraId="581189CB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>-14,</w:t>
            </w:r>
            <w:r w:rsidRPr="00F2630F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100</w:t>
            </w: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</w:tcPr>
          <w:p w14:paraId="33E0238A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-15,800 </w:t>
            </w:r>
          </w:p>
        </w:tc>
        <w:tc>
          <w:tcPr>
            <w:tcW w:w="952" w:type="dxa"/>
          </w:tcPr>
          <w:p w14:paraId="38C02319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>-17,</w:t>
            </w:r>
            <w:r w:rsidRPr="00F2630F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700</w:t>
            </w: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52" w:type="dxa"/>
          </w:tcPr>
          <w:p w14:paraId="3E0F583D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>-19,</w:t>
            </w:r>
            <w:r w:rsidRPr="00F2630F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700</w:t>
            </w:r>
            <w:r w:rsidRPr="00317879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</w:tcPr>
          <w:p w14:paraId="6DB8F40C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-16,</w:t>
            </w:r>
            <w:r w:rsidRPr="00F2630F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600</w:t>
            </w: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</w:tcPr>
          <w:p w14:paraId="6B777308" w14:textId="77777777" w:rsidR="00051A11" w:rsidRPr="0031787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-117,</w:t>
            </w:r>
            <w:r w:rsidRPr="00F2630F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600</w:t>
            </w: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3956F1" w:rsidRPr="00621A71" w14:paraId="69C74BC2" w14:textId="77777777" w:rsidTr="00F62B57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shd w:val="clear" w:color="auto" w:fill="A7B2D4" w:themeFill="background2" w:themeFillTint="66"/>
            <w:vAlign w:val="bottom"/>
          </w:tcPr>
          <w:p w14:paraId="6739E467" w14:textId="77777777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 w:cstheme="minorHAnsi"/>
                <w:sz w:val="16"/>
                <w:szCs w:val="16"/>
              </w:rPr>
            </w:pPr>
            <w:r w:rsidRPr="004947A9">
              <w:rPr>
                <w:rFonts w:asciiTheme="minorHAnsi" w:hAnsiTheme="minorHAnsi" w:cstheme="minorHAnsi"/>
                <w:sz w:val="16"/>
                <w:szCs w:val="16"/>
              </w:rPr>
              <w:t>Total</w:t>
            </w:r>
          </w:p>
        </w:tc>
        <w:tc>
          <w:tcPr>
            <w:tcW w:w="950" w:type="dxa"/>
            <w:gridSpan w:val="2"/>
            <w:shd w:val="clear" w:color="auto" w:fill="A7B2D4" w:themeFill="background2" w:themeFillTint="66"/>
          </w:tcPr>
          <w:p w14:paraId="32FC24FA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951" w:type="dxa"/>
            <w:gridSpan w:val="2"/>
            <w:shd w:val="clear" w:color="auto" w:fill="A7B2D4" w:themeFill="background2" w:themeFillTint="66"/>
          </w:tcPr>
          <w:p w14:paraId="0E235155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951" w:type="dxa"/>
            <w:gridSpan w:val="2"/>
            <w:shd w:val="clear" w:color="auto" w:fill="A7B2D4" w:themeFill="background2" w:themeFillTint="66"/>
          </w:tcPr>
          <w:p w14:paraId="7BF3DA6E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-17,700</w:t>
            </w:r>
          </w:p>
        </w:tc>
        <w:tc>
          <w:tcPr>
            <w:tcW w:w="950" w:type="dxa"/>
            <w:gridSpan w:val="2"/>
            <w:shd w:val="clear" w:color="auto" w:fill="A7B2D4" w:themeFill="background2" w:themeFillTint="66"/>
          </w:tcPr>
          <w:p w14:paraId="550FA2C6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-20,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951" w:type="dxa"/>
            <w:gridSpan w:val="2"/>
            <w:shd w:val="clear" w:color="auto" w:fill="A7B2D4" w:themeFill="background2" w:themeFillTint="66"/>
          </w:tcPr>
          <w:p w14:paraId="53E466A9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-22,700</w:t>
            </w:r>
          </w:p>
        </w:tc>
        <w:tc>
          <w:tcPr>
            <w:tcW w:w="951" w:type="dxa"/>
            <w:shd w:val="clear" w:color="auto" w:fill="A7B2D4" w:themeFill="background2" w:themeFillTint="66"/>
          </w:tcPr>
          <w:p w14:paraId="7C434E56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-24,500</w:t>
            </w:r>
          </w:p>
        </w:tc>
        <w:tc>
          <w:tcPr>
            <w:tcW w:w="951" w:type="dxa"/>
            <w:shd w:val="clear" w:color="auto" w:fill="A7B2D4" w:themeFill="background2" w:themeFillTint="66"/>
          </w:tcPr>
          <w:p w14:paraId="3D213D7E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-26,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950" w:type="dxa"/>
            <w:shd w:val="clear" w:color="auto" w:fill="A7B2D4" w:themeFill="background2" w:themeFillTint="66"/>
          </w:tcPr>
          <w:p w14:paraId="3F40D52D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-28,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900</w:t>
            </w:r>
          </w:p>
        </w:tc>
        <w:tc>
          <w:tcPr>
            <w:tcW w:w="951" w:type="dxa"/>
            <w:shd w:val="clear" w:color="auto" w:fill="A7B2D4" w:themeFill="background2" w:themeFillTint="66"/>
          </w:tcPr>
          <w:p w14:paraId="353F0759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-31,400</w:t>
            </w:r>
          </w:p>
        </w:tc>
        <w:tc>
          <w:tcPr>
            <w:tcW w:w="951" w:type="dxa"/>
            <w:shd w:val="clear" w:color="auto" w:fill="A7B2D4" w:themeFill="background2" w:themeFillTint="66"/>
          </w:tcPr>
          <w:p w14:paraId="4E09BFAB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-34,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951" w:type="dxa"/>
            <w:shd w:val="clear" w:color="auto" w:fill="A7B2D4" w:themeFill="background2" w:themeFillTint="66"/>
          </w:tcPr>
          <w:p w14:paraId="670AD0E5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-36,900</w:t>
            </w:r>
          </w:p>
        </w:tc>
        <w:tc>
          <w:tcPr>
            <w:tcW w:w="1006" w:type="dxa"/>
            <w:shd w:val="clear" w:color="auto" w:fill="A7B2D4" w:themeFill="background2" w:themeFillTint="66"/>
          </w:tcPr>
          <w:p w14:paraId="24FCCFDD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-38,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1022" w:type="dxa"/>
            <w:shd w:val="clear" w:color="auto" w:fill="A7B2D4" w:themeFill="background2" w:themeFillTint="66"/>
          </w:tcPr>
          <w:p w14:paraId="11BF0FA1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>-243,</w:t>
            </w:r>
            <w:r w:rsidRPr="006436F2">
              <w:rPr>
                <w:rFonts w:asciiTheme="minorHAnsi" w:eastAsiaTheme="majorEastAsia" w:hAnsiTheme="minorHAnsi"/>
                <w:b/>
                <w:bCs/>
                <w:iCs/>
                <w:sz w:val="16"/>
                <w:szCs w:val="16"/>
              </w:rPr>
              <w:t>500</w:t>
            </w:r>
          </w:p>
        </w:tc>
      </w:tr>
    </w:tbl>
    <w:p w14:paraId="1DB23B21" w14:textId="77777777" w:rsidR="00051A11" w:rsidRPr="00E94CFD" w:rsidRDefault="00051A11" w:rsidP="00051A11">
      <w:pPr>
        <w:pStyle w:val="PRRfootnote2"/>
      </w:pPr>
      <w:r w:rsidRPr="00E94CFD">
        <w:t>(a)</w:t>
      </w:r>
      <w:r w:rsidRPr="00E94CFD">
        <w:tab/>
        <w:t xml:space="preserve">A positive number for the fiscal balance indicates an increase in revenue or a decrease in expenses or net capital investment in accrual terms. A negative number for the fiscal balance indicates a decrease in revenue or an increase in expenses or net capital investment in accrual terms. A positive number for the underlying cash balance indicates an increase in receipts or a decrease in payments or net capital investment in cash terms. A negative number for the underlying cash balance indicates a decrease in receipts or an increase in payments or net capital investment in cash terms.  </w:t>
      </w:r>
    </w:p>
    <w:p w14:paraId="7B2BA366" w14:textId="7690D261" w:rsidR="00051A11" w:rsidRPr="00051A11" w:rsidRDefault="00051A11" w:rsidP="00051A11">
      <w:pPr>
        <w:pStyle w:val="PRRfootnote2"/>
      </w:pPr>
      <w:r>
        <w:t xml:space="preserve">-      </w:t>
      </w:r>
      <w:r>
        <w:tab/>
      </w:r>
      <w:r w:rsidRPr="00E94CFD">
        <w:t>Indicates nil.</w:t>
      </w:r>
    </w:p>
    <w:p w14:paraId="12171723" w14:textId="77777777" w:rsidR="00F62B57" w:rsidRDefault="00F62B57" w:rsidP="00051A11">
      <w:pPr>
        <w:pStyle w:val="Caption"/>
        <w:widowControl w:val="0"/>
        <w:tabs>
          <w:tab w:val="left" w:pos="9356"/>
        </w:tabs>
      </w:pPr>
      <w:r>
        <w:br w:type="page"/>
      </w:r>
    </w:p>
    <w:p w14:paraId="542876F7" w14:textId="3AF2DD0D" w:rsidR="00051A11" w:rsidRPr="00621A71" w:rsidRDefault="00051A11" w:rsidP="00051A11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Pr="00621A71">
        <w:rPr>
          <w:noProof/>
        </w:rPr>
        <w:t>B4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>– Total cost by income percentile – Fiscal and underlying cash balances ($</w:t>
      </w:r>
      <w:proofErr w:type="gramStart"/>
      <w:r w:rsidRPr="00621A71">
        <w:t>m)</w:t>
      </w:r>
      <w:r w:rsidRPr="00621A71">
        <w:rPr>
          <w:vertAlign w:val="superscript"/>
        </w:rPr>
        <w:t>(</w:t>
      </w:r>
      <w:proofErr w:type="gramEnd"/>
      <w:r w:rsidRPr="00621A71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257"/>
        <w:gridCol w:w="957"/>
        <w:gridCol w:w="957"/>
        <w:gridCol w:w="957"/>
        <w:gridCol w:w="958"/>
        <w:gridCol w:w="958"/>
        <w:gridCol w:w="340"/>
        <w:gridCol w:w="618"/>
        <w:gridCol w:w="958"/>
        <w:gridCol w:w="958"/>
        <w:gridCol w:w="958"/>
        <w:gridCol w:w="958"/>
        <w:gridCol w:w="958"/>
        <w:gridCol w:w="990"/>
        <w:gridCol w:w="996"/>
      </w:tblGrid>
      <w:tr w:rsidR="00051A11" w:rsidRPr="00621A71" w14:paraId="470CEAB3" w14:textId="77777777" w:rsidTr="00340058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shd w:val="clear" w:color="auto" w:fill="A7B2D4" w:themeFill="background2" w:themeFillTint="66"/>
            <w:vAlign w:val="center"/>
          </w:tcPr>
          <w:p w14:paraId="2F68C5C3" w14:textId="77777777" w:rsidR="00051A11" w:rsidRPr="00621A71" w:rsidRDefault="00051A11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6177901F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42E0DDA3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47A39107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68FF9913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30A05E72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24" w:type="pct"/>
            <w:gridSpan w:val="2"/>
            <w:shd w:val="clear" w:color="auto" w:fill="A7B2D4" w:themeFill="background2" w:themeFillTint="66"/>
            <w:vAlign w:val="center"/>
          </w:tcPr>
          <w:p w14:paraId="13540E83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1ABD7BED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7247FFBF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4F2B3B9F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489B18B4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24" w:type="pct"/>
            <w:shd w:val="clear" w:color="auto" w:fill="A7B2D4" w:themeFill="background2" w:themeFillTint="66"/>
            <w:vAlign w:val="center"/>
          </w:tcPr>
          <w:p w14:paraId="010F9859" w14:textId="77777777" w:rsidR="00051A11" w:rsidRPr="009013D9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9013D9">
              <w:rPr>
                <w:rFonts w:asciiTheme="minorHAnsi" w:hAnsiTheme="minorHAnsi"/>
                <w:b w:val="0"/>
                <w:sz w:val="16"/>
                <w:szCs w:val="16"/>
              </w:rPr>
              <w:t>2032–33</w:t>
            </w:r>
          </w:p>
        </w:tc>
        <w:tc>
          <w:tcPr>
            <w:tcW w:w="335" w:type="pct"/>
            <w:shd w:val="clear" w:color="auto" w:fill="A7B2D4" w:themeFill="background2" w:themeFillTint="66"/>
          </w:tcPr>
          <w:p w14:paraId="4E543179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20</w:t>
            </w:r>
            <w:r>
              <w:rPr>
                <w:rFonts w:asciiTheme="minorHAnsi" w:hAnsiTheme="minorHAnsi"/>
                <w:sz w:val="16"/>
                <w:szCs w:val="16"/>
              </w:rPr>
              <w:t>25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37" w:type="pct"/>
            <w:tcBorders>
              <w:bottom w:val="single" w:sz="8" w:space="0" w:color="788183" w:themeColor="accent6"/>
            </w:tcBorders>
            <w:shd w:val="clear" w:color="auto" w:fill="A7B2D4" w:themeFill="background2" w:themeFillTint="66"/>
          </w:tcPr>
          <w:p w14:paraId="0EFAD012" w14:textId="77777777" w:rsidR="00051A11" w:rsidRPr="00621A71" w:rsidRDefault="00051A11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   203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-3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51A11" w:rsidRPr="00621A71" w14:paraId="5CE9DB0F" w14:textId="77777777" w:rsidTr="0034005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gridSpan w:val="7"/>
            <w:tcBorders>
              <w:right w:val="nil"/>
            </w:tcBorders>
            <w:shd w:val="clear" w:color="auto" w:fill="D3D8E9" w:themeFill="background2" w:themeFillTint="33"/>
            <w:vAlign w:val="center"/>
          </w:tcPr>
          <w:p w14:paraId="5594BCA7" w14:textId="77777777" w:rsidR="00051A11" w:rsidRPr="00621A71" w:rsidRDefault="00051A11" w:rsidP="000B5F7A">
            <w:pPr>
              <w:spacing w:after="0" w:line="240" w:lineRule="auto"/>
              <w:rPr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change in net tax of Stage 3 tax cuts by percentile</w:t>
            </w:r>
          </w:p>
        </w:tc>
        <w:tc>
          <w:tcPr>
            <w:tcW w:w="2501" w:type="pct"/>
            <w:gridSpan w:val="8"/>
            <w:tcBorders>
              <w:left w:val="nil"/>
            </w:tcBorders>
            <w:shd w:val="clear" w:color="auto" w:fill="D3D8E9" w:themeFill="background2" w:themeFillTint="33"/>
          </w:tcPr>
          <w:p w14:paraId="46163486" w14:textId="77777777" w:rsidR="00051A11" w:rsidRPr="00621A71" w:rsidRDefault="00051A11" w:rsidP="000B5F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51A11" w:rsidRPr="00621A71" w14:paraId="34C71081" w14:textId="77777777" w:rsidTr="0034005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14:paraId="1285BB40" w14:textId="4B13C9AD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noProof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Bottom 99 per</w:t>
            </w:r>
            <w:r w:rsidR="0003436A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</w:t>
            </w: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cent</w:t>
            </w:r>
          </w:p>
        </w:tc>
        <w:tc>
          <w:tcPr>
            <w:tcW w:w="324" w:type="pct"/>
          </w:tcPr>
          <w:p w14:paraId="2F6D2FD6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</w:tcPr>
          <w:p w14:paraId="0AD0F751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</w:tcPr>
          <w:p w14:paraId="0DAC9859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-16,300 </w:t>
            </w:r>
          </w:p>
        </w:tc>
        <w:tc>
          <w:tcPr>
            <w:tcW w:w="324" w:type="pct"/>
          </w:tcPr>
          <w:p w14:paraId="315D5178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-19,300 </w:t>
            </w:r>
          </w:p>
        </w:tc>
        <w:tc>
          <w:tcPr>
            <w:tcW w:w="324" w:type="pct"/>
          </w:tcPr>
          <w:p w14:paraId="640B38D7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-21,100 </w:t>
            </w:r>
          </w:p>
        </w:tc>
        <w:tc>
          <w:tcPr>
            <w:tcW w:w="324" w:type="pct"/>
            <w:gridSpan w:val="2"/>
          </w:tcPr>
          <w:p w14:paraId="1D907E8D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-22,900 </w:t>
            </w:r>
          </w:p>
        </w:tc>
        <w:tc>
          <w:tcPr>
            <w:tcW w:w="324" w:type="pct"/>
          </w:tcPr>
          <w:p w14:paraId="4B53B705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-24,900 </w:t>
            </w:r>
          </w:p>
        </w:tc>
        <w:tc>
          <w:tcPr>
            <w:tcW w:w="324" w:type="pct"/>
          </w:tcPr>
          <w:p w14:paraId="65A125D0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-27,200 </w:t>
            </w:r>
          </w:p>
        </w:tc>
        <w:tc>
          <w:tcPr>
            <w:tcW w:w="324" w:type="pct"/>
          </w:tcPr>
          <w:p w14:paraId="72348516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-29,800 </w:t>
            </w:r>
          </w:p>
        </w:tc>
        <w:tc>
          <w:tcPr>
            <w:tcW w:w="324" w:type="pct"/>
          </w:tcPr>
          <w:p w14:paraId="63E285BD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-32,500 </w:t>
            </w:r>
          </w:p>
        </w:tc>
        <w:tc>
          <w:tcPr>
            <w:tcW w:w="324" w:type="pct"/>
          </w:tcPr>
          <w:p w14:paraId="0431A178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-35,200 </w:t>
            </w:r>
          </w:p>
        </w:tc>
        <w:tc>
          <w:tcPr>
            <w:tcW w:w="335" w:type="pct"/>
          </w:tcPr>
          <w:p w14:paraId="7F0C2B18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 xml:space="preserve">-35,600 </w:t>
            </w:r>
          </w:p>
        </w:tc>
        <w:tc>
          <w:tcPr>
            <w:tcW w:w="337" w:type="pct"/>
          </w:tcPr>
          <w:p w14:paraId="10DE21E5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-229,</w:t>
            </w:r>
            <w:r w:rsidRPr="00317879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200</w:t>
            </w: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051A11" w:rsidRPr="00621A71" w14:paraId="314C7861" w14:textId="77777777" w:rsidTr="0034005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14:paraId="53D0F52F" w14:textId="512CC265" w:rsidR="00051A11" w:rsidRPr="004947A9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noProof/>
                <w:sz w:val="16"/>
                <w:szCs w:val="16"/>
              </w:rPr>
            </w:pP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Top 1 per</w:t>
            </w:r>
            <w:r w:rsidR="0003436A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 xml:space="preserve"> </w:t>
            </w:r>
            <w:r w:rsidRPr="004947A9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cent</w:t>
            </w:r>
          </w:p>
        </w:tc>
        <w:tc>
          <w:tcPr>
            <w:tcW w:w="324" w:type="pct"/>
          </w:tcPr>
          <w:p w14:paraId="125B017D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</w:tcPr>
          <w:p w14:paraId="4854E416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</w:tcPr>
          <w:p w14:paraId="7BBF0B5C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-1,400 </w:t>
            </w:r>
          </w:p>
        </w:tc>
        <w:tc>
          <w:tcPr>
            <w:tcW w:w="324" w:type="pct"/>
          </w:tcPr>
          <w:p w14:paraId="6B23D3C9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-1,500 </w:t>
            </w:r>
          </w:p>
        </w:tc>
        <w:tc>
          <w:tcPr>
            <w:tcW w:w="324" w:type="pct"/>
          </w:tcPr>
          <w:p w14:paraId="5880C087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-1,600 </w:t>
            </w:r>
          </w:p>
        </w:tc>
        <w:tc>
          <w:tcPr>
            <w:tcW w:w="324" w:type="pct"/>
            <w:gridSpan w:val="2"/>
          </w:tcPr>
          <w:p w14:paraId="5E66D448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-1,600 </w:t>
            </w:r>
          </w:p>
        </w:tc>
        <w:tc>
          <w:tcPr>
            <w:tcW w:w="324" w:type="pct"/>
          </w:tcPr>
          <w:p w14:paraId="29EAB4CF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-1,600 </w:t>
            </w:r>
          </w:p>
        </w:tc>
        <w:tc>
          <w:tcPr>
            <w:tcW w:w="324" w:type="pct"/>
          </w:tcPr>
          <w:p w14:paraId="2C273D32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>-1,</w:t>
            </w:r>
            <w:r w:rsidRPr="000C3CB4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700</w:t>
            </w: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</w:tcPr>
          <w:p w14:paraId="78637264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>-1,</w:t>
            </w:r>
            <w:r w:rsidRPr="000C3CB4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600</w:t>
            </w: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</w:tcPr>
          <w:p w14:paraId="1A284E42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>-1,</w:t>
            </w:r>
            <w:r w:rsidRPr="000C3CB4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600</w:t>
            </w: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</w:tcPr>
          <w:p w14:paraId="174EEB0F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i/>
                <w:sz w:val="16"/>
                <w:szCs w:val="16"/>
              </w:rPr>
              <w:t xml:space="preserve">-1,700 </w:t>
            </w:r>
          </w:p>
        </w:tc>
        <w:tc>
          <w:tcPr>
            <w:tcW w:w="335" w:type="pct"/>
            <w:tcBorders>
              <w:bottom w:val="single" w:sz="8" w:space="0" w:color="788183" w:themeColor="accent6"/>
            </w:tcBorders>
          </w:tcPr>
          <w:p w14:paraId="499C50F3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 xml:space="preserve">-2,900 </w:t>
            </w:r>
          </w:p>
        </w:tc>
        <w:tc>
          <w:tcPr>
            <w:tcW w:w="337" w:type="pct"/>
            <w:tcBorders>
              <w:bottom w:val="single" w:sz="8" w:space="0" w:color="788183" w:themeColor="accent6"/>
            </w:tcBorders>
          </w:tcPr>
          <w:p w14:paraId="0CDA6474" w14:textId="77777777" w:rsidR="00051A11" w:rsidRPr="00F37AFB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-14,</w:t>
            </w:r>
            <w:r w:rsidRPr="000C3CB4"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  <w:t>300</w:t>
            </w:r>
            <w:r w:rsidRPr="00F37AFB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340058" w:rsidRPr="00621A71" w14:paraId="790D6EC9" w14:textId="77777777" w:rsidTr="0034005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vAlign w:val="center"/>
          </w:tcPr>
          <w:p w14:paraId="50B6163F" w14:textId="3D2A80A5" w:rsidR="00340058" w:rsidRPr="00CE008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Proportion receiving same benefit as top percentile</w:t>
            </w:r>
            <w:r w:rsidR="00CE0088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  <w:vertAlign w:val="superscript"/>
              </w:rPr>
              <w:t>(c)</w:t>
            </w:r>
          </w:p>
        </w:tc>
        <w:tc>
          <w:tcPr>
            <w:tcW w:w="324" w:type="pct"/>
            <w:vAlign w:val="center"/>
          </w:tcPr>
          <w:p w14:paraId="74805948" w14:textId="771212D4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  <w:vAlign w:val="center"/>
          </w:tcPr>
          <w:p w14:paraId="7AEE1CA8" w14:textId="0B6950A5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  <w:vAlign w:val="center"/>
          </w:tcPr>
          <w:p w14:paraId="1BCE62D4" w14:textId="624786B5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65.1%</w:t>
            </w:r>
          </w:p>
        </w:tc>
        <w:tc>
          <w:tcPr>
            <w:tcW w:w="324" w:type="pct"/>
            <w:vAlign w:val="center"/>
          </w:tcPr>
          <w:p w14:paraId="57B213FD" w14:textId="6D07B381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63.3%</w:t>
            </w:r>
          </w:p>
        </w:tc>
        <w:tc>
          <w:tcPr>
            <w:tcW w:w="324" w:type="pct"/>
            <w:vAlign w:val="center"/>
          </w:tcPr>
          <w:p w14:paraId="65B5BADB" w14:textId="5B7E4F54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62.0%</w:t>
            </w:r>
          </w:p>
        </w:tc>
        <w:tc>
          <w:tcPr>
            <w:tcW w:w="324" w:type="pct"/>
            <w:gridSpan w:val="2"/>
            <w:vAlign w:val="center"/>
          </w:tcPr>
          <w:p w14:paraId="07CE5D9F" w14:textId="17B61FE9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60.4%</w:t>
            </w:r>
          </w:p>
        </w:tc>
        <w:tc>
          <w:tcPr>
            <w:tcW w:w="324" w:type="pct"/>
            <w:vAlign w:val="center"/>
          </w:tcPr>
          <w:p w14:paraId="12EA4C1F" w14:textId="40F2F1AE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58.7%</w:t>
            </w:r>
          </w:p>
        </w:tc>
        <w:tc>
          <w:tcPr>
            <w:tcW w:w="324" w:type="pct"/>
            <w:vAlign w:val="center"/>
          </w:tcPr>
          <w:p w14:paraId="4176ECF2" w14:textId="432E775A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57.0%</w:t>
            </w:r>
          </w:p>
        </w:tc>
        <w:tc>
          <w:tcPr>
            <w:tcW w:w="324" w:type="pct"/>
            <w:vAlign w:val="center"/>
          </w:tcPr>
          <w:p w14:paraId="0A6CD5C9" w14:textId="68A59B0C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55.3%</w:t>
            </w:r>
          </w:p>
        </w:tc>
        <w:tc>
          <w:tcPr>
            <w:tcW w:w="324" w:type="pct"/>
            <w:vAlign w:val="center"/>
          </w:tcPr>
          <w:p w14:paraId="0C5239A5" w14:textId="343A1605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53.6%</w:t>
            </w:r>
          </w:p>
        </w:tc>
        <w:tc>
          <w:tcPr>
            <w:tcW w:w="324" w:type="pct"/>
            <w:vAlign w:val="center"/>
          </w:tcPr>
          <w:p w14:paraId="497A1634" w14:textId="336B7E8E" w:rsidR="00340058" w:rsidRPr="00340058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i/>
                <w:sz w:val="16"/>
                <w:szCs w:val="16"/>
              </w:rPr>
            </w:pPr>
            <w:r w:rsidRPr="0034005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52.1%</w:t>
            </w:r>
          </w:p>
        </w:tc>
        <w:tc>
          <w:tcPr>
            <w:tcW w:w="335" w:type="pct"/>
            <w:tcBorders>
              <w:bottom w:val="single" w:sz="8" w:space="0" w:color="788183" w:themeColor="accent6"/>
              <w:right w:val="nil"/>
            </w:tcBorders>
          </w:tcPr>
          <w:p w14:paraId="6BB2A99F" w14:textId="77777777" w:rsidR="00340058" w:rsidRPr="00F37AFB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37" w:type="pct"/>
            <w:tcBorders>
              <w:left w:val="nil"/>
              <w:bottom w:val="single" w:sz="8" w:space="0" w:color="788183" w:themeColor="accent6"/>
              <w:right w:val="nil"/>
            </w:tcBorders>
          </w:tcPr>
          <w:p w14:paraId="402225B5" w14:textId="77777777" w:rsidR="00340058" w:rsidRPr="00F37AFB" w:rsidRDefault="00340058" w:rsidP="00340058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</w:p>
        </w:tc>
      </w:tr>
      <w:tr w:rsidR="00051A11" w:rsidRPr="00621A71" w14:paraId="4EBCDE17" w14:textId="77777777" w:rsidTr="0034005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shd w:val="clear" w:color="auto" w:fill="A7B2D4" w:themeFill="background2" w:themeFillTint="66"/>
            <w:vAlign w:val="center"/>
          </w:tcPr>
          <w:p w14:paraId="5DB2EA97" w14:textId="77777777" w:rsidR="00051A11" w:rsidRPr="00621A71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33DE9C64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7E2273A1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 -  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0ABAD663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-17,700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3CBF40D9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-20,800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1027971B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-22,700 </w:t>
            </w:r>
          </w:p>
        </w:tc>
        <w:tc>
          <w:tcPr>
            <w:tcW w:w="324" w:type="pct"/>
            <w:gridSpan w:val="2"/>
            <w:shd w:val="clear" w:color="auto" w:fill="A7B2D4" w:themeFill="background2" w:themeFillTint="66"/>
          </w:tcPr>
          <w:p w14:paraId="59DCAB38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-24,500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01A156F8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-26,500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2592107B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-28,900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6F8F14DA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-31,400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5F1FD030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-34,100 </w:t>
            </w:r>
          </w:p>
        </w:tc>
        <w:tc>
          <w:tcPr>
            <w:tcW w:w="324" w:type="pct"/>
            <w:shd w:val="clear" w:color="auto" w:fill="A7B2D4" w:themeFill="background2" w:themeFillTint="66"/>
          </w:tcPr>
          <w:p w14:paraId="6282B3B4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-36,900 </w:t>
            </w:r>
          </w:p>
        </w:tc>
        <w:tc>
          <w:tcPr>
            <w:tcW w:w="335" w:type="pct"/>
            <w:shd w:val="clear" w:color="auto" w:fill="A7B2D4" w:themeFill="background2" w:themeFillTint="66"/>
          </w:tcPr>
          <w:p w14:paraId="4B34DA4E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-38,500 </w:t>
            </w:r>
          </w:p>
        </w:tc>
        <w:tc>
          <w:tcPr>
            <w:tcW w:w="337" w:type="pct"/>
            <w:shd w:val="clear" w:color="auto" w:fill="A7B2D4" w:themeFill="background2" w:themeFillTint="66"/>
          </w:tcPr>
          <w:p w14:paraId="45A7BAFA" w14:textId="77777777" w:rsidR="00051A11" w:rsidRPr="006436F2" w:rsidRDefault="00051A11" w:rsidP="000B5F7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</w:pPr>
            <w:r w:rsidRPr="006436F2">
              <w:rPr>
                <w:rFonts w:asciiTheme="minorHAnsi" w:eastAsiaTheme="majorEastAsia" w:hAnsiTheme="minorHAnsi"/>
                <w:b/>
                <w:iCs/>
                <w:sz w:val="16"/>
                <w:szCs w:val="16"/>
              </w:rPr>
              <w:t xml:space="preserve">-243,500 </w:t>
            </w:r>
          </w:p>
        </w:tc>
      </w:tr>
    </w:tbl>
    <w:p w14:paraId="3EA0E6F5" w14:textId="77777777" w:rsidR="00051A11" w:rsidRPr="00E94CFD" w:rsidRDefault="00051A11" w:rsidP="00051A11">
      <w:pPr>
        <w:pStyle w:val="PRRfootnote2"/>
      </w:pPr>
      <w:r w:rsidRPr="00621A71">
        <w:rPr>
          <w:sz w:val="15"/>
          <w:szCs w:val="15"/>
        </w:rPr>
        <w:t>(</w:t>
      </w:r>
      <w:r w:rsidRPr="00E94CFD">
        <w:t>a)</w:t>
      </w:r>
      <w:r w:rsidRPr="00E94CFD">
        <w:tab/>
        <w:t xml:space="preserve">A positive number for the fiscal balance indicates an increase in revenue or a decrease in expenses or net capital investment in accrual terms. A negative number for the fiscal balance indicates a decrease in revenue or an increase in expenses or net capital investment in accrual terms. A positive number for the underlying cash balance indicates an increase in receipts or a decrease in payments or net capital investment in cash terms. A negative number for the underlying cash balance indicates a decrease in receipts or an increase in payments or net capital investment in cash terms. </w:t>
      </w:r>
    </w:p>
    <w:p w14:paraId="3DC90D3C" w14:textId="0B2F17FC" w:rsidR="00051A11" w:rsidRPr="00E94CFD" w:rsidRDefault="00051A11" w:rsidP="00051A11">
      <w:pPr>
        <w:pStyle w:val="PRRfootnote2"/>
      </w:pPr>
      <w:r w:rsidRPr="00E94CFD">
        <w:t>(b)</w:t>
      </w:r>
      <w:r w:rsidRPr="00E94CFD">
        <w:tab/>
        <w:t>Percentiles are based on all individuals who have lodged a personal income tax return, irrespective of their net tax amount. The taxable income threshold for the top 1 percentile is reported in Attachment C.</w:t>
      </w:r>
    </w:p>
    <w:p w14:paraId="28B7C908" w14:textId="04E72A96" w:rsidR="00CE0088" w:rsidRPr="00E94CFD" w:rsidRDefault="00CE0088" w:rsidP="00051A11">
      <w:pPr>
        <w:pStyle w:val="PRRfootnote2"/>
      </w:pPr>
      <w:r>
        <w:t>(c)</w:t>
      </w:r>
      <w:r>
        <w:tab/>
        <w:t xml:space="preserve">Outlines the proportion of </w:t>
      </w:r>
      <w:r w:rsidR="00736819">
        <w:t xml:space="preserve">income earners that receive the same aggregate dollar benefit from the Stage 3 tax cuts as the top 1 percentile. For instance, in 2025-26 the benefits received by the </w:t>
      </w:r>
      <w:r w:rsidR="00E47C11">
        <w:t xml:space="preserve">top percentile is equal to the benefits received by the bottom 63.3% of income earners. </w:t>
      </w:r>
    </w:p>
    <w:p w14:paraId="650D9488" w14:textId="77777777" w:rsidR="00051A11" w:rsidRPr="00E94CFD" w:rsidRDefault="00051A11" w:rsidP="00051A11">
      <w:pPr>
        <w:pStyle w:val="PRRfootnote2"/>
      </w:pPr>
      <w:r>
        <w:t xml:space="preserve">-    </w:t>
      </w:r>
      <w:r>
        <w:tab/>
      </w:r>
      <w:r w:rsidRPr="00E94CFD">
        <w:t>Indicates nil.</w:t>
      </w:r>
    </w:p>
    <w:p w14:paraId="55080829" w14:textId="77777777" w:rsidR="00051A11" w:rsidRDefault="00051A11" w:rsidP="00051A11">
      <w:pPr>
        <w:spacing w:after="60" w:line="240" w:lineRule="auto"/>
        <w:rPr>
          <w:color w:val="FF0000"/>
        </w:rPr>
      </w:pPr>
      <w:r>
        <w:rPr>
          <w:color w:val="FF0000"/>
        </w:rPr>
        <w:br w:type="page"/>
      </w:r>
    </w:p>
    <w:p w14:paraId="5E95D247" w14:textId="77777777" w:rsidR="00520842" w:rsidRPr="00621A71" w:rsidRDefault="00520842" w:rsidP="00520842">
      <w:pPr>
        <w:pStyle w:val="Heading8"/>
        <w:spacing w:before="240" w:after="120"/>
      </w:pPr>
      <w:r w:rsidRPr="00621A71">
        <w:lastRenderedPageBreak/>
        <w:t>Distributional analysis of the Stage 3 tax cuts - taxable income quintiles and percentiles</w:t>
      </w:r>
    </w:p>
    <w:p w14:paraId="34B0E6BA" w14:textId="77777777" w:rsidR="00520842" w:rsidRPr="00621A71" w:rsidRDefault="00520842" w:rsidP="00520842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C1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 xml:space="preserve">– </w:t>
      </w:r>
      <w:r w:rsidRPr="00621A71">
        <w:rPr>
          <w:noProof/>
        </w:rPr>
        <w:t>taxable income range by quintile</w:t>
      </w:r>
      <w:r w:rsidRPr="00621A71">
        <w:rPr>
          <w:noProof/>
          <w:vertAlign w:val="superscript"/>
        </w:rPr>
        <w:t>(a)</w:t>
      </w:r>
    </w:p>
    <w:tbl>
      <w:tblPr>
        <w:tblStyle w:val="LightGrid-Accent6"/>
        <w:tblW w:w="4891" w:type="pct"/>
        <w:tblLayout w:type="fixed"/>
        <w:tblLook w:val="0680" w:firstRow="0" w:lastRow="0" w:firstColumn="1" w:lastColumn="0" w:noHBand="1" w:noVBand="1"/>
      </w:tblPr>
      <w:tblGrid>
        <w:gridCol w:w="1632"/>
        <w:gridCol w:w="2565"/>
        <w:gridCol w:w="2565"/>
        <w:gridCol w:w="2565"/>
        <w:gridCol w:w="2565"/>
        <w:gridCol w:w="2564"/>
      </w:tblGrid>
      <w:tr w:rsidR="00520842" w:rsidRPr="00621A71" w14:paraId="1CDD0ABA" w14:textId="77777777" w:rsidTr="00520842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shd w:val="clear" w:color="auto" w:fill="A7B2D4" w:themeFill="background2" w:themeFillTint="66"/>
            <w:vAlign w:val="center"/>
          </w:tcPr>
          <w:p w14:paraId="01904DDB" w14:textId="77777777" w:rsidR="00520842" w:rsidRPr="00621A71" w:rsidRDefault="00520842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18078DB2" w14:textId="77777777" w:rsidR="00520842" w:rsidRPr="00621A71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1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74D3B5E9" w14:textId="77777777" w:rsidR="00520842" w:rsidRPr="00621A71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2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78F6A596" w14:textId="77777777" w:rsidR="00520842" w:rsidRPr="00621A71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3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293B7057" w14:textId="77777777" w:rsidR="00520842" w:rsidRPr="00621A71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4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68519564" w14:textId="77777777" w:rsidR="00520842" w:rsidRPr="00621A71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5</w:t>
            </w:r>
          </w:p>
        </w:tc>
      </w:tr>
      <w:tr w:rsidR="00520842" w:rsidRPr="00621A71" w14:paraId="67D205DC" w14:textId="77777777" w:rsidTr="0052084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66F13C89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bCs w:val="0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2022–23</w:t>
            </w:r>
          </w:p>
        </w:tc>
        <w:tc>
          <w:tcPr>
            <w:tcW w:w="887" w:type="pct"/>
          </w:tcPr>
          <w:p w14:paraId="4FAC5219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19,900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20D66C5D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19,901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40,100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D07F91C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40,101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62,500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5EC9266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62,501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$96,200 </w:t>
            </w:r>
          </w:p>
        </w:tc>
        <w:tc>
          <w:tcPr>
            <w:tcW w:w="887" w:type="pct"/>
          </w:tcPr>
          <w:p w14:paraId="2FB903C2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$96,200 </w:t>
            </w:r>
          </w:p>
        </w:tc>
      </w:tr>
      <w:tr w:rsidR="00520842" w:rsidRPr="00621A71" w14:paraId="4D6920AD" w14:textId="77777777" w:rsidTr="0052084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7F37C7B2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2023–24</w:t>
            </w:r>
          </w:p>
        </w:tc>
        <w:tc>
          <w:tcPr>
            <w:tcW w:w="887" w:type="pct"/>
          </w:tcPr>
          <w:p w14:paraId="19F504C2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$20,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67C43B26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$20,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41,100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6E1E153E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41,101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$64,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321CFB5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$64,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99,300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32A00B0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99,300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38AF5AB2" w14:textId="77777777" w:rsidTr="0052084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5517644A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2024–25</w:t>
            </w:r>
          </w:p>
        </w:tc>
        <w:tc>
          <w:tcPr>
            <w:tcW w:w="887" w:type="pct"/>
          </w:tcPr>
          <w:p w14:paraId="7D6F43BF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$20,800 </w:t>
            </w:r>
          </w:p>
        </w:tc>
        <w:tc>
          <w:tcPr>
            <w:tcW w:w="887" w:type="pct"/>
          </w:tcPr>
          <w:p w14:paraId="3086E090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$20,801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42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,500 </w:t>
            </w:r>
          </w:p>
        </w:tc>
        <w:tc>
          <w:tcPr>
            <w:tcW w:w="887" w:type="pct"/>
          </w:tcPr>
          <w:p w14:paraId="4161B6A0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42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,501 to $66,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CA7E872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$66,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102,800 </w:t>
            </w:r>
          </w:p>
        </w:tc>
        <w:tc>
          <w:tcPr>
            <w:tcW w:w="887" w:type="pct"/>
          </w:tcPr>
          <w:p w14:paraId="308D52D4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102,800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3AE9021C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3A3723AC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2025–26</w:t>
            </w:r>
          </w:p>
        </w:tc>
        <w:tc>
          <w:tcPr>
            <w:tcW w:w="887" w:type="pct"/>
          </w:tcPr>
          <w:p w14:paraId="7060627C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$21,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3CAF298E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$21,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44,000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26DA05D4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44,001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$69,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51E564F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$69,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107,000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47E1C255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107,000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42469CA5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1802ADBD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2026–27</w:t>
            </w:r>
          </w:p>
        </w:tc>
        <w:tc>
          <w:tcPr>
            <w:tcW w:w="887" w:type="pct"/>
          </w:tcPr>
          <w:p w14:paraId="39CFDCAA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22,200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65137A7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22,201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45,500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24D0EFF7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45,501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$71,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E929897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$71,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$110,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600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8F4CC18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$110,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600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5DC0BD6B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29F43D4F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2027–28</w:t>
            </w:r>
          </w:p>
        </w:tc>
        <w:tc>
          <w:tcPr>
            <w:tcW w:w="887" w:type="pct"/>
          </w:tcPr>
          <w:p w14:paraId="19E0D199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23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,100 </w:t>
            </w:r>
          </w:p>
        </w:tc>
        <w:tc>
          <w:tcPr>
            <w:tcW w:w="887" w:type="pct"/>
          </w:tcPr>
          <w:p w14:paraId="60D5A283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23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,101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47,300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EC863D0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47,301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74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,300 </w:t>
            </w:r>
          </w:p>
        </w:tc>
        <w:tc>
          <w:tcPr>
            <w:tcW w:w="887" w:type="pct"/>
          </w:tcPr>
          <w:p w14:paraId="68AA15CD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74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,301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114,900 </w:t>
            </w:r>
          </w:p>
        </w:tc>
        <w:tc>
          <w:tcPr>
            <w:tcW w:w="887" w:type="pct"/>
          </w:tcPr>
          <w:p w14:paraId="60134166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114,900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78724BBA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462FAA22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2028–29</w:t>
            </w:r>
          </w:p>
        </w:tc>
        <w:tc>
          <w:tcPr>
            <w:tcW w:w="887" w:type="pct"/>
          </w:tcPr>
          <w:p w14:paraId="2D9EA249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23,800 </w:t>
            </w:r>
          </w:p>
        </w:tc>
        <w:tc>
          <w:tcPr>
            <w:tcW w:w="887" w:type="pct"/>
          </w:tcPr>
          <w:p w14:paraId="39C48C62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23,801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$48,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444A587A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$48,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801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76,700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3312818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76,701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118,600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3FDC1083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118,600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193B2958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53D00C1D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2029–30</w:t>
            </w:r>
          </w:p>
        </w:tc>
        <w:tc>
          <w:tcPr>
            <w:tcW w:w="887" w:type="pct"/>
          </w:tcPr>
          <w:p w14:paraId="6F6DA3F3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24,800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C37A54D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24,801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$50,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DCD56E8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$50,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79,800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298BFD9D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79,801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123,400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A8D491F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123,400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127A4054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0DADCAD8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2030–31</w:t>
            </w:r>
          </w:p>
        </w:tc>
        <w:tc>
          <w:tcPr>
            <w:tcW w:w="887" w:type="pct"/>
          </w:tcPr>
          <w:p w14:paraId="5F4B8AF2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25,900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701E54E1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25,901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53,000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56AB3C50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53,001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$83,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0235BD95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$83,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401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129,000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62B69B8C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129,000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3C017EDF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7702814C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2031–32</w:t>
            </w:r>
          </w:p>
        </w:tc>
        <w:tc>
          <w:tcPr>
            <w:tcW w:w="887" w:type="pct"/>
          </w:tcPr>
          <w:p w14:paraId="362735F3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27,100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94D7024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27,101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55,400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4AD3C5C8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55,401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$87,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3957660B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$87,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134,800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68F28C69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134,800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20842" w:rsidRPr="00621A71" w14:paraId="00C379DB" w14:textId="77777777" w:rsidTr="0052084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206D0BFA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2032–33</w:t>
            </w:r>
          </w:p>
        </w:tc>
        <w:tc>
          <w:tcPr>
            <w:tcW w:w="887" w:type="pct"/>
          </w:tcPr>
          <w:p w14:paraId="12713CEE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Less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28,200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D3B3866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28,201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57,700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03EF74E7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57,701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90,700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14647F36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90,701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to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140,300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87" w:type="pct"/>
          </w:tcPr>
          <w:p w14:paraId="6E71046B" w14:textId="77777777" w:rsidR="00520842" w:rsidRPr="0085695F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Greater than $</w:t>
            </w:r>
            <w:r w:rsidRPr="00267C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140,300</w:t>
            </w:r>
            <w:r w:rsidRPr="0085695F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66267922" w14:textId="77777777" w:rsidR="00520842" w:rsidRPr="00E94CFD" w:rsidRDefault="00520842" w:rsidP="00520842">
      <w:pPr>
        <w:pStyle w:val="PRRfootnote2"/>
      </w:pPr>
      <w:r w:rsidRPr="00E94CFD">
        <w:t>(a)   Quintiles are based on all individuals who have lodged a personal income tax return</w:t>
      </w:r>
      <w:r>
        <w:t>,</w:t>
      </w:r>
      <w:r w:rsidRPr="00E94CFD">
        <w:t xml:space="preserve"> </w:t>
      </w:r>
      <w:r>
        <w:t>i</w:t>
      </w:r>
      <w:r w:rsidRPr="00E94CFD">
        <w:t>rrespective of their net tax amount.</w:t>
      </w:r>
    </w:p>
    <w:p w14:paraId="6D01FE7E" w14:textId="77777777" w:rsidR="00520842" w:rsidRDefault="00520842" w:rsidP="00520842">
      <w:pPr>
        <w:spacing w:after="60" w:line="240" w:lineRule="auto"/>
        <w:rPr>
          <w:color w:val="FF0000"/>
        </w:rPr>
      </w:pPr>
      <w:r>
        <w:rPr>
          <w:color w:val="FF0000"/>
        </w:rPr>
        <w:br w:type="page"/>
      </w:r>
    </w:p>
    <w:p w14:paraId="008D17B8" w14:textId="77777777" w:rsidR="00520842" w:rsidRPr="00621A71" w:rsidRDefault="00520842" w:rsidP="00520842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Pr="00621A71">
        <w:rPr>
          <w:noProof/>
        </w:rPr>
        <w:t>C2</w:t>
      </w:r>
      <w:r w:rsidRPr="00621A71">
        <w:t xml:space="preserve">: </w:t>
      </w:r>
      <w:r w:rsidRPr="00621A71">
        <w:rPr>
          <w:noProof/>
        </w:rPr>
        <w:t xml:space="preserve">Distributional analysis of the Stage 3 tax cuts </w:t>
      </w:r>
      <w:r w:rsidRPr="00621A71">
        <w:t xml:space="preserve">– </w:t>
      </w:r>
      <w:r w:rsidRPr="00621A71">
        <w:rPr>
          <w:noProof/>
        </w:rPr>
        <w:t>taxable income range of top 1 percentile</w:t>
      </w:r>
      <w:r w:rsidRPr="00621A71">
        <w:rPr>
          <w:noProof/>
          <w:vertAlign w:val="superscript"/>
        </w:rPr>
        <w:t>(a)</w:t>
      </w:r>
    </w:p>
    <w:tbl>
      <w:tblPr>
        <w:tblStyle w:val="LightGrid-Accent6"/>
        <w:tblW w:w="1675" w:type="pct"/>
        <w:tblLayout w:type="fixed"/>
        <w:tblLook w:val="0680" w:firstRow="0" w:lastRow="0" w:firstColumn="1" w:lastColumn="0" w:noHBand="1" w:noVBand="1"/>
      </w:tblPr>
      <w:tblGrid>
        <w:gridCol w:w="1690"/>
        <w:gridCol w:w="3261"/>
      </w:tblGrid>
      <w:tr w:rsidR="00520842" w:rsidRPr="00621A71" w14:paraId="5C1536BA" w14:textId="77777777" w:rsidTr="0003436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shd w:val="clear" w:color="auto" w:fill="A7B2D4" w:themeFill="background2" w:themeFillTint="66"/>
            <w:vAlign w:val="center"/>
          </w:tcPr>
          <w:p w14:paraId="3FD3AFB5" w14:textId="77777777" w:rsidR="00520842" w:rsidRPr="00621A71" w:rsidRDefault="00520842" w:rsidP="000B5F7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93" w:type="pct"/>
            <w:shd w:val="clear" w:color="auto" w:fill="A7B2D4" w:themeFill="background2" w:themeFillTint="66"/>
            <w:vAlign w:val="center"/>
          </w:tcPr>
          <w:p w14:paraId="37087FA2" w14:textId="22961F9F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after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b w:val="0"/>
                <w:bCs/>
                <w:sz w:val="16"/>
                <w:szCs w:val="16"/>
              </w:rPr>
              <w:t>Threshold for top percentile</w:t>
            </w:r>
          </w:p>
        </w:tc>
      </w:tr>
      <w:tr w:rsidR="00520842" w:rsidRPr="00621A71" w14:paraId="1BCAA2FB" w14:textId="77777777" w:rsidTr="0003436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34E16559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bCs w:val="0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2022–23</w:t>
            </w:r>
          </w:p>
        </w:tc>
        <w:tc>
          <w:tcPr>
            <w:tcW w:w="3293" w:type="pct"/>
            <w:vAlign w:val="center"/>
          </w:tcPr>
          <w:p w14:paraId="45F9D0C3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$327,600</w:t>
            </w:r>
          </w:p>
        </w:tc>
      </w:tr>
      <w:tr w:rsidR="00520842" w:rsidRPr="00621A71" w14:paraId="7AD599CE" w14:textId="77777777" w:rsidTr="0003436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47DB3E5E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2023–24</w:t>
            </w:r>
          </w:p>
        </w:tc>
        <w:tc>
          <w:tcPr>
            <w:tcW w:w="3293" w:type="pct"/>
            <w:vAlign w:val="center"/>
          </w:tcPr>
          <w:p w14:paraId="40F4650E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$340,900</w:t>
            </w:r>
          </w:p>
        </w:tc>
      </w:tr>
      <w:tr w:rsidR="00520842" w:rsidRPr="00621A71" w14:paraId="1F862BCE" w14:textId="77777777" w:rsidTr="0003436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6F7A7E3A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2024–25</w:t>
            </w:r>
          </w:p>
        </w:tc>
        <w:tc>
          <w:tcPr>
            <w:tcW w:w="3293" w:type="pct"/>
            <w:vAlign w:val="center"/>
          </w:tcPr>
          <w:p w14:paraId="494963CB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$353,000</w:t>
            </w:r>
          </w:p>
        </w:tc>
      </w:tr>
      <w:tr w:rsidR="00520842" w:rsidRPr="00621A71" w14:paraId="67FD6D2F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794B3521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2025–26</w:t>
            </w:r>
          </w:p>
        </w:tc>
        <w:tc>
          <w:tcPr>
            <w:tcW w:w="3293" w:type="pct"/>
            <w:vAlign w:val="center"/>
          </w:tcPr>
          <w:p w14:paraId="55423523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$371,000</w:t>
            </w:r>
          </w:p>
        </w:tc>
      </w:tr>
      <w:tr w:rsidR="00520842" w:rsidRPr="00621A71" w14:paraId="243B0080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00528C61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2026–27</w:t>
            </w:r>
          </w:p>
        </w:tc>
        <w:tc>
          <w:tcPr>
            <w:tcW w:w="3293" w:type="pct"/>
            <w:vAlign w:val="center"/>
          </w:tcPr>
          <w:p w14:paraId="79E012B7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$382,600</w:t>
            </w:r>
          </w:p>
        </w:tc>
      </w:tr>
      <w:tr w:rsidR="00520842" w:rsidRPr="00621A71" w14:paraId="07263A97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068F06B2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2027–28</w:t>
            </w:r>
          </w:p>
        </w:tc>
        <w:tc>
          <w:tcPr>
            <w:tcW w:w="3293" w:type="pct"/>
            <w:vAlign w:val="center"/>
          </w:tcPr>
          <w:p w14:paraId="38008620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$397,500</w:t>
            </w:r>
          </w:p>
        </w:tc>
      </w:tr>
      <w:tr w:rsidR="00520842" w:rsidRPr="00621A71" w14:paraId="033ED19C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60A278D6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2028–29</w:t>
            </w:r>
          </w:p>
        </w:tc>
        <w:tc>
          <w:tcPr>
            <w:tcW w:w="3293" w:type="pct"/>
            <w:vAlign w:val="center"/>
          </w:tcPr>
          <w:p w14:paraId="54029C9B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$417,700</w:t>
            </w:r>
          </w:p>
        </w:tc>
      </w:tr>
      <w:tr w:rsidR="00520842" w:rsidRPr="00621A71" w14:paraId="144BC298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1BFC0559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2029–30</w:t>
            </w:r>
          </w:p>
        </w:tc>
        <w:tc>
          <w:tcPr>
            <w:tcW w:w="3293" w:type="pct"/>
            <w:vAlign w:val="center"/>
          </w:tcPr>
          <w:p w14:paraId="2E65D93D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$433,300</w:t>
            </w:r>
          </w:p>
        </w:tc>
      </w:tr>
      <w:tr w:rsidR="00520842" w:rsidRPr="00621A71" w14:paraId="0F37BE33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3974F4FF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2030–31</w:t>
            </w:r>
          </w:p>
        </w:tc>
        <w:tc>
          <w:tcPr>
            <w:tcW w:w="3293" w:type="pct"/>
            <w:vAlign w:val="center"/>
          </w:tcPr>
          <w:p w14:paraId="56E7A1D1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$454,500</w:t>
            </w:r>
          </w:p>
        </w:tc>
      </w:tr>
      <w:tr w:rsidR="00520842" w:rsidRPr="00621A71" w14:paraId="16EA416C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688853E3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2031–32</w:t>
            </w:r>
          </w:p>
        </w:tc>
        <w:tc>
          <w:tcPr>
            <w:tcW w:w="3293" w:type="pct"/>
            <w:vAlign w:val="center"/>
          </w:tcPr>
          <w:p w14:paraId="51070F7E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$475,500</w:t>
            </w:r>
          </w:p>
        </w:tc>
      </w:tr>
      <w:tr w:rsidR="00520842" w:rsidRPr="00621A71" w14:paraId="40646F90" w14:textId="77777777" w:rsidTr="000343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pct"/>
            <w:vAlign w:val="center"/>
          </w:tcPr>
          <w:p w14:paraId="33DC8E3F" w14:textId="77777777" w:rsidR="00520842" w:rsidRPr="00B940B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B940BB">
              <w:rPr>
                <w:rFonts w:asciiTheme="minorHAnsi" w:hAnsiTheme="minorHAnsi"/>
                <w:i/>
                <w:iCs/>
                <w:sz w:val="16"/>
                <w:szCs w:val="16"/>
              </w:rPr>
              <w:t>2032–33</w:t>
            </w:r>
          </w:p>
        </w:tc>
        <w:tc>
          <w:tcPr>
            <w:tcW w:w="3293" w:type="pct"/>
            <w:vAlign w:val="center"/>
          </w:tcPr>
          <w:p w14:paraId="2F49E1B3" w14:textId="77777777" w:rsidR="00520842" w:rsidRPr="00667FEB" w:rsidRDefault="00520842" w:rsidP="000B5F7A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</w:pPr>
            <w:r w:rsidRPr="00667FEB">
              <w:rPr>
                <w:rFonts w:asciiTheme="minorHAnsi" w:eastAsiaTheme="majorEastAsia" w:hAnsiTheme="minorHAnsi"/>
                <w:b w:val="0"/>
                <w:bCs/>
                <w:i/>
                <w:iCs/>
                <w:sz w:val="16"/>
                <w:szCs w:val="16"/>
              </w:rPr>
              <w:t>Greater than $494,900</w:t>
            </w:r>
          </w:p>
        </w:tc>
      </w:tr>
    </w:tbl>
    <w:p w14:paraId="6818B17D" w14:textId="77777777" w:rsidR="00520842" w:rsidRPr="00621A71" w:rsidRDefault="00520842" w:rsidP="00520842">
      <w:pPr>
        <w:pStyle w:val="PRRfootnote2"/>
        <w:rPr>
          <w:sz w:val="15"/>
          <w:szCs w:val="15"/>
        </w:rPr>
      </w:pPr>
      <w:r w:rsidRPr="00E94CFD">
        <w:t xml:space="preserve">(a)   Percentiles are based on all individuals who have lodged a personal income tax return, irrespective of their net tax amount. </w:t>
      </w:r>
    </w:p>
    <w:p w14:paraId="12C0429E" w14:textId="77777777" w:rsidR="00FA2FB4" w:rsidRPr="00087777" w:rsidRDefault="00FA2FB4" w:rsidP="004B52AF">
      <w:pPr>
        <w:spacing w:after="60" w:line="240" w:lineRule="auto"/>
      </w:pPr>
    </w:p>
    <w:sectPr w:rsidR="00FA2FB4" w:rsidRPr="00087777" w:rsidSect="00FA2FB4">
      <w:pgSz w:w="16839" w:h="11907" w:orient="landscape" w:code="9"/>
      <w:pgMar w:top="992" w:right="907" w:bottom="992" w:left="1134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6FAA" w14:textId="77777777" w:rsidR="00BA30B9" w:rsidRDefault="00BA30B9" w:rsidP="00A20802">
      <w:r>
        <w:separator/>
      </w:r>
    </w:p>
    <w:p w14:paraId="214CC193" w14:textId="77777777" w:rsidR="00BA30B9" w:rsidRDefault="00BA30B9"/>
    <w:p w14:paraId="18AADEC6" w14:textId="77777777" w:rsidR="00BA30B9" w:rsidRDefault="00BA30B9"/>
  </w:endnote>
  <w:endnote w:type="continuationSeparator" w:id="0">
    <w:p w14:paraId="6C863779" w14:textId="77777777" w:rsidR="00BA30B9" w:rsidRDefault="00BA30B9" w:rsidP="00A20802">
      <w:r>
        <w:continuationSeparator/>
      </w:r>
    </w:p>
    <w:p w14:paraId="740B0DB9" w14:textId="77777777" w:rsidR="00BA30B9" w:rsidRDefault="00BA30B9"/>
    <w:p w14:paraId="671A5A48" w14:textId="77777777" w:rsidR="00BA30B9" w:rsidRDefault="00BA30B9"/>
  </w:endnote>
  <w:endnote w:type="continuationNotice" w:id="1">
    <w:p w14:paraId="04D89565" w14:textId="77777777" w:rsidR="00BA30B9" w:rsidRDefault="00BA30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7593" w14:textId="4AB8F55B" w:rsidR="008838DF" w:rsidRPr="004B52AF" w:rsidRDefault="008B5CD7" w:rsidP="00046F1D">
    <w:pPr>
      <w:pStyle w:val="Footer"/>
      <w:tabs>
        <w:tab w:val="clear" w:pos="4513"/>
        <w:tab w:val="center" w:pos="4535"/>
        <w:tab w:val="right" w:pos="9071"/>
      </w:tabs>
      <w:jc w:val="right"/>
      <w:rPr>
        <w:b/>
        <w:bCs/>
        <w:sz w:val="22"/>
      </w:rPr>
    </w:pPr>
    <w:r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73599" behindDoc="0" locked="0" layoutInCell="0" allowOverlap="1" wp14:anchorId="6A55D55D" wp14:editId="482B23F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8" name="MSIPCM24554533a416f7cf445409ed" descr="{&quot;HashCode&quot;:-41494354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BE93C" w14:textId="1FEE3771" w:rsidR="008B5CD7" w:rsidRPr="00110FCC" w:rsidRDefault="00110FCC" w:rsidP="00110FC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110FCC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5D55D" id="_x0000_t202" coordsize="21600,21600" o:spt="202" path="m,l,21600r21600,l21600,xe">
              <v:stroke joinstyle="miter"/>
              <v:path gradientshapeok="t" o:connecttype="rect"/>
            </v:shapetype>
            <v:shape id="MSIPCM24554533a416f7cf445409ed" o:spid="_x0000_s1027" type="#_x0000_t202" alt="{&quot;HashCode&quot;:-414943542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359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CBBE93C" w14:textId="1FEE3771" w:rsidR="008B5CD7" w:rsidRPr="00110FCC" w:rsidRDefault="00110FCC" w:rsidP="00110FCC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110FCC">
                      <w:rPr>
                        <w:rFonts w:ascii="Calibri" w:hAnsi="Calibri" w:cs="Calibri"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4E22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7D1697B3" wp14:editId="4128EC3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MSIPCMfdc640fda684f2ac0a8ece81" descr="{&quot;HashCode&quot;:-414943542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7DBC1D" w14:textId="0CA59368" w:rsidR="00724E22" w:rsidRPr="003F6FDD" w:rsidRDefault="00CF40F8" w:rsidP="00CF40F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3F6FDD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697B3" id="MSIPCMfdc640fda684f2ac0a8ece81" o:spid="_x0000_s1028" type="#_x0000_t202" alt="{&quot;HashCode&quot;:-414943542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3673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1E7DBC1D" w14:textId="0CA59368" w:rsidR="00724E22" w:rsidRPr="003F6FDD" w:rsidRDefault="00CF40F8" w:rsidP="00CF40F8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3F6FDD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2FB4">
      <w:rPr>
        <w:rStyle w:val="FooterChar"/>
        <w:b/>
        <w:bCs/>
        <w:sz w:val="22"/>
      </w:rPr>
      <w:tab/>
    </w:r>
    <w:r w:rsidR="00FA2FB4">
      <w:rPr>
        <w:rStyle w:val="FooterChar"/>
        <w:b/>
        <w:bCs/>
        <w:sz w:val="22"/>
      </w:rPr>
      <w:tab/>
    </w:r>
    <w:r w:rsidR="008838DF" w:rsidRPr="007C4069">
      <w:rPr>
        <w:rStyle w:val="FooterChar"/>
        <w:b/>
        <w:bCs/>
        <w:sz w:val="22"/>
      </w:rPr>
      <w:t xml:space="preserve">Page </w:t>
    </w:r>
    <w:r w:rsidR="008838DF" w:rsidRPr="007C4069">
      <w:rPr>
        <w:rStyle w:val="FooterChar"/>
        <w:b/>
        <w:bCs/>
        <w:sz w:val="22"/>
      </w:rPr>
      <w:fldChar w:fldCharType="begin"/>
    </w:r>
    <w:r w:rsidR="008838DF" w:rsidRPr="007C4069">
      <w:rPr>
        <w:rStyle w:val="FooterChar"/>
        <w:b/>
        <w:bCs/>
        <w:sz w:val="22"/>
      </w:rPr>
      <w:instrText xml:space="preserve"> PAGE  \* Arabic  \* MERGEFORMAT </w:instrText>
    </w:r>
    <w:r w:rsidR="008838DF" w:rsidRPr="007C4069">
      <w:rPr>
        <w:rStyle w:val="FooterChar"/>
        <w:b/>
        <w:bCs/>
        <w:sz w:val="22"/>
      </w:rPr>
      <w:fldChar w:fldCharType="separate"/>
    </w:r>
    <w:r w:rsidR="00C50AF7">
      <w:rPr>
        <w:rStyle w:val="FooterChar"/>
        <w:b/>
        <w:bCs/>
        <w:noProof/>
        <w:sz w:val="22"/>
      </w:rPr>
      <w:t>2</w:t>
    </w:r>
    <w:r w:rsidR="008838DF" w:rsidRPr="007C4069">
      <w:rPr>
        <w:rStyle w:val="FooterChar"/>
        <w:b/>
        <w:bCs/>
        <w:sz w:val="22"/>
      </w:rPr>
      <w:fldChar w:fldCharType="end"/>
    </w:r>
    <w:r w:rsidR="008838DF" w:rsidRPr="007C4069">
      <w:rPr>
        <w:rStyle w:val="FooterChar"/>
        <w:b/>
        <w:bCs/>
        <w:sz w:val="22"/>
      </w:rPr>
      <w:t xml:space="preserve"> of</w:t>
    </w:r>
    <w:r w:rsidR="008838DF">
      <w:rPr>
        <w:rStyle w:val="FooterChar"/>
        <w:b/>
        <w:bCs/>
        <w:sz w:val="22"/>
      </w:rPr>
      <w:t xml:space="preserve"> </w:t>
    </w:r>
    <w:r w:rsidR="002313FC">
      <w:rPr>
        <w:rStyle w:val="FooterChar"/>
        <w:b/>
        <w:bCs/>
        <w:sz w:val="22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5BD4" w14:textId="7910A16E" w:rsidR="008838DF" w:rsidRPr="00F91A0D" w:rsidRDefault="00AE51A2" w:rsidP="00F91A0D">
    <w:pPr>
      <w:pStyle w:val="Footer"/>
      <w:rPr>
        <w:b/>
        <w:sz w:val="22"/>
      </w:rPr>
    </w:pPr>
    <w:r>
      <w:rPr>
        <w:rFonts w:ascii="Calibri" w:hAnsi="Calibri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105F7B9F" wp14:editId="14E2D8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d3df4a70b2982ae995d8c13c" descr="{&quot;HashCode&quot;:-41494354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A79F9" w14:textId="37B3EB6B" w:rsidR="00AE51A2" w:rsidRPr="00110FCC" w:rsidRDefault="00110FCC" w:rsidP="00110FC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10FCC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F7B9F" id="_x0000_t202" coordsize="21600,21600" o:spt="202" path="m,l,21600r21600,l21600,xe">
              <v:stroke joinstyle="miter"/>
              <v:path gradientshapeok="t" o:connecttype="rect"/>
            </v:shapetype>
            <v:shape id="MSIPCMd3df4a70b2982ae995d8c13c" o:spid="_x0000_s1030" type="#_x0000_t202" alt="{&quot;HashCode&quot;:-41494354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869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036A79F9" w14:textId="37B3EB6B" w:rsidR="00AE51A2" w:rsidRPr="00110FCC" w:rsidRDefault="00110FCC" w:rsidP="00110FCC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10FCC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4751" w:rsidRPr="0098471F">
      <w:rPr>
        <w:rFonts w:ascii="Calibri" w:hAnsi="Calibri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44928" behindDoc="0" locked="0" layoutInCell="0" allowOverlap="1" wp14:anchorId="4B4D0F13" wp14:editId="18DF92A3">
              <wp:simplePos x="0" y="0"/>
              <wp:positionH relativeFrom="margin">
                <wp:posOffset>-1139190</wp:posOffset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79644fc5a2de48369511f10b" descr="{&quot;HashCode&quot;:-414943542,&quot;Height&quot;:9999999.0,&quot;Width&quot;:9999999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CA159" w14:textId="60FDFD0C" w:rsidR="00D11623" w:rsidRPr="003F6FDD" w:rsidRDefault="00D11623" w:rsidP="00CF40F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D0F13" id="MSIPCM79644fc5a2de48369511f10b" o:spid="_x0000_s1031" type="#_x0000_t202" alt="{&quot;HashCode&quot;:-414943542,&quot;Height&quot;:9999999.0,&quot;Width&quot;:9999999.0,&quot;Placement&quot;:&quot;Footer&quot;,&quot;Index&quot;:&quot;FirstPage&quot;,&quot;Section&quot;:2,&quot;Top&quot;:0.0,&quot;Left&quot;:0.0}" style="position:absolute;margin-left:-89.7pt;margin-top:0;width:612pt;height:36.5pt;z-index:251644928;visibility:visible;mso-wrap-style:square;mso-wrap-distance-left:9pt;mso-wrap-distance-top:0;mso-wrap-distance-right:9pt;mso-wrap-distance-bottom:0;mso-position-horizontal:absolute;mso-position-horizontal-relative:margin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" o:allowincell="f" filled="f" stroked="f" strokeweight=".5pt">
              <v:textbox inset=",0,,0">
                <w:txbxContent>
                  <w:p w14:paraId="02ECA159" w14:textId="60FDFD0C" w:rsidR="00D11623" w:rsidRPr="003F6FDD" w:rsidRDefault="00D11623" w:rsidP="00CF40F8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3918">
      <w:rPr>
        <w:rStyle w:val="FooterChar"/>
        <w:rFonts w:ascii="Calibri" w:hAnsi="Calibri" w:cs="Arial"/>
        <w:b/>
        <w:sz w:val="22"/>
      </w:rPr>
      <w:t>PR-2022-038</w:t>
    </w:r>
    <w:r w:rsidR="008838DF" w:rsidRPr="0098471F">
      <w:rPr>
        <w:rStyle w:val="FooterChar"/>
        <w:rFonts w:ascii="Calibri" w:hAnsi="Calibri" w:cs="Arial"/>
        <w:b/>
        <w:sz w:val="22"/>
      </w:rPr>
      <w:tab/>
    </w:r>
    <w:r w:rsidR="008838DF" w:rsidRPr="0098471F">
      <w:rPr>
        <w:rStyle w:val="FooterChar"/>
        <w:rFonts w:ascii="Calibri" w:hAnsi="Calibri" w:cs="Arial"/>
        <w:b/>
        <w:color w:val="FF0000"/>
        <w:sz w:val="22"/>
      </w:rPr>
      <w:tab/>
    </w:r>
    <w:r w:rsidR="008838DF" w:rsidRPr="0098471F">
      <w:rPr>
        <w:rStyle w:val="FooterChar"/>
        <w:b/>
        <w:sz w:val="22"/>
      </w:rPr>
      <w:t xml:space="preserve">Page </w:t>
    </w:r>
    <w:r w:rsidR="008838DF" w:rsidRPr="0098471F">
      <w:rPr>
        <w:rStyle w:val="FooterChar"/>
        <w:b/>
        <w:sz w:val="22"/>
      </w:rPr>
      <w:fldChar w:fldCharType="begin"/>
    </w:r>
    <w:r w:rsidR="008838DF" w:rsidRPr="0098471F">
      <w:rPr>
        <w:rStyle w:val="FooterChar"/>
        <w:b/>
        <w:sz w:val="22"/>
      </w:rPr>
      <w:instrText xml:space="preserve"> PAGE  \* Arabic  \* MERGEFORMAT </w:instrText>
    </w:r>
    <w:r w:rsidR="008838DF" w:rsidRPr="0098471F">
      <w:rPr>
        <w:rStyle w:val="FooterChar"/>
        <w:b/>
        <w:sz w:val="22"/>
      </w:rPr>
      <w:fldChar w:fldCharType="separate"/>
    </w:r>
    <w:r w:rsidR="00C50AF7" w:rsidRPr="0098471F">
      <w:rPr>
        <w:rStyle w:val="FooterChar"/>
        <w:b/>
        <w:noProof/>
        <w:sz w:val="22"/>
      </w:rPr>
      <w:t>1</w:t>
    </w:r>
    <w:r w:rsidR="008838DF" w:rsidRPr="0098471F">
      <w:rPr>
        <w:rStyle w:val="FooterChar"/>
        <w:b/>
        <w:sz w:val="22"/>
      </w:rPr>
      <w:fldChar w:fldCharType="end"/>
    </w:r>
    <w:r w:rsidR="008838DF" w:rsidRPr="0098471F">
      <w:rPr>
        <w:rStyle w:val="FooterChar"/>
        <w:b/>
        <w:sz w:val="22"/>
      </w:rPr>
      <w:t xml:space="preserve"> of </w:t>
    </w:r>
    <w:r w:rsidR="002313FC">
      <w:rPr>
        <w:rStyle w:val="FooterChar"/>
        <w:b/>
        <w:bCs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2E85" w14:textId="77777777" w:rsidR="00BA30B9" w:rsidRPr="000557A7" w:rsidRDefault="00BA30B9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14:paraId="1A6EF6A6" w14:textId="77777777" w:rsidR="00BA30B9" w:rsidRDefault="00BA30B9" w:rsidP="00A20802">
      <w:r>
        <w:continuationSeparator/>
      </w:r>
    </w:p>
    <w:p w14:paraId="2DF90F9A" w14:textId="77777777" w:rsidR="00BA30B9" w:rsidRDefault="00BA30B9"/>
    <w:p w14:paraId="46D863DB" w14:textId="77777777" w:rsidR="00BA30B9" w:rsidRDefault="00BA30B9"/>
  </w:footnote>
  <w:footnote w:type="continuationNotice" w:id="1">
    <w:p w14:paraId="016AE536" w14:textId="77777777" w:rsidR="00BA30B9" w:rsidRDefault="00BA30B9">
      <w:pPr>
        <w:spacing w:before="0" w:after="0" w:line="240" w:lineRule="auto"/>
      </w:pPr>
    </w:p>
  </w:footnote>
  <w:footnote w:id="2">
    <w:p w14:paraId="031448EC" w14:textId="77777777" w:rsidR="00680BE7" w:rsidRPr="007D78D6" w:rsidRDefault="00680BE7" w:rsidP="00680BE7">
      <w:pPr>
        <w:spacing w:before="60"/>
        <w:rPr>
          <w:sz w:val="14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551F">
          <w:rPr>
            <w:rStyle w:val="Hyperlink"/>
            <w:sz w:val="14"/>
            <w:szCs w:val="16"/>
          </w:rPr>
          <w:t>https://www.aph.gov.au/About_Parliament/Parliamentary_Departments/Parliamentary_Budget_Office/Costings_and_budget_information</w:t>
        </w:r>
      </w:hyperlink>
      <w:r w:rsidRPr="0007551F">
        <w:rPr>
          <w:sz w:val="14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D647" w14:textId="74CB45CC" w:rsidR="007A67A2" w:rsidRDefault="007A67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3" behindDoc="0" locked="0" layoutInCell="0" allowOverlap="1" wp14:anchorId="354191EE" wp14:editId="062168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4" name="MSIPCM99b74edab5c6389691e75fba" descr="{&quot;HashCode&quot;:-43908111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55B9A" w14:textId="2570A261" w:rsidR="007A67A2" w:rsidRPr="00110FCC" w:rsidRDefault="00110FCC" w:rsidP="00110FC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10FCC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191EE" id="_x0000_t202" coordsize="21600,21600" o:spt="202" path="m,l,21600r21600,l21600,xe">
              <v:stroke joinstyle="miter"/>
              <v:path gradientshapeok="t" o:connecttype="rect"/>
            </v:shapetype>
            <v:shape id="MSIPCM99b74edab5c6389691e75fba" o:spid="_x0000_s1026" type="#_x0000_t202" alt="{&quot;HashCode&quot;:-439081111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79743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2255B9A" w14:textId="2570A261" w:rsidR="007A67A2" w:rsidRPr="00110FCC" w:rsidRDefault="00110FCC" w:rsidP="00110FCC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10FCC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0B17" w14:textId="4C8DAC01" w:rsidR="00724E22" w:rsidRPr="003F6FDD" w:rsidRDefault="00BF22D3" w:rsidP="00724E22">
    <w:pPr>
      <w:spacing w:before="0" w:after="0"/>
      <w:jc w:val="center"/>
      <w:rPr>
        <w:rFonts w:ascii="Calibri" w:hAnsi="Calibri" w:cs="Calibri"/>
        <w:strike/>
        <w:color w:val="FF0000"/>
        <w:sz w:val="20"/>
      </w:rPr>
    </w:pPr>
    <w:r>
      <w:rPr>
        <w:rFonts w:ascii="Calibri" w:hAnsi="Calibri" w:cs="Calibri"/>
        <w:strike/>
        <w:noProof/>
        <w:color w:val="FF0000"/>
        <w:sz w:val="20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720C7408" wp14:editId="632A211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" name="MSIPCM29b04f3faab6ec986d7a7812" descr="{&quot;HashCode&quot;:-439081111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7388E" w14:textId="06F0F6C6" w:rsidR="00BF22D3" w:rsidRPr="00110FCC" w:rsidRDefault="00110FCC" w:rsidP="00110FC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10FCC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7408" id="_x0000_t202" coordsize="21600,21600" o:spt="202" path="m,l,21600r21600,l21600,xe">
              <v:stroke joinstyle="miter"/>
              <v:path gradientshapeok="t" o:connecttype="rect"/>
            </v:shapetype>
            <v:shape id="MSIPCM29b04f3faab6ec986d7a7812" o:spid="_x0000_s1029" type="#_x0000_t202" alt="{&quot;HashCode&quot;:-439081111,&quot;Height&quot;:9999999.0,&quot;Width&quot;:9999999.0,&quot;Placement&quot;:&quot;Header&quot;,&quot;Index&quot;:&quot;FirstPage&quot;,&quot;Section&quot;:1,&quot;Top&quot;:0.0,&quot;Left&quot;:0.0}" style="position:absolute;left:0;text-align:left;margin-left:0;margin-top:0;width:612pt;height:36.5pt;z-index:25168793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2CC7388E" w14:textId="06F0F6C6" w:rsidR="00BF22D3" w:rsidRPr="00110FCC" w:rsidRDefault="00110FCC" w:rsidP="00110FCC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10FCC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8E5F47" w14:textId="76084351" w:rsidR="008838DF" w:rsidRDefault="00CE4E2E" w:rsidP="00F91A0D">
    <w:pPr>
      <w:pStyle w:val="Header"/>
      <w:spacing w:before="400" w:after="680"/>
    </w:pPr>
    <w:r>
      <w:rPr>
        <w:noProof/>
        <w:lang w:eastAsia="en-AU"/>
      </w:rPr>
      <w:drawing>
        <wp:anchor distT="0" distB="0" distL="114300" distR="114300" simplePos="0" relativeHeight="251653120" behindDoc="0" locked="0" layoutInCell="1" allowOverlap="1" wp14:anchorId="6C7EE884" wp14:editId="73C96922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1880382" cy="576000"/>
          <wp:effectExtent l="0" t="0" r="5715" b="0"/>
          <wp:wrapThrough wrapText="bothSides">
            <wp:wrapPolygon edited="0">
              <wp:start x="0" y="0"/>
              <wp:lineTo x="0" y="20719"/>
              <wp:lineTo x="21447" y="20719"/>
              <wp:lineTo x="21447" y="0"/>
              <wp:lineTo x="0" y="0"/>
            </wp:wrapPolygon>
          </wp:wrapThrough>
          <wp:docPr id="8" name="Picture 8" descr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Parliamentary Budget Offi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82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6E8"/>
    <w:multiLevelType w:val="hybridMultilevel"/>
    <w:tmpl w:val="DCC62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51C89"/>
    <w:multiLevelType w:val="hybridMultilevel"/>
    <w:tmpl w:val="58AE9564"/>
    <w:lvl w:ilvl="0" w:tplc="52D8BB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37FE"/>
    <w:multiLevelType w:val="multilevel"/>
    <w:tmpl w:val="2CA8A22A"/>
    <w:name w:val="Bullets"/>
    <w:lvl w:ilvl="0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0D745448"/>
    <w:multiLevelType w:val="multilevel"/>
    <w:tmpl w:val="B9B27878"/>
    <w:name w:val="PBO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 w15:restartNumberingAfterBreak="0">
    <w:nsid w:val="0E645256"/>
    <w:multiLevelType w:val="multilevel"/>
    <w:tmpl w:val="75FCCD40"/>
    <w:styleLink w:val="AttachementsNumbered"/>
    <w:lvl w:ilvl="0">
      <w:start w:val="1"/>
      <w:numFmt w:val="upperLetter"/>
      <w:pStyle w:val="Heading8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9778B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9778B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7" w15:restartNumberingAfterBreak="0">
    <w:nsid w:val="15E92E39"/>
    <w:multiLevelType w:val="multilevel"/>
    <w:tmpl w:val="6C6E19E4"/>
    <w:styleLink w:val="NormalNumberedParas"/>
    <w:lvl w:ilvl="0">
      <w:start w:val="1"/>
      <w:numFmt w:val="decimal"/>
      <w:pStyle w:val="NormalNumbered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C020AF"/>
    <w:multiLevelType w:val="hybridMultilevel"/>
    <w:tmpl w:val="0100DF4C"/>
    <w:lvl w:ilvl="0" w:tplc="8AE63CDA">
      <w:start w:val="1"/>
      <w:numFmt w:val="bullet"/>
      <w:lvlText w:val="–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194A695C"/>
    <w:multiLevelType w:val="multilevel"/>
    <w:tmpl w:val="9710D28A"/>
    <w:name w:val="TableBullets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0" w15:restartNumberingAfterBreak="0">
    <w:nsid w:val="19F1618D"/>
    <w:multiLevelType w:val="multilevel"/>
    <w:tmpl w:val="DB9A36FA"/>
    <w:styleLink w:val="List1Numbered"/>
    <w:lvl w:ilvl="0">
      <w:start w:val="1"/>
      <w:numFmt w:val="decimal"/>
      <w:pStyle w:val="List1Numbered1"/>
      <w:lvlText w:val="%1."/>
      <w:lvlJc w:val="left"/>
      <w:pPr>
        <w:ind w:left="851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1135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11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0F2CCE"/>
    <w:multiLevelType w:val="multilevel"/>
    <w:tmpl w:val="DB9A36FA"/>
    <w:numStyleLink w:val="List1Numbered"/>
  </w:abstractNum>
  <w:abstractNum w:abstractNumId="15" w15:restartNumberingAfterBreak="0">
    <w:nsid w:val="2C72580B"/>
    <w:multiLevelType w:val="multilevel"/>
    <w:tmpl w:val="A1605A0E"/>
    <w:name w:val="PullOutNumbering"/>
    <w:lvl w:ilvl="0">
      <w:start w:val="1"/>
      <w:numFmt w:val="decimal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23AD4"/>
    <w:multiLevelType w:val="multilevel"/>
    <w:tmpl w:val="CC2400A2"/>
    <w:name w:val="PullOutBullets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9778B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9778B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34C1"/>
    <w:multiLevelType w:val="multilevel"/>
    <w:tmpl w:val="B0064A26"/>
    <w:numStyleLink w:val="DefaultBullets"/>
  </w:abstractNum>
  <w:abstractNum w:abstractNumId="22" w15:restartNumberingAfterBreak="0">
    <w:nsid w:val="483F501A"/>
    <w:multiLevelType w:val="multilevel"/>
    <w:tmpl w:val="75FCCD40"/>
    <w:numStyleLink w:val="AttachementsNumbered"/>
  </w:abstractNum>
  <w:abstractNum w:abstractNumId="2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6E5A01"/>
    <w:multiLevelType w:val="hybridMultilevel"/>
    <w:tmpl w:val="CAC6B7CC"/>
    <w:lvl w:ilvl="0" w:tplc="B1466414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59EF7A30"/>
    <w:multiLevelType w:val="hybridMultilevel"/>
    <w:tmpl w:val="9CB67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40291"/>
    <w:multiLevelType w:val="hybridMultilevel"/>
    <w:tmpl w:val="283E1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0540A9"/>
    <w:multiLevelType w:val="multilevel"/>
    <w:tmpl w:val="1A6297E2"/>
    <w:lvl w:ilvl="0">
      <w:start w:val="1"/>
      <w:numFmt w:val="upperLetter"/>
      <w:lvlRestart w:val="0"/>
      <w:suff w:val="space"/>
      <w:lvlText w:val="Appendix %1"/>
      <w:lvlJc w:val="left"/>
      <w:pPr>
        <w:ind w:left="0" w:firstLine="0"/>
      </w:pPr>
      <w:rPr>
        <w:rFonts w:hint="default"/>
        <w:b w:val="0"/>
        <w:i w:val="0"/>
        <w:sz w:val="4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9" w15:restartNumberingAfterBreak="0">
    <w:nsid w:val="60D05A3F"/>
    <w:multiLevelType w:val="multilevel"/>
    <w:tmpl w:val="6C6E19E4"/>
    <w:numStyleLink w:val="NormalNumberedParas"/>
  </w:abstractNum>
  <w:abstractNum w:abstractNumId="30" w15:restartNumberingAfterBreak="0">
    <w:nsid w:val="65262A39"/>
    <w:multiLevelType w:val="hybridMultilevel"/>
    <w:tmpl w:val="8AC2DF44"/>
    <w:lvl w:ilvl="0" w:tplc="F886F750">
      <w:start w:val="1"/>
      <w:numFmt w:val="bullet"/>
      <w:pStyle w:val="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1D40AC"/>
    <w:multiLevelType w:val="multilevel"/>
    <w:tmpl w:val="D18C6390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0250B03"/>
    <w:multiLevelType w:val="multilevel"/>
    <w:tmpl w:val="5796740A"/>
    <w:name w:val="QuoteBullets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3" w15:restartNumberingAfterBreak="0">
    <w:nsid w:val="738A4D83"/>
    <w:multiLevelType w:val="multilevel"/>
    <w:tmpl w:val="B0064A26"/>
    <w:styleLink w:val="DefaultBullets"/>
    <w:lvl w:ilvl="0">
      <w:start w:val="1"/>
      <w:numFmt w:val="bullet"/>
      <w:pStyle w:val="Bullet1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34" w15:restartNumberingAfterBreak="0">
    <w:nsid w:val="7839021E"/>
    <w:multiLevelType w:val="multilevel"/>
    <w:tmpl w:val="C186E662"/>
    <w:name w:val="ListNumbering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080951609">
    <w:abstractNumId w:val="23"/>
  </w:num>
  <w:num w:numId="2" w16cid:durableId="1159157085">
    <w:abstractNumId w:val="4"/>
  </w:num>
  <w:num w:numId="3" w16cid:durableId="152182019">
    <w:abstractNumId w:val="19"/>
  </w:num>
  <w:num w:numId="4" w16cid:durableId="1599869632">
    <w:abstractNumId w:val="33"/>
  </w:num>
  <w:num w:numId="5" w16cid:durableId="1496989005">
    <w:abstractNumId w:val="22"/>
  </w:num>
  <w:num w:numId="6" w16cid:durableId="1738938611">
    <w:abstractNumId w:val="28"/>
  </w:num>
  <w:num w:numId="7" w16cid:durableId="1306199784">
    <w:abstractNumId w:val="10"/>
  </w:num>
  <w:num w:numId="8" w16cid:durableId="178541611">
    <w:abstractNumId w:val="14"/>
  </w:num>
  <w:num w:numId="9" w16cid:durableId="985664507">
    <w:abstractNumId w:val="7"/>
  </w:num>
  <w:num w:numId="10" w16cid:durableId="304506461">
    <w:abstractNumId w:val="24"/>
  </w:num>
  <w:num w:numId="11" w16cid:durableId="150102602">
    <w:abstractNumId w:val="16"/>
  </w:num>
  <w:num w:numId="12" w16cid:durableId="522060280">
    <w:abstractNumId w:val="23"/>
  </w:num>
  <w:num w:numId="13" w16cid:durableId="404567305">
    <w:abstractNumId w:val="23"/>
  </w:num>
  <w:num w:numId="14" w16cid:durableId="1518958345">
    <w:abstractNumId w:val="4"/>
  </w:num>
  <w:num w:numId="15" w16cid:durableId="311757375">
    <w:abstractNumId w:val="19"/>
  </w:num>
  <w:num w:numId="16" w16cid:durableId="1896430601">
    <w:abstractNumId w:val="19"/>
  </w:num>
  <w:num w:numId="17" w16cid:durableId="1680619355">
    <w:abstractNumId w:val="19"/>
  </w:num>
  <w:num w:numId="18" w16cid:durableId="540749590">
    <w:abstractNumId w:val="21"/>
  </w:num>
  <w:num w:numId="19" w16cid:durableId="2040816075">
    <w:abstractNumId w:val="21"/>
  </w:num>
  <w:num w:numId="20" w16cid:durableId="1017002357">
    <w:abstractNumId w:val="21"/>
  </w:num>
  <w:num w:numId="21" w16cid:durableId="2031643179">
    <w:abstractNumId w:val="33"/>
  </w:num>
  <w:num w:numId="22" w16cid:durableId="1369455747">
    <w:abstractNumId w:val="11"/>
  </w:num>
  <w:num w:numId="23" w16cid:durableId="138041570">
    <w:abstractNumId w:val="24"/>
  </w:num>
  <w:num w:numId="24" w16cid:durableId="134028354">
    <w:abstractNumId w:val="24"/>
  </w:num>
  <w:num w:numId="25" w16cid:durableId="1822303611">
    <w:abstractNumId w:val="24"/>
  </w:num>
  <w:num w:numId="26" w16cid:durableId="142239213">
    <w:abstractNumId w:val="22"/>
  </w:num>
  <w:num w:numId="27" w16cid:durableId="301035749">
    <w:abstractNumId w:val="28"/>
  </w:num>
  <w:num w:numId="28" w16cid:durableId="5443014">
    <w:abstractNumId w:val="5"/>
  </w:num>
  <w:num w:numId="29" w16cid:durableId="1921909956">
    <w:abstractNumId w:val="10"/>
  </w:num>
  <w:num w:numId="30" w16cid:durableId="2069374899">
    <w:abstractNumId w:val="14"/>
  </w:num>
  <w:num w:numId="31" w16cid:durableId="834761725">
    <w:abstractNumId w:val="14"/>
  </w:num>
  <w:num w:numId="32" w16cid:durableId="572938082">
    <w:abstractNumId w:val="14"/>
  </w:num>
  <w:num w:numId="33" w16cid:durableId="1349865209">
    <w:abstractNumId w:val="29"/>
  </w:num>
  <w:num w:numId="34" w16cid:durableId="1704555356">
    <w:abstractNumId w:val="7"/>
  </w:num>
  <w:num w:numId="35" w16cid:durableId="275260651">
    <w:abstractNumId w:val="24"/>
  </w:num>
  <w:num w:numId="36" w16cid:durableId="1101560747">
    <w:abstractNumId w:val="16"/>
  </w:num>
  <w:num w:numId="37" w16cid:durableId="986205599">
    <w:abstractNumId w:val="13"/>
  </w:num>
  <w:num w:numId="38" w16cid:durableId="869731274">
    <w:abstractNumId w:val="25"/>
  </w:num>
  <w:num w:numId="39" w16cid:durableId="1934626594">
    <w:abstractNumId w:val="8"/>
  </w:num>
  <w:num w:numId="40" w16cid:durableId="335308436">
    <w:abstractNumId w:val="30"/>
  </w:num>
  <w:num w:numId="41" w16cid:durableId="182673325">
    <w:abstractNumId w:val="12"/>
  </w:num>
  <w:num w:numId="42" w16cid:durableId="876894371">
    <w:abstractNumId w:val="6"/>
  </w:num>
  <w:num w:numId="43" w16cid:durableId="322858375">
    <w:abstractNumId w:val="17"/>
  </w:num>
  <w:num w:numId="44" w16cid:durableId="1983651687">
    <w:abstractNumId w:val="26"/>
  </w:num>
  <w:num w:numId="45" w16cid:durableId="1868761547">
    <w:abstractNumId w:val="1"/>
  </w:num>
  <w:num w:numId="46" w16cid:durableId="1763599559">
    <w:abstractNumId w:val="0"/>
  </w:num>
  <w:num w:numId="47" w16cid:durableId="44800859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4F2E08"/>
    <w:rsid w:val="0000071C"/>
    <w:rsid w:val="0000322C"/>
    <w:rsid w:val="00003850"/>
    <w:rsid w:val="00003CDD"/>
    <w:rsid w:val="00012209"/>
    <w:rsid w:val="0001355A"/>
    <w:rsid w:val="000135CE"/>
    <w:rsid w:val="00013620"/>
    <w:rsid w:val="0001406F"/>
    <w:rsid w:val="000155D9"/>
    <w:rsid w:val="00015E04"/>
    <w:rsid w:val="000168A7"/>
    <w:rsid w:val="00016A4C"/>
    <w:rsid w:val="00016D53"/>
    <w:rsid w:val="00020B49"/>
    <w:rsid w:val="00020D01"/>
    <w:rsid w:val="0002159A"/>
    <w:rsid w:val="00027759"/>
    <w:rsid w:val="000278D0"/>
    <w:rsid w:val="00027E62"/>
    <w:rsid w:val="000307C8"/>
    <w:rsid w:val="00030F73"/>
    <w:rsid w:val="00033326"/>
    <w:rsid w:val="00033AE5"/>
    <w:rsid w:val="0003436A"/>
    <w:rsid w:val="00035ADE"/>
    <w:rsid w:val="0004224B"/>
    <w:rsid w:val="00043318"/>
    <w:rsid w:val="00044715"/>
    <w:rsid w:val="00046226"/>
    <w:rsid w:val="00046F1D"/>
    <w:rsid w:val="00047232"/>
    <w:rsid w:val="000505FB"/>
    <w:rsid w:val="00051A11"/>
    <w:rsid w:val="0005330D"/>
    <w:rsid w:val="000557A7"/>
    <w:rsid w:val="00055805"/>
    <w:rsid w:val="00056CB3"/>
    <w:rsid w:val="0005793B"/>
    <w:rsid w:val="00061758"/>
    <w:rsid w:val="00065125"/>
    <w:rsid w:val="00066D54"/>
    <w:rsid w:val="00067A28"/>
    <w:rsid w:val="00071A14"/>
    <w:rsid w:val="0007260F"/>
    <w:rsid w:val="000739CB"/>
    <w:rsid w:val="00073C89"/>
    <w:rsid w:val="0007488E"/>
    <w:rsid w:val="000805D5"/>
    <w:rsid w:val="0008103B"/>
    <w:rsid w:val="00085DBF"/>
    <w:rsid w:val="00085F97"/>
    <w:rsid w:val="00087777"/>
    <w:rsid w:val="000879B1"/>
    <w:rsid w:val="00092A33"/>
    <w:rsid w:val="000973F9"/>
    <w:rsid w:val="00097A23"/>
    <w:rsid w:val="00097C49"/>
    <w:rsid w:val="000A0848"/>
    <w:rsid w:val="000A192E"/>
    <w:rsid w:val="000A2A90"/>
    <w:rsid w:val="000A2FEC"/>
    <w:rsid w:val="000A348F"/>
    <w:rsid w:val="000B1B0C"/>
    <w:rsid w:val="000B21D4"/>
    <w:rsid w:val="000B4345"/>
    <w:rsid w:val="000B51E1"/>
    <w:rsid w:val="000B540F"/>
    <w:rsid w:val="000B5900"/>
    <w:rsid w:val="000B5F7A"/>
    <w:rsid w:val="000B60AE"/>
    <w:rsid w:val="000B6942"/>
    <w:rsid w:val="000B6D00"/>
    <w:rsid w:val="000C09FA"/>
    <w:rsid w:val="000C1AB0"/>
    <w:rsid w:val="000C36E0"/>
    <w:rsid w:val="000C37A9"/>
    <w:rsid w:val="000C6728"/>
    <w:rsid w:val="000C702E"/>
    <w:rsid w:val="000D15E9"/>
    <w:rsid w:val="000D2606"/>
    <w:rsid w:val="000D3182"/>
    <w:rsid w:val="000D3228"/>
    <w:rsid w:val="000D45C4"/>
    <w:rsid w:val="000D46B3"/>
    <w:rsid w:val="000E18F3"/>
    <w:rsid w:val="000E19AC"/>
    <w:rsid w:val="000E2197"/>
    <w:rsid w:val="000E266E"/>
    <w:rsid w:val="000E29CD"/>
    <w:rsid w:val="000E4C7B"/>
    <w:rsid w:val="000E5FD9"/>
    <w:rsid w:val="000F1515"/>
    <w:rsid w:val="000F16B5"/>
    <w:rsid w:val="000F5C24"/>
    <w:rsid w:val="000F616E"/>
    <w:rsid w:val="000F7D50"/>
    <w:rsid w:val="001026C4"/>
    <w:rsid w:val="00110D43"/>
    <w:rsid w:val="00110FCC"/>
    <w:rsid w:val="00114966"/>
    <w:rsid w:val="001159EA"/>
    <w:rsid w:val="00120A75"/>
    <w:rsid w:val="00124F41"/>
    <w:rsid w:val="00125410"/>
    <w:rsid w:val="00130858"/>
    <w:rsid w:val="00131861"/>
    <w:rsid w:val="0013403E"/>
    <w:rsid w:val="00136C26"/>
    <w:rsid w:val="0014059F"/>
    <w:rsid w:val="001406A3"/>
    <w:rsid w:val="00140F56"/>
    <w:rsid w:val="00141551"/>
    <w:rsid w:val="001417CE"/>
    <w:rsid w:val="001420BA"/>
    <w:rsid w:val="001432DD"/>
    <w:rsid w:val="0014479F"/>
    <w:rsid w:val="00146851"/>
    <w:rsid w:val="00146B30"/>
    <w:rsid w:val="00146EAD"/>
    <w:rsid w:val="00147997"/>
    <w:rsid w:val="001541BF"/>
    <w:rsid w:val="00154DC5"/>
    <w:rsid w:val="00160C8D"/>
    <w:rsid w:val="001616E8"/>
    <w:rsid w:val="001629C0"/>
    <w:rsid w:val="00165122"/>
    <w:rsid w:val="00165854"/>
    <w:rsid w:val="00166078"/>
    <w:rsid w:val="00166A15"/>
    <w:rsid w:val="00167A05"/>
    <w:rsid w:val="001711BC"/>
    <w:rsid w:val="001738DB"/>
    <w:rsid w:val="001738F5"/>
    <w:rsid w:val="00173CBD"/>
    <w:rsid w:val="00173DFD"/>
    <w:rsid w:val="00177B8C"/>
    <w:rsid w:val="00180FF9"/>
    <w:rsid w:val="00187CD6"/>
    <w:rsid w:val="0019204F"/>
    <w:rsid w:val="00195228"/>
    <w:rsid w:val="00195696"/>
    <w:rsid w:val="00196532"/>
    <w:rsid w:val="001967B2"/>
    <w:rsid w:val="001A1EFC"/>
    <w:rsid w:val="001A20BD"/>
    <w:rsid w:val="001A32EF"/>
    <w:rsid w:val="001A349C"/>
    <w:rsid w:val="001A48EF"/>
    <w:rsid w:val="001A49CC"/>
    <w:rsid w:val="001A5553"/>
    <w:rsid w:val="001A716E"/>
    <w:rsid w:val="001B05CB"/>
    <w:rsid w:val="001B18C6"/>
    <w:rsid w:val="001B25FE"/>
    <w:rsid w:val="001B2C65"/>
    <w:rsid w:val="001B3BA2"/>
    <w:rsid w:val="001B4255"/>
    <w:rsid w:val="001B7058"/>
    <w:rsid w:val="001C3A4F"/>
    <w:rsid w:val="001C4121"/>
    <w:rsid w:val="001C48DE"/>
    <w:rsid w:val="001C597B"/>
    <w:rsid w:val="001C6881"/>
    <w:rsid w:val="001C7F8D"/>
    <w:rsid w:val="001D30C1"/>
    <w:rsid w:val="001D52E3"/>
    <w:rsid w:val="001D576F"/>
    <w:rsid w:val="001D77E3"/>
    <w:rsid w:val="001D7C29"/>
    <w:rsid w:val="001E0475"/>
    <w:rsid w:val="001E33C2"/>
    <w:rsid w:val="001E55FD"/>
    <w:rsid w:val="001E708A"/>
    <w:rsid w:val="001F157B"/>
    <w:rsid w:val="001F2AAD"/>
    <w:rsid w:val="001F3F23"/>
    <w:rsid w:val="001F5C90"/>
    <w:rsid w:val="001F767C"/>
    <w:rsid w:val="001F7B10"/>
    <w:rsid w:val="00201EAE"/>
    <w:rsid w:val="00203A7B"/>
    <w:rsid w:val="002057EF"/>
    <w:rsid w:val="00205C6E"/>
    <w:rsid w:val="00210074"/>
    <w:rsid w:val="00210507"/>
    <w:rsid w:val="00210665"/>
    <w:rsid w:val="00210FCF"/>
    <w:rsid w:val="00216FDD"/>
    <w:rsid w:val="002179B6"/>
    <w:rsid w:val="002205E5"/>
    <w:rsid w:val="00221A18"/>
    <w:rsid w:val="00222350"/>
    <w:rsid w:val="00222EFF"/>
    <w:rsid w:val="002240D5"/>
    <w:rsid w:val="002261A7"/>
    <w:rsid w:val="00226AEC"/>
    <w:rsid w:val="0023077A"/>
    <w:rsid w:val="002313FC"/>
    <w:rsid w:val="00231785"/>
    <w:rsid w:val="00235C95"/>
    <w:rsid w:val="00236811"/>
    <w:rsid w:val="00246E30"/>
    <w:rsid w:val="002545F3"/>
    <w:rsid w:val="002559FB"/>
    <w:rsid w:val="0025726E"/>
    <w:rsid w:val="00260B56"/>
    <w:rsid w:val="0026257E"/>
    <w:rsid w:val="0026344F"/>
    <w:rsid w:val="002634B0"/>
    <w:rsid w:val="002636AE"/>
    <w:rsid w:val="00265DA6"/>
    <w:rsid w:val="00266A17"/>
    <w:rsid w:val="00270372"/>
    <w:rsid w:val="00270409"/>
    <w:rsid w:val="00272493"/>
    <w:rsid w:val="00275534"/>
    <w:rsid w:val="00277075"/>
    <w:rsid w:val="002775D2"/>
    <w:rsid w:val="00281A7A"/>
    <w:rsid w:val="00281ADD"/>
    <w:rsid w:val="00283367"/>
    <w:rsid w:val="0028563E"/>
    <w:rsid w:val="00287823"/>
    <w:rsid w:val="0028792D"/>
    <w:rsid w:val="00293E0D"/>
    <w:rsid w:val="00293E80"/>
    <w:rsid w:val="002973B0"/>
    <w:rsid w:val="00297C14"/>
    <w:rsid w:val="00297EE9"/>
    <w:rsid w:val="002A220F"/>
    <w:rsid w:val="002A24F1"/>
    <w:rsid w:val="002A43A0"/>
    <w:rsid w:val="002A5778"/>
    <w:rsid w:val="002A60CA"/>
    <w:rsid w:val="002A6E3B"/>
    <w:rsid w:val="002A74B0"/>
    <w:rsid w:val="002A7AF1"/>
    <w:rsid w:val="002B1C24"/>
    <w:rsid w:val="002B1E84"/>
    <w:rsid w:val="002B2085"/>
    <w:rsid w:val="002B3EC4"/>
    <w:rsid w:val="002B3EE7"/>
    <w:rsid w:val="002C180E"/>
    <w:rsid w:val="002C37D5"/>
    <w:rsid w:val="002C4DA6"/>
    <w:rsid w:val="002C60A0"/>
    <w:rsid w:val="002D0BAB"/>
    <w:rsid w:val="002D18E1"/>
    <w:rsid w:val="002D239A"/>
    <w:rsid w:val="002D34DB"/>
    <w:rsid w:val="002D48BE"/>
    <w:rsid w:val="002D4B11"/>
    <w:rsid w:val="002E0CD6"/>
    <w:rsid w:val="002E3E1C"/>
    <w:rsid w:val="002E5633"/>
    <w:rsid w:val="002E5CE6"/>
    <w:rsid w:val="002E6659"/>
    <w:rsid w:val="002F12D7"/>
    <w:rsid w:val="002F1963"/>
    <w:rsid w:val="002F5B6E"/>
    <w:rsid w:val="002F61B5"/>
    <w:rsid w:val="00300066"/>
    <w:rsid w:val="00300589"/>
    <w:rsid w:val="0030209B"/>
    <w:rsid w:val="00303DB1"/>
    <w:rsid w:val="003116DE"/>
    <w:rsid w:val="00311A83"/>
    <w:rsid w:val="00312494"/>
    <w:rsid w:val="003127E4"/>
    <w:rsid w:val="00312C42"/>
    <w:rsid w:val="00313215"/>
    <w:rsid w:val="00313DA1"/>
    <w:rsid w:val="003174C3"/>
    <w:rsid w:val="003230D5"/>
    <w:rsid w:val="0032557A"/>
    <w:rsid w:val="00326E3E"/>
    <w:rsid w:val="00330622"/>
    <w:rsid w:val="00330D46"/>
    <w:rsid w:val="003318BA"/>
    <w:rsid w:val="003326F7"/>
    <w:rsid w:val="00340058"/>
    <w:rsid w:val="00340778"/>
    <w:rsid w:val="003407B9"/>
    <w:rsid w:val="00341687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164A"/>
    <w:rsid w:val="003671E2"/>
    <w:rsid w:val="00370320"/>
    <w:rsid w:val="00372AE6"/>
    <w:rsid w:val="00374E86"/>
    <w:rsid w:val="00376C3A"/>
    <w:rsid w:val="0038082C"/>
    <w:rsid w:val="003837E1"/>
    <w:rsid w:val="0038542D"/>
    <w:rsid w:val="0038584D"/>
    <w:rsid w:val="003907E3"/>
    <w:rsid w:val="0039257F"/>
    <w:rsid w:val="003931DE"/>
    <w:rsid w:val="003956F1"/>
    <w:rsid w:val="00397D1A"/>
    <w:rsid w:val="003A163C"/>
    <w:rsid w:val="003A2B4E"/>
    <w:rsid w:val="003A2FBB"/>
    <w:rsid w:val="003A34E7"/>
    <w:rsid w:val="003A3799"/>
    <w:rsid w:val="003A4913"/>
    <w:rsid w:val="003A54A9"/>
    <w:rsid w:val="003A62A5"/>
    <w:rsid w:val="003A7083"/>
    <w:rsid w:val="003B25AE"/>
    <w:rsid w:val="003B2CF2"/>
    <w:rsid w:val="003B3103"/>
    <w:rsid w:val="003B38B3"/>
    <w:rsid w:val="003B38BB"/>
    <w:rsid w:val="003B3A97"/>
    <w:rsid w:val="003B3AAD"/>
    <w:rsid w:val="003B3D44"/>
    <w:rsid w:val="003B47BC"/>
    <w:rsid w:val="003C2540"/>
    <w:rsid w:val="003C6BB5"/>
    <w:rsid w:val="003C7CC2"/>
    <w:rsid w:val="003D3379"/>
    <w:rsid w:val="003D422C"/>
    <w:rsid w:val="003D50B6"/>
    <w:rsid w:val="003E05DF"/>
    <w:rsid w:val="003E1562"/>
    <w:rsid w:val="003E41B2"/>
    <w:rsid w:val="003E6085"/>
    <w:rsid w:val="003E6CA3"/>
    <w:rsid w:val="003F3031"/>
    <w:rsid w:val="003F4C96"/>
    <w:rsid w:val="003F6FDD"/>
    <w:rsid w:val="0040174A"/>
    <w:rsid w:val="00401C49"/>
    <w:rsid w:val="00404CFE"/>
    <w:rsid w:val="00406002"/>
    <w:rsid w:val="00406AD3"/>
    <w:rsid w:val="00410731"/>
    <w:rsid w:val="00412E42"/>
    <w:rsid w:val="00413EC1"/>
    <w:rsid w:val="00414A13"/>
    <w:rsid w:val="00415776"/>
    <w:rsid w:val="00416829"/>
    <w:rsid w:val="0042112A"/>
    <w:rsid w:val="00425534"/>
    <w:rsid w:val="00425C05"/>
    <w:rsid w:val="00426356"/>
    <w:rsid w:val="00426929"/>
    <w:rsid w:val="004339EC"/>
    <w:rsid w:val="00433D11"/>
    <w:rsid w:val="00440108"/>
    <w:rsid w:val="004411F7"/>
    <w:rsid w:val="00441A6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64FF9"/>
    <w:rsid w:val="004713A5"/>
    <w:rsid w:val="004716E3"/>
    <w:rsid w:val="00472502"/>
    <w:rsid w:val="00474751"/>
    <w:rsid w:val="00474BB7"/>
    <w:rsid w:val="004756B0"/>
    <w:rsid w:val="00476133"/>
    <w:rsid w:val="00476800"/>
    <w:rsid w:val="004816D7"/>
    <w:rsid w:val="0048215B"/>
    <w:rsid w:val="00482F63"/>
    <w:rsid w:val="0048342E"/>
    <w:rsid w:val="00486A33"/>
    <w:rsid w:val="00487478"/>
    <w:rsid w:val="0048782D"/>
    <w:rsid w:val="00490873"/>
    <w:rsid w:val="00491703"/>
    <w:rsid w:val="00494DC1"/>
    <w:rsid w:val="004A282B"/>
    <w:rsid w:val="004A3F56"/>
    <w:rsid w:val="004A4F1C"/>
    <w:rsid w:val="004A5E21"/>
    <w:rsid w:val="004A666A"/>
    <w:rsid w:val="004A6AD3"/>
    <w:rsid w:val="004B143F"/>
    <w:rsid w:val="004B3022"/>
    <w:rsid w:val="004B49A0"/>
    <w:rsid w:val="004B52AF"/>
    <w:rsid w:val="004B6C2D"/>
    <w:rsid w:val="004C3BDA"/>
    <w:rsid w:val="004C6306"/>
    <w:rsid w:val="004C6F5E"/>
    <w:rsid w:val="004C7E94"/>
    <w:rsid w:val="004D4551"/>
    <w:rsid w:val="004D5A64"/>
    <w:rsid w:val="004D7CF8"/>
    <w:rsid w:val="004D7EDA"/>
    <w:rsid w:val="004D7EE8"/>
    <w:rsid w:val="004E0E49"/>
    <w:rsid w:val="004E197A"/>
    <w:rsid w:val="004E22E8"/>
    <w:rsid w:val="004E5154"/>
    <w:rsid w:val="004E5D52"/>
    <w:rsid w:val="004E5DC6"/>
    <w:rsid w:val="004E76EE"/>
    <w:rsid w:val="004F07D7"/>
    <w:rsid w:val="004F1297"/>
    <w:rsid w:val="004F16DB"/>
    <w:rsid w:val="004F2E08"/>
    <w:rsid w:val="004F4D7E"/>
    <w:rsid w:val="004F5B16"/>
    <w:rsid w:val="004F5D9D"/>
    <w:rsid w:val="004F5F28"/>
    <w:rsid w:val="004F68E5"/>
    <w:rsid w:val="004F7037"/>
    <w:rsid w:val="004F741B"/>
    <w:rsid w:val="00500F08"/>
    <w:rsid w:val="0050132A"/>
    <w:rsid w:val="00503253"/>
    <w:rsid w:val="00503BB0"/>
    <w:rsid w:val="00503E03"/>
    <w:rsid w:val="00511F0B"/>
    <w:rsid w:val="00512226"/>
    <w:rsid w:val="00512B31"/>
    <w:rsid w:val="005147C6"/>
    <w:rsid w:val="005159B1"/>
    <w:rsid w:val="00520842"/>
    <w:rsid w:val="00522502"/>
    <w:rsid w:val="00522530"/>
    <w:rsid w:val="005255A1"/>
    <w:rsid w:val="00525825"/>
    <w:rsid w:val="0052641C"/>
    <w:rsid w:val="005311C2"/>
    <w:rsid w:val="0053449C"/>
    <w:rsid w:val="0053795D"/>
    <w:rsid w:val="005444A6"/>
    <w:rsid w:val="00544522"/>
    <w:rsid w:val="00545D37"/>
    <w:rsid w:val="005467E2"/>
    <w:rsid w:val="005468AB"/>
    <w:rsid w:val="00546CD2"/>
    <w:rsid w:val="005501A0"/>
    <w:rsid w:val="0055026B"/>
    <w:rsid w:val="00550831"/>
    <w:rsid w:val="00550A6C"/>
    <w:rsid w:val="005525B0"/>
    <w:rsid w:val="00554273"/>
    <w:rsid w:val="0056001A"/>
    <w:rsid w:val="005642B6"/>
    <w:rsid w:val="00566A97"/>
    <w:rsid w:val="00567854"/>
    <w:rsid w:val="00571D5E"/>
    <w:rsid w:val="005814CA"/>
    <w:rsid w:val="005823D0"/>
    <w:rsid w:val="005827F1"/>
    <w:rsid w:val="00582D54"/>
    <w:rsid w:val="00583AAF"/>
    <w:rsid w:val="00587AF9"/>
    <w:rsid w:val="0059438F"/>
    <w:rsid w:val="005961F6"/>
    <w:rsid w:val="005962D5"/>
    <w:rsid w:val="005979D8"/>
    <w:rsid w:val="005A2748"/>
    <w:rsid w:val="005A443F"/>
    <w:rsid w:val="005A5215"/>
    <w:rsid w:val="005A7C26"/>
    <w:rsid w:val="005B0970"/>
    <w:rsid w:val="005B0E43"/>
    <w:rsid w:val="005B3ADA"/>
    <w:rsid w:val="005B54F9"/>
    <w:rsid w:val="005B58D4"/>
    <w:rsid w:val="005B5B58"/>
    <w:rsid w:val="005B63D5"/>
    <w:rsid w:val="005B7DC9"/>
    <w:rsid w:val="005C07B3"/>
    <w:rsid w:val="005C284E"/>
    <w:rsid w:val="005C311A"/>
    <w:rsid w:val="005C457E"/>
    <w:rsid w:val="005C47D4"/>
    <w:rsid w:val="005C71AB"/>
    <w:rsid w:val="005D2377"/>
    <w:rsid w:val="005D51D0"/>
    <w:rsid w:val="005D6F83"/>
    <w:rsid w:val="005D7877"/>
    <w:rsid w:val="005D7B5B"/>
    <w:rsid w:val="005D7CCF"/>
    <w:rsid w:val="005E04CF"/>
    <w:rsid w:val="005E58C4"/>
    <w:rsid w:val="005E5D8F"/>
    <w:rsid w:val="005F5698"/>
    <w:rsid w:val="005F5A5C"/>
    <w:rsid w:val="005F5CD9"/>
    <w:rsid w:val="00602664"/>
    <w:rsid w:val="00606629"/>
    <w:rsid w:val="0061135C"/>
    <w:rsid w:val="006136DD"/>
    <w:rsid w:val="006149F0"/>
    <w:rsid w:val="006220A5"/>
    <w:rsid w:val="006227BC"/>
    <w:rsid w:val="00622AD1"/>
    <w:rsid w:val="00622D86"/>
    <w:rsid w:val="00624AC8"/>
    <w:rsid w:val="006262CF"/>
    <w:rsid w:val="00633812"/>
    <w:rsid w:val="00633C60"/>
    <w:rsid w:val="0063425B"/>
    <w:rsid w:val="0064126D"/>
    <w:rsid w:val="00643173"/>
    <w:rsid w:val="006451B8"/>
    <w:rsid w:val="00645722"/>
    <w:rsid w:val="0064672D"/>
    <w:rsid w:val="006509C3"/>
    <w:rsid w:val="00650C86"/>
    <w:rsid w:val="00652432"/>
    <w:rsid w:val="00655860"/>
    <w:rsid w:val="00657840"/>
    <w:rsid w:val="0066003C"/>
    <w:rsid w:val="0066041E"/>
    <w:rsid w:val="006619BB"/>
    <w:rsid w:val="00664A16"/>
    <w:rsid w:val="00665596"/>
    <w:rsid w:val="00673005"/>
    <w:rsid w:val="00673CCC"/>
    <w:rsid w:val="00675C98"/>
    <w:rsid w:val="00680BE7"/>
    <w:rsid w:val="006839BC"/>
    <w:rsid w:val="0069026B"/>
    <w:rsid w:val="006956EA"/>
    <w:rsid w:val="00696DCC"/>
    <w:rsid w:val="006A0D82"/>
    <w:rsid w:val="006A1F75"/>
    <w:rsid w:val="006A490C"/>
    <w:rsid w:val="006A5881"/>
    <w:rsid w:val="006A766E"/>
    <w:rsid w:val="006A7FC7"/>
    <w:rsid w:val="006B4F7D"/>
    <w:rsid w:val="006B63B1"/>
    <w:rsid w:val="006B71E5"/>
    <w:rsid w:val="006C114C"/>
    <w:rsid w:val="006C1B16"/>
    <w:rsid w:val="006C3668"/>
    <w:rsid w:val="006C3864"/>
    <w:rsid w:val="006C50CD"/>
    <w:rsid w:val="006C5383"/>
    <w:rsid w:val="006C5E72"/>
    <w:rsid w:val="006C6489"/>
    <w:rsid w:val="006D07C2"/>
    <w:rsid w:val="006D0FCE"/>
    <w:rsid w:val="006D2AEC"/>
    <w:rsid w:val="006D3918"/>
    <w:rsid w:val="006D438F"/>
    <w:rsid w:val="006D4B1C"/>
    <w:rsid w:val="006D4C8E"/>
    <w:rsid w:val="006E19D1"/>
    <w:rsid w:val="006E1CBB"/>
    <w:rsid w:val="006E467C"/>
    <w:rsid w:val="006E4B27"/>
    <w:rsid w:val="006E5E7E"/>
    <w:rsid w:val="006E651B"/>
    <w:rsid w:val="006F100B"/>
    <w:rsid w:val="006F239A"/>
    <w:rsid w:val="006F2C9D"/>
    <w:rsid w:val="006F4201"/>
    <w:rsid w:val="006F6B51"/>
    <w:rsid w:val="007048DB"/>
    <w:rsid w:val="007059BD"/>
    <w:rsid w:val="00705C64"/>
    <w:rsid w:val="0070637D"/>
    <w:rsid w:val="007071DD"/>
    <w:rsid w:val="0070771F"/>
    <w:rsid w:val="00712A14"/>
    <w:rsid w:val="00713208"/>
    <w:rsid w:val="00714459"/>
    <w:rsid w:val="00716C04"/>
    <w:rsid w:val="00717180"/>
    <w:rsid w:val="007179D2"/>
    <w:rsid w:val="00717D76"/>
    <w:rsid w:val="00720750"/>
    <w:rsid w:val="00724E22"/>
    <w:rsid w:val="0072549C"/>
    <w:rsid w:val="00725A80"/>
    <w:rsid w:val="00726E61"/>
    <w:rsid w:val="007301E6"/>
    <w:rsid w:val="0073102A"/>
    <w:rsid w:val="0073250E"/>
    <w:rsid w:val="00733970"/>
    <w:rsid w:val="00736819"/>
    <w:rsid w:val="007375FE"/>
    <w:rsid w:val="00737D3C"/>
    <w:rsid w:val="0074148C"/>
    <w:rsid w:val="00741D0B"/>
    <w:rsid w:val="00746138"/>
    <w:rsid w:val="00754C58"/>
    <w:rsid w:val="00755650"/>
    <w:rsid w:val="00755B4C"/>
    <w:rsid w:val="00766334"/>
    <w:rsid w:val="0077436E"/>
    <w:rsid w:val="00775E76"/>
    <w:rsid w:val="00776E78"/>
    <w:rsid w:val="0078138A"/>
    <w:rsid w:val="00783014"/>
    <w:rsid w:val="007834DC"/>
    <w:rsid w:val="00786C09"/>
    <w:rsid w:val="007901A8"/>
    <w:rsid w:val="00790768"/>
    <w:rsid w:val="007959D8"/>
    <w:rsid w:val="0079630F"/>
    <w:rsid w:val="00796D50"/>
    <w:rsid w:val="007A04C2"/>
    <w:rsid w:val="007A329F"/>
    <w:rsid w:val="007A4188"/>
    <w:rsid w:val="007A4238"/>
    <w:rsid w:val="007A47D0"/>
    <w:rsid w:val="007A67A2"/>
    <w:rsid w:val="007B0A78"/>
    <w:rsid w:val="007B0CBD"/>
    <w:rsid w:val="007B146A"/>
    <w:rsid w:val="007B28BE"/>
    <w:rsid w:val="007B57C9"/>
    <w:rsid w:val="007C0E7C"/>
    <w:rsid w:val="007C0EAA"/>
    <w:rsid w:val="007C179C"/>
    <w:rsid w:val="007C19C3"/>
    <w:rsid w:val="007C4069"/>
    <w:rsid w:val="007C44B2"/>
    <w:rsid w:val="007C54EE"/>
    <w:rsid w:val="007C6496"/>
    <w:rsid w:val="007C745E"/>
    <w:rsid w:val="007D0ABE"/>
    <w:rsid w:val="007D5D19"/>
    <w:rsid w:val="007E0E53"/>
    <w:rsid w:val="007E319A"/>
    <w:rsid w:val="007E356F"/>
    <w:rsid w:val="007E3F8C"/>
    <w:rsid w:val="007E72FB"/>
    <w:rsid w:val="007F2058"/>
    <w:rsid w:val="007F41A3"/>
    <w:rsid w:val="007F7685"/>
    <w:rsid w:val="0080011D"/>
    <w:rsid w:val="00800EA5"/>
    <w:rsid w:val="00801C01"/>
    <w:rsid w:val="008112CC"/>
    <w:rsid w:val="008130BB"/>
    <w:rsid w:val="00813D7D"/>
    <w:rsid w:val="008147C6"/>
    <w:rsid w:val="00816E26"/>
    <w:rsid w:val="00817406"/>
    <w:rsid w:val="008208A7"/>
    <w:rsid w:val="008237FA"/>
    <w:rsid w:val="00825D37"/>
    <w:rsid w:val="00832EC0"/>
    <w:rsid w:val="00833927"/>
    <w:rsid w:val="008369B0"/>
    <w:rsid w:val="008372D1"/>
    <w:rsid w:val="00840F27"/>
    <w:rsid w:val="00841E8C"/>
    <w:rsid w:val="008421AE"/>
    <w:rsid w:val="00845C1E"/>
    <w:rsid w:val="00850A5C"/>
    <w:rsid w:val="00851579"/>
    <w:rsid w:val="0085732C"/>
    <w:rsid w:val="00857C91"/>
    <w:rsid w:val="00860B45"/>
    <w:rsid w:val="00861F68"/>
    <w:rsid w:val="00863860"/>
    <w:rsid w:val="008638B5"/>
    <w:rsid w:val="00866B47"/>
    <w:rsid w:val="008726FE"/>
    <w:rsid w:val="008734DB"/>
    <w:rsid w:val="0087390B"/>
    <w:rsid w:val="00874035"/>
    <w:rsid w:val="008745A1"/>
    <w:rsid w:val="00875A5E"/>
    <w:rsid w:val="008768E9"/>
    <w:rsid w:val="0087751B"/>
    <w:rsid w:val="00881A32"/>
    <w:rsid w:val="008838DF"/>
    <w:rsid w:val="00887293"/>
    <w:rsid w:val="00890995"/>
    <w:rsid w:val="008914FB"/>
    <w:rsid w:val="00892516"/>
    <w:rsid w:val="00892EED"/>
    <w:rsid w:val="00894CB4"/>
    <w:rsid w:val="0089737A"/>
    <w:rsid w:val="00897E99"/>
    <w:rsid w:val="00897F60"/>
    <w:rsid w:val="008A4829"/>
    <w:rsid w:val="008B2384"/>
    <w:rsid w:val="008B38D6"/>
    <w:rsid w:val="008B38E9"/>
    <w:rsid w:val="008B3EB0"/>
    <w:rsid w:val="008B4802"/>
    <w:rsid w:val="008B545D"/>
    <w:rsid w:val="008B5CD7"/>
    <w:rsid w:val="008B69E3"/>
    <w:rsid w:val="008C1FD1"/>
    <w:rsid w:val="008C24A8"/>
    <w:rsid w:val="008C35EF"/>
    <w:rsid w:val="008C3664"/>
    <w:rsid w:val="008C506A"/>
    <w:rsid w:val="008C5996"/>
    <w:rsid w:val="008D4FA9"/>
    <w:rsid w:val="008D5A11"/>
    <w:rsid w:val="008D5C77"/>
    <w:rsid w:val="008D5E23"/>
    <w:rsid w:val="008D7745"/>
    <w:rsid w:val="008D77AF"/>
    <w:rsid w:val="008E6D59"/>
    <w:rsid w:val="008F1513"/>
    <w:rsid w:val="008F30C7"/>
    <w:rsid w:val="008F4527"/>
    <w:rsid w:val="008F5D66"/>
    <w:rsid w:val="00901A31"/>
    <w:rsid w:val="00901D5B"/>
    <w:rsid w:val="009028AA"/>
    <w:rsid w:val="00903E3F"/>
    <w:rsid w:val="009049C3"/>
    <w:rsid w:val="00904AB8"/>
    <w:rsid w:val="00905208"/>
    <w:rsid w:val="009057D9"/>
    <w:rsid w:val="00906BF7"/>
    <w:rsid w:val="0090774A"/>
    <w:rsid w:val="00907C97"/>
    <w:rsid w:val="00910D07"/>
    <w:rsid w:val="00914B2F"/>
    <w:rsid w:val="009150E6"/>
    <w:rsid w:val="00916290"/>
    <w:rsid w:val="00916F37"/>
    <w:rsid w:val="00917F89"/>
    <w:rsid w:val="00920EFD"/>
    <w:rsid w:val="009223BE"/>
    <w:rsid w:val="009237FC"/>
    <w:rsid w:val="0092499B"/>
    <w:rsid w:val="009255EE"/>
    <w:rsid w:val="00925603"/>
    <w:rsid w:val="00925F76"/>
    <w:rsid w:val="00925FCE"/>
    <w:rsid w:val="00926ABA"/>
    <w:rsid w:val="00930C28"/>
    <w:rsid w:val="00931BC6"/>
    <w:rsid w:val="00932E89"/>
    <w:rsid w:val="0093359D"/>
    <w:rsid w:val="00933F2B"/>
    <w:rsid w:val="00935F04"/>
    <w:rsid w:val="00942EEB"/>
    <w:rsid w:val="0094468E"/>
    <w:rsid w:val="00944B6E"/>
    <w:rsid w:val="00945261"/>
    <w:rsid w:val="00947377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618E"/>
    <w:rsid w:val="009758AE"/>
    <w:rsid w:val="00981433"/>
    <w:rsid w:val="0098222F"/>
    <w:rsid w:val="0098244F"/>
    <w:rsid w:val="00983122"/>
    <w:rsid w:val="0098471F"/>
    <w:rsid w:val="00985C07"/>
    <w:rsid w:val="00992234"/>
    <w:rsid w:val="00995B4F"/>
    <w:rsid w:val="00995FA3"/>
    <w:rsid w:val="00997582"/>
    <w:rsid w:val="009A22F8"/>
    <w:rsid w:val="009A2C21"/>
    <w:rsid w:val="009A3E58"/>
    <w:rsid w:val="009A5F02"/>
    <w:rsid w:val="009A662F"/>
    <w:rsid w:val="009A77B8"/>
    <w:rsid w:val="009A7AB1"/>
    <w:rsid w:val="009B2F9B"/>
    <w:rsid w:val="009B33D1"/>
    <w:rsid w:val="009B424D"/>
    <w:rsid w:val="009B6408"/>
    <w:rsid w:val="009B70E6"/>
    <w:rsid w:val="009C6DAA"/>
    <w:rsid w:val="009D0E74"/>
    <w:rsid w:val="009D1A96"/>
    <w:rsid w:val="009D370B"/>
    <w:rsid w:val="009D7EE0"/>
    <w:rsid w:val="009E2087"/>
    <w:rsid w:val="009E252B"/>
    <w:rsid w:val="009E3265"/>
    <w:rsid w:val="009E3353"/>
    <w:rsid w:val="009E3AC6"/>
    <w:rsid w:val="009E446D"/>
    <w:rsid w:val="009E7C09"/>
    <w:rsid w:val="009F074C"/>
    <w:rsid w:val="009F146D"/>
    <w:rsid w:val="009F4F1E"/>
    <w:rsid w:val="009F5D6A"/>
    <w:rsid w:val="00A0149E"/>
    <w:rsid w:val="00A015E4"/>
    <w:rsid w:val="00A075BC"/>
    <w:rsid w:val="00A11222"/>
    <w:rsid w:val="00A12C39"/>
    <w:rsid w:val="00A134FB"/>
    <w:rsid w:val="00A14A49"/>
    <w:rsid w:val="00A162FE"/>
    <w:rsid w:val="00A20802"/>
    <w:rsid w:val="00A25B4F"/>
    <w:rsid w:val="00A261B3"/>
    <w:rsid w:val="00A27E8B"/>
    <w:rsid w:val="00A30697"/>
    <w:rsid w:val="00A311CF"/>
    <w:rsid w:val="00A404CF"/>
    <w:rsid w:val="00A41C99"/>
    <w:rsid w:val="00A42E40"/>
    <w:rsid w:val="00A43A05"/>
    <w:rsid w:val="00A442BF"/>
    <w:rsid w:val="00A47CF9"/>
    <w:rsid w:val="00A50BC1"/>
    <w:rsid w:val="00A50E14"/>
    <w:rsid w:val="00A517D0"/>
    <w:rsid w:val="00A51B96"/>
    <w:rsid w:val="00A53716"/>
    <w:rsid w:val="00A5629E"/>
    <w:rsid w:val="00A60E41"/>
    <w:rsid w:val="00A64832"/>
    <w:rsid w:val="00A732DB"/>
    <w:rsid w:val="00A75338"/>
    <w:rsid w:val="00A7663C"/>
    <w:rsid w:val="00A82914"/>
    <w:rsid w:val="00A83071"/>
    <w:rsid w:val="00A838D2"/>
    <w:rsid w:val="00A86F04"/>
    <w:rsid w:val="00A9222E"/>
    <w:rsid w:val="00A92C08"/>
    <w:rsid w:val="00A946C4"/>
    <w:rsid w:val="00AA478E"/>
    <w:rsid w:val="00AA6D12"/>
    <w:rsid w:val="00AB137D"/>
    <w:rsid w:val="00AB723D"/>
    <w:rsid w:val="00AC01F8"/>
    <w:rsid w:val="00AC059A"/>
    <w:rsid w:val="00AC3BE3"/>
    <w:rsid w:val="00AC41CF"/>
    <w:rsid w:val="00AD0308"/>
    <w:rsid w:val="00AD377A"/>
    <w:rsid w:val="00AD67BB"/>
    <w:rsid w:val="00AE1CC1"/>
    <w:rsid w:val="00AE2BC9"/>
    <w:rsid w:val="00AE3EA4"/>
    <w:rsid w:val="00AE51A2"/>
    <w:rsid w:val="00AE51FE"/>
    <w:rsid w:val="00AF1B02"/>
    <w:rsid w:val="00AF37D6"/>
    <w:rsid w:val="00AF41E4"/>
    <w:rsid w:val="00AF568A"/>
    <w:rsid w:val="00AF60C1"/>
    <w:rsid w:val="00B0378F"/>
    <w:rsid w:val="00B05262"/>
    <w:rsid w:val="00B06A75"/>
    <w:rsid w:val="00B06BC3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5B47"/>
    <w:rsid w:val="00B362C3"/>
    <w:rsid w:val="00B40AA3"/>
    <w:rsid w:val="00B43AF9"/>
    <w:rsid w:val="00B44478"/>
    <w:rsid w:val="00B44C31"/>
    <w:rsid w:val="00B4609C"/>
    <w:rsid w:val="00B5012E"/>
    <w:rsid w:val="00B508DA"/>
    <w:rsid w:val="00B538BA"/>
    <w:rsid w:val="00B565DA"/>
    <w:rsid w:val="00B6002C"/>
    <w:rsid w:val="00B620EE"/>
    <w:rsid w:val="00B621D5"/>
    <w:rsid w:val="00B67DE1"/>
    <w:rsid w:val="00B67E5A"/>
    <w:rsid w:val="00B717FF"/>
    <w:rsid w:val="00B80FB4"/>
    <w:rsid w:val="00B83C68"/>
    <w:rsid w:val="00B85366"/>
    <w:rsid w:val="00B87F60"/>
    <w:rsid w:val="00B9079B"/>
    <w:rsid w:val="00B93B5E"/>
    <w:rsid w:val="00B93D3D"/>
    <w:rsid w:val="00B940BB"/>
    <w:rsid w:val="00B95780"/>
    <w:rsid w:val="00B96341"/>
    <w:rsid w:val="00BA169A"/>
    <w:rsid w:val="00BA2234"/>
    <w:rsid w:val="00BA2B99"/>
    <w:rsid w:val="00BA30B9"/>
    <w:rsid w:val="00BA471F"/>
    <w:rsid w:val="00BB0B01"/>
    <w:rsid w:val="00BB5013"/>
    <w:rsid w:val="00BB528E"/>
    <w:rsid w:val="00BB615A"/>
    <w:rsid w:val="00BB78CD"/>
    <w:rsid w:val="00BC108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D7E30"/>
    <w:rsid w:val="00BE0D9A"/>
    <w:rsid w:val="00BE1A50"/>
    <w:rsid w:val="00BE1A63"/>
    <w:rsid w:val="00BE2F0D"/>
    <w:rsid w:val="00BE5E2E"/>
    <w:rsid w:val="00BF0BD5"/>
    <w:rsid w:val="00BF0D35"/>
    <w:rsid w:val="00BF22D3"/>
    <w:rsid w:val="00BF55F8"/>
    <w:rsid w:val="00C000C6"/>
    <w:rsid w:val="00C03742"/>
    <w:rsid w:val="00C051FD"/>
    <w:rsid w:val="00C15FD2"/>
    <w:rsid w:val="00C1744F"/>
    <w:rsid w:val="00C20C7D"/>
    <w:rsid w:val="00C20DEF"/>
    <w:rsid w:val="00C20E9D"/>
    <w:rsid w:val="00C24B25"/>
    <w:rsid w:val="00C24CC2"/>
    <w:rsid w:val="00C24E89"/>
    <w:rsid w:val="00C32C2F"/>
    <w:rsid w:val="00C334B2"/>
    <w:rsid w:val="00C3738A"/>
    <w:rsid w:val="00C40859"/>
    <w:rsid w:val="00C4315A"/>
    <w:rsid w:val="00C43F5E"/>
    <w:rsid w:val="00C44074"/>
    <w:rsid w:val="00C44D85"/>
    <w:rsid w:val="00C4651F"/>
    <w:rsid w:val="00C50AF7"/>
    <w:rsid w:val="00C51D0B"/>
    <w:rsid w:val="00C52207"/>
    <w:rsid w:val="00C52A50"/>
    <w:rsid w:val="00C556E8"/>
    <w:rsid w:val="00C61628"/>
    <w:rsid w:val="00C642D4"/>
    <w:rsid w:val="00C66AF6"/>
    <w:rsid w:val="00C70801"/>
    <w:rsid w:val="00C730F4"/>
    <w:rsid w:val="00C74311"/>
    <w:rsid w:val="00C75BF3"/>
    <w:rsid w:val="00C80200"/>
    <w:rsid w:val="00C80ACA"/>
    <w:rsid w:val="00C80E0A"/>
    <w:rsid w:val="00C8270B"/>
    <w:rsid w:val="00C841A9"/>
    <w:rsid w:val="00C8728F"/>
    <w:rsid w:val="00C91D48"/>
    <w:rsid w:val="00C97FBC"/>
    <w:rsid w:val="00CA06C8"/>
    <w:rsid w:val="00CA0B7E"/>
    <w:rsid w:val="00CA12AD"/>
    <w:rsid w:val="00CA37B6"/>
    <w:rsid w:val="00CA495F"/>
    <w:rsid w:val="00CA4C28"/>
    <w:rsid w:val="00CA4E33"/>
    <w:rsid w:val="00CA5598"/>
    <w:rsid w:val="00CA5EF8"/>
    <w:rsid w:val="00CA7E91"/>
    <w:rsid w:val="00CB28A3"/>
    <w:rsid w:val="00CB3134"/>
    <w:rsid w:val="00CB3850"/>
    <w:rsid w:val="00CB45E9"/>
    <w:rsid w:val="00CB73EC"/>
    <w:rsid w:val="00CC00A0"/>
    <w:rsid w:val="00CC0FED"/>
    <w:rsid w:val="00CC3C34"/>
    <w:rsid w:val="00CC3F9F"/>
    <w:rsid w:val="00CC4FEB"/>
    <w:rsid w:val="00CC5455"/>
    <w:rsid w:val="00CC6C06"/>
    <w:rsid w:val="00CD1526"/>
    <w:rsid w:val="00CD1546"/>
    <w:rsid w:val="00CD2807"/>
    <w:rsid w:val="00CD5509"/>
    <w:rsid w:val="00CE0088"/>
    <w:rsid w:val="00CE0215"/>
    <w:rsid w:val="00CE1EB0"/>
    <w:rsid w:val="00CE3333"/>
    <w:rsid w:val="00CE3DF2"/>
    <w:rsid w:val="00CE4E2E"/>
    <w:rsid w:val="00CF04D5"/>
    <w:rsid w:val="00CF09A6"/>
    <w:rsid w:val="00CF0C0F"/>
    <w:rsid w:val="00CF1690"/>
    <w:rsid w:val="00CF1F2A"/>
    <w:rsid w:val="00CF40F8"/>
    <w:rsid w:val="00CF5CE3"/>
    <w:rsid w:val="00CF6489"/>
    <w:rsid w:val="00CF7412"/>
    <w:rsid w:val="00D014E1"/>
    <w:rsid w:val="00D02B1E"/>
    <w:rsid w:val="00D030F8"/>
    <w:rsid w:val="00D04D9C"/>
    <w:rsid w:val="00D077B7"/>
    <w:rsid w:val="00D11623"/>
    <w:rsid w:val="00D20297"/>
    <w:rsid w:val="00D21E43"/>
    <w:rsid w:val="00D21E6B"/>
    <w:rsid w:val="00D2336A"/>
    <w:rsid w:val="00D23634"/>
    <w:rsid w:val="00D32FA9"/>
    <w:rsid w:val="00D34551"/>
    <w:rsid w:val="00D36D27"/>
    <w:rsid w:val="00D41664"/>
    <w:rsid w:val="00D4569D"/>
    <w:rsid w:val="00D457D6"/>
    <w:rsid w:val="00D51E01"/>
    <w:rsid w:val="00D55013"/>
    <w:rsid w:val="00D64CE2"/>
    <w:rsid w:val="00D661D4"/>
    <w:rsid w:val="00D674A5"/>
    <w:rsid w:val="00D702E1"/>
    <w:rsid w:val="00D719B9"/>
    <w:rsid w:val="00D7270F"/>
    <w:rsid w:val="00D7596A"/>
    <w:rsid w:val="00D770EE"/>
    <w:rsid w:val="00D7751B"/>
    <w:rsid w:val="00D80322"/>
    <w:rsid w:val="00D815DC"/>
    <w:rsid w:val="00D822B5"/>
    <w:rsid w:val="00D83D3C"/>
    <w:rsid w:val="00D84451"/>
    <w:rsid w:val="00D85C95"/>
    <w:rsid w:val="00D867AE"/>
    <w:rsid w:val="00D8763C"/>
    <w:rsid w:val="00D87BBB"/>
    <w:rsid w:val="00D87C87"/>
    <w:rsid w:val="00D921C4"/>
    <w:rsid w:val="00D92918"/>
    <w:rsid w:val="00D9296A"/>
    <w:rsid w:val="00D93C23"/>
    <w:rsid w:val="00D94D84"/>
    <w:rsid w:val="00D95638"/>
    <w:rsid w:val="00D9584C"/>
    <w:rsid w:val="00D97180"/>
    <w:rsid w:val="00D97C79"/>
    <w:rsid w:val="00DA14D9"/>
    <w:rsid w:val="00DA39AB"/>
    <w:rsid w:val="00DA7588"/>
    <w:rsid w:val="00DB13AD"/>
    <w:rsid w:val="00DB23F9"/>
    <w:rsid w:val="00DB58BE"/>
    <w:rsid w:val="00DB602E"/>
    <w:rsid w:val="00DB6176"/>
    <w:rsid w:val="00DB6AA0"/>
    <w:rsid w:val="00DB7C3A"/>
    <w:rsid w:val="00DC1AFC"/>
    <w:rsid w:val="00DD14EE"/>
    <w:rsid w:val="00DD32AB"/>
    <w:rsid w:val="00DD5BF6"/>
    <w:rsid w:val="00DD64DC"/>
    <w:rsid w:val="00DE1865"/>
    <w:rsid w:val="00DE39AC"/>
    <w:rsid w:val="00DE5DEB"/>
    <w:rsid w:val="00DE6CEF"/>
    <w:rsid w:val="00DE74ED"/>
    <w:rsid w:val="00DF11C2"/>
    <w:rsid w:val="00DF2134"/>
    <w:rsid w:val="00DF2E79"/>
    <w:rsid w:val="00DF4593"/>
    <w:rsid w:val="00DF64E0"/>
    <w:rsid w:val="00E074C3"/>
    <w:rsid w:val="00E10D05"/>
    <w:rsid w:val="00E12C79"/>
    <w:rsid w:val="00E2223E"/>
    <w:rsid w:val="00E22D98"/>
    <w:rsid w:val="00E24623"/>
    <w:rsid w:val="00E246B8"/>
    <w:rsid w:val="00E252E3"/>
    <w:rsid w:val="00E25B1B"/>
    <w:rsid w:val="00E26736"/>
    <w:rsid w:val="00E27BCA"/>
    <w:rsid w:val="00E3434B"/>
    <w:rsid w:val="00E345A3"/>
    <w:rsid w:val="00E378A9"/>
    <w:rsid w:val="00E40505"/>
    <w:rsid w:val="00E42A41"/>
    <w:rsid w:val="00E45766"/>
    <w:rsid w:val="00E45AC5"/>
    <w:rsid w:val="00E47C11"/>
    <w:rsid w:val="00E5133B"/>
    <w:rsid w:val="00E5625E"/>
    <w:rsid w:val="00E567E5"/>
    <w:rsid w:val="00E5748B"/>
    <w:rsid w:val="00E635F7"/>
    <w:rsid w:val="00E64480"/>
    <w:rsid w:val="00E655F6"/>
    <w:rsid w:val="00E65807"/>
    <w:rsid w:val="00E66103"/>
    <w:rsid w:val="00E6708B"/>
    <w:rsid w:val="00E73A8C"/>
    <w:rsid w:val="00E75050"/>
    <w:rsid w:val="00E75D5E"/>
    <w:rsid w:val="00E76F42"/>
    <w:rsid w:val="00E77017"/>
    <w:rsid w:val="00E77D6D"/>
    <w:rsid w:val="00E8395F"/>
    <w:rsid w:val="00E915E6"/>
    <w:rsid w:val="00E92A3E"/>
    <w:rsid w:val="00E92E40"/>
    <w:rsid w:val="00E92EEE"/>
    <w:rsid w:val="00E943C2"/>
    <w:rsid w:val="00EA1AD9"/>
    <w:rsid w:val="00EA2763"/>
    <w:rsid w:val="00EA2D06"/>
    <w:rsid w:val="00EA3E11"/>
    <w:rsid w:val="00EA5C4B"/>
    <w:rsid w:val="00EA6EB3"/>
    <w:rsid w:val="00EB02F3"/>
    <w:rsid w:val="00EB4A8E"/>
    <w:rsid w:val="00EB5EF3"/>
    <w:rsid w:val="00EB62F7"/>
    <w:rsid w:val="00EB664D"/>
    <w:rsid w:val="00EB695D"/>
    <w:rsid w:val="00EB6D60"/>
    <w:rsid w:val="00EB7C6D"/>
    <w:rsid w:val="00EC38F3"/>
    <w:rsid w:val="00EC4241"/>
    <w:rsid w:val="00ED0404"/>
    <w:rsid w:val="00ED1407"/>
    <w:rsid w:val="00ED2417"/>
    <w:rsid w:val="00ED39CE"/>
    <w:rsid w:val="00ED4134"/>
    <w:rsid w:val="00ED7A9F"/>
    <w:rsid w:val="00EE05F1"/>
    <w:rsid w:val="00EE1050"/>
    <w:rsid w:val="00EE1B0F"/>
    <w:rsid w:val="00EE3226"/>
    <w:rsid w:val="00EE391F"/>
    <w:rsid w:val="00EE471A"/>
    <w:rsid w:val="00EE5492"/>
    <w:rsid w:val="00EE583A"/>
    <w:rsid w:val="00EF0A00"/>
    <w:rsid w:val="00EF7395"/>
    <w:rsid w:val="00F00624"/>
    <w:rsid w:val="00F0183C"/>
    <w:rsid w:val="00F0379D"/>
    <w:rsid w:val="00F03C79"/>
    <w:rsid w:val="00F07BD5"/>
    <w:rsid w:val="00F10E67"/>
    <w:rsid w:val="00F122D6"/>
    <w:rsid w:val="00F147EA"/>
    <w:rsid w:val="00F14C8A"/>
    <w:rsid w:val="00F15BF4"/>
    <w:rsid w:val="00F1713B"/>
    <w:rsid w:val="00F171E0"/>
    <w:rsid w:val="00F17940"/>
    <w:rsid w:val="00F17DC0"/>
    <w:rsid w:val="00F2046C"/>
    <w:rsid w:val="00F20647"/>
    <w:rsid w:val="00F207FC"/>
    <w:rsid w:val="00F211D1"/>
    <w:rsid w:val="00F243E2"/>
    <w:rsid w:val="00F274DB"/>
    <w:rsid w:val="00F31392"/>
    <w:rsid w:val="00F348B5"/>
    <w:rsid w:val="00F3652B"/>
    <w:rsid w:val="00F36D95"/>
    <w:rsid w:val="00F377B9"/>
    <w:rsid w:val="00F45442"/>
    <w:rsid w:val="00F5145E"/>
    <w:rsid w:val="00F554DB"/>
    <w:rsid w:val="00F558EA"/>
    <w:rsid w:val="00F5681C"/>
    <w:rsid w:val="00F6045D"/>
    <w:rsid w:val="00F613CB"/>
    <w:rsid w:val="00F61F79"/>
    <w:rsid w:val="00F62B57"/>
    <w:rsid w:val="00F64860"/>
    <w:rsid w:val="00F64E32"/>
    <w:rsid w:val="00F651DD"/>
    <w:rsid w:val="00F656A4"/>
    <w:rsid w:val="00F6665E"/>
    <w:rsid w:val="00F70255"/>
    <w:rsid w:val="00F703F5"/>
    <w:rsid w:val="00F7075F"/>
    <w:rsid w:val="00F71D76"/>
    <w:rsid w:val="00F7270D"/>
    <w:rsid w:val="00F8183F"/>
    <w:rsid w:val="00F8349F"/>
    <w:rsid w:val="00F83FB7"/>
    <w:rsid w:val="00F85935"/>
    <w:rsid w:val="00F85B79"/>
    <w:rsid w:val="00F85D29"/>
    <w:rsid w:val="00F91A0D"/>
    <w:rsid w:val="00F969D3"/>
    <w:rsid w:val="00F9789E"/>
    <w:rsid w:val="00FA190E"/>
    <w:rsid w:val="00FA2FB4"/>
    <w:rsid w:val="00FA54D8"/>
    <w:rsid w:val="00FB460E"/>
    <w:rsid w:val="00FB51F2"/>
    <w:rsid w:val="00FC0E90"/>
    <w:rsid w:val="00FC24A5"/>
    <w:rsid w:val="00FC4FB7"/>
    <w:rsid w:val="00FC65E5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212"/>
    <w:rsid w:val="00FE1692"/>
    <w:rsid w:val="00FE2371"/>
    <w:rsid w:val="00FE3069"/>
    <w:rsid w:val="00FE3B13"/>
    <w:rsid w:val="00FE3E04"/>
    <w:rsid w:val="00FF0566"/>
    <w:rsid w:val="00FF15F5"/>
    <w:rsid w:val="00FF3E34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98465"/>
  <w15:docId w15:val="{79775C0E-A568-46EB-8F12-5E7005B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9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C6"/>
    <w:pPr>
      <w:spacing w:after="120" w:line="300" w:lineRule="atLeast"/>
    </w:pPr>
    <w:rPr>
      <w:spacing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3D1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/>
      <w:color w:val="3D4D7D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33D1"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color w:val="3D4D7D" w:themeColor="background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33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D4D7D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74A5"/>
    <w:pPr>
      <w:keepNext/>
      <w:keepLines/>
      <w:spacing w:before="240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674A5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674A5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D674A5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Attachment Title"/>
    <w:basedOn w:val="Heading1"/>
    <w:next w:val="Normal"/>
    <w:link w:val="Heading8Char"/>
    <w:uiPriority w:val="9"/>
    <w:unhideWhenUsed/>
    <w:rsid w:val="009B33D1"/>
    <w:pPr>
      <w:numPr>
        <w:numId w:val="5"/>
      </w:numPr>
      <w:tabs>
        <w:tab w:val="left" w:pos="4536"/>
      </w:tabs>
      <w:spacing w:before="480" w:after="340"/>
      <w:outlineLvl w:val="7"/>
    </w:pPr>
    <w:rPr>
      <w:sz w:val="3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674A5"/>
    <w:pPr>
      <w:keepNext/>
      <w:keepLines/>
      <w:numPr>
        <w:ilvl w:val="1"/>
        <w:numId w:val="6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9778B4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D674A5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74A5"/>
    <w:rPr>
      <w:spacing w:val="-1"/>
      <w:sz w:val="18"/>
    </w:rPr>
  </w:style>
  <w:style w:type="character" w:styleId="FootnoteReference">
    <w:name w:val="footnote reference"/>
    <w:basedOn w:val="DefaultParagraphFont"/>
    <w:uiPriority w:val="99"/>
    <w:semiHidden/>
    <w:rsid w:val="00D674A5"/>
    <w:rPr>
      <w:vertAlign w:val="superscript"/>
    </w:rPr>
  </w:style>
  <w:style w:type="paragraph" w:customStyle="1" w:styleId="AppendixNumbered">
    <w:name w:val="Appendix Numbered"/>
    <w:basedOn w:val="Heading2"/>
    <w:uiPriority w:val="11"/>
    <w:qFormat/>
    <w:rsid w:val="00D674A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3D1"/>
    <w:rPr>
      <w:rFonts w:asciiTheme="majorHAnsi" w:eastAsiaTheme="majorEastAsia" w:hAnsiTheme="majorHAnsi" w:cstheme="majorBidi"/>
      <w:b/>
      <w:color w:val="3D4D7D" w:themeColor="background2"/>
      <w:spacing w:val="-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74A5"/>
    <w:rPr>
      <w:rFonts w:eastAsiaTheme="majorEastAsia" w:cstheme="majorBidi"/>
      <w:b/>
      <w:iCs/>
      <w:color w:val="auto"/>
      <w:spacing w:val="-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A5"/>
    <w:rPr>
      <w:rFonts w:eastAsiaTheme="majorEastAsia" w:cstheme="majorBidi"/>
      <w:b/>
      <w:i/>
      <w:color w:val="auto"/>
      <w:spacing w:val="-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A5"/>
    <w:rPr>
      <w:rFonts w:eastAsiaTheme="majorEastAsia" w:cstheme="majorBidi"/>
      <w:b/>
      <w:i/>
      <w:spacing w:val="-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A5"/>
    <w:rPr>
      <w:rFonts w:eastAsiaTheme="majorEastAsia" w:cstheme="majorBidi"/>
      <w:i/>
      <w:iCs/>
      <w:spacing w:val="-1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A5"/>
    <w:rPr>
      <w:rFonts w:asciiTheme="majorHAnsi" w:hAnsiTheme="majorHAnsi"/>
      <w:color w:val="9778B4" w:themeColor="text2"/>
      <w:spacing w:val="-1"/>
      <w:sz w:val="32"/>
    </w:rPr>
  </w:style>
  <w:style w:type="numbering" w:customStyle="1" w:styleId="AppendixNumbers">
    <w:name w:val="Appendix Numbers"/>
    <w:uiPriority w:val="99"/>
    <w:rsid w:val="00D674A5"/>
    <w:pPr>
      <w:numPr>
        <w:numId w:val="1"/>
      </w:numPr>
    </w:pPr>
  </w:style>
  <w:style w:type="numbering" w:customStyle="1" w:styleId="AttachementsNumbered">
    <w:name w:val="Attachements Numbered"/>
    <w:uiPriority w:val="99"/>
    <w:rsid w:val="00D674A5"/>
    <w:pPr>
      <w:numPr>
        <w:numId w:val="2"/>
      </w:numPr>
    </w:pPr>
  </w:style>
  <w:style w:type="paragraph" w:customStyle="1" w:styleId="Box1Text">
    <w:name w:val="Box 1 Text"/>
    <w:basedOn w:val="Normal"/>
    <w:uiPriority w:val="13"/>
    <w:rsid w:val="00D674A5"/>
    <w:pPr>
      <w:pBdr>
        <w:top w:val="single" w:sz="4" w:space="14" w:color="D3D8E9" w:themeColor="background2" w:themeTint="33"/>
        <w:left w:val="single" w:sz="4" w:space="14" w:color="D3D8E9" w:themeColor="background2" w:themeTint="33"/>
        <w:bottom w:val="single" w:sz="4" w:space="14" w:color="D3D8E9" w:themeColor="background2" w:themeTint="33"/>
        <w:right w:val="single" w:sz="4" w:space="14" w:color="D3D8E9" w:themeColor="background2" w:themeTint="33"/>
      </w:pBdr>
      <w:shd w:val="clear" w:color="auto" w:fill="D3D8E9" w:themeFill="background2" w:themeFillTint="33"/>
      <w:ind w:left="284" w:right="284"/>
    </w:pPr>
  </w:style>
  <w:style w:type="paragraph" w:customStyle="1" w:styleId="Box1Bullet">
    <w:name w:val="Box 1 Bullet"/>
    <w:basedOn w:val="Box1Text"/>
    <w:uiPriority w:val="14"/>
    <w:rsid w:val="00D674A5"/>
    <w:pPr>
      <w:numPr>
        <w:numId w:val="3"/>
      </w:numPr>
    </w:pPr>
  </w:style>
  <w:style w:type="paragraph" w:styleId="Caption">
    <w:name w:val="caption"/>
    <w:basedOn w:val="Normal"/>
    <w:next w:val="Normal"/>
    <w:uiPriority w:val="13"/>
    <w:qFormat/>
    <w:rsid w:val="00D674A5"/>
    <w:pPr>
      <w:keepNext/>
      <w:keepLines/>
      <w:spacing w:before="360"/>
    </w:pPr>
    <w:rPr>
      <w:b/>
      <w:iCs/>
      <w:color w:val="3D4D7D" w:themeColor="background2"/>
      <w:szCs w:val="18"/>
    </w:rPr>
  </w:style>
  <w:style w:type="paragraph" w:styleId="Footer">
    <w:name w:val="footer"/>
    <w:basedOn w:val="Normal"/>
    <w:link w:val="Foot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74A5"/>
    <w:rPr>
      <w:spacing w:val="-1"/>
      <w:sz w:val="16"/>
    </w:rPr>
  </w:style>
  <w:style w:type="paragraph" w:customStyle="1" w:styleId="Box1Heading">
    <w:name w:val="Box 1 Heading"/>
    <w:basedOn w:val="Box1Text"/>
    <w:uiPriority w:val="13"/>
    <w:rsid w:val="00D674A5"/>
    <w:rPr>
      <w:b/>
      <w:bCs/>
      <w:sz w:val="24"/>
      <w:szCs w:val="24"/>
    </w:rPr>
  </w:style>
  <w:style w:type="paragraph" w:customStyle="1" w:styleId="Box2Text">
    <w:name w:val="Box 2 Text"/>
    <w:basedOn w:val="Normal"/>
    <w:uiPriority w:val="14"/>
    <w:rsid w:val="00D674A5"/>
    <w:pPr>
      <w:pBdr>
        <w:top w:val="single" w:sz="4" w:space="14" w:color="3D4D7D" w:themeColor="background2"/>
        <w:left w:val="single" w:sz="4" w:space="14" w:color="3D4D7D" w:themeColor="background2"/>
        <w:bottom w:val="single" w:sz="4" w:space="14" w:color="3D4D7D" w:themeColor="background2"/>
        <w:right w:val="single" w:sz="4" w:space="14" w:color="3D4D7D" w:themeColor="background2"/>
      </w:pBdr>
      <w:ind w:left="284" w:right="284"/>
    </w:pPr>
  </w:style>
  <w:style w:type="paragraph" w:customStyle="1" w:styleId="Box2Bullet">
    <w:name w:val="Box 2 Bullet"/>
    <w:basedOn w:val="Box2Text"/>
    <w:uiPriority w:val="15"/>
    <w:rsid w:val="00D674A5"/>
    <w:pPr>
      <w:numPr>
        <w:ilvl w:val="1"/>
        <w:numId w:val="3"/>
      </w:numPr>
    </w:pPr>
  </w:style>
  <w:style w:type="paragraph" w:customStyle="1" w:styleId="Box2Heading">
    <w:name w:val="Box 2 Heading"/>
    <w:basedOn w:val="Box2Text"/>
    <w:uiPriority w:val="14"/>
    <w:rsid w:val="00D674A5"/>
    <w:rPr>
      <w:b/>
      <w:bCs/>
      <w:sz w:val="24"/>
      <w:szCs w:val="24"/>
    </w:rPr>
  </w:style>
  <w:style w:type="numbering" w:customStyle="1" w:styleId="BoxedBullets">
    <w:name w:val="Boxed Bullets"/>
    <w:uiPriority w:val="99"/>
    <w:rsid w:val="00D674A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74A5"/>
    <w:rPr>
      <w:rFonts w:asciiTheme="majorHAnsi" w:hAnsiTheme="majorHAnsi"/>
      <w:spacing w:val="-1"/>
      <w:sz w:val="16"/>
    </w:rPr>
  </w:style>
  <w:style w:type="paragraph" w:customStyle="1" w:styleId="Bullet1">
    <w:name w:val="Bullet 1"/>
    <w:basedOn w:val="Normal"/>
    <w:uiPriority w:val="2"/>
    <w:qFormat/>
    <w:rsid w:val="00567854"/>
    <w:pPr>
      <w:numPr>
        <w:numId w:val="4"/>
      </w:numPr>
      <w:spacing w:before="70"/>
      <w:ind w:left="284"/>
    </w:pPr>
  </w:style>
  <w:style w:type="paragraph" w:customStyle="1" w:styleId="Bullet2">
    <w:name w:val="Bullet 2"/>
    <w:basedOn w:val="Normal"/>
    <w:uiPriority w:val="2"/>
    <w:qFormat/>
    <w:rsid w:val="00673005"/>
    <w:pPr>
      <w:numPr>
        <w:ilvl w:val="1"/>
        <w:numId w:val="4"/>
      </w:numPr>
    </w:pPr>
  </w:style>
  <w:style w:type="paragraph" w:customStyle="1" w:styleId="Bullet3">
    <w:name w:val="Bullet 3"/>
    <w:basedOn w:val="Normal"/>
    <w:uiPriority w:val="2"/>
    <w:qFormat/>
    <w:rsid w:val="00201EAE"/>
    <w:pPr>
      <w:numPr>
        <w:numId w:val="40"/>
      </w:numPr>
      <w:spacing w:before="70"/>
    </w:pPr>
  </w:style>
  <w:style w:type="paragraph" w:styleId="ListContinue">
    <w:name w:val="List Continue"/>
    <w:basedOn w:val="Normal"/>
    <w:uiPriority w:val="99"/>
    <w:semiHidden/>
    <w:qFormat/>
    <w:rsid w:val="00D674A5"/>
    <w:pPr>
      <w:spacing w:before="220" w:after="220"/>
      <w:ind w:left="340"/>
    </w:pPr>
  </w:style>
  <w:style w:type="paragraph" w:styleId="ListContinue2">
    <w:name w:val="List Continue 2"/>
    <w:basedOn w:val="Normal"/>
    <w:uiPriority w:val="99"/>
    <w:semiHidden/>
    <w:qFormat/>
    <w:rsid w:val="00D674A5"/>
    <w:pPr>
      <w:spacing w:before="220" w:after="220"/>
      <w:ind w:left="680"/>
    </w:pPr>
  </w:style>
  <w:style w:type="numbering" w:customStyle="1" w:styleId="DefaultBullets">
    <w:name w:val="Default Bullets"/>
    <w:uiPriority w:val="99"/>
    <w:rsid w:val="00D674A5"/>
    <w:pPr>
      <w:numPr>
        <w:numId w:val="4"/>
      </w:numPr>
    </w:pPr>
  </w:style>
  <w:style w:type="character" w:styleId="Emphasis">
    <w:name w:val="Emphasis"/>
    <w:basedOn w:val="DefaultParagraphFont"/>
    <w:uiPriority w:val="33"/>
    <w:semiHidden/>
    <w:rsid w:val="00D674A5"/>
    <w:rPr>
      <w:i/>
      <w:iCs/>
    </w:rPr>
  </w:style>
  <w:style w:type="table" w:styleId="GridTable5Dark-Accent1">
    <w:name w:val="Grid Table 5 Dark Accent 1"/>
    <w:basedOn w:val="TableNormal"/>
    <w:uiPriority w:val="50"/>
    <w:rsid w:val="00D674A5"/>
    <w:pPr>
      <w:spacing w:after="0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band1Vert">
      <w:tblPr/>
      <w:tcPr>
        <w:shd w:val="clear" w:color="auto" w:fill="D6B0CE" w:themeFill="accent1" w:themeFillTint="66"/>
      </w:tcPr>
    </w:tblStylePr>
    <w:tblStylePr w:type="band1Horz">
      <w:tblPr/>
      <w:tcPr>
        <w:shd w:val="clear" w:color="auto" w:fill="D6B0CE" w:themeFill="accent1" w:themeFillTint="66"/>
      </w:tcPr>
    </w:tblStylePr>
  </w:style>
  <w:style w:type="paragraph" w:customStyle="1" w:styleId="Heading1Numbered">
    <w:name w:val="Heading 1 Numbered"/>
    <w:basedOn w:val="Heading1"/>
    <w:uiPriority w:val="10"/>
    <w:qFormat/>
    <w:rsid w:val="00D674A5"/>
    <w:pPr>
      <w:numPr>
        <w:numId w:val="10"/>
      </w:numPr>
    </w:pPr>
  </w:style>
  <w:style w:type="paragraph" w:styleId="NoSpacing">
    <w:name w:val="No Spacing"/>
    <w:uiPriority w:val="4"/>
    <w:rsid w:val="00D674A5"/>
    <w:pPr>
      <w:spacing w:after="120"/>
      <w:contextualSpacing/>
    </w:pPr>
    <w:rPr>
      <w:sz w:val="20"/>
      <w:szCs w:val="20"/>
    </w:rPr>
  </w:style>
  <w:style w:type="paragraph" w:customStyle="1" w:styleId="Heading2Numbered">
    <w:name w:val="Heading 2 Numbered"/>
    <w:basedOn w:val="Heading2"/>
    <w:uiPriority w:val="10"/>
    <w:qFormat/>
    <w:rsid w:val="00D674A5"/>
    <w:pPr>
      <w:numPr>
        <w:ilvl w:val="1"/>
        <w:numId w:val="10"/>
      </w:numPr>
    </w:pPr>
  </w:style>
  <w:style w:type="paragraph" w:customStyle="1" w:styleId="Heading3Numbered">
    <w:name w:val="Heading 3 Numbered"/>
    <w:basedOn w:val="Heading3"/>
    <w:uiPriority w:val="10"/>
    <w:qFormat/>
    <w:rsid w:val="00D674A5"/>
    <w:pPr>
      <w:numPr>
        <w:ilvl w:val="2"/>
        <w:numId w:val="10"/>
      </w:numPr>
    </w:pPr>
  </w:style>
  <w:style w:type="character" w:styleId="IntenseEmphasis">
    <w:name w:val="Intense Emphasis"/>
    <w:basedOn w:val="DefaultParagraphFont"/>
    <w:uiPriority w:val="33"/>
    <w:semiHidden/>
    <w:rsid w:val="00D674A5"/>
    <w:rPr>
      <w:b/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rsid w:val="00D674A5"/>
    <w:rPr>
      <w:rFonts w:ascii="Arial" w:hAnsi="Arial"/>
      <w:b/>
      <w:color w:val="auto"/>
      <w:sz w:val="16"/>
    </w:rPr>
  </w:style>
  <w:style w:type="paragraph" w:customStyle="1" w:styleId="IntroPara">
    <w:name w:val="Intro Para"/>
    <w:basedOn w:val="Normal"/>
    <w:uiPriority w:val="1"/>
    <w:qFormat/>
    <w:rsid w:val="00D674A5"/>
    <w:pPr>
      <w:spacing w:before="240" w:after="240" w:line="400" w:lineRule="atLeast"/>
      <w:contextualSpacing/>
    </w:pPr>
    <w:rPr>
      <w:rFonts w:asciiTheme="majorHAnsi" w:hAnsiTheme="majorHAnsi"/>
      <w:color w:val="8D487F" w:themeColor="accent1"/>
      <w:sz w:val="28"/>
    </w:rPr>
  </w:style>
  <w:style w:type="table" w:styleId="LightList-Accent1">
    <w:name w:val="Light List Accent 1"/>
    <w:basedOn w:val="TableNormal"/>
    <w:uiPriority w:val="61"/>
    <w:rsid w:val="00D674A5"/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band1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rsid w:val="00D674A5"/>
    <w:rPr>
      <w:color w:val="808080"/>
    </w:rPr>
  </w:style>
  <w:style w:type="numbering" w:customStyle="1" w:styleId="List1Numbered">
    <w:name w:val="List 1 Numbered"/>
    <w:uiPriority w:val="99"/>
    <w:rsid w:val="00D674A5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D674A5"/>
    <w:pPr>
      <w:numPr>
        <w:numId w:val="8"/>
      </w:numPr>
      <w:spacing w:before="60"/>
    </w:pPr>
  </w:style>
  <w:style w:type="paragraph" w:customStyle="1" w:styleId="List1Numbered2">
    <w:name w:val="List 1 Numbered 2"/>
    <w:basedOn w:val="Normal"/>
    <w:uiPriority w:val="2"/>
    <w:qFormat/>
    <w:rsid w:val="00D674A5"/>
    <w:pPr>
      <w:numPr>
        <w:ilvl w:val="1"/>
        <w:numId w:val="8"/>
      </w:numPr>
      <w:spacing w:before="60"/>
    </w:pPr>
  </w:style>
  <w:style w:type="paragraph" w:customStyle="1" w:styleId="List1Numbered3">
    <w:name w:val="List 1 Numbered 3"/>
    <w:basedOn w:val="Normal"/>
    <w:uiPriority w:val="2"/>
    <w:qFormat/>
    <w:rsid w:val="00D674A5"/>
    <w:pPr>
      <w:numPr>
        <w:ilvl w:val="2"/>
        <w:numId w:val="8"/>
      </w:numPr>
      <w:spacing w:before="60"/>
    </w:pPr>
  </w:style>
  <w:style w:type="paragraph" w:customStyle="1" w:styleId="NameofProposal">
    <w:name w:val="Name of Proposal"/>
    <w:basedOn w:val="Normal"/>
    <w:uiPriority w:val="12"/>
    <w:qFormat/>
    <w:rsid w:val="00D674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Indent10mm">
    <w:name w:val="Normal Indent 10mm"/>
    <w:basedOn w:val="Normal"/>
    <w:uiPriority w:val="1"/>
    <w:rsid w:val="00D674A5"/>
    <w:pPr>
      <w:ind w:left="567"/>
    </w:pPr>
  </w:style>
  <w:style w:type="paragraph" w:customStyle="1" w:styleId="NormalNumbered">
    <w:name w:val="Normal Numbered"/>
    <w:basedOn w:val="Normal"/>
    <w:qFormat/>
    <w:rsid w:val="00D674A5"/>
    <w:pPr>
      <w:numPr>
        <w:numId w:val="9"/>
      </w:numPr>
    </w:pPr>
  </w:style>
  <w:style w:type="paragraph" w:styleId="Quote">
    <w:name w:val="Quote"/>
    <w:basedOn w:val="Normal"/>
    <w:link w:val="QuoteChar"/>
    <w:uiPriority w:val="99"/>
    <w:semiHidden/>
    <w:rsid w:val="00D674A5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674A5"/>
    <w:rPr>
      <w:i/>
      <w:iCs/>
      <w:spacing w:val="-1"/>
    </w:rPr>
  </w:style>
  <w:style w:type="numbering" w:customStyle="1" w:styleId="NormalNumberedParas">
    <w:name w:val="Normal Numbered Paras"/>
    <w:uiPriority w:val="99"/>
    <w:rsid w:val="00D674A5"/>
    <w:pPr>
      <w:numPr>
        <w:numId w:val="9"/>
      </w:numPr>
    </w:pPr>
  </w:style>
  <w:style w:type="numbering" w:customStyle="1" w:styleId="NumberedHeadings">
    <w:name w:val="Numbered Headings"/>
    <w:uiPriority w:val="99"/>
    <w:rsid w:val="00D674A5"/>
    <w:pPr>
      <w:numPr>
        <w:numId w:val="10"/>
      </w:numPr>
    </w:pPr>
  </w:style>
  <w:style w:type="paragraph" w:styleId="Subtitle">
    <w:name w:val="Subtitle"/>
    <w:basedOn w:val="Normal"/>
    <w:next w:val="Normal"/>
    <w:link w:val="SubtitleChar"/>
    <w:uiPriority w:val="23"/>
    <w:qFormat/>
    <w:rsid w:val="00D674A5"/>
    <w:pPr>
      <w:keepLines/>
      <w:numPr>
        <w:ilvl w:val="1"/>
      </w:numPr>
      <w:spacing w:before="0"/>
      <w:contextualSpacing/>
    </w:pPr>
    <w:rPr>
      <w:rFonts w:eastAsiaTheme="minorEastAsia"/>
      <w:b/>
      <w:color w:val="3D4D7D" w:themeColor="background2"/>
      <w:sz w:val="30"/>
    </w:rPr>
  </w:style>
  <w:style w:type="character" w:customStyle="1" w:styleId="SubtitleChar">
    <w:name w:val="Subtitle Char"/>
    <w:basedOn w:val="DefaultParagraphFont"/>
    <w:link w:val="Subtitle"/>
    <w:uiPriority w:val="23"/>
    <w:rsid w:val="00D674A5"/>
    <w:rPr>
      <w:rFonts w:eastAsiaTheme="minorEastAsia"/>
      <w:b/>
      <w:color w:val="3D4D7D" w:themeColor="background2"/>
      <w:spacing w:val="-1"/>
      <w:sz w:val="30"/>
    </w:rPr>
  </w:style>
  <w:style w:type="paragraph" w:customStyle="1" w:styleId="SourceNotes">
    <w:name w:val="Source Notes"/>
    <w:basedOn w:val="Normal"/>
    <w:uiPriority w:val="21"/>
    <w:qFormat/>
    <w:rsid w:val="001B25FE"/>
    <w:pPr>
      <w:spacing w:before="0" w:line="260" w:lineRule="atLeast"/>
      <w:ind w:left="341" w:hanging="284"/>
    </w:pPr>
    <w:rPr>
      <w:sz w:val="20"/>
    </w:rPr>
  </w:style>
  <w:style w:type="paragraph" w:customStyle="1" w:styleId="SourceNotesHeading">
    <w:name w:val="Source Notes Heading"/>
    <w:basedOn w:val="SourceNotes"/>
    <w:uiPriority w:val="20"/>
    <w:qFormat/>
    <w:rsid w:val="00D674A5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D674A5"/>
    <w:pPr>
      <w:numPr>
        <w:numId w:val="11"/>
      </w:numPr>
    </w:pPr>
  </w:style>
  <w:style w:type="table" w:styleId="TableGrid">
    <w:name w:val="Table Grid"/>
    <w:basedOn w:val="TableNormal"/>
    <w:uiPriority w:val="39"/>
    <w:rsid w:val="00D674A5"/>
    <w:pPr>
      <w:spacing w:after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33"/>
    <w:semiHidden/>
    <w:rsid w:val="00D674A5"/>
    <w:rPr>
      <w:b/>
      <w:bCs/>
    </w:rPr>
  </w:style>
  <w:style w:type="table" w:styleId="TableGridLight">
    <w:name w:val="Grid Table Light"/>
    <w:basedOn w:val="TableNormal"/>
    <w:uiPriority w:val="40"/>
    <w:rsid w:val="00D674A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9">
    <w:name w:val="toc 9"/>
    <w:basedOn w:val="Normal"/>
    <w:next w:val="Normal"/>
    <w:uiPriority w:val="39"/>
    <w:semiHidden/>
    <w:rsid w:val="00D674A5"/>
    <w:pPr>
      <w:spacing w:after="100"/>
      <w:ind w:left="1600"/>
    </w:pPr>
  </w:style>
  <w:style w:type="paragraph" w:styleId="Title">
    <w:name w:val="Title"/>
    <w:basedOn w:val="Normal"/>
    <w:next w:val="Normal"/>
    <w:link w:val="TitleChar"/>
    <w:uiPriority w:val="22"/>
    <w:qFormat/>
    <w:rsid w:val="00D674A5"/>
    <w:pPr>
      <w:keepLines/>
      <w:spacing w:before="0"/>
      <w:contextualSpacing/>
      <w:outlineLvl w:val="0"/>
    </w:pPr>
    <w:rPr>
      <w:rFonts w:asciiTheme="majorHAnsi" w:eastAsiaTheme="majorEastAsia" w:hAnsiTheme="majorHAnsi" w:cstheme="majorBidi"/>
      <w:color w:val="3D4D7D" w:themeColor="background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D674A5"/>
    <w:rPr>
      <w:rFonts w:asciiTheme="majorHAnsi" w:eastAsiaTheme="majorEastAsia" w:hAnsiTheme="majorHAnsi" w:cstheme="majorBidi"/>
      <w:color w:val="3D4D7D" w:themeColor="background2"/>
      <w:spacing w:val="-1"/>
      <w:kern w:val="28"/>
      <w:sz w:val="52"/>
      <w:szCs w:val="56"/>
    </w:rPr>
  </w:style>
  <w:style w:type="paragraph" w:styleId="TOC1">
    <w:name w:val="toc 1"/>
    <w:basedOn w:val="Normal"/>
    <w:next w:val="Normal"/>
    <w:uiPriority w:val="39"/>
    <w:semiHidden/>
    <w:rsid w:val="00D674A5"/>
    <w:pPr>
      <w:keepNext/>
      <w:tabs>
        <w:tab w:val="right" w:pos="9628"/>
      </w:tabs>
      <w:spacing w:line="340" w:lineRule="atLeast"/>
    </w:pPr>
    <w:rPr>
      <w:b/>
      <w:sz w:val="24"/>
      <w:u w:color="9778B4" w:themeColor="text2"/>
    </w:rPr>
  </w:style>
  <w:style w:type="paragraph" w:styleId="TOC2">
    <w:name w:val="toc 2"/>
    <w:basedOn w:val="Normal"/>
    <w:next w:val="Normal"/>
    <w:uiPriority w:val="39"/>
    <w:semiHidden/>
    <w:rsid w:val="00D674A5"/>
    <w:pPr>
      <w:tabs>
        <w:tab w:val="right" w:pos="9628"/>
      </w:tabs>
      <w:ind w:left="567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284"/>
    </w:pPr>
  </w:style>
  <w:style w:type="paragraph" w:styleId="TOC4">
    <w:name w:val="toc 4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1135" w:hanging="851"/>
    </w:pPr>
  </w:style>
  <w:style w:type="paragraph" w:styleId="TOC5">
    <w:name w:val="toc 5"/>
    <w:basedOn w:val="Normal"/>
    <w:next w:val="Normal"/>
    <w:uiPriority w:val="39"/>
    <w:semiHidden/>
    <w:rsid w:val="00D674A5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uiPriority w:val="39"/>
    <w:semiHidden/>
    <w:rsid w:val="00D674A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D674A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D674A5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Heading1"/>
    <w:next w:val="Normal"/>
    <w:uiPriority w:val="39"/>
    <w:semiHidden/>
    <w:rsid w:val="00D674A5"/>
    <w:pPr>
      <w:outlineLvl w:val="9"/>
    </w:pPr>
  </w:style>
  <w:style w:type="character" w:styleId="Hyperlink">
    <w:name w:val="Hyperlink"/>
    <w:basedOn w:val="DefaultParagraphFont"/>
    <w:uiPriority w:val="99"/>
    <w:rsid w:val="00D674A5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A5"/>
    <w:rPr>
      <w:rFonts w:ascii="Tahoma" w:hAnsi="Tahoma" w:cs="Tahoma"/>
      <w:spacing w:val="-1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D674A5"/>
    <w:pPr>
      <w:tabs>
        <w:tab w:val="right" w:leader="underscore" w:pos="8165"/>
      </w:tabs>
      <w:spacing w:after="80"/>
      <w:ind w:right="851"/>
    </w:pPr>
  </w:style>
  <w:style w:type="table" w:styleId="LightGrid-Accent6">
    <w:name w:val="Light Grid Accent 6"/>
    <w:basedOn w:val="TableNormal"/>
    <w:uiPriority w:val="62"/>
    <w:unhideWhenUsed/>
    <w:rsid w:val="00D674A5"/>
    <w:pPr>
      <w:spacing w:before="0" w:after="0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D674A5"/>
    <w:rPr>
      <w:color w:val="0070C0"/>
      <w:u w:val="single"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uiPriority w:val="99"/>
    <w:semiHidden/>
    <w:unhideWhenUsed/>
    <w:rsid w:val="00D6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4A5"/>
    <w:pPr>
      <w:spacing w:after="114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4A5"/>
    <w:rPr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C2D"/>
    <w:rPr>
      <w:b/>
      <w:bCs/>
      <w:spacing w:val="-1"/>
      <w:sz w:val="20"/>
      <w:szCs w:val="20"/>
    </w:rPr>
  </w:style>
  <w:style w:type="paragraph" w:styleId="Revision">
    <w:name w:val="Revision"/>
    <w:hidden/>
    <w:uiPriority w:val="99"/>
    <w:semiHidden/>
    <w:rsid w:val="00EE3226"/>
  </w:style>
  <w:style w:type="character" w:customStyle="1" w:styleId="SecurityClassification">
    <w:name w:val="Security Classification"/>
    <w:basedOn w:val="DefaultParagraphFont"/>
    <w:uiPriority w:val="99"/>
    <w:semiHidden/>
    <w:qFormat/>
    <w:rsid w:val="00D674A5"/>
    <w:rPr>
      <w:rFonts w:ascii="Calibri" w:hAnsi="Calibri"/>
      <w:b/>
      <w:caps w:val="0"/>
      <w:smallCaps w:val="0"/>
      <w:color w:val="FF0000"/>
      <w:sz w:val="36"/>
      <w:szCs w:val="36"/>
    </w:rPr>
  </w:style>
  <w:style w:type="numbering" w:customStyle="1" w:styleId="FigureNumbers">
    <w:name w:val="Figure Numbers"/>
    <w:uiPriority w:val="99"/>
    <w:rsid w:val="00D674A5"/>
    <w:pPr>
      <w:numPr>
        <w:numId w:val="22"/>
      </w:numPr>
    </w:pPr>
  </w:style>
  <w:style w:type="numbering" w:customStyle="1" w:styleId="KCBullets">
    <w:name w:val="KC Bullets"/>
    <w:uiPriority w:val="99"/>
    <w:rsid w:val="00D674A5"/>
    <w:pPr>
      <w:numPr>
        <w:numId w:val="28"/>
      </w:numPr>
    </w:pPr>
  </w:style>
  <w:style w:type="table" w:customStyle="1" w:styleId="PBOTable3-Financials">
    <w:name w:val="PBO Table 3 - Financials"/>
    <w:basedOn w:val="TableNormal"/>
    <w:uiPriority w:val="99"/>
    <w:rsid w:val="00851579"/>
    <w:pPr>
      <w:spacing w:before="70" w:after="70" w:line="260" w:lineRule="atLeast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sz w:val="16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1-9pt">
    <w:name w:val="PBO Table 1 - 9pt"/>
    <w:basedOn w:val="PBOTable3-Financials"/>
    <w:uiPriority w:val="99"/>
    <w:rsid w:val="00BB0B01"/>
    <w:pPr>
      <w:spacing w:before="0" w:after="0"/>
    </w:pPr>
    <w:rPr>
      <w:sz w:val="18"/>
    </w:rPr>
    <w:tblPr>
      <w:tblBorders>
        <w:top w:val="single" w:sz="8" w:space="0" w:color="7C8CBF" w:themeColor="background2" w:themeTint="99"/>
        <w:left w:val="single" w:sz="8" w:space="0" w:color="7C8CBF" w:themeColor="background2" w:themeTint="99"/>
        <w:bottom w:val="single" w:sz="8" w:space="0" w:color="7C8CBF" w:themeColor="background2" w:themeTint="99"/>
        <w:right w:val="single" w:sz="8" w:space="0" w:color="7C8CBF" w:themeColor="background2" w:themeTint="99"/>
        <w:insideH w:val="single" w:sz="8" w:space="0" w:color="7C8CBF" w:themeColor="background2" w:themeTint="99"/>
        <w:insideV w:val="single" w:sz="8" w:space="0" w:color="7C8CBF" w:themeColor="background2" w:themeTint="99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b/>
        <w:color w:val="FFFFFF" w:themeColor="background1"/>
        <w:sz w:val="18"/>
      </w:rPr>
      <w:tblPr/>
      <w:tcPr>
        <w:shd w:val="clear" w:color="auto" w:fill="3D4D7D" w:themeFill="background2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3D8E9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3D8E9" w:themeFill="background2" w:themeFillTint="33"/>
      </w:tcPr>
    </w:tblStylePr>
  </w:style>
  <w:style w:type="table" w:customStyle="1" w:styleId="PBOTable2-11pt">
    <w:name w:val="PBO Table 2 - 11pt"/>
    <w:basedOn w:val="PBOTable3-Financials"/>
    <w:uiPriority w:val="99"/>
    <w:rsid w:val="002559FB"/>
    <w:tblPr/>
    <w:tblStylePr w:type="firstRow">
      <w:pPr>
        <w:jc w:val="left"/>
      </w:pPr>
      <w:rPr>
        <w:sz w:val="22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ullOut">
    <w:name w:val="Pull Out"/>
    <w:basedOn w:val="Normal"/>
    <w:uiPriority w:val="22"/>
    <w:qFormat/>
    <w:rsid w:val="00D674A5"/>
    <w:pPr>
      <w:spacing w:line="340" w:lineRule="atLeast"/>
    </w:pPr>
    <w:rPr>
      <w:color w:val="9778B4" w:themeColor="text2"/>
      <w:spacing w:val="0"/>
      <w:sz w:val="24"/>
      <w:szCs w:val="20"/>
    </w:rPr>
  </w:style>
  <w:style w:type="numbering" w:customStyle="1" w:styleId="TableNumbers">
    <w:name w:val="Table Numbers"/>
    <w:uiPriority w:val="99"/>
    <w:rsid w:val="00D674A5"/>
    <w:pPr>
      <w:numPr>
        <w:numId w:val="37"/>
      </w:numPr>
    </w:pPr>
  </w:style>
  <w:style w:type="paragraph" w:customStyle="1" w:styleId="PBOheader">
    <w:name w:val="PBO header"/>
    <w:basedOn w:val="Header"/>
    <w:uiPriority w:val="39"/>
    <w:rsid w:val="00935F04"/>
    <w:pPr>
      <w:tabs>
        <w:tab w:val="clear" w:pos="4513"/>
        <w:tab w:val="clear" w:pos="9026"/>
      </w:tabs>
      <w:spacing w:before="1320" w:after="114" w:line="240" w:lineRule="auto"/>
      <w:ind w:left="6521"/>
    </w:pPr>
    <w:rPr>
      <w:rFonts w:ascii="Arial" w:hAnsi="Arial" w:cs="Arial"/>
      <w:b/>
      <w:color w:val="auto"/>
      <w:spacing w:val="0"/>
      <w:sz w:val="18"/>
      <w:szCs w:val="18"/>
    </w:rPr>
  </w:style>
  <w:style w:type="paragraph" w:customStyle="1" w:styleId="Lettertext">
    <w:name w:val="Letter text"/>
    <w:basedOn w:val="BodyText"/>
    <w:qFormat/>
    <w:rsid w:val="00935F04"/>
    <w:pPr>
      <w:spacing w:before="240" w:after="0"/>
    </w:pPr>
    <w:rPr>
      <w:rFonts w:ascii="Calibri" w:hAnsi="Calibri" w:cs="Times New Roman"/>
      <w:color w:val="auto"/>
      <w:spacing w:val="0"/>
    </w:rPr>
  </w:style>
  <w:style w:type="paragraph" w:styleId="BodyText">
    <w:name w:val="Body Text"/>
    <w:basedOn w:val="Normal"/>
    <w:link w:val="BodyTextChar"/>
    <w:uiPriority w:val="5"/>
    <w:semiHidden/>
    <w:unhideWhenUsed/>
    <w:qFormat/>
    <w:rsid w:val="00935F04"/>
  </w:style>
  <w:style w:type="character" w:customStyle="1" w:styleId="BodyTextChar">
    <w:name w:val="Body Text Char"/>
    <w:basedOn w:val="DefaultParagraphFont"/>
    <w:link w:val="BodyText"/>
    <w:uiPriority w:val="5"/>
    <w:semiHidden/>
    <w:rsid w:val="00935F04"/>
    <w:rPr>
      <w:spacing w:val="-1"/>
    </w:rPr>
  </w:style>
  <w:style w:type="paragraph" w:customStyle="1" w:styleId="TableFootnotes">
    <w:name w:val="Table Footnotes"/>
    <w:basedOn w:val="Normal"/>
    <w:uiPriority w:val="22"/>
    <w:qFormat/>
    <w:rsid w:val="00C000C6"/>
    <w:pPr>
      <w:keepLines/>
      <w:numPr>
        <w:numId w:val="42"/>
      </w:numPr>
      <w:spacing w:before="0" w:line="260" w:lineRule="atLeast"/>
    </w:pPr>
    <w:rPr>
      <w:color w:val="auto"/>
      <w:spacing w:val="0"/>
      <w:sz w:val="20"/>
    </w:rPr>
  </w:style>
  <w:style w:type="paragraph" w:customStyle="1" w:styleId="TableHeading">
    <w:name w:val="Table Heading"/>
    <w:basedOn w:val="Normal"/>
    <w:uiPriority w:val="14"/>
    <w:qFormat/>
    <w:rsid w:val="00C000C6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color w:val="auto"/>
      <w:spacing w:val="0"/>
      <w:sz w:val="20"/>
    </w:rPr>
  </w:style>
  <w:style w:type="paragraph" w:customStyle="1" w:styleId="TableHeadingRight">
    <w:name w:val="Table Heading Right"/>
    <w:basedOn w:val="TableHeading"/>
    <w:uiPriority w:val="16"/>
    <w:qFormat/>
    <w:rsid w:val="00C000C6"/>
    <w:pPr>
      <w:jc w:val="right"/>
    </w:pPr>
  </w:style>
  <w:style w:type="paragraph" w:customStyle="1" w:styleId="TableTextRight">
    <w:name w:val="Table Text Right"/>
    <w:basedOn w:val="Normal"/>
    <w:uiPriority w:val="19"/>
    <w:qFormat/>
    <w:rsid w:val="00C000C6"/>
    <w:pPr>
      <w:spacing w:before="70" w:after="70" w:line="260" w:lineRule="atLeast"/>
      <w:ind w:left="57" w:right="57"/>
      <w:jc w:val="right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Bold">
    <w:name w:val="Table Text Right Bold"/>
    <w:basedOn w:val="TableTextRight"/>
    <w:uiPriority w:val="20"/>
    <w:qFormat/>
    <w:rsid w:val="00C000C6"/>
    <w:rPr>
      <w:b/>
    </w:rPr>
  </w:style>
  <w:style w:type="paragraph" w:styleId="ListParagraph">
    <w:name w:val="List Paragraph"/>
    <w:basedOn w:val="Normal"/>
    <w:uiPriority w:val="39"/>
    <w:semiHidden/>
    <w:rsid w:val="00C000C6"/>
    <w:pPr>
      <w:ind w:left="720"/>
      <w:contextualSpacing/>
    </w:pPr>
  </w:style>
  <w:style w:type="table" w:customStyle="1" w:styleId="TableAsPlaceholder">
    <w:name w:val="Table As Placeholder"/>
    <w:basedOn w:val="TableNormal"/>
    <w:uiPriority w:val="99"/>
    <w:qFormat/>
    <w:rsid w:val="00CB3850"/>
    <w:pPr>
      <w:spacing w:before="0" w:after="0" w:line="300" w:lineRule="atLeast"/>
    </w:pPr>
    <w:rPr>
      <w:rFonts w:eastAsia="Times New Roman" w:cs="Arial"/>
      <w:color w:val="auto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17"/>
    <w:qFormat/>
    <w:rsid w:val="00E3434B"/>
    <w:pPr>
      <w:spacing w:before="70" w:after="70" w:line="260" w:lineRule="atLeast"/>
      <w:ind w:left="57" w:right="57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Italic">
    <w:name w:val="Table Text Right Italic"/>
    <w:basedOn w:val="TableTextRight"/>
    <w:uiPriority w:val="21"/>
    <w:qFormat/>
    <w:rsid w:val="00E3434B"/>
    <w:rPr>
      <w:i/>
    </w:rPr>
  </w:style>
  <w:style w:type="paragraph" w:customStyle="1" w:styleId="PRRfootnote2">
    <w:name w:val="PRR footnote 2"/>
    <w:basedOn w:val="Normal"/>
    <w:link w:val="PRRfootnote2Char"/>
    <w:qFormat/>
    <w:rsid w:val="00E3434B"/>
    <w:pPr>
      <w:keepNext/>
      <w:keepLines/>
      <w:spacing w:before="0" w:after="0" w:line="260" w:lineRule="atLeast"/>
      <w:ind w:left="284" w:hanging="284"/>
    </w:pPr>
    <w:rPr>
      <w:sz w:val="16"/>
      <w:szCs w:val="16"/>
    </w:rPr>
  </w:style>
  <w:style w:type="character" w:customStyle="1" w:styleId="PRRfootnote2Char">
    <w:name w:val="PRR footnote 2 Char"/>
    <w:basedOn w:val="DefaultParagraphFont"/>
    <w:link w:val="PRRfootnote2"/>
    <w:rsid w:val="00E3434B"/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h.gov.au/About_Parliament/Parliamentary_Departments/Parliamentary_Budget_Office/Costings_and_budget_inform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boprotected.sharepoint.com/Office%20Templates/1%20PR%20%20IR/PRR%20-%20RB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5BAF036F643AABC910BF369B6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1450-2AC6-4DBD-8E1A-424D84909029}"/>
      </w:docPartPr>
      <w:docPartBody>
        <w:p w:rsidR="00DA001E" w:rsidRDefault="005A04FE">
          <w:pPr>
            <w:pStyle w:val="6B35BAF036F643AABC910BF369B63289"/>
          </w:pPr>
          <w:r w:rsidRPr="004F5F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FE"/>
    <w:rsid w:val="00187098"/>
    <w:rsid w:val="003B4F36"/>
    <w:rsid w:val="005A04FE"/>
    <w:rsid w:val="00C43204"/>
    <w:rsid w:val="00DA001E"/>
    <w:rsid w:val="00DD41C7"/>
    <w:rsid w:val="00DE732F"/>
    <w:rsid w:val="00E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A04FE"/>
    <w:rPr>
      <w:color w:val="808080"/>
    </w:rPr>
  </w:style>
  <w:style w:type="paragraph" w:customStyle="1" w:styleId="6B35BAF036F643AABC910BF369B63289">
    <w:name w:val="6B35BAF036F643AABC910BF369B6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2021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5AFF"/>
      </a:hlink>
      <a:folHlink>
        <a:srgbClr val="005AFF"/>
      </a:folHlink>
    </a:clrScheme>
    <a:fontScheme name="PBO 202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8e907a-e1a6-4b76-8caa-2c3a6e0bcaac">PRQ-151418482-802</_dlc_DocId>
    <_dlc_DocIdUrl xmlns="ad8e907a-e1a6-4b76-8caa-2c3a6e0bcaac">
      <Url>https://pboprotected.sharepoint.com/sites/PRQHub/_layouts/15/DocIdRedir.aspx?ID=PRQ-151418482-802</Url>
      <Description>PRQ-151418482-802</Description>
    </_dlc_DocIdUrl>
    <PR_x0020_ID xmlns="ad8e907a-e1a6-4b76-8caa-2c3a6e0bcaac">PR-2022-038</PR_x0020_ID>
    <n5dfb72b69c24bd0be10e5c7f2c63979 xmlns="392fc61f-e94e-493b-9859-a48021fe12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 - draft</TermName>
          <TermId xmlns="http://schemas.microsoft.com/office/infopath/2007/PartnerControls">fe250779-e8d4-4391-b8b3-3695d3990251</TermId>
        </TermInfo>
      </Terms>
    </n5dfb72b69c24bd0be10e5c7f2c63979>
    <TaxCatchAll xmlns="ad8e907a-e1a6-4b76-8caa-2c3a6e0bcaac">
      <Value>8</Value>
    </TaxCatchAll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15EFC147243408AAD18E5E049EEF9" ma:contentTypeVersion="12" ma:contentTypeDescription="Create a new document." ma:contentTypeScope="" ma:versionID="250e133515d65195330f6e9d46a2ab59">
  <xsd:schema xmlns:xsd="http://www.w3.org/2001/XMLSchema" xmlns:xs="http://www.w3.org/2001/XMLSchema" xmlns:p="http://schemas.microsoft.com/office/2006/metadata/properties" xmlns:ns1="http://schemas.microsoft.com/sharepoint/v3" xmlns:ns2="ad8e907a-e1a6-4b76-8caa-2c3a6e0bcaac" xmlns:ns3="392fc61f-e94e-493b-9859-a48021fe120e" xmlns:ns4="http://schemas.microsoft.com/sharepoint/v4" targetNamespace="http://schemas.microsoft.com/office/2006/metadata/properties" ma:root="true" ma:fieldsID="46b42c6386f2a6381716a36578be24ab" ns1:_="" ns2:_="" ns3:_="" ns4:_="">
    <xsd:import namespace="http://schemas.microsoft.com/sharepoint/v3"/>
    <xsd:import namespace="ad8e907a-e1a6-4b76-8caa-2c3a6e0bcaac"/>
    <xsd:import namespace="392fc61f-e94e-493b-9859-a48021fe12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5dfb72b69c24bd0be10e5c7f2c63979" minOccurs="0"/>
                <xsd:element ref="ns2:TaxCatchAll" minOccurs="0"/>
                <xsd:element ref="ns2:PR_x0020_ID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IconOverla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907a-e1a6-4b76-8caa-2c3a6e0bca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7162e0b1-20f3-465a-b0e3-74ffe66b3512}" ma:internalName="TaxCatchAll" ma:showField="CatchAllData" ma:web="ad8e907a-e1a6-4b76-8caa-2c3a6e0bc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_x0020_ID" ma:index="14" ma:displayName="PR ID" ma:default="" ma:description="ID of the parliamentarian request" ma:internalName="PR_x0020_ID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fc61f-e94e-493b-9859-a48021fe120e" elementFormDefault="qualified">
    <xsd:import namespace="http://schemas.microsoft.com/office/2006/documentManagement/types"/>
    <xsd:import namespace="http://schemas.microsoft.com/office/infopath/2007/PartnerControls"/>
    <xsd:element name="n5dfb72b69c24bd0be10e5c7f2c63979" ma:index="12" ma:taxonomy="true" ma:internalName="n5dfb72b69c24bd0be10e5c7f2c63979" ma:taxonomyFieldName="DocType" ma:displayName="DocType" ma:default="3;#Other|a82e5e6b-4124-495e-bcdc-32042f6b6fbc" ma:fieldId="{75dfb72b-69c2-4bd0-be10-e5c7f2c63979}" ma:sspId="8511bdff-a9c3-4342-ad56-d9f2319b2060" ma:termSetId="a18ff4e3-1268-49c1-bbce-f08b63b82b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FED0FD7C-34CE-4D78-A2A9-118771C959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1E573F-EAF1-47B0-95E2-65530A7EC75C}">
  <ds:schemaRefs>
    <ds:schemaRef ds:uri="http://schemas.microsoft.com/office/2006/metadata/properties"/>
    <ds:schemaRef ds:uri="http://schemas.microsoft.com/office/infopath/2007/PartnerControls"/>
    <ds:schemaRef ds:uri="ad8e907a-e1a6-4b76-8caa-2c3a6e0bcaac"/>
    <ds:schemaRef ds:uri="392fc61f-e94e-493b-9859-a48021fe120e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AED0E8D-E233-4CFC-9D02-B393062E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8e907a-e1a6-4b76-8caa-2c3a6e0bcaac"/>
    <ds:schemaRef ds:uri="392fc61f-e94e-493b-9859-a48021fe12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CF09A-E1A1-4C9F-BCEB-A63EB1A892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5123ED-7333-4FD7-A520-E6AB1C05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PRR%20-%20RBA</Template>
  <TotalTime>2</TotalTime>
  <Pages>8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of proposal</vt:lpstr>
    </vt:vector>
  </TitlesOfParts>
  <Company>Parliament of Australia</Company>
  <LinksUpToDate>false</LinksUpToDate>
  <CharactersWithSpaces>13844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https://www.aph.gov.au/About_Parliament/Parliamentary_Departments/Parliamentary_Budget_Office/Costings_and_budget_information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tax cuts distributional analysis</dc:title>
  <dc:subject/>
  <dc:creator/>
  <cp:keywords/>
  <cp:revision>6</cp:revision>
  <cp:lastPrinted>2022-08-30T05:30:00Z</cp:lastPrinted>
  <dcterms:created xsi:type="dcterms:W3CDTF">2022-08-30T05:30:00Z</dcterms:created>
  <dcterms:modified xsi:type="dcterms:W3CDTF">2022-08-30T05:39:00Z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ContentTypeId">
    <vt:lpwstr>0x010100C8215EFC147243408AAD18E5E049EEF9</vt:lpwstr>
  </property>
  <property fmtid="{D5CDD505-2E9C-101B-9397-08002B2CF9AE}" pid="13" name="DocType">
    <vt:lpwstr>8;#Response - draft|fe250779-e8d4-4391-b8b3-3695d3990251</vt:lpwstr>
  </property>
  <property fmtid="{D5CDD505-2E9C-101B-9397-08002B2CF9AE}" pid="14" name="_dlc_DocIdItemGuid">
    <vt:lpwstr>bac0e189-4550-4d7b-950e-57cc66a45e00</vt:lpwstr>
  </property>
  <property fmtid="{D5CDD505-2E9C-101B-9397-08002B2CF9AE}" pid="15" name="MSIP_Label_02081b7c-3c5d-4266-a0e9-2dfd3c6da554_Enabled">
    <vt:lpwstr>true</vt:lpwstr>
  </property>
  <property fmtid="{D5CDD505-2E9C-101B-9397-08002B2CF9AE}" pid="16" name="MSIP_Label_02081b7c-3c5d-4266-a0e9-2dfd3c6da554_SetDate">
    <vt:lpwstr>2022-08-30T05:30:26Z</vt:lpwstr>
  </property>
  <property fmtid="{D5CDD505-2E9C-101B-9397-08002B2CF9AE}" pid="17" name="MSIP_Label_02081b7c-3c5d-4266-a0e9-2dfd3c6da554_Method">
    <vt:lpwstr>Privileged</vt:lpwstr>
  </property>
  <property fmtid="{D5CDD505-2E9C-101B-9397-08002B2CF9AE}" pid="18" name="MSIP_Label_02081b7c-3c5d-4266-a0e9-2dfd3c6da554_Name">
    <vt:lpwstr>OFFICIAL Sensitive</vt:lpwstr>
  </property>
  <property fmtid="{D5CDD505-2E9C-101B-9397-08002B2CF9AE}" pid="19" name="MSIP_Label_02081b7c-3c5d-4266-a0e9-2dfd3c6da554_SiteId">
    <vt:lpwstr>dc2a6fc4-3a5c-4009-8148-25a15ab44bf4</vt:lpwstr>
  </property>
  <property fmtid="{D5CDD505-2E9C-101B-9397-08002B2CF9AE}" pid="20" name="MSIP_Label_02081b7c-3c5d-4266-a0e9-2dfd3c6da554_ActionId">
    <vt:lpwstr>55a07e8c-a803-43cd-a2dd-861f63976753</vt:lpwstr>
  </property>
  <property fmtid="{D5CDD505-2E9C-101B-9397-08002B2CF9AE}" pid="21" name="MSIP_Label_02081b7c-3c5d-4266-a0e9-2dfd3c6da554_ContentBits">
    <vt:lpwstr>3</vt:lpwstr>
  </property>
</Properties>
</file>