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0A" w:rsidRDefault="009F6E0A">
      <w:pPr>
        <w:pStyle w:val="BodyText"/>
        <w:spacing w:before="11"/>
        <w:rPr>
          <w:rFonts w:ascii="Times New Roman"/>
          <w:sz w:val="21"/>
        </w:rPr>
      </w:pPr>
      <w:bookmarkStart w:id="0" w:name="_GoBack"/>
      <w:bookmarkEnd w:id="0"/>
    </w:p>
    <w:p w:rsidR="009F6E0A" w:rsidRDefault="00CA2156">
      <w:pPr>
        <w:pStyle w:val="BodyText"/>
        <w:ind w:left="53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w:drawing>
          <wp:inline distT="0" distB="0" distL="0" distR="0">
            <wp:extent cx="1867039" cy="571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03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E0A" w:rsidRDefault="009F6E0A">
      <w:pPr>
        <w:pStyle w:val="BodyText"/>
        <w:rPr>
          <w:rFonts w:ascii="Times New Roman"/>
          <w:sz w:val="20"/>
        </w:rPr>
      </w:pPr>
    </w:p>
    <w:p w:rsidR="009F6E0A" w:rsidRDefault="009F6E0A">
      <w:pPr>
        <w:pStyle w:val="BodyText"/>
        <w:rPr>
          <w:rFonts w:ascii="Times New Roman"/>
          <w:sz w:val="20"/>
        </w:rPr>
      </w:pPr>
    </w:p>
    <w:p w:rsidR="009F6E0A" w:rsidRDefault="009F6E0A">
      <w:pPr>
        <w:pStyle w:val="BodyText"/>
        <w:spacing w:before="4"/>
        <w:rPr>
          <w:rFonts w:ascii="Times New Roman"/>
          <w:sz w:val="16"/>
        </w:rPr>
      </w:pPr>
    </w:p>
    <w:p w:rsidR="009F6E0A" w:rsidRDefault="00CA2156">
      <w:pPr>
        <w:spacing w:before="35"/>
        <w:ind w:left="538"/>
        <w:rPr>
          <w:rFonts w:ascii="Calibri Light"/>
          <w:sz w:val="32"/>
        </w:rPr>
      </w:pPr>
      <w:r>
        <w:rPr>
          <w:rFonts w:ascii="Calibri Light"/>
          <w:color w:val="3B4D7B"/>
          <w:sz w:val="32"/>
        </w:rPr>
        <w:t>Policy costing</w:t>
      </w:r>
    </w:p>
    <w:p w:rsidR="009F6E0A" w:rsidRDefault="009F6E0A">
      <w:pPr>
        <w:pStyle w:val="BodyText"/>
        <w:rPr>
          <w:rFonts w:ascii="Calibri Light"/>
          <w:sz w:val="15"/>
        </w:rPr>
      </w:pPr>
    </w:p>
    <w:tbl>
      <w:tblPr>
        <w:tblW w:w="0" w:type="auto"/>
        <w:tblInd w:w="558" w:type="dxa"/>
        <w:tblBorders>
          <w:top w:val="single" w:sz="8" w:space="0" w:color="7D7D7D"/>
          <w:left w:val="single" w:sz="8" w:space="0" w:color="7D7D7D"/>
          <w:bottom w:val="single" w:sz="8" w:space="0" w:color="7D7D7D"/>
          <w:right w:val="single" w:sz="8" w:space="0" w:color="7D7D7D"/>
          <w:insideH w:val="single" w:sz="8" w:space="0" w:color="7D7D7D"/>
          <w:insideV w:val="single" w:sz="8" w:space="0" w:color="7D7D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2765"/>
        <w:gridCol w:w="2736"/>
      </w:tblGrid>
      <w:tr w:rsidR="009F6E0A">
        <w:trPr>
          <w:trHeight w:val="507"/>
        </w:trPr>
        <w:tc>
          <w:tcPr>
            <w:tcW w:w="9041" w:type="dxa"/>
            <w:gridSpan w:val="3"/>
            <w:shd w:val="clear" w:color="auto" w:fill="A7B0D2"/>
          </w:tcPr>
          <w:p w:rsidR="009F6E0A" w:rsidRDefault="00CA2156">
            <w:pPr>
              <w:pStyle w:val="TableParagraph"/>
              <w:spacing w:before="116"/>
              <w:ind w:left="66"/>
              <w:rPr>
                <w:b/>
              </w:rPr>
            </w:pPr>
            <w:r>
              <w:rPr>
                <w:b/>
              </w:rPr>
              <w:t>Profitable corporations to return JobKeeper payments</w:t>
            </w:r>
          </w:p>
        </w:tc>
      </w:tr>
      <w:tr w:rsidR="009F6E0A">
        <w:trPr>
          <w:trHeight w:val="510"/>
        </w:trPr>
        <w:tc>
          <w:tcPr>
            <w:tcW w:w="3540" w:type="dxa"/>
          </w:tcPr>
          <w:p w:rsidR="009F6E0A" w:rsidRDefault="00CA2156">
            <w:pPr>
              <w:pStyle w:val="TableParagraph"/>
              <w:spacing w:before="119"/>
              <w:ind w:left="66"/>
            </w:pPr>
            <w:r>
              <w:t>Person/party requesting the costing:</w:t>
            </w:r>
          </w:p>
        </w:tc>
        <w:tc>
          <w:tcPr>
            <w:tcW w:w="5501" w:type="dxa"/>
            <w:gridSpan w:val="2"/>
          </w:tcPr>
          <w:p w:rsidR="009F6E0A" w:rsidRDefault="00CA2156">
            <w:pPr>
              <w:pStyle w:val="TableParagraph"/>
              <w:spacing w:before="119"/>
              <w:ind w:left="64"/>
            </w:pPr>
            <w:r>
              <w:t>Mr Adam Bandt MP, Australian Greens</w:t>
            </w:r>
          </w:p>
        </w:tc>
      </w:tr>
      <w:tr w:rsidR="009F6E0A">
        <w:trPr>
          <w:trHeight w:val="507"/>
        </w:trPr>
        <w:tc>
          <w:tcPr>
            <w:tcW w:w="3540" w:type="dxa"/>
          </w:tcPr>
          <w:p w:rsidR="009F6E0A" w:rsidRDefault="00CA2156">
            <w:pPr>
              <w:pStyle w:val="TableParagraph"/>
              <w:spacing w:before="114"/>
              <w:ind w:left="66"/>
            </w:pPr>
            <w:r>
              <w:t>Date costing completed:</w:t>
            </w:r>
          </w:p>
        </w:tc>
        <w:tc>
          <w:tcPr>
            <w:tcW w:w="5501" w:type="dxa"/>
            <w:gridSpan w:val="2"/>
          </w:tcPr>
          <w:p w:rsidR="009F6E0A" w:rsidRDefault="00CA2156">
            <w:pPr>
              <w:pStyle w:val="TableParagraph"/>
              <w:spacing w:before="114"/>
              <w:ind w:left="64"/>
            </w:pPr>
            <w:r>
              <w:t>22 April 2021</w:t>
            </w:r>
          </w:p>
        </w:tc>
      </w:tr>
      <w:tr w:rsidR="009F6E0A">
        <w:trPr>
          <w:trHeight w:val="508"/>
        </w:trPr>
        <w:tc>
          <w:tcPr>
            <w:tcW w:w="3540" w:type="dxa"/>
          </w:tcPr>
          <w:p w:rsidR="009F6E0A" w:rsidRDefault="00CA2156">
            <w:pPr>
              <w:pStyle w:val="TableParagraph"/>
              <w:spacing w:before="114"/>
              <w:ind w:left="66"/>
            </w:pPr>
            <w:r>
              <w:t>Expiry date of the costing:</w:t>
            </w:r>
          </w:p>
        </w:tc>
        <w:tc>
          <w:tcPr>
            <w:tcW w:w="5501" w:type="dxa"/>
            <w:gridSpan w:val="2"/>
          </w:tcPr>
          <w:p w:rsidR="009F6E0A" w:rsidRDefault="00CA2156">
            <w:pPr>
              <w:pStyle w:val="TableParagraph"/>
              <w:spacing w:before="114"/>
              <w:ind w:left="64"/>
            </w:pPr>
            <w:r>
              <w:t>Release of the next economic and fiscal outlook report.</w:t>
            </w:r>
          </w:p>
        </w:tc>
      </w:tr>
      <w:tr w:rsidR="009F6E0A">
        <w:trPr>
          <w:trHeight w:val="508"/>
        </w:trPr>
        <w:tc>
          <w:tcPr>
            <w:tcW w:w="3540" w:type="dxa"/>
            <w:vMerge w:val="restart"/>
          </w:tcPr>
          <w:p w:rsidR="009F6E0A" w:rsidRDefault="00CA2156">
            <w:pPr>
              <w:pStyle w:val="TableParagraph"/>
              <w:spacing w:before="114"/>
              <w:ind w:left="66"/>
            </w:pPr>
            <w:r>
              <w:t>Status at time of request:</w:t>
            </w:r>
          </w:p>
        </w:tc>
        <w:tc>
          <w:tcPr>
            <w:tcW w:w="5501" w:type="dxa"/>
            <w:gridSpan w:val="2"/>
          </w:tcPr>
          <w:p w:rsidR="009F6E0A" w:rsidRDefault="00CA2156">
            <w:pPr>
              <w:pStyle w:val="TableParagraph"/>
              <w:spacing w:before="114"/>
              <w:ind w:left="64"/>
            </w:pPr>
            <w:r>
              <w:t>Submitted outside the caretaker period.</w:t>
            </w:r>
          </w:p>
        </w:tc>
      </w:tr>
      <w:tr w:rsidR="009F6E0A">
        <w:trPr>
          <w:trHeight w:val="522"/>
        </w:trPr>
        <w:tc>
          <w:tcPr>
            <w:tcW w:w="3540" w:type="dxa"/>
            <w:vMerge/>
            <w:tcBorders>
              <w:top w:val="nil"/>
            </w:tcBorders>
          </w:tcPr>
          <w:p w:rsidR="009F6E0A" w:rsidRDefault="009F6E0A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</w:tcPr>
          <w:p w:rsidR="009F6E0A" w:rsidRDefault="00CA2156">
            <w:pPr>
              <w:pStyle w:val="TableParagraph"/>
              <w:spacing w:before="118"/>
              <w:ind w:left="64"/>
            </w:pPr>
            <w:r>
              <w:rPr>
                <w:rFonts w:ascii="MS Gothic" w:hAnsi="MS Gothic"/>
              </w:rPr>
              <w:t>☒</w:t>
            </w:r>
            <w:r>
              <w:rPr>
                <w:rFonts w:ascii="MS Gothic" w:hAnsi="MS Gothic"/>
                <w:spacing w:val="-64"/>
              </w:rPr>
              <w:t xml:space="preserve"> </w:t>
            </w:r>
            <w:r>
              <w:t>Confidential</w:t>
            </w:r>
          </w:p>
        </w:tc>
        <w:tc>
          <w:tcPr>
            <w:tcW w:w="2736" w:type="dxa"/>
          </w:tcPr>
          <w:p w:rsidR="009F6E0A" w:rsidRDefault="00CA2156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before="120"/>
            </w:pPr>
            <w:r>
              <w:t>Not</w:t>
            </w:r>
            <w:r>
              <w:rPr>
                <w:spacing w:val="-5"/>
              </w:rPr>
              <w:t xml:space="preserve"> </w:t>
            </w:r>
            <w:r>
              <w:t>confidential</w:t>
            </w:r>
          </w:p>
        </w:tc>
      </w:tr>
      <w:tr w:rsidR="009F6E0A">
        <w:trPr>
          <w:trHeight w:val="1556"/>
        </w:trPr>
        <w:tc>
          <w:tcPr>
            <w:tcW w:w="9041" w:type="dxa"/>
            <w:gridSpan w:val="3"/>
          </w:tcPr>
          <w:p w:rsidR="009F6E0A" w:rsidRDefault="00CA2156">
            <w:pPr>
              <w:pStyle w:val="TableParagraph"/>
              <w:spacing w:before="119"/>
              <w:ind w:left="66"/>
            </w:pPr>
            <w:r>
              <w:t>Summary of proposal:</w:t>
            </w:r>
          </w:p>
          <w:p w:rsidR="009F6E0A" w:rsidRDefault="00CA2156">
            <w:pPr>
              <w:pStyle w:val="TableParagraph"/>
              <w:spacing w:before="117"/>
              <w:ind w:left="66"/>
            </w:pPr>
            <w:r>
              <w:t>This</w:t>
            </w:r>
            <w:r>
              <w:rPr>
                <w:spacing w:val="-9"/>
              </w:rPr>
              <w:t xml:space="preserve"> </w:t>
            </w:r>
            <w:r>
              <w:t>proposal</w:t>
            </w:r>
            <w:r>
              <w:rPr>
                <w:spacing w:val="-14"/>
              </w:rPr>
              <w:t xml:space="preserve"> </w:t>
            </w:r>
            <w:r>
              <w:t>would</w:t>
            </w:r>
            <w:r>
              <w:rPr>
                <w:spacing w:val="-9"/>
              </w:rPr>
              <w:t xml:space="preserve"> </w:t>
            </w:r>
            <w:r>
              <w:t>require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65</w:t>
            </w:r>
            <w:r>
              <w:rPr>
                <w:spacing w:val="-8"/>
              </w:rPr>
              <w:t xml:space="preserve"> </w:t>
            </w:r>
            <w:r>
              <w:t>companies</w:t>
            </w:r>
            <w:r>
              <w:rPr>
                <w:spacing w:val="-8"/>
              </w:rPr>
              <w:t xml:space="preserve"> </w:t>
            </w:r>
            <w:r>
              <w:t>listed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u w:val="single"/>
              </w:rPr>
              <w:t>Attachment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A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repay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entire</w:t>
            </w:r>
            <w:r>
              <w:rPr>
                <w:spacing w:val="-11"/>
              </w:rPr>
              <w:t xml:space="preserve"> </w:t>
            </w:r>
            <w:r>
              <w:t>amount</w:t>
            </w:r>
            <w:r>
              <w:rPr>
                <w:spacing w:val="-10"/>
              </w:rPr>
              <w:t xml:space="preserve"> </w:t>
            </w:r>
            <w:r>
              <w:t>of the JobKeeper payments that they have</w:t>
            </w:r>
            <w:r>
              <w:rPr>
                <w:spacing w:val="-19"/>
              </w:rPr>
              <w:t xml:space="preserve"> </w:t>
            </w:r>
            <w:r>
              <w:t>received.</w:t>
            </w:r>
          </w:p>
          <w:p w:rsidR="009F6E0A" w:rsidRDefault="00CA2156">
            <w:pPr>
              <w:pStyle w:val="TableParagraph"/>
              <w:spacing w:before="121"/>
              <w:ind w:left="66"/>
            </w:pPr>
            <w:r>
              <w:t>The policy would have effect from 1 July 2021.</w:t>
            </w:r>
          </w:p>
        </w:tc>
      </w:tr>
    </w:tbl>
    <w:p w:rsidR="009F6E0A" w:rsidRDefault="009F6E0A">
      <w:pPr>
        <w:pStyle w:val="BodyText"/>
        <w:spacing w:before="2"/>
        <w:rPr>
          <w:rFonts w:ascii="Calibri Light"/>
          <w:sz w:val="24"/>
        </w:rPr>
      </w:pPr>
    </w:p>
    <w:p w:rsidR="009F6E0A" w:rsidRDefault="00CA2156">
      <w:pPr>
        <w:pStyle w:val="Heading1"/>
      </w:pPr>
      <w:bookmarkStart w:id="1" w:name="Costing_overview"/>
      <w:bookmarkEnd w:id="1"/>
      <w:r>
        <w:rPr>
          <w:color w:val="3B4D7B"/>
        </w:rPr>
        <w:t>Costing overview</w:t>
      </w:r>
    </w:p>
    <w:p w:rsidR="009F6E0A" w:rsidRDefault="00CA2156">
      <w:pPr>
        <w:pStyle w:val="BodyText"/>
        <w:spacing w:before="154"/>
        <w:ind w:left="538"/>
        <w:jc w:val="both"/>
      </w:pPr>
      <w:r>
        <w:t>The proposal would be expected to increase both the fiscal and underlying cash balances by</w:t>
      </w:r>
    </w:p>
    <w:p w:rsidR="009F6E0A" w:rsidRDefault="00CA2156">
      <w:pPr>
        <w:pStyle w:val="BodyText"/>
        <w:spacing w:before="29" w:line="268" w:lineRule="auto"/>
        <w:ind w:left="539" w:right="771" w:hanging="1"/>
        <w:jc w:val="both"/>
      </w:pPr>
      <w:r>
        <w:t>$1,152.9</w:t>
      </w:r>
      <w:r>
        <w:rPr>
          <w:spacing w:val="-8"/>
        </w:rPr>
        <w:t xml:space="preserve"> </w:t>
      </w:r>
      <w:r>
        <w:t>million</w:t>
      </w:r>
      <w:r>
        <w:rPr>
          <w:spacing w:val="-9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2020-21</w:t>
      </w:r>
      <w:r>
        <w:rPr>
          <w:spacing w:val="-6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forward</w:t>
      </w:r>
      <w:r>
        <w:rPr>
          <w:spacing w:val="-9"/>
        </w:rPr>
        <w:t xml:space="preserve"> </w:t>
      </w:r>
      <w:r>
        <w:t>estimates</w:t>
      </w:r>
      <w:r>
        <w:rPr>
          <w:spacing w:val="-7"/>
        </w:rPr>
        <w:t xml:space="preserve"> </w:t>
      </w:r>
      <w:r>
        <w:t>period.</w:t>
      </w:r>
      <w:r>
        <w:rPr>
          <w:spacing w:val="2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reflects</w:t>
      </w:r>
      <w:r>
        <w:rPr>
          <w:spacing w:val="-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increase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tax revenue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$1,155.4</w:t>
      </w:r>
      <w:r>
        <w:rPr>
          <w:spacing w:val="-6"/>
        </w:rPr>
        <w:t xml:space="preserve"> </w:t>
      </w:r>
      <w:r>
        <w:t>million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departmental</w:t>
      </w:r>
      <w:r>
        <w:rPr>
          <w:spacing w:val="-5"/>
        </w:rPr>
        <w:t xml:space="preserve"> </w:t>
      </w:r>
      <w:r>
        <w:t>costs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$2.5</w:t>
      </w:r>
      <w:r>
        <w:rPr>
          <w:spacing w:val="-4"/>
        </w:rPr>
        <w:t xml:space="preserve"> </w:t>
      </w:r>
      <w:r>
        <w:t>million</w:t>
      </w:r>
      <w:r>
        <w:rPr>
          <w:spacing w:val="-9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2020-21 Budget forward estimates</w:t>
      </w:r>
      <w:r>
        <w:rPr>
          <w:spacing w:val="-10"/>
        </w:rPr>
        <w:t xml:space="preserve"> </w:t>
      </w:r>
      <w:r>
        <w:t>period.</w:t>
      </w:r>
    </w:p>
    <w:p w:rsidR="009F6E0A" w:rsidRDefault="00CA2156">
      <w:pPr>
        <w:pStyle w:val="BodyText"/>
        <w:spacing w:before="118" w:line="266" w:lineRule="auto"/>
        <w:ind w:left="539" w:hanging="1"/>
      </w:pPr>
      <w:r>
        <w:t>The</w:t>
      </w:r>
      <w:r>
        <w:rPr>
          <w:spacing w:val="-8"/>
        </w:rPr>
        <w:t xml:space="preserve"> </w:t>
      </w:r>
      <w:r>
        <w:t>proposal</w:t>
      </w:r>
      <w:r>
        <w:rPr>
          <w:spacing w:val="-16"/>
        </w:rPr>
        <w:t xml:space="preserve"> </w:t>
      </w:r>
      <w:r>
        <w:t>would</w:t>
      </w:r>
      <w:r>
        <w:rPr>
          <w:spacing w:val="-12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expected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impact</w:t>
      </w:r>
      <w:r>
        <w:rPr>
          <w:spacing w:val="-10"/>
        </w:rPr>
        <w:t xml:space="preserve"> </w:t>
      </w:r>
      <w:r>
        <w:t>beyond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2020-21</w:t>
      </w:r>
      <w:r>
        <w:rPr>
          <w:spacing w:val="-8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 xml:space="preserve">forward estimates period. A breakdown of the financial implications from 2020-21 to 2030-31 is provided in </w:t>
      </w:r>
      <w:r>
        <w:rPr>
          <w:u w:val="single"/>
        </w:rPr>
        <w:t>Attachment</w:t>
      </w:r>
      <w:r>
        <w:rPr>
          <w:spacing w:val="-6"/>
          <w:u w:val="single"/>
        </w:rPr>
        <w:t xml:space="preserve"> </w:t>
      </w:r>
      <w:r>
        <w:rPr>
          <w:u w:val="single"/>
        </w:rPr>
        <w:t>B</w:t>
      </w:r>
      <w:r>
        <w:t>.</w:t>
      </w:r>
    </w:p>
    <w:p w:rsidR="009F6E0A" w:rsidRDefault="00CA2156">
      <w:pPr>
        <w:pStyle w:val="BodyText"/>
        <w:spacing w:before="123" w:line="266" w:lineRule="auto"/>
        <w:ind w:left="539" w:right="588" w:hanging="1"/>
      </w:pPr>
      <w:r>
        <w:t>These</w:t>
      </w:r>
      <w:r>
        <w:rPr>
          <w:spacing w:val="-13"/>
        </w:rPr>
        <w:t xml:space="preserve"> </w:t>
      </w:r>
      <w:r>
        <w:t>estimates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sensitive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number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factors</w:t>
      </w:r>
      <w:r>
        <w:rPr>
          <w:spacing w:val="-10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JobKeeper</w:t>
      </w:r>
      <w:r>
        <w:rPr>
          <w:spacing w:val="-11"/>
        </w:rPr>
        <w:t xml:space="preserve"> </w:t>
      </w:r>
      <w:r>
        <w:t>data,</w:t>
      </w:r>
      <w:r>
        <w:rPr>
          <w:spacing w:val="-11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impact of successful, albeit late, applications for the payment from April 2020 to February 2021, amounts received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March</w:t>
      </w:r>
      <w:r>
        <w:rPr>
          <w:spacing w:val="-11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voluntary</w:t>
      </w:r>
      <w:r>
        <w:rPr>
          <w:spacing w:val="-5"/>
        </w:rPr>
        <w:t xml:space="preserve"> </w:t>
      </w:r>
      <w:r>
        <w:t>repayments</w:t>
      </w:r>
      <w:r>
        <w:rPr>
          <w:spacing w:val="-6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beginning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April</w:t>
      </w:r>
      <w:r>
        <w:rPr>
          <w:spacing w:val="-8"/>
        </w:rPr>
        <w:t xml:space="preserve"> </w:t>
      </w:r>
      <w:r>
        <w:t>2021.</w:t>
      </w:r>
    </w:p>
    <w:p w:rsidR="009F6E0A" w:rsidRDefault="00CA2156">
      <w:pPr>
        <w:pStyle w:val="BodyText"/>
        <w:spacing w:before="123" w:line="266" w:lineRule="auto"/>
        <w:ind w:left="540" w:right="588"/>
      </w:pPr>
      <w:r>
        <w:t>These estimates have been adjusted to account for the tax deductibility of repayments of the previously taxable JobKeeper amounts. This treatment is consistent with rules set out by the Australian</w:t>
      </w:r>
      <w:r>
        <w:rPr>
          <w:spacing w:val="-15"/>
        </w:rPr>
        <w:t xml:space="preserve"> </w:t>
      </w:r>
      <w:r>
        <w:t>Tax</w:t>
      </w:r>
      <w:r>
        <w:rPr>
          <w:spacing w:val="-11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(ATO)</w:t>
      </w:r>
      <w:r>
        <w:rPr>
          <w:spacing w:val="-16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voluntary</w:t>
      </w:r>
      <w:r>
        <w:rPr>
          <w:spacing w:val="-8"/>
        </w:rPr>
        <w:t xml:space="preserve"> </w:t>
      </w:r>
      <w:r>
        <w:t>JobKeeper</w:t>
      </w:r>
      <w:r>
        <w:rPr>
          <w:spacing w:val="-14"/>
        </w:rPr>
        <w:t xml:space="preserve"> </w:t>
      </w:r>
      <w:r>
        <w:t>repayments,</w:t>
      </w:r>
      <w:r>
        <w:rPr>
          <w:spacing w:val="-14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businesses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expected</w:t>
      </w:r>
      <w:r>
        <w:rPr>
          <w:spacing w:val="-15"/>
        </w:rPr>
        <w:t xml:space="preserve"> </w:t>
      </w:r>
      <w:r>
        <w:t>to repay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JobKeeper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paid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amount.</w:t>
      </w:r>
    </w:p>
    <w:p w:rsidR="009F6E0A" w:rsidRDefault="00CA2156">
      <w:pPr>
        <w:pStyle w:val="BodyText"/>
        <w:spacing w:before="123" w:line="268" w:lineRule="auto"/>
        <w:ind w:left="542" w:right="493" w:hanging="1"/>
      </w:pPr>
      <w:r>
        <w:t>Note</w:t>
      </w:r>
      <w:r>
        <w:rPr>
          <w:spacing w:val="-1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Parliamentary</w:t>
      </w:r>
      <w:r>
        <w:rPr>
          <w:spacing w:val="-8"/>
        </w:rPr>
        <w:t xml:space="preserve"> </w:t>
      </w:r>
      <w:r>
        <w:t>Budget</w:t>
      </w:r>
      <w:r>
        <w:rPr>
          <w:spacing w:val="-10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(PBO)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assessment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grounds</w:t>
      </w:r>
      <w:r>
        <w:rPr>
          <w:spacing w:val="-13"/>
        </w:rPr>
        <w:t xml:space="preserve"> </w:t>
      </w:r>
      <w:r>
        <w:t>on which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proposal</w:t>
      </w:r>
      <w:r>
        <w:rPr>
          <w:spacing w:val="-11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nor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provision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delays</w:t>
      </w:r>
      <w:r>
        <w:rPr>
          <w:spacing w:val="-9"/>
        </w:rPr>
        <w:t xml:space="preserve"> </w:t>
      </w:r>
      <w:r>
        <w:t>associated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4"/>
        </w:rPr>
        <w:t xml:space="preserve">any </w:t>
      </w:r>
      <w:r>
        <w:t xml:space="preserve">potential legal disputes that may follow. Moreover, </w:t>
      </w:r>
      <w:r>
        <w:rPr>
          <w:spacing w:val="-3"/>
        </w:rPr>
        <w:t xml:space="preserve">the </w:t>
      </w:r>
      <w:r>
        <w:t>PBO has not made an assessment on how the repayment of JobKeeper would affect the viability of these companies in the future should the proposal be implemented in its current</w:t>
      </w:r>
      <w:r>
        <w:rPr>
          <w:spacing w:val="-16"/>
        </w:rPr>
        <w:t xml:space="preserve"> </w:t>
      </w:r>
      <w:r>
        <w:t>form.</w:t>
      </w:r>
    </w:p>
    <w:p w:rsidR="009F6E0A" w:rsidRDefault="009F6E0A">
      <w:pPr>
        <w:spacing w:line="268" w:lineRule="auto"/>
        <w:sectPr w:rsidR="009F6E0A">
          <w:headerReference w:type="default" r:id="rId8"/>
          <w:footerReference w:type="default" r:id="rId9"/>
          <w:type w:val="continuous"/>
          <w:pgSz w:w="11920" w:h="16850"/>
          <w:pgMar w:top="840" w:right="940" w:bottom="800" w:left="880" w:header="376" w:footer="600" w:gutter="0"/>
          <w:cols w:space="720"/>
        </w:sectPr>
      </w:pPr>
    </w:p>
    <w:p w:rsidR="009F6E0A" w:rsidRDefault="00CA2156">
      <w:pPr>
        <w:pStyle w:val="Heading2"/>
        <w:spacing w:before="64" w:line="240" w:lineRule="auto"/>
        <w:ind w:left="538"/>
      </w:pPr>
      <w:bookmarkStart w:id="2" w:name="Table_1:_Financial_implications_($m)(a)("/>
      <w:bookmarkEnd w:id="2"/>
      <w:r>
        <w:rPr>
          <w:color w:val="3B4D7B"/>
        </w:rPr>
        <w:lastRenderedPageBreak/>
        <w:t>Table 1: Financial implications ($m)</w:t>
      </w:r>
      <w:r>
        <w:rPr>
          <w:color w:val="3B4D7B"/>
          <w:vertAlign w:val="superscript"/>
        </w:rPr>
        <w:t>(a)(b)</w:t>
      </w:r>
    </w:p>
    <w:p w:rsidR="009F6E0A" w:rsidRDefault="009F6E0A">
      <w:pPr>
        <w:pStyle w:val="BodyText"/>
        <w:spacing w:before="1"/>
        <w:rPr>
          <w:b/>
          <w:sz w:val="10"/>
        </w:rPr>
      </w:pPr>
    </w:p>
    <w:tbl>
      <w:tblPr>
        <w:tblW w:w="0" w:type="auto"/>
        <w:tblInd w:w="558" w:type="dxa"/>
        <w:tblBorders>
          <w:top w:val="single" w:sz="8" w:space="0" w:color="7D7D7D"/>
          <w:left w:val="single" w:sz="8" w:space="0" w:color="7D7D7D"/>
          <w:bottom w:val="single" w:sz="8" w:space="0" w:color="7D7D7D"/>
          <w:right w:val="single" w:sz="8" w:space="0" w:color="7D7D7D"/>
          <w:insideH w:val="single" w:sz="8" w:space="0" w:color="7D7D7D"/>
          <w:insideV w:val="single" w:sz="8" w:space="0" w:color="7D7D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1277"/>
        <w:gridCol w:w="1277"/>
        <w:gridCol w:w="1275"/>
        <w:gridCol w:w="1277"/>
        <w:gridCol w:w="1272"/>
      </w:tblGrid>
      <w:tr w:rsidR="009F6E0A">
        <w:trPr>
          <w:trHeight w:val="676"/>
        </w:trPr>
        <w:tc>
          <w:tcPr>
            <w:tcW w:w="2676" w:type="dxa"/>
            <w:shd w:val="clear" w:color="auto" w:fill="A7B0D2"/>
          </w:tcPr>
          <w:p w:rsidR="009F6E0A" w:rsidRDefault="009F6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shd w:val="clear" w:color="auto" w:fill="A7B0D2"/>
          </w:tcPr>
          <w:p w:rsidR="009F6E0A" w:rsidRDefault="009F6E0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9F6E0A" w:rsidRDefault="00CA2156">
            <w:pPr>
              <w:pStyle w:val="TableParagraph"/>
              <w:ind w:right="24"/>
              <w:jc w:val="right"/>
            </w:pPr>
            <w:r>
              <w:t>2020–21</w:t>
            </w:r>
          </w:p>
        </w:tc>
        <w:tc>
          <w:tcPr>
            <w:tcW w:w="1277" w:type="dxa"/>
            <w:shd w:val="clear" w:color="auto" w:fill="A7B0D2"/>
          </w:tcPr>
          <w:p w:rsidR="009F6E0A" w:rsidRDefault="009F6E0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9F6E0A" w:rsidRDefault="00CA2156">
            <w:pPr>
              <w:pStyle w:val="TableParagraph"/>
              <w:ind w:right="24"/>
              <w:jc w:val="right"/>
            </w:pPr>
            <w:r>
              <w:t>2021–22</w:t>
            </w:r>
          </w:p>
        </w:tc>
        <w:tc>
          <w:tcPr>
            <w:tcW w:w="1275" w:type="dxa"/>
            <w:shd w:val="clear" w:color="auto" w:fill="A7B0D2"/>
          </w:tcPr>
          <w:p w:rsidR="009F6E0A" w:rsidRDefault="009F6E0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9F6E0A" w:rsidRDefault="00CA2156">
            <w:pPr>
              <w:pStyle w:val="TableParagraph"/>
              <w:ind w:right="22"/>
              <w:jc w:val="right"/>
            </w:pPr>
            <w:r>
              <w:t>2022–23</w:t>
            </w:r>
          </w:p>
        </w:tc>
        <w:tc>
          <w:tcPr>
            <w:tcW w:w="1277" w:type="dxa"/>
            <w:shd w:val="clear" w:color="auto" w:fill="A7B0D2"/>
          </w:tcPr>
          <w:p w:rsidR="009F6E0A" w:rsidRDefault="009F6E0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9F6E0A" w:rsidRDefault="00CA2156">
            <w:pPr>
              <w:pStyle w:val="TableParagraph"/>
              <w:ind w:right="22"/>
              <w:jc w:val="right"/>
            </w:pPr>
            <w:r>
              <w:t>2023–24</w:t>
            </w:r>
          </w:p>
        </w:tc>
        <w:tc>
          <w:tcPr>
            <w:tcW w:w="1272" w:type="dxa"/>
            <w:shd w:val="clear" w:color="auto" w:fill="A7B0D2"/>
          </w:tcPr>
          <w:p w:rsidR="009F6E0A" w:rsidRDefault="00CA2156">
            <w:pPr>
              <w:pStyle w:val="TableParagraph"/>
              <w:spacing w:before="70" w:line="237" w:lineRule="auto"/>
              <w:ind w:left="451" w:right="2" w:firstLine="67"/>
              <w:rPr>
                <w:b/>
              </w:rPr>
            </w:pPr>
            <w:r>
              <w:rPr>
                <w:b/>
              </w:rPr>
              <w:t>Total to 2023–24</w:t>
            </w:r>
          </w:p>
        </w:tc>
      </w:tr>
      <w:tr w:rsidR="009F6E0A">
        <w:trPr>
          <w:trHeight w:val="409"/>
        </w:trPr>
        <w:tc>
          <w:tcPr>
            <w:tcW w:w="2676" w:type="dxa"/>
          </w:tcPr>
          <w:p w:rsidR="009F6E0A" w:rsidRDefault="00CA2156">
            <w:pPr>
              <w:pStyle w:val="TableParagraph"/>
              <w:spacing w:before="71"/>
              <w:ind w:left="66"/>
            </w:pPr>
            <w:r>
              <w:t>Fiscal balance</w:t>
            </w:r>
          </w:p>
        </w:tc>
        <w:tc>
          <w:tcPr>
            <w:tcW w:w="1277" w:type="dxa"/>
          </w:tcPr>
          <w:p w:rsidR="009F6E0A" w:rsidRDefault="00CA2156">
            <w:pPr>
              <w:pStyle w:val="TableParagraph"/>
              <w:spacing w:before="71"/>
              <w:ind w:right="26"/>
              <w:jc w:val="right"/>
            </w:pPr>
            <w:r>
              <w:t>-</w:t>
            </w:r>
          </w:p>
        </w:tc>
        <w:tc>
          <w:tcPr>
            <w:tcW w:w="1277" w:type="dxa"/>
          </w:tcPr>
          <w:p w:rsidR="009F6E0A" w:rsidRDefault="00CA2156">
            <w:pPr>
              <w:pStyle w:val="TableParagraph"/>
              <w:spacing w:before="71"/>
              <w:ind w:right="22"/>
              <w:jc w:val="right"/>
            </w:pPr>
            <w:r>
              <w:t>1,152.9</w:t>
            </w:r>
          </w:p>
        </w:tc>
        <w:tc>
          <w:tcPr>
            <w:tcW w:w="1275" w:type="dxa"/>
          </w:tcPr>
          <w:p w:rsidR="009F6E0A" w:rsidRDefault="00CA2156">
            <w:pPr>
              <w:pStyle w:val="TableParagraph"/>
              <w:spacing w:before="71"/>
              <w:ind w:right="24"/>
              <w:jc w:val="right"/>
            </w:pPr>
            <w:r>
              <w:t>-</w:t>
            </w:r>
          </w:p>
        </w:tc>
        <w:tc>
          <w:tcPr>
            <w:tcW w:w="1277" w:type="dxa"/>
          </w:tcPr>
          <w:p w:rsidR="009F6E0A" w:rsidRDefault="00CA2156">
            <w:pPr>
              <w:pStyle w:val="TableParagraph"/>
              <w:spacing w:before="71"/>
              <w:ind w:right="24"/>
              <w:jc w:val="right"/>
            </w:pPr>
            <w:r>
              <w:t>-</w:t>
            </w:r>
          </w:p>
        </w:tc>
        <w:tc>
          <w:tcPr>
            <w:tcW w:w="1272" w:type="dxa"/>
          </w:tcPr>
          <w:p w:rsidR="009F6E0A" w:rsidRDefault="00CA2156">
            <w:pPr>
              <w:pStyle w:val="TableParagraph"/>
              <w:spacing w:before="71"/>
              <w:ind w:right="21"/>
              <w:jc w:val="right"/>
              <w:rPr>
                <w:b/>
              </w:rPr>
            </w:pPr>
            <w:r>
              <w:rPr>
                <w:b/>
              </w:rPr>
              <w:t>1,152.9</w:t>
            </w:r>
          </w:p>
        </w:tc>
      </w:tr>
      <w:tr w:rsidR="009F6E0A">
        <w:trPr>
          <w:trHeight w:val="409"/>
        </w:trPr>
        <w:tc>
          <w:tcPr>
            <w:tcW w:w="2676" w:type="dxa"/>
          </w:tcPr>
          <w:p w:rsidR="009F6E0A" w:rsidRDefault="00CA2156">
            <w:pPr>
              <w:pStyle w:val="TableParagraph"/>
              <w:spacing w:before="66"/>
              <w:ind w:left="66"/>
            </w:pPr>
            <w:r>
              <w:t>Underlying cash balance</w:t>
            </w:r>
          </w:p>
        </w:tc>
        <w:tc>
          <w:tcPr>
            <w:tcW w:w="1277" w:type="dxa"/>
          </w:tcPr>
          <w:p w:rsidR="009F6E0A" w:rsidRDefault="00CA2156">
            <w:pPr>
              <w:pStyle w:val="TableParagraph"/>
              <w:spacing w:before="66"/>
              <w:ind w:right="26"/>
              <w:jc w:val="right"/>
            </w:pPr>
            <w:r>
              <w:t>-</w:t>
            </w:r>
          </w:p>
        </w:tc>
        <w:tc>
          <w:tcPr>
            <w:tcW w:w="1277" w:type="dxa"/>
          </w:tcPr>
          <w:p w:rsidR="009F6E0A" w:rsidRDefault="00CA2156">
            <w:pPr>
              <w:pStyle w:val="TableParagraph"/>
              <w:spacing w:before="66"/>
              <w:ind w:right="22"/>
              <w:jc w:val="right"/>
            </w:pPr>
            <w:r>
              <w:t>1,152.9</w:t>
            </w:r>
          </w:p>
        </w:tc>
        <w:tc>
          <w:tcPr>
            <w:tcW w:w="1275" w:type="dxa"/>
          </w:tcPr>
          <w:p w:rsidR="009F6E0A" w:rsidRDefault="00CA2156">
            <w:pPr>
              <w:pStyle w:val="TableParagraph"/>
              <w:spacing w:before="66"/>
              <w:ind w:right="24"/>
              <w:jc w:val="right"/>
            </w:pPr>
            <w:r>
              <w:t>-</w:t>
            </w:r>
          </w:p>
        </w:tc>
        <w:tc>
          <w:tcPr>
            <w:tcW w:w="1277" w:type="dxa"/>
          </w:tcPr>
          <w:p w:rsidR="009F6E0A" w:rsidRDefault="00CA2156">
            <w:pPr>
              <w:pStyle w:val="TableParagraph"/>
              <w:spacing w:before="66"/>
              <w:ind w:right="24"/>
              <w:jc w:val="right"/>
            </w:pPr>
            <w:r>
              <w:t>-</w:t>
            </w:r>
          </w:p>
        </w:tc>
        <w:tc>
          <w:tcPr>
            <w:tcW w:w="1272" w:type="dxa"/>
          </w:tcPr>
          <w:p w:rsidR="009F6E0A" w:rsidRDefault="00CA2156">
            <w:pPr>
              <w:pStyle w:val="TableParagraph"/>
              <w:spacing w:before="66"/>
              <w:ind w:right="21"/>
              <w:jc w:val="right"/>
              <w:rPr>
                <w:b/>
              </w:rPr>
            </w:pPr>
            <w:r>
              <w:rPr>
                <w:b/>
              </w:rPr>
              <w:t>1,152.9</w:t>
            </w:r>
          </w:p>
        </w:tc>
      </w:tr>
    </w:tbl>
    <w:p w:rsidR="009F6E0A" w:rsidRDefault="00CA2156">
      <w:pPr>
        <w:pStyle w:val="ListParagraph"/>
        <w:numPr>
          <w:ilvl w:val="0"/>
          <w:numId w:val="3"/>
        </w:numPr>
        <w:tabs>
          <w:tab w:val="left" w:pos="880"/>
        </w:tabs>
        <w:spacing w:before="16" w:line="252" w:lineRule="auto"/>
        <w:ind w:left="879" w:right="756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positive</w:t>
      </w:r>
      <w:r>
        <w:rPr>
          <w:spacing w:val="-13"/>
          <w:sz w:val="20"/>
        </w:rPr>
        <w:t xml:space="preserve"> </w:t>
      </w:r>
      <w:r>
        <w:rPr>
          <w:sz w:val="20"/>
        </w:rPr>
        <w:t>number</w:t>
      </w:r>
      <w:r>
        <w:rPr>
          <w:spacing w:val="-10"/>
          <w:sz w:val="20"/>
        </w:rPr>
        <w:t xml:space="preserve"> </w:t>
      </w:r>
      <w:r>
        <w:rPr>
          <w:sz w:val="20"/>
        </w:rPr>
        <w:t>represents</w:t>
      </w:r>
      <w:r>
        <w:rPr>
          <w:spacing w:val="-13"/>
          <w:sz w:val="20"/>
        </w:rPr>
        <w:t xml:space="preserve"> </w:t>
      </w: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z w:val="20"/>
        </w:rPr>
        <w:t>increase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relevant</w:t>
      </w:r>
      <w:r>
        <w:rPr>
          <w:spacing w:val="-12"/>
          <w:sz w:val="20"/>
        </w:rPr>
        <w:t xml:space="preserve"> </w:t>
      </w:r>
      <w:r>
        <w:rPr>
          <w:sz w:val="20"/>
        </w:rPr>
        <w:t>budget</w:t>
      </w:r>
      <w:r>
        <w:rPr>
          <w:spacing w:val="-9"/>
          <w:sz w:val="20"/>
        </w:rPr>
        <w:t xml:space="preserve"> </w:t>
      </w:r>
      <w:r>
        <w:rPr>
          <w:sz w:val="20"/>
        </w:rPr>
        <w:t>balance;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negative</w:t>
      </w:r>
      <w:r>
        <w:rPr>
          <w:spacing w:val="-13"/>
          <w:sz w:val="20"/>
        </w:rPr>
        <w:t xml:space="preserve"> </w:t>
      </w:r>
      <w:r>
        <w:rPr>
          <w:sz w:val="20"/>
        </w:rPr>
        <w:t>number</w:t>
      </w:r>
      <w:r>
        <w:rPr>
          <w:spacing w:val="-12"/>
          <w:sz w:val="20"/>
        </w:rPr>
        <w:t xml:space="preserve"> </w:t>
      </w:r>
      <w:r>
        <w:rPr>
          <w:sz w:val="20"/>
        </w:rPr>
        <w:t>represents</w:t>
      </w:r>
      <w:r>
        <w:rPr>
          <w:spacing w:val="-13"/>
          <w:sz w:val="20"/>
        </w:rPr>
        <w:t xml:space="preserve"> </w:t>
      </w:r>
      <w:r>
        <w:rPr>
          <w:sz w:val="20"/>
        </w:rPr>
        <w:t>a decrease.</w:t>
      </w:r>
    </w:p>
    <w:p w:rsidR="009F6E0A" w:rsidRDefault="00CA2156">
      <w:pPr>
        <w:pStyle w:val="ListParagraph"/>
        <w:numPr>
          <w:ilvl w:val="0"/>
          <w:numId w:val="3"/>
        </w:numPr>
        <w:tabs>
          <w:tab w:val="left" w:pos="880"/>
        </w:tabs>
        <w:spacing w:before="5"/>
        <w:ind w:left="879" w:hanging="285"/>
        <w:rPr>
          <w:sz w:val="20"/>
        </w:rPr>
      </w:pPr>
      <w:r>
        <w:rPr>
          <w:sz w:val="20"/>
        </w:rPr>
        <w:t>Figures may not sum to totals due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 w:rsidR="00D51ADF">
        <w:rPr>
          <w:sz w:val="20"/>
        </w:rPr>
        <w:t xml:space="preserve"> </w:t>
      </w:r>
      <w:r>
        <w:rPr>
          <w:sz w:val="20"/>
        </w:rPr>
        <w:t>rounding.</w:t>
      </w:r>
    </w:p>
    <w:p w:rsidR="009F6E0A" w:rsidRDefault="00CA2156">
      <w:pPr>
        <w:tabs>
          <w:tab w:val="left" w:pos="955"/>
        </w:tabs>
        <w:spacing w:before="15"/>
        <w:ind w:left="595"/>
        <w:rPr>
          <w:sz w:val="20"/>
        </w:rPr>
      </w:pPr>
      <w:r>
        <w:rPr>
          <w:sz w:val="20"/>
        </w:rPr>
        <w:t>–</w:t>
      </w:r>
      <w:r>
        <w:rPr>
          <w:sz w:val="20"/>
        </w:rPr>
        <w:tab/>
        <w:t>Indicates</w:t>
      </w:r>
      <w:r>
        <w:rPr>
          <w:spacing w:val="-7"/>
          <w:sz w:val="20"/>
        </w:rPr>
        <w:t xml:space="preserve"> </w:t>
      </w:r>
      <w:r>
        <w:rPr>
          <w:sz w:val="20"/>
        </w:rPr>
        <w:t>nil.</w:t>
      </w:r>
    </w:p>
    <w:p w:rsidR="009F6E0A" w:rsidRDefault="009F6E0A">
      <w:pPr>
        <w:pStyle w:val="BodyText"/>
        <w:spacing w:before="5"/>
        <w:rPr>
          <w:sz w:val="19"/>
        </w:rPr>
      </w:pPr>
    </w:p>
    <w:p w:rsidR="009F6E0A" w:rsidRDefault="00CA2156">
      <w:pPr>
        <w:pStyle w:val="Heading1"/>
      </w:pPr>
      <w:bookmarkStart w:id="3" w:name="Key_assumptions"/>
      <w:bookmarkEnd w:id="3"/>
      <w:r>
        <w:rPr>
          <w:color w:val="3B4D7B"/>
        </w:rPr>
        <w:t>Key assumptions</w:t>
      </w:r>
    </w:p>
    <w:p w:rsidR="009F6E0A" w:rsidRDefault="00CA2156">
      <w:pPr>
        <w:pStyle w:val="BodyText"/>
        <w:spacing w:before="154"/>
        <w:ind w:left="538"/>
      </w:pPr>
      <w:r>
        <w:t>The PBO has made the following key assumptions in costing this proposal.</w:t>
      </w:r>
    </w:p>
    <w:p w:rsidR="009F6E0A" w:rsidRDefault="00CA2156">
      <w:pPr>
        <w:pStyle w:val="ListParagraph"/>
        <w:numPr>
          <w:ilvl w:val="0"/>
          <w:numId w:val="2"/>
        </w:numPr>
        <w:tabs>
          <w:tab w:val="left" w:pos="825"/>
        </w:tabs>
        <w:spacing w:before="137" w:line="266" w:lineRule="auto"/>
        <w:ind w:right="580" w:hanging="287"/>
      </w:pPr>
      <w:r>
        <w:t>There</w:t>
      </w:r>
      <w:r>
        <w:rPr>
          <w:spacing w:val="-11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full</w:t>
      </w:r>
      <w:r>
        <w:rPr>
          <w:spacing w:val="-11"/>
        </w:rPr>
        <w:t xml:space="preserve"> </w:t>
      </w:r>
      <w:r>
        <w:t>compliance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proposal.</w:t>
      </w:r>
      <w:r>
        <w:rPr>
          <w:spacing w:val="33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JobKeeper payments made to the listed companies would be repaid</w:t>
      </w:r>
      <w:r>
        <w:rPr>
          <w:spacing w:val="-9"/>
        </w:rPr>
        <w:t xml:space="preserve"> </w:t>
      </w:r>
      <w:r>
        <w:t>in</w:t>
      </w:r>
      <w:r w:rsidR="00D51ADF">
        <w:t xml:space="preserve"> </w:t>
      </w:r>
      <w:r>
        <w:t>full.</w:t>
      </w:r>
    </w:p>
    <w:p w:rsidR="009F6E0A" w:rsidRDefault="00CA2156">
      <w:pPr>
        <w:pStyle w:val="ListParagraph"/>
        <w:numPr>
          <w:ilvl w:val="0"/>
          <w:numId w:val="2"/>
        </w:numPr>
        <w:tabs>
          <w:tab w:val="left" w:pos="825"/>
        </w:tabs>
        <w:spacing w:before="112"/>
        <w:ind w:hanging="287"/>
      </w:pPr>
      <w:r>
        <w:t>The</w:t>
      </w:r>
      <w:r>
        <w:rPr>
          <w:spacing w:val="-5"/>
        </w:rPr>
        <w:t xml:space="preserve"> </w:t>
      </w:r>
      <w:r>
        <w:t>repayments</w:t>
      </w:r>
      <w:r>
        <w:rPr>
          <w:spacing w:val="-7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year,</w:t>
      </w:r>
      <w:r>
        <w:rPr>
          <w:spacing w:val="-7"/>
        </w:rPr>
        <w:t xml:space="preserve"> </w:t>
      </w:r>
      <w:r>
        <w:t>starting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2021.</w:t>
      </w:r>
    </w:p>
    <w:p w:rsidR="009F6E0A" w:rsidRDefault="00CA2156">
      <w:pPr>
        <w:pStyle w:val="ListParagraph"/>
        <w:numPr>
          <w:ilvl w:val="0"/>
          <w:numId w:val="2"/>
        </w:numPr>
        <w:tabs>
          <w:tab w:val="left" w:pos="826"/>
        </w:tabs>
        <w:spacing w:before="143" w:line="264" w:lineRule="auto"/>
        <w:ind w:left="826" w:right="766" w:hanging="287"/>
      </w:pPr>
      <w:r>
        <w:t>The</w:t>
      </w:r>
      <w:r>
        <w:rPr>
          <w:spacing w:val="-8"/>
        </w:rPr>
        <w:t xml:space="preserve"> </w:t>
      </w:r>
      <w:r>
        <w:t>repayments</w:t>
      </w:r>
      <w:r>
        <w:rPr>
          <w:spacing w:val="-13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collected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non-deductible</w:t>
      </w:r>
      <w:r>
        <w:rPr>
          <w:spacing w:val="-8"/>
        </w:rPr>
        <w:t xml:space="preserve"> </w:t>
      </w:r>
      <w:r>
        <w:t>levy</w:t>
      </w:r>
      <w:r>
        <w:rPr>
          <w:spacing w:val="-10"/>
        </w:rPr>
        <w:t xml:space="preserve"> </w:t>
      </w:r>
      <w:r>
        <w:t>equivalent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70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cent</w:t>
      </w:r>
      <w:r>
        <w:rPr>
          <w:spacing w:val="-10"/>
        </w:rPr>
        <w:t xml:space="preserve"> </w:t>
      </w:r>
      <w:r>
        <w:t>of total JobKeeper</w:t>
      </w:r>
      <w:r>
        <w:rPr>
          <w:spacing w:val="-11"/>
        </w:rPr>
        <w:t xml:space="preserve"> </w:t>
      </w:r>
      <w:r>
        <w:t>payments.</w:t>
      </w:r>
    </w:p>
    <w:p w:rsidR="009F6E0A" w:rsidRDefault="009F6E0A">
      <w:pPr>
        <w:pStyle w:val="BodyText"/>
        <w:spacing w:before="2"/>
        <w:rPr>
          <w:sz w:val="32"/>
        </w:rPr>
      </w:pPr>
    </w:p>
    <w:p w:rsidR="009F6E0A" w:rsidRDefault="00CA2156">
      <w:pPr>
        <w:pStyle w:val="Heading1"/>
        <w:spacing w:before="1"/>
      </w:pPr>
      <w:bookmarkStart w:id="4" w:name="Methodology"/>
      <w:bookmarkEnd w:id="4"/>
      <w:r>
        <w:rPr>
          <w:color w:val="3B4D7B"/>
        </w:rPr>
        <w:t>Methodology</w:t>
      </w:r>
    </w:p>
    <w:p w:rsidR="009F6E0A" w:rsidRDefault="00CA2156">
      <w:pPr>
        <w:pStyle w:val="BodyText"/>
        <w:spacing w:before="151" w:line="268" w:lineRule="auto"/>
        <w:ind w:left="539" w:right="485" w:hanging="1"/>
      </w:pP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JobKeeper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repaid</w:t>
      </w:r>
      <w:r>
        <w:rPr>
          <w:spacing w:val="-11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proposal</w:t>
      </w:r>
      <w:r>
        <w:rPr>
          <w:spacing w:val="-11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based</w:t>
      </w:r>
      <w:r>
        <w:rPr>
          <w:spacing w:val="-14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 xml:space="preserve">by the ATO. This information was the net JobKeeper payments received by the 65 listed companies from April 2020 through to February 2021, where net payments are the </w:t>
      </w:r>
      <w:r>
        <w:rPr>
          <w:spacing w:val="-3"/>
        </w:rPr>
        <w:t xml:space="preserve">sum </w:t>
      </w:r>
      <w:r>
        <w:t xml:space="preserve">of JobKeeper payments made to companies less </w:t>
      </w:r>
      <w:r>
        <w:rPr>
          <w:spacing w:val="-3"/>
        </w:rPr>
        <w:t xml:space="preserve">any </w:t>
      </w:r>
      <w:r>
        <w:t>voluntary repayments made prior to 7 April 2021, when the data was sourced from the ATO. This amount was then reduced by 30 per cent to account for tax previously paid on JobKeeper</w:t>
      </w:r>
      <w:r>
        <w:rPr>
          <w:spacing w:val="-8"/>
        </w:rPr>
        <w:t xml:space="preserve"> </w:t>
      </w:r>
      <w:r>
        <w:t>payments,</w:t>
      </w:r>
      <w:r>
        <w:rPr>
          <w:spacing w:val="-10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tax</w:t>
      </w:r>
      <w:r>
        <w:rPr>
          <w:spacing w:val="-8"/>
        </w:rPr>
        <w:t xml:space="preserve"> </w:t>
      </w:r>
      <w:r>
        <w:t>rate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large</w:t>
      </w:r>
      <w:r>
        <w:rPr>
          <w:spacing w:val="-6"/>
        </w:rPr>
        <w:t xml:space="preserve"> </w:t>
      </w:r>
      <w:r>
        <w:t>companies.</w:t>
      </w:r>
    </w:p>
    <w:p w:rsidR="009F6E0A" w:rsidRDefault="00CA2156">
      <w:pPr>
        <w:pStyle w:val="BodyText"/>
        <w:spacing w:before="111" w:line="268" w:lineRule="auto"/>
        <w:ind w:left="540" w:right="1172"/>
      </w:pPr>
      <w:r>
        <w:t>The total amount of departmental costs for the ATO was estimated based on previous budget measures of similar size and complexity from the 2017-18 Budget.</w:t>
      </w:r>
    </w:p>
    <w:p w:rsidR="009F6E0A" w:rsidRDefault="00CA2156">
      <w:pPr>
        <w:pStyle w:val="BodyText"/>
        <w:spacing w:before="118"/>
        <w:ind w:left="540"/>
      </w:pPr>
      <w:r>
        <w:t>Revenue and departmental expense estimates have been rounded to the nearest $100,000.</w:t>
      </w:r>
    </w:p>
    <w:p w:rsidR="009F6E0A" w:rsidRDefault="009F6E0A">
      <w:pPr>
        <w:pStyle w:val="BodyText"/>
      </w:pPr>
    </w:p>
    <w:p w:rsidR="009F6E0A" w:rsidRDefault="00CA2156">
      <w:pPr>
        <w:pStyle w:val="Heading1"/>
        <w:spacing w:before="148"/>
      </w:pPr>
      <w:bookmarkStart w:id="5" w:name="Data_sources"/>
      <w:bookmarkEnd w:id="5"/>
      <w:r>
        <w:rPr>
          <w:color w:val="3B4D7B"/>
        </w:rPr>
        <w:t>Data sources</w:t>
      </w:r>
    </w:p>
    <w:p w:rsidR="009F6E0A" w:rsidRDefault="00CA2156">
      <w:pPr>
        <w:pStyle w:val="BodyText"/>
        <w:spacing w:before="156" w:line="266" w:lineRule="auto"/>
        <w:ind w:left="539" w:right="493" w:hanging="1"/>
      </w:pPr>
      <w:r>
        <w:t>The</w:t>
      </w:r>
      <w:r>
        <w:rPr>
          <w:spacing w:val="-11"/>
        </w:rPr>
        <w:t xml:space="preserve"> </w:t>
      </w:r>
      <w:r>
        <w:t>Australian</w:t>
      </w:r>
      <w:r>
        <w:rPr>
          <w:spacing w:val="-14"/>
        </w:rPr>
        <w:t xml:space="preserve"> </w:t>
      </w:r>
      <w:r>
        <w:t>Tax</w:t>
      </w:r>
      <w:r>
        <w:rPr>
          <w:spacing w:val="-13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rPr>
          <w:spacing w:val="-3"/>
        </w:rPr>
        <w:t>net</w:t>
      </w:r>
      <w:r>
        <w:rPr>
          <w:spacing w:val="-12"/>
        </w:rPr>
        <w:t xml:space="preserve"> </w:t>
      </w:r>
      <w:r>
        <w:t>JobKeeper</w:t>
      </w:r>
      <w:r>
        <w:rPr>
          <w:spacing w:val="-12"/>
        </w:rPr>
        <w:t xml:space="preserve"> </w:t>
      </w:r>
      <w:r>
        <w:t>payments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payment</w:t>
      </w:r>
      <w:r>
        <w:rPr>
          <w:spacing w:val="-11"/>
        </w:rPr>
        <w:t xml:space="preserve"> </w:t>
      </w:r>
      <w:r>
        <w:t>fortnights of</w:t>
      </w:r>
      <w:r>
        <w:rPr>
          <w:spacing w:val="-3"/>
        </w:rPr>
        <w:t xml:space="preserve"> </w:t>
      </w:r>
      <w:r>
        <w:t>April</w:t>
      </w:r>
      <w:r>
        <w:rPr>
          <w:spacing w:val="-7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April</w:t>
      </w:r>
      <w:r>
        <w:rPr>
          <w:spacing w:val="-8"/>
        </w:rPr>
        <w:t xml:space="preserve"> </w:t>
      </w:r>
      <w:r>
        <w:t>2021.</w:t>
      </w:r>
    </w:p>
    <w:p w:rsidR="009F6E0A" w:rsidRDefault="00CA2156">
      <w:pPr>
        <w:spacing w:before="121" w:line="266" w:lineRule="auto"/>
        <w:ind w:left="539" w:right="725"/>
      </w:pPr>
      <w:r>
        <w:t xml:space="preserve">Australian Tax Office, 2019. </w:t>
      </w:r>
      <w:r>
        <w:rPr>
          <w:i/>
        </w:rPr>
        <w:t>Commissioner of Taxation annual report 2019-20</w:t>
      </w:r>
      <w:r>
        <w:t>, Canberra: Australian Taxation Office.</w:t>
      </w:r>
    </w:p>
    <w:p w:rsidR="009F6E0A" w:rsidRDefault="00CA2156">
      <w:pPr>
        <w:pStyle w:val="BodyText"/>
        <w:spacing w:before="122" w:line="268" w:lineRule="auto"/>
        <w:ind w:left="538" w:right="467"/>
      </w:pPr>
      <w:r>
        <w:t xml:space="preserve">Australian Tax Office, 2021. </w:t>
      </w:r>
      <w:r>
        <w:rPr>
          <w:i/>
        </w:rPr>
        <w:t>JobKeeper voluntary repayments</w:t>
      </w:r>
      <w:r>
        <w:t>. Available at: https://</w:t>
      </w:r>
      <w:hyperlink r:id="rId10">
        <w:r>
          <w:t>www.ato.gov.au/General/JobKeeper-Payment/Employers/JobKeeper-voluntary-repayments/.</w:t>
        </w:r>
      </w:hyperlink>
      <w:r>
        <w:t xml:space="preserve"> [Accessed 21.04.2021]</w:t>
      </w:r>
    </w:p>
    <w:p w:rsidR="009F6E0A" w:rsidRDefault="00CA2156">
      <w:pPr>
        <w:pStyle w:val="BodyText"/>
        <w:spacing w:before="118"/>
        <w:ind w:left="538"/>
      </w:pPr>
      <w:r>
        <w:t>Commonwealth of Australia, 2017. 2017-18 Budget, Canberra: Commonwealth of Australia.</w:t>
      </w:r>
    </w:p>
    <w:p w:rsidR="009F6E0A" w:rsidRDefault="00CA2156">
      <w:pPr>
        <w:spacing w:before="149" w:line="268" w:lineRule="auto"/>
        <w:ind w:left="538" w:right="588"/>
      </w:pPr>
      <w:r>
        <w:t xml:space="preserve">The New Daily 2021. </w:t>
      </w:r>
      <w:r>
        <w:rPr>
          <w:i/>
        </w:rPr>
        <w:t>UPDATED: The New Daily reveals the companies that kept JobKeeper – despite huge</w:t>
      </w:r>
      <w:r>
        <w:rPr>
          <w:i/>
          <w:spacing w:val="-34"/>
        </w:rPr>
        <w:t xml:space="preserve"> </w:t>
      </w:r>
      <w:r>
        <w:rPr>
          <w:i/>
        </w:rPr>
        <w:t>profits.</w:t>
      </w:r>
      <w:r>
        <w:rPr>
          <w:i/>
          <w:spacing w:val="-33"/>
        </w:rPr>
        <w:t xml:space="preserve"> </w:t>
      </w:r>
      <w:r>
        <w:t>Available</w:t>
      </w:r>
      <w:r>
        <w:rPr>
          <w:spacing w:val="-33"/>
        </w:rPr>
        <w:t xml:space="preserve"> </w:t>
      </w:r>
      <w:r>
        <w:t>at:</w:t>
      </w:r>
      <w:r>
        <w:rPr>
          <w:spacing w:val="-34"/>
        </w:rPr>
        <w:t xml:space="preserve"> </w:t>
      </w:r>
      <w:r>
        <w:t>https://thenewdaily.com.au/finance/finance-news/2021/03/03/jobkeeper- company-profits/. [Accessed</w:t>
      </w:r>
      <w:r>
        <w:rPr>
          <w:spacing w:val="-12"/>
        </w:rPr>
        <w:t xml:space="preserve"> </w:t>
      </w:r>
      <w:r>
        <w:t>17.03.2021]</w:t>
      </w:r>
    </w:p>
    <w:p w:rsidR="009F6E0A" w:rsidRDefault="009F6E0A">
      <w:pPr>
        <w:spacing w:line="268" w:lineRule="auto"/>
        <w:sectPr w:rsidR="009F6E0A">
          <w:headerReference w:type="default" r:id="rId11"/>
          <w:footerReference w:type="default" r:id="rId12"/>
          <w:pgSz w:w="11920" w:h="16850"/>
          <w:pgMar w:top="840" w:right="940" w:bottom="800" w:left="880" w:header="376" w:footer="600" w:gutter="0"/>
          <w:cols w:space="720"/>
        </w:sectPr>
      </w:pPr>
    </w:p>
    <w:p w:rsidR="009F6E0A" w:rsidRDefault="009F6E0A">
      <w:pPr>
        <w:pStyle w:val="BodyText"/>
        <w:spacing w:before="4"/>
        <w:rPr>
          <w:sz w:val="9"/>
        </w:rPr>
      </w:pPr>
    </w:p>
    <w:p w:rsidR="009F6E0A" w:rsidRDefault="00CA2156">
      <w:pPr>
        <w:pStyle w:val="Heading1"/>
        <w:spacing w:before="39"/>
        <w:ind w:left="111"/>
      </w:pPr>
      <w:bookmarkStart w:id="6" w:name="Attachment_A_–_Profitable_corporations_t"/>
      <w:bookmarkEnd w:id="6"/>
      <w:r>
        <w:rPr>
          <w:color w:val="3B4D7B"/>
        </w:rPr>
        <w:t>Attachment A – Profitable corporations to return JobKeeper payments</w:t>
      </w:r>
    </w:p>
    <w:p w:rsidR="009F6E0A" w:rsidRDefault="009F6E0A">
      <w:pPr>
        <w:pStyle w:val="BodyText"/>
        <w:spacing w:before="1"/>
        <w:rPr>
          <w:rFonts w:ascii="Calibri Light"/>
          <w:sz w:val="32"/>
        </w:rPr>
      </w:pPr>
    </w:p>
    <w:p w:rsidR="009F6E0A" w:rsidRDefault="00CA2156">
      <w:pPr>
        <w:pStyle w:val="Heading2"/>
        <w:spacing w:line="240" w:lineRule="auto"/>
        <w:ind w:left="111"/>
      </w:pPr>
      <w:bookmarkStart w:id="7" w:name="Table_A1:_Listed_companies(a)"/>
      <w:bookmarkEnd w:id="7"/>
      <w:r>
        <w:rPr>
          <w:color w:val="3B4D7B"/>
        </w:rPr>
        <w:t>Table A1: Listed companies</w:t>
      </w:r>
      <w:r>
        <w:rPr>
          <w:color w:val="3B4D7B"/>
          <w:vertAlign w:val="superscript"/>
        </w:rPr>
        <w:t>(a)</w:t>
      </w:r>
    </w:p>
    <w:p w:rsidR="009F6E0A" w:rsidRDefault="009F6E0A">
      <w:pPr>
        <w:pStyle w:val="BodyText"/>
        <w:spacing w:before="1" w:after="1"/>
        <w:rPr>
          <w:b/>
          <w:sz w:val="1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7"/>
        <w:gridCol w:w="4925"/>
      </w:tblGrid>
      <w:tr w:rsidR="009F6E0A">
        <w:trPr>
          <w:trHeight w:val="297"/>
        </w:trPr>
        <w:tc>
          <w:tcPr>
            <w:tcW w:w="4927" w:type="dxa"/>
            <w:shd w:val="clear" w:color="auto" w:fill="A7B0D2"/>
          </w:tcPr>
          <w:p w:rsidR="009F6E0A" w:rsidRDefault="00CA2156">
            <w:pPr>
              <w:pStyle w:val="TableParagraph"/>
              <w:spacing w:before="49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Company Name</w:t>
            </w:r>
          </w:p>
        </w:tc>
        <w:tc>
          <w:tcPr>
            <w:tcW w:w="4925" w:type="dxa"/>
            <w:shd w:val="clear" w:color="auto" w:fill="A7B0D2"/>
          </w:tcPr>
          <w:p w:rsidR="009F6E0A" w:rsidRDefault="009F6E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6E0A">
        <w:trPr>
          <w:trHeight w:val="297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2" w:line="185" w:lineRule="exact"/>
              <w:ind w:left="112"/>
              <w:rPr>
                <w:sz w:val="16"/>
              </w:rPr>
            </w:pPr>
            <w:r>
              <w:rPr>
                <w:sz w:val="16"/>
              </w:rPr>
              <w:t>Accent Group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2" w:line="185" w:lineRule="exact"/>
              <w:ind w:left="112"/>
              <w:rPr>
                <w:sz w:val="16"/>
              </w:rPr>
            </w:pPr>
            <w:r>
              <w:rPr>
                <w:sz w:val="16"/>
              </w:rPr>
              <w:t>Lynas</w:t>
            </w:r>
          </w:p>
        </w:tc>
      </w:tr>
      <w:tr w:rsidR="009F6E0A">
        <w:trPr>
          <w:trHeight w:val="299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2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Adairs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2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MaxiTRANS</w:t>
            </w:r>
          </w:p>
        </w:tc>
      </w:tr>
      <w:tr w:rsidR="009F6E0A">
        <w:trPr>
          <w:trHeight w:val="297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AMA Group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Mayfield childcare</w:t>
            </w:r>
          </w:p>
        </w:tc>
      </w:tr>
      <w:tr w:rsidR="009F6E0A">
        <w:trPr>
          <w:trHeight w:val="297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AMPOL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McGrath Limited</w:t>
            </w:r>
          </w:p>
        </w:tc>
      </w:tr>
      <w:tr w:rsidR="009F6E0A">
        <w:trPr>
          <w:trHeight w:val="299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2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ARB 4X4 Accessories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2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McMillan Shakespeare</w:t>
            </w:r>
          </w:p>
        </w:tc>
      </w:tr>
      <w:tr w:rsidR="009F6E0A">
        <w:trPr>
          <w:trHeight w:val="297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AUB Group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Michael Hill</w:t>
            </w:r>
          </w:p>
        </w:tc>
      </w:tr>
      <w:tr w:rsidR="009F6E0A">
        <w:trPr>
          <w:trHeight w:val="294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0" w:line="185" w:lineRule="exact"/>
              <w:ind w:left="112"/>
              <w:rPr>
                <w:sz w:val="16"/>
              </w:rPr>
            </w:pPr>
            <w:r>
              <w:rPr>
                <w:sz w:val="16"/>
              </w:rPr>
              <w:t>Aventus Group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0" w:line="185" w:lineRule="exact"/>
              <w:ind w:left="112"/>
              <w:rPr>
                <w:sz w:val="16"/>
              </w:rPr>
            </w:pPr>
            <w:r>
              <w:rPr>
                <w:sz w:val="16"/>
              </w:rPr>
              <w:t>Mirvac Group</w:t>
            </w:r>
          </w:p>
        </w:tc>
      </w:tr>
      <w:tr w:rsidR="009F6E0A">
        <w:trPr>
          <w:trHeight w:val="297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2" w:line="185" w:lineRule="exact"/>
              <w:ind w:left="112"/>
              <w:rPr>
                <w:sz w:val="16"/>
              </w:rPr>
            </w:pPr>
            <w:r>
              <w:rPr>
                <w:sz w:val="16"/>
              </w:rPr>
              <w:t>Bingo Industries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2" w:line="185" w:lineRule="exact"/>
              <w:ind w:left="112"/>
              <w:rPr>
                <w:sz w:val="16"/>
              </w:rPr>
            </w:pPr>
            <w:r>
              <w:rPr>
                <w:sz w:val="16"/>
              </w:rPr>
              <w:t>Moelis Australia</w:t>
            </w:r>
          </w:p>
        </w:tc>
      </w:tr>
      <w:tr w:rsidR="009F6E0A">
        <w:trPr>
          <w:trHeight w:val="299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4" w:line="185" w:lineRule="exact"/>
              <w:ind w:left="112"/>
              <w:rPr>
                <w:sz w:val="16"/>
              </w:rPr>
            </w:pPr>
            <w:r>
              <w:rPr>
                <w:sz w:val="16"/>
              </w:rPr>
              <w:t>Blackmores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4" w:line="185" w:lineRule="exact"/>
              <w:ind w:left="112"/>
              <w:rPr>
                <w:sz w:val="16"/>
              </w:rPr>
            </w:pPr>
            <w:r>
              <w:rPr>
                <w:sz w:val="16"/>
              </w:rPr>
              <w:t>Monadelphous</w:t>
            </w:r>
          </w:p>
        </w:tc>
      </w:tr>
      <w:tr w:rsidR="009F6E0A">
        <w:trPr>
          <w:trHeight w:val="297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Carsales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Monash IVF</w:t>
            </w:r>
          </w:p>
        </w:tc>
      </w:tr>
      <w:tr w:rsidR="009F6E0A">
        <w:trPr>
          <w:trHeight w:val="297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City Chic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National Tyre&amp;Wheel</w:t>
            </w:r>
          </w:p>
        </w:tc>
      </w:tr>
      <w:tr w:rsidR="009F6E0A">
        <w:trPr>
          <w:trHeight w:val="299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2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Cochlear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2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nib Group</w:t>
            </w:r>
          </w:p>
        </w:tc>
      </w:tr>
      <w:tr w:rsidR="009F6E0A">
        <w:trPr>
          <w:trHeight w:val="297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Collins Foods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Nick Scali</w:t>
            </w:r>
          </w:p>
        </w:tc>
      </w:tr>
      <w:tr w:rsidR="009F6E0A">
        <w:trPr>
          <w:trHeight w:val="297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Crown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Nine Entertainment</w:t>
            </w:r>
          </w:p>
        </w:tc>
      </w:tr>
      <w:tr w:rsidR="009F6E0A">
        <w:trPr>
          <w:trHeight w:val="297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2" w:line="185" w:lineRule="exact"/>
              <w:ind w:left="112"/>
              <w:rPr>
                <w:sz w:val="16"/>
              </w:rPr>
            </w:pPr>
            <w:r>
              <w:rPr>
                <w:sz w:val="16"/>
              </w:rPr>
              <w:t>Domain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2" w:line="185" w:lineRule="exact"/>
              <w:ind w:left="112"/>
              <w:rPr>
                <w:sz w:val="16"/>
              </w:rPr>
            </w:pPr>
            <w:r>
              <w:rPr>
                <w:sz w:val="16"/>
              </w:rPr>
              <w:t>Pact Group</w:t>
            </w:r>
          </w:p>
        </w:tc>
      </w:tr>
      <w:tr w:rsidR="009F6E0A">
        <w:trPr>
          <w:trHeight w:val="297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dusk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Qube</w:t>
            </w:r>
          </w:p>
        </w:tc>
      </w:tr>
      <w:tr w:rsidR="009F6E0A">
        <w:trPr>
          <w:trHeight w:val="297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Eagers Automotive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Redcape Hotel Group</w:t>
            </w:r>
          </w:p>
        </w:tc>
      </w:tr>
      <w:tr w:rsidR="009F6E0A">
        <w:trPr>
          <w:trHeight w:val="299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2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Elmo Software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2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SeaLink Group</w:t>
            </w:r>
          </w:p>
        </w:tc>
      </w:tr>
      <w:tr w:rsidR="009F6E0A">
        <w:trPr>
          <w:trHeight w:val="297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Empired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SEEK</w:t>
            </w:r>
          </w:p>
        </w:tc>
      </w:tr>
      <w:tr w:rsidR="009F6E0A">
        <w:trPr>
          <w:trHeight w:val="297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Good Drinks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Senex</w:t>
            </w:r>
          </w:p>
        </w:tc>
      </w:tr>
      <w:tr w:rsidR="009F6E0A">
        <w:trPr>
          <w:trHeight w:val="297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2" w:line="185" w:lineRule="exact"/>
              <w:ind w:left="112"/>
              <w:rPr>
                <w:sz w:val="16"/>
              </w:rPr>
            </w:pPr>
            <w:r>
              <w:rPr>
                <w:sz w:val="16"/>
              </w:rPr>
              <w:t>GPT Group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2" w:line="185" w:lineRule="exact"/>
              <w:ind w:left="112"/>
              <w:rPr>
                <w:sz w:val="16"/>
              </w:rPr>
            </w:pPr>
            <w:r>
              <w:rPr>
                <w:sz w:val="16"/>
              </w:rPr>
              <w:t>Service Stream</w:t>
            </w:r>
          </w:p>
        </w:tc>
      </w:tr>
      <w:tr w:rsidR="009F6E0A">
        <w:trPr>
          <w:trHeight w:val="297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2" w:line="185" w:lineRule="exact"/>
              <w:ind w:left="112"/>
              <w:rPr>
                <w:sz w:val="16"/>
              </w:rPr>
            </w:pPr>
            <w:r>
              <w:rPr>
                <w:sz w:val="16"/>
              </w:rPr>
              <w:t>Harvey Norman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2" w:line="185" w:lineRule="exact"/>
              <w:ind w:left="112"/>
              <w:rPr>
                <w:sz w:val="16"/>
              </w:rPr>
            </w:pPr>
            <w:r>
              <w:rPr>
                <w:sz w:val="16"/>
              </w:rPr>
              <w:t>Seven West Media</w:t>
            </w:r>
          </w:p>
        </w:tc>
      </w:tr>
      <w:tr w:rsidR="009F6E0A">
        <w:trPr>
          <w:trHeight w:val="297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2" w:line="185" w:lineRule="exact"/>
              <w:ind w:left="112"/>
              <w:rPr>
                <w:sz w:val="16"/>
              </w:rPr>
            </w:pPr>
            <w:r>
              <w:rPr>
                <w:sz w:val="16"/>
              </w:rPr>
              <w:t>HT&amp;E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2" w:line="185" w:lineRule="exact"/>
              <w:ind w:left="112"/>
              <w:rPr>
                <w:sz w:val="16"/>
              </w:rPr>
            </w:pPr>
            <w:r>
              <w:rPr>
                <w:sz w:val="16"/>
              </w:rPr>
              <w:t>Silk Laser Clinics</w:t>
            </w:r>
          </w:p>
        </w:tc>
      </w:tr>
      <w:tr w:rsidR="009F6E0A">
        <w:trPr>
          <w:trHeight w:val="299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2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Humm Group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2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SkyCity</w:t>
            </w:r>
          </w:p>
        </w:tc>
      </w:tr>
      <w:tr w:rsidR="009F6E0A">
        <w:trPr>
          <w:trHeight w:val="297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IDP Education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Southern Cross Media</w:t>
            </w:r>
          </w:p>
        </w:tc>
      </w:tr>
      <w:tr w:rsidR="009F6E0A">
        <w:trPr>
          <w:trHeight w:val="297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Ingenia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Star Entertainment</w:t>
            </w:r>
          </w:p>
        </w:tc>
      </w:tr>
      <w:tr w:rsidR="009F6E0A">
        <w:trPr>
          <w:trHeight w:val="299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2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Integral Diagnostics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2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Steadfast Group</w:t>
            </w:r>
          </w:p>
        </w:tc>
      </w:tr>
      <w:tr w:rsidR="009F6E0A">
        <w:trPr>
          <w:trHeight w:val="297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K2 Asset Management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Tabcorp</w:t>
            </w:r>
          </w:p>
        </w:tc>
      </w:tr>
      <w:tr w:rsidR="009F6E0A">
        <w:trPr>
          <w:trHeight w:val="294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0" w:line="185" w:lineRule="exact"/>
              <w:ind w:left="112"/>
              <w:rPr>
                <w:sz w:val="16"/>
              </w:rPr>
            </w:pPr>
            <w:r>
              <w:rPr>
                <w:sz w:val="16"/>
              </w:rPr>
              <w:t>Kathmandu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0" w:line="185" w:lineRule="exact"/>
              <w:ind w:left="112"/>
              <w:rPr>
                <w:sz w:val="16"/>
              </w:rPr>
            </w:pPr>
            <w:r>
              <w:rPr>
                <w:sz w:val="16"/>
              </w:rPr>
              <w:t>Vicinity Centres</w:t>
            </w:r>
          </w:p>
        </w:tc>
      </w:tr>
      <w:tr w:rsidR="009F6E0A">
        <w:trPr>
          <w:trHeight w:val="299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4" w:line="185" w:lineRule="exact"/>
              <w:ind w:left="112"/>
              <w:rPr>
                <w:sz w:val="16"/>
              </w:rPr>
            </w:pPr>
            <w:r>
              <w:rPr>
                <w:sz w:val="16"/>
              </w:rPr>
              <w:t>Kip McGraph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4" w:line="185" w:lineRule="exact"/>
              <w:ind w:left="112"/>
              <w:rPr>
                <w:sz w:val="16"/>
              </w:rPr>
            </w:pPr>
            <w:r>
              <w:rPr>
                <w:sz w:val="16"/>
              </w:rPr>
              <w:t>Virtus Health</w:t>
            </w:r>
          </w:p>
        </w:tc>
      </w:tr>
      <w:tr w:rsidR="009F6E0A">
        <w:trPr>
          <w:trHeight w:val="297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Lendlease Group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Vita Group</w:t>
            </w:r>
          </w:p>
        </w:tc>
      </w:tr>
      <w:tr w:rsidR="009F6E0A">
        <w:trPr>
          <w:trHeight w:val="297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Lindsay Australia</w:t>
            </w:r>
          </w:p>
        </w:tc>
        <w:tc>
          <w:tcPr>
            <w:tcW w:w="4925" w:type="dxa"/>
          </w:tcPr>
          <w:p w:rsidR="009F6E0A" w:rsidRDefault="00CA2156">
            <w:pPr>
              <w:pStyle w:val="TableParagraph"/>
              <w:spacing w:before="90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VIVA Energy</w:t>
            </w:r>
          </w:p>
        </w:tc>
      </w:tr>
      <w:tr w:rsidR="009F6E0A">
        <w:trPr>
          <w:trHeight w:val="299"/>
        </w:trPr>
        <w:tc>
          <w:tcPr>
            <w:tcW w:w="4927" w:type="dxa"/>
          </w:tcPr>
          <w:p w:rsidR="009F6E0A" w:rsidRDefault="00CA2156">
            <w:pPr>
              <w:pStyle w:val="TableParagraph"/>
              <w:spacing w:before="92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Lovisa</w:t>
            </w:r>
          </w:p>
        </w:tc>
        <w:tc>
          <w:tcPr>
            <w:tcW w:w="4925" w:type="dxa"/>
          </w:tcPr>
          <w:p w:rsidR="009F6E0A" w:rsidRDefault="009F6E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F6E0A" w:rsidRDefault="00CA2156">
      <w:pPr>
        <w:tabs>
          <w:tab w:val="left" w:pos="677"/>
        </w:tabs>
        <w:spacing w:before="102"/>
        <w:ind w:left="111"/>
        <w:rPr>
          <w:sz w:val="16"/>
        </w:rPr>
      </w:pPr>
      <w:r>
        <w:rPr>
          <w:sz w:val="16"/>
        </w:rPr>
        <w:t>(a)</w:t>
      </w:r>
      <w:r>
        <w:rPr>
          <w:sz w:val="16"/>
        </w:rPr>
        <w:tab/>
        <w:t>This</w:t>
      </w:r>
      <w:r>
        <w:rPr>
          <w:spacing w:val="-7"/>
          <w:sz w:val="16"/>
        </w:rPr>
        <w:t xml:space="preserve"> </w:t>
      </w:r>
      <w:r>
        <w:rPr>
          <w:sz w:val="16"/>
        </w:rPr>
        <w:t>list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companies</w:t>
      </w:r>
      <w:r>
        <w:rPr>
          <w:spacing w:val="-9"/>
          <w:sz w:val="16"/>
        </w:rPr>
        <w:t xml:space="preserve"> </w:t>
      </w:r>
      <w:r>
        <w:rPr>
          <w:sz w:val="16"/>
        </w:rPr>
        <w:t>was</w:t>
      </w:r>
      <w:r>
        <w:rPr>
          <w:spacing w:val="-6"/>
          <w:sz w:val="16"/>
        </w:rPr>
        <w:t xml:space="preserve"> </w:t>
      </w:r>
      <w:r>
        <w:rPr>
          <w:sz w:val="16"/>
        </w:rPr>
        <w:t>originally</w:t>
      </w:r>
      <w:r>
        <w:rPr>
          <w:spacing w:val="-7"/>
          <w:sz w:val="16"/>
        </w:rPr>
        <w:t xml:space="preserve"> </w:t>
      </w:r>
      <w:r>
        <w:rPr>
          <w:sz w:val="16"/>
        </w:rPr>
        <w:t>published</w:t>
      </w:r>
      <w:r>
        <w:rPr>
          <w:spacing w:val="-6"/>
          <w:sz w:val="16"/>
        </w:rPr>
        <w:t xml:space="preserve"> </w:t>
      </w:r>
      <w:r>
        <w:rPr>
          <w:sz w:val="16"/>
        </w:rPr>
        <w:t>by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New</w:t>
      </w:r>
      <w:r>
        <w:rPr>
          <w:spacing w:val="-9"/>
          <w:sz w:val="16"/>
        </w:rPr>
        <w:t xml:space="preserve"> </w:t>
      </w:r>
      <w:r>
        <w:rPr>
          <w:sz w:val="16"/>
        </w:rPr>
        <w:t>Daily</w:t>
      </w:r>
      <w:r>
        <w:rPr>
          <w:spacing w:val="-5"/>
          <w:sz w:val="16"/>
        </w:rPr>
        <w:t xml:space="preserve"> </w:t>
      </w:r>
      <w:r>
        <w:rPr>
          <w:sz w:val="16"/>
        </w:rPr>
        <w:t>on</w:t>
      </w:r>
      <w:r>
        <w:rPr>
          <w:spacing w:val="-8"/>
          <w:sz w:val="16"/>
        </w:rPr>
        <w:t xml:space="preserve"> </w:t>
      </w:r>
      <w:r>
        <w:rPr>
          <w:sz w:val="16"/>
        </w:rPr>
        <w:t>3</w:t>
      </w:r>
      <w:r>
        <w:rPr>
          <w:spacing w:val="-6"/>
          <w:sz w:val="16"/>
        </w:rPr>
        <w:t xml:space="preserve"> </w:t>
      </w:r>
      <w:r>
        <w:rPr>
          <w:sz w:val="16"/>
        </w:rPr>
        <w:t>March</w:t>
      </w:r>
      <w:r>
        <w:rPr>
          <w:spacing w:val="-6"/>
          <w:sz w:val="16"/>
        </w:rPr>
        <w:t xml:space="preserve"> </w:t>
      </w:r>
      <w:r>
        <w:rPr>
          <w:sz w:val="16"/>
        </w:rPr>
        <w:t>2021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subsequently</w:t>
      </w:r>
      <w:r>
        <w:rPr>
          <w:spacing w:val="-7"/>
          <w:sz w:val="16"/>
        </w:rPr>
        <w:t xml:space="preserve"> </w:t>
      </w:r>
      <w:r>
        <w:rPr>
          <w:sz w:val="16"/>
        </w:rPr>
        <w:t>updated</w:t>
      </w:r>
      <w:r>
        <w:rPr>
          <w:spacing w:val="-7"/>
          <w:sz w:val="16"/>
        </w:rPr>
        <w:t xml:space="preserve"> </w:t>
      </w:r>
      <w:r>
        <w:rPr>
          <w:sz w:val="16"/>
        </w:rPr>
        <w:t>on</w:t>
      </w:r>
      <w:r>
        <w:rPr>
          <w:spacing w:val="-8"/>
          <w:sz w:val="16"/>
        </w:rPr>
        <w:t xml:space="preserve"> </w:t>
      </w:r>
      <w:r>
        <w:rPr>
          <w:sz w:val="16"/>
        </w:rPr>
        <w:t>25</w:t>
      </w:r>
      <w:r>
        <w:rPr>
          <w:spacing w:val="-4"/>
          <w:sz w:val="16"/>
        </w:rPr>
        <w:t xml:space="preserve"> </w:t>
      </w:r>
      <w:r>
        <w:rPr>
          <w:sz w:val="16"/>
        </w:rPr>
        <w:t>March</w:t>
      </w:r>
      <w:r>
        <w:rPr>
          <w:spacing w:val="-8"/>
          <w:sz w:val="16"/>
        </w:rPr>
        <w:t xml:space="preserve"> </w:t>
      </w:r>
      <w:r>
        <w:rPr>
          <w:sz w:val="16"/>
        </w:rPr>
        <w:t>2021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article</w:t>
      </w:r>
    </w:p>
    <w:p w:rsidR="009F6E0A" w:rsidRDefault="00CA2156">
      <w:pPr>
        <w:spacing w:before="107"/>
        <w:ind w:left="677"/>
        <w:rPr>
          <w:sz w:val="16"/>
        </w:rPr>
      </w:pPr>
      <w:r>
        <w:rPr>
          <w:i/>
          <w:sz w:val="16"/>
        </w:rPr>
        <w:t>UPDATED: The New Daily reveals the companies that kept JobKeeper – despite huge profits</w:t>
      </w:r>
      <w:r>
        <w:rPr>
          <w:sz w:val="16"/>
        </w:rPr>
        <w:t>.</w:t>
      </w:r>
    </w:p>
    <w:p w:rsidR="009F6E0A" w:rsidRDefault="009F6E0A">
      <w:pPr>
        <w:rPr>
          <w:sz w:val="16"/>
        </w:rPr>
        <w:sectPr w:rsidR="009F6E0A">
          <w:headerReference w:type="default" r:id="rId13"/>
          <w:footerReference w:type="default" r:id="rId14"/>
          <w:pgSz w:w="11920" w:h="16850"/>
          <w:pgMar w:top="840" w:right="940" w:bottom="800" w:left="880" w:header="376" w:footer="600" w:gutter="0"/>
          <w:pgNumType w:start="3"/>
          <w:cols w:space="720"/>
        </w:sectPr>
      </w:pPr>
    </w:p>
    <w:p w:rsidR="009F6E0A" w:rsidRDefault="00CA2156">
      <w:pPr>
        <w:pStyle w:val="Heading1"/>
        <w:spacing w:before="31"/>
        <w:ind w:left="111"/>
      </w:pPr>
      <w:bookmarkStart w:id="8" w:name="Attachment_B_–_Profitable_corporations_t"/>
      <w:bookmarkEnd w:id="8"/>
      <w:r>
        <w:rPr>
          <w:color w:val="3B4D7B"/>
        </w:rPr>
        <w:lastRenderedPageBreak/>
        <w:t>Attachment B – Profitable corporations to return JobKeeper payments</w:t>
      </w:r>
    </w:p>
    <w:p w:rsidR="009F6E0A" w:rsidRDefault="009F6E0A">
      <w:pPr>
        <w:pStyle w:val="BodyText"/>
        <w:spacing w:before="5"/>
        <w:rPr>
          <w:rFonts w:ascii="Calibri Light"/>
          <w:sz w:val="32"/>
        </w:rPr>
      </w:pPr>
    </w:p>
    <w:p w:rsidR="009F6E0A" w:rsidRDefault="00CA2156">
      <w:pPr>
        <w:pStyle w:val="Heading2"/>
        <w:spacing w:before="1" w:line="266" w:lineRule="auto"/>
        <w:ind w:left="111" w:right="588" w:hanging="1"/>
        <w:rPr>
          <w:sz w:val="14"/>
        </w:rPr>
      </w:pPr>
      <w:bookmarkStart w:id="9" w:name="Table_B1:_Profitable_corporations_to_ret"/>
      <w:bookmarkEnd w:id="9"/>
      <w:r>
        <w:rPr>
          <w:color w:val="3B4D7B"/>
        </w:rPr>
        <w:t>Table</w:t>
      </w:r>
      <w:r>
        <w:rPr>
          <w:color w:val="3B4D7B"/>
          <w:spacing w:val="-15"/>
        </w:rPr>
        <w:t xml:space="preserve"> </w:t>
      </w:r>
      <w:r>
        <w:rPr>
          <w:color w:val="3B4D7B"/>
        </w:rPr>
        <w:t>B1:</w:t>
      </w:r>
      <w:r>
        <w:rPr>
          <w:color w:val="3B4D7B"/>
          <w:spacing w:val="-16"/>
        </w:rPr>
        <w:t xml:space="preserve"> </w:t>
      </w:r>
      <w:r>
        <w:rPr>
          <w:color w:val="3B4D7B"/>
        </w:rPr>
        <w:t>Profitable</w:t>
      </w:r>
      <w:r>
        <w:rPr>
          <w:color w:val="3B4D7B"/>
          <w:spacing w:val="-15"/>
        </w:rPr>
        <w:t xml:space="preserve"> </w:t>
      </w:r>
      <w:r>
        <w:rPr>
          <w:color w:val="3B4D7B"/>
        </w:rPr>
        <w:t>corporations</w:t>
      </w:r>
      <w:r>
        <w:rPr>
          <w:color w:val="3B4D7B"/>
          <w:spacing w:val="-11"/>
        </w:rPr>
        <w:t xml:space="preserve"> </w:t>
      </w:r>
      <w:r>
        <w:rPr>
          <w:color w:val="3B4D7B"/>
        </w:rPr>
        <w:t>to</w:t>
      </w:r>
      <w:r>
        <w:rPr>
          <w:color w:val="3B4D7B"/>
          <w:spacing w:val="-16"/>
        </w:rPr>
        <w:t xml:space="preserve"> </w:t>
      </w:r>
      <w:r>
        <w:rPr>
          <w:color w:val="3B4D7B"/>
        </w:rPr>
        <w:t>return</w:t>
      </w:r>
      <w:r>
        <w:rPr>
          <w:color w:val="3B4D7B"/>
          <w:spacing w:val="-15"/>
        </w:rPr>
        <w:t xml:space="preserve"> </w:t>
      </w:r>
      <w:r>
        <w:rPr>
          <w:color w:val="3B4D7B"/>
        </w:rPr>
        <w:t>JobKeeper</w:t>
      </w:r>
      <w:r>
        <w:rPr>
          <w:color w:val="3B4D7B"/>
          <w:spacing w:val="-10"/>
        </w:rPr>
        <w:t xml:space="preserve"> </w:t>
      </w:r>
      <w:r>
        <w:rPr>
          <w:color w:val="3B4D7B"/>
        </w:rPr>
        <w:t>payments</w:t>
      </w:r>
      <w:r>
        <w:rPr>
          <w:color w:val="3B4D7B"/>
          <w:spacing w:val="-8"/>
        </w:rPr>
        <w:t xml:space="preserve"> </w:t>
      </w:r>
      <w:r>
        <w:rPr>
          <w:color w:val="3B4D7B"/>
        </w:rPr>
        <w:t>–</w:t>
      </w:r>
      <w:r>
        <w:rPr>
          <w:color w:val="3B4D7B"/>
          <w:spacing w:val="-13"/>
        </w:rPr>
        <w:t xml:space="preserve"> </w:t>
      </w:r>
      <w:r>
        <w:rPr>
          <w:color w:val="3B4D7B"/>
        </w:rPr>
        <w:t>Fiscal</w:t>
      </w:r>
      <w:r>
        <w:rPr>
          <w:color w:val="3B4D7B"/>
          <w:spacing w:val="-9"/>
        </w:rPr>
        <w:t xml:space="preserve"> </w:t>
      </w:r>
      <w:r>
        <w:rPr>
          <w:color w:val="3B4D7B"/>
        </w:rPr>
        <w:t>and</w:t>
      </w:r>
      <w:r>
        <w:rPr>
          <w:color w:val="3B4D7B"/>
          <w:spacing w:val="-10"/>
        </w:rPr>
        <w:t xml:space="preserve"> </w:t>
      </w:r>
      <w:r>
        <w:rPr>
          <w:color w:val="3B4D7B"/>
        </w:rPr>
        <w:t>underlying</w:t>
      </w:r>
      <w:r>
        <w:rPr>
          <w:color w:val="3B4D7B"/>
          <w:spacing w:val="-15"/>
        </w:rPr>
        <w:t xml:space="preserve"> </w:t>
      </w:r>
      <w:r>
        <w:rPr>
          <w:color w:val="3B4D7B"/>
        </w:rPr>
        <w:t>cash</w:t>
      </w:r>
      <w:r>
        <w:rPr>
          <w:color w:val="3B4D7B"/>
          <w:spacing w:val="-15"/>
        </w:rPr>
        <w:t xml:space="preserve"> </w:t>
      </w:r>
      <w:r>
        <w:rPr>
          <w:color w:val="3B4D7B"/>
        </w:rPr>
        <w:t xml:space="preserve">balances </w:t>
      </w:r>
      <w:r>
        <w:rPr>
          <w:color w:val="3B4D7B"/>
          <w:position w:val="-6"/>
        </w:rPr>
        <w:t>($m)</w:t>
      </w:r>
      <w:r>
        <w:rPr>
          <w:color w:val="3B4D7B"/>
          <w:sz w:val="14"/>
        </w:rPr>
        <w:t>(a)(b)</w:t>
      </w:r>
    </w:p>
    <w:p w:rsidR="009F6E0A" w:rsidRDefault="009F6E0A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131" w:type="dxa"/>
        <w:tblBorders>
          <w:top w:val="single" w:sz="8" w:space="0" w:color="7D7D7D"/>
          <w:left w:val="single" w:sz="8" w:space="0" w:color="7D7D7D"/>
          <w:bottom w:val="single" w:sz="8" w:space="0" w:color="7D7D7D"/>
          <w:right w:val="single" w:sz="8" w:space="0" w:color="7D7D7D"/>
          <w:insideH w:val="single" w:sz="8" w:space="0" w:color="7D7D7D"/>
          <w:insideV w:val="single" w:sz="8" w:space="0" w:color="7D7D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593"/>
        <w:gridCol w:w="593"/>
        <w:gridCol w:w="591"/>
        <w:gridCol w:w="593"/>
        <w:gridCol w:w="593"/>
        <w:gridCol w:w="593"/>
        <w:gridCol w:w="593"/>
        <w:gridCol w:w="591"/>
        <w:gridCol w:w="593"/>
        <w:gridCol w:w="591"/>
        <w:gridCol w:w="593"/>
        <w:gridCol w:w="826"/>
        <w:gridCol w:w="797"/>
      </w:tblGrid>
      <w:tr w:rsidR="009F6E0A">
        <w:trPr>
          <w:trHeight w:val="659"/>
        </w:trPr>
        <w:tc>
          <w:tcPr>
            <w:tcW w:w="1699" w:type="dxa"/>
            <w:shd w:val="clear" w:color="auto" w:fill="A7B0D2"/>
          </w:tcPr>
          <w:p w:rsidR="009F6E0A" w:rsidRDefault="009F6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  <w:shd w:val="clear" w:color="auto" w:fill="A7B0D2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2020–</w:t>
            </w:r>
          </w:p>
          <w:p w:rsidR="009F6E0A" w:rsidRDefault="00CA2156">
            <w:pPr>
              <w:pStyle w:val="TableParagraph"/>
              <w:spacing w:before="93" w:line="187" w:lineRule="exact"/>
              <w:ind w:right="26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21</w:t>
            </w:r>
          </w:p>
        </w:tc>
        <w:tc>
          <w:tcPr>
            <w:tcW w:w="593" w:type="dxa"/>
            <w:shd w:val="clear" w:color="auto" w:fill="A7B0D2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2021–</w:t>
            </w:r>
          </w:p>
          <w:p w:rsidR="009F6E0A" w:rsidRDefault="00CA2156">
            <w:pPr>
              <w:pStyle w:val="TableParagraph"/>
              <w:spacing w:before="93" w:line="187" w:lineRule="exact"/>
              <w:ind w:right="2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22</w:t>
            </w:r>
          </w:p>
        </w:tc>
        <w:tc>
          <w:tcPr>
            <w:tcW w:w="591" w:type="dxa"/>
            <w:shd w:val="clear" w:color="auto" w:fill="A7B0D2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2022–</w:t>
            </w:r>
          </w:p>
          <w:p w:rsidR="009F6E0A" w:rsidRDefault="00CA2156">
            <w:pPr>
              <w:pStyle w:val="TableParagraph"/>
              <w:spacing w:before="93" w:line="187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93" w:type="dxa"/>
            <w:shd w:val="clear" w:color="auto" w:fill="A7B0D2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2023–</w:t>
            </w:r>
          </w:p>
          <w:p w:rsidR="009F6E0A" w:rsidRDefault="00CA2156">
            <w:pPr>
              <w:pStyle w:val="TableParagraph"/>
              <w:spacing w:before="93" w:line="187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93" w:type="dxa"/>
            <w:shd w:val="clear" w:color="auto" w:fill="A7B0D2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2024–</w:t>
            </w:r>
          </w:p>
          <w:p w:rsidR="009F6E0A" w:rsidRDefault="00CA2156">
            <w:pPr>
              <w:pStyle w:val="TableParagraph"/>
              <w:spacing w:before="93" w:line="187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93" w:type="dxa"/>
            <w:shd w:val="clear" w:color="auto" w:fill="A7B0D2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2025–</w:t>
            </w:r>
          </w:p>
          <w:p w:rsidR="009F6E0A" w:rsidRDefault="00CA2156">
            <w:pPr>
              <w:pStyle w:val="TableParagraph"/>
              <w:spacing w:before="93" w:line="187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93" w:type="dxa"/>
            <w:shd w:val="clear" w:color="auto" w:fill="A7B0D2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2026–</w:t>
            </w:r>
          </w:p>
          <w:p w:rsidR="009F6E0A" w:rsidRDefault="00CA2156">
            <w:pPr>
              <w:pStyle w:val="TableParagraph"/>
              <w:spacing w:before="93" w:line="187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591" w:type="dxa"/>
            <w:shd w:val="clear" w:color="auto" w:fill="A7B0D2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2027–</w:t>
            </w:r>
          </w:p>
          <w:p w:rsidR="009F6E0A" w:rsidRDefault="00CA2156">
            <w:pPr>
              <w:pStyle w:val="TableParagraph"/>
              <w:spacing w:before="93" w:line="187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93" w:type="dxa"/>
            <w:shd w:val="clear" w:color="auto" w:fill="A7B0D2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2028–</w:t>
            </w:r>
          </w:p>
          <w:p w:rsidR="009F6E0A" w:rsidRDefault="00CA2156">
            <w:pPr>
              <w:pStyle w:val="TableParagraph"/>
              <w:spacing w:before="93" w:line="187" w:lineRule="exact"/>
              <w:ind w:right="2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29</w:t>
            </w:r>
          </w:p>
        </w:tc>
        <w:tc>
          <w:tcPr>
            <w:tcW w:w="591" w:type="dxa"/>
            <w:shd w:val="clear" w:color="auto" w:fill="A7B0D2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2029–</w:t>
            </w:r>
          </w:p>
          <w:p w:rsidR="009F6E0A" w:rsidRDefault="00CA2156">
            <w:pPr>
              <w:pStyle w:val="TableParagraph"/>
              <w:spacing w:before="93" w:line="187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93" w:type="dxa"/>
            <w:shd w:val="clear" w:color="auto" w:fill="A7B0D2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2030–</w:t>
            </w:r>
          </w:p>
          <w:p w:rsidR="009F6E0A" w:rsidRDefault="00CA2156">
            <w:pPr>
              <w:pStyle w:val="TableParagraph"/>
              <w:spacing w:before="93" w:line="187" w:lineRule="exact"/>
              <w:ind w:right="2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31</w:t>
            </w:r>
          </w:p>
        </w:tc>
        <w:tc>
          <w:tcPr>
            <w:tcW w:w="826" w:type="dxa"/>
            <w:shd w:val="clear" w:color="auto" w:fill="A7B0D2"/>
          </w:tcPr>
          <w:p w:rsidR="009F6E0A" w:rsidRDefault="00CA2156">
            <w:pPr>
              <w:pStyle w:val="TableParagraph"/>
              <w:spacing w:before="57" w:line="300" w:lineRule="atLeast"/>
              <w:ind w:left="219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Total to 2023–24</w:t>
            </w:r>
          </w:p>
        </w:tc>
        <w:tc>
          <w:tcPr>
            <w:tcW w:w="797" w:type="dxa"/>
            <w:shd w:val="clear" w:color="auto" w:fill="A7B0D2"/>
          </w:tcPr>
          <w:p w:rsidR="009F6E0A" w:rsidRDefault="00CA2156">
            <w:pPr>
              <w:pStyle w:val="TableParagraph"/>
              <w:spacing w:before="57" w:line="300" w:lineRule="atLeast"/>
              <w:ind w:left="190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Total to 2030–31</w:t>
            </w:r>
          </w:p>
        </w:tc>
      </w:tr>
      <w:tr w:rsidR="009F6E0A" w:rsidTr="00D51ADF">
        <w:trPr>
          <w:trHeight w:val="359"/>
        </w:trPr>
        <w:tc>
          <w:tcPr>
            <w:tcW w:w="1699" w:type="dxa"/>
          </w:tcPr>
          <w:p w:rsidR="009F6E0A" w:rsidRDefault="009F6E0A">
            <w:pPr>
              <w:pStyle w:val="TableParagraph"/>
              <w:spacing w:before="5"/>
              <w:rPr>
                <w:b/>
                <w:sz w:val="12"/>
              </w:rPr>
            </w:pPr>
          </w:p>
          <w:p w:rsidR="009F6E0A" w:rsidRDefault="00CA2156">
            <w:pPr>
              <w:pStyle w:val="TableParagraph"/>
              <w:spacing w:line="187" w:lineRule="exact"/>
              <w:ind w:left="66"/>
              <w:rPr>
                <w:i/>
                <w:sz w:val="16"/>
              </w:rPr>
            </w:pPr>
            <w:r>
              <w:rPr>
                <w:i/>
                <w:sz w:val="16"/>
              </w:rPr>
              <w:t>Revenue</w:t>
            </w:r>
          </w:p>
        </w:tc>
        <w:tc>
          <w:tcPr>
            <w:tcW w:w="593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5" w:lineRule="exact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593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5" w:lineRule="exact"/>
              <w:ind w:right="21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1,155.4</w:t>
            </w:r>
          </w:p>
        </w:tc>
        <w:tc>
          <w:tcPr>
            <w:tcW w:w="591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5" w:lineRule="exact"/>
              <w:ind w:right="2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3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5" w:lineRule="exact"/>
              <w:ind w:right="2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3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5" w:lineRule="exact"/>
              <w:ind w:right="2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3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5" w:lineRule="exact"/>
              <w:ind w:right="22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3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5" w:lineRule="exact"/>
              <w:ind w:right="2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1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5" w:lineRule="exact"/>
              <w:ind w:right="23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3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5" w:lineRule="exact"/>
              <w:ind w:right="23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1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5" w:lineRule="exact"/>
              <w:ind w:right="21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3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5" w:lineRule="exact"/>
              <w:ind w:right="21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826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5" w:lineRule="exact"/>
              <w:ind w:right="18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1,155.4</w:t>
            </w:r>
          </w:p>
        </w:tc>
        <w:tc>
          <w:tcPr>
            <w:tcW w:w="797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5" w:lineRule="exact"/>
              <w:ind w:right="18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1,155.4</w:t>
            </w:r>
          </w:p>
        </w:tc>
      </w:tr>
      <w:tr w:rsidR="009F6E0A" w:rsidTr="00D51ADF">
        <w:trPr>
          <w:trHeight w:val="361"/>
        </w:trPr>
        <w:tc>
          <w:tcPr>
            <w:tcW w:w="1699" w:type="dxa"/>
          </w:tcPr>
          <w:p w:rsidR="009F6E0A" w:rsidRDefault="009F6E0A">
            <w:pPr>
              <w:pStyle w:val="TableParagraph"/>
              <w:spacing w:before="5"/>
              <w:rPr>
                <w:b/>
                <w:sz w:val="12"/>
              </w:rPr>
            </w:pPr>
          </w:p>
          <w:p w:rsidR="009F6E0A" w:rsidRDefault="00CA2156">
            <w:pPr>
              <w:pStyle w:val="TableParagraph"/>
              <w:spacing w:line="190" w:lineRule="exact"/>
              <w:ind w:left="66"/>
              <w:rPr>
                <w:i/>
                <w:sz w:val="16"/>
              </w:rPr>
            </w:pPr>
            <w:r>
              <w:rPr>
                <w:i/>
                <w:sz w:val="16"/>
              </w:rPr>
              <w:t>Departmental expense</w:t>
            </w:r>
          </w:p>
        </w:tc>
        <w:tc>
          <w:tcPr>
            <w:tcW w:w="593" w:type="dxa"/>
            <w:vAlign w:val="center"/>
          </w:tcPr>
          <w:p w:rsidR="009F6E0A" w:rsidRDefault="00CA2156">
            <w:pPr>
              <w:pStyle w:val="TableParagraph"/>
              <w:spacing w:before="58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593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8" w:lineRule="exact"/>
              <w:ind w:right="21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-2.5</w:t>
            </w:r>
          </w:p>
        </w:tc>
        <w:tc>
          <w:tcPr>
            <w:tcW w:w="591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8" w:lineRule="exact"/>
              <w:ind w:right="2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3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8" w:lineRule="exact"/>
              <w:ind w:right="2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3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8" w:lineRule="exact"/>
              <w:ind w:right="2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3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8" w:lineRule="exact"/>
              <w:ind w:right="22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3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8" w:lineRule="exact"/>
              <w:ind w:right="2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1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8" w:lineRule="exact"/>
              <w:ind w:right="23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3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8" w:lineRule="exact"/>
              <w:ind w:right="23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1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8" w:lineRule="exact"/>
              <w:ind w:right="21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3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8" w:lineRule="exact"/>
              <w:ind w:right="21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826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8" w:lineRule="exact"/>
              <w:ind w:right="18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-2.5</w:t>
            </w:r>
          </w:p>
        </w:tc>
        <w:tc>
          <w:tcPr>
            <w:tcW w:w="797" w:type="dxa"/>
            <w:vAlign w:val="center"/>
          </w:tcPr>
          <w:p w:rsidR="009F6E0A" w:rsidRDefault="009F6E0A">
            <w:pPr>
              <w:pStyle w:val="TableParagraph"/>
              <w:spacing w:before="5"/>
              <w:rPr>
                <w:b/>
                <w:sz w:val="13"/>
              </w:rPr>
            </w:pPr>
          </w:p>
          <w:p w:rsidR="009F6E0A" w:rsidRDefault="00CA2156">
            <w:pPr>
              <w:pStyle w:val="TableParagraph"/>
              <w:spacing w:line="178" w:lineRule="exact"/>
              <w:ind w:right="18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-2.5</w:t>
            </w:r>
          </w:p>
        </w:tc>
      </w:tr>
      <w:tr w:rsidR="009F6E0A" w:rsidTr="00D51ADF">
        <w:trPr>
          <w:trHeight w:val="359"/>
        </w:trPr>
        <w:tc>
          <w:tcPr>
            <w:tcW w:w="1699" w:type="dxa"/>
            <w:shd w:val="clear" w:color="auto" w:fill="A7B0D2"/>
          </w:tcPr>
          <w:p w:rsidR="009F6E0A" w:rsidRDefault="009F6E0A">
            <w:pPr>
              <w:pStyle w:val="TableParagraph"/>
              <w:spacing w:before="3"/>
              <w:rPr>
                <w:b/>
                <w:sz w:val="12"/>
              </w:rPr>
            </w:pPr>
          </w:p>
          <w:p w:rsidR="009F6E0A" w:rsidRDefault="00CA2156">
            <w:pPr>
              <w:pStyle w:val="TableParagraph"/>
              <w:spacing w:line="190" w:lineRule="exact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593" w:type="dxa"/>
            <w:shd w:val="clear" w:color="auto" w:fill="A7B0D2"/>
            <w:vAlign w:val="center"/>
          </w:tcPr>
          <w:p w:rsidR="009F6E0A" w:rsidRDefault="00CA2156">
            <w:pPr>
              <w:pStyle w:val="TableParagraph"/>
              <w:spacing w:before="56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593" w:type="dxa"/>
            <w:shd w:val="clear" w:color="auto" w:fill="A7B0D2"/>
            <w:vAlign w:val="center"/>
          </w:tcPr>
          <w:p w:rsidR="009F6E0A" w:rsidRDefault="009F6E0A" w:rsidP="00D51ADF">
            <w:pPr>
              <w:pStyle w:val="TableParagraph"/>
              <w:rPr>
                <w:b/>
                <w:sz w:val="13"/>
              </w:rPr>
            </w:pPr>
          </w:p>
          <w:p w:rsidR="009F6E0A" w:rsidRDefault="00CA2156" w:rsidP="00D51ADF">
            <w:pPr>
              <w:pStyle w:val="TableParagraph"/>
              <w:spacing w:line="178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1,152.9</w:t>
            </w:r>
          </w:p>
        </w:tc>
        <w:tc>
          <w:tcPr>
            <w:tcW w:w="591" w:type="dxa"/>
            <w:shd w:val="clear" w:color="auto" w:fill="A7B0D2"/>
            <w:vAlign w:val="center"/>
          </w:tcPr>
          <w:p w:rsidR="009F6E0A" w:rsidRDefault="009F6E0A" w:rsidP="00D51ADF">
            <w:pPr>
              <w:pStyle w:val="TableParagraph"/>
              <w:rPr>
                <w:b/>
                <w:sz w:val="13"/>
              </w:rPr>
            </w:pPr>
          </w:p>
          <w:p w:rsidR="009F6E0A" w:rsidRDefault="00CA2156" w:rsidP="00D51ADF">
            <w:pPr>
              <w:pStyle w:val="TableParagraph"/>
              <w:spacing w:line="178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-</w:t>
            </w:r>
          </w:p>
        </w:tc>
        <w:tc>
          <w:tcPr>
            <w:tcW w:w="593" w:type="dxa"/>
            <w:shd w:val="clear" w:color="auto" w:fill="A7B0D2"/>
            <w:vAlign w:val="center"/>
          </w:tcPr>
          <w:p w:rsidR="009F6E0A" w:rsidRDefault="009F6E0A" w:rsidP="00D51ADF">
            <w:pPr>
              <w:pStyle w:val="TableParagraph"/>
              <w:rPr>
                <w:b/>
                <w:sz w:val="13"/>
              </w:rPr>
            </w:pPr>
          </w:p>
          <w:p w:rsidR="009F6E0A" w:rsidRDefault="00CA2156" w:rsidP="00D51ADF">
            <w:pPr>
              <w:pStyle w:val="TableParagraph"/>
              <w:spacing w:line="178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-</w:t>
            </w:r>
          </w:p>
        </w:tc>
        <w:tc>
          <w:tcPr>
            <w:tcW w:w="593" w:type="dxa"/>
            <w:shd w:val="clear" w:color="auto" w:fill="A7B0D2"/>
            <w:vAlign w:val="center"/>
          </w:tcPr>
          <w:p w:rsidR="009F6E0A" w:rsidRDefault="009F6E0A" w:rsidP="00D51ADF">
            <w:pPr>
              <w:pStyle w:val="TableParagraph"/>
              <w:rPr>
                <w:b/>
                <w:sz w:val="13"/>
              </w:rPr>
            </w:pPr>
          </w:p>
          <w:p w:rsidR="009F6E0A" w:rsidRDefault="00CA2156" w:rsidP="00D51ADF">
            <w:pPr>
              <w:pStyle w:val="TableParagraph"/>
              <w:spacing w:line="178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-</w:t>
            </w:r>
          </w:p>
        </w:tc>
        <w:tc>
          <w:tcPr>
            <w:tcW w:w="593" w:type="dxa"/>
            <w:shd w:val="clear" w:color="auto" w:fill="A7B0D2"/>
            <w:vAlign w:val="center"/>
          </w:tcPr>
          <w:p w:rsidR="009F6E0A" w:rsidRDefault="009F6E0A" w:rsidP="00D51ADF">
            <w:pPr>
              <w:pStyle w:val="TableParagraph"/>
              <w:rPr>
                <w:b/>
                <w:sz w:val="13"/>
              </w:rPr>
            </w:pPr>
          </w:p>
          <w:p w:rsidR="009F6E0A" w:rsidRDefault="00CA2156" w:rsidP="00D51ADF">
            <w:pPr>
              <w:pStyle w:val="TableParagraph"/>
              <w:spacing w:line="178" w:lineRule="exact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-</w:t>
            </w:r>
          </w:p>
        </w:tc>
        <w:tc>
          <w:tcPr>
            <w:tcW w:w="593" w:type="dxa"/>
            <w:shd w:val="clear" w:color="auto" w:fill="A7B0D2"/>
            <w:vAlign w:val="center"/>
          </w:tcPr>
          <w:p w:rsidR="009F6E0A" w:rsidRDefault="009F6E0A" w:rsidP="00D51ADF">
            <w:pPr>
              <w:pStyle w:val="TableParagraph"/>
              <w:rPr>
                <w:b/>
                <w:sz w:val="13"/>
              </w:rPr>
            </w:pPr>
          </w:p>
          <w:p w:rsidR="009F6E0A" w:rsidRDefault="00CA2156" w:rsidP="00D51ADF">
            <w:pPr>
              <w:pStyle w:val="TableParagraph"/>
              <w:spacing w:line="178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-</w:t>
            </w:r>
          </w:p>
        </w:tc>
        <w:tc>
          <w:tcPr>
            <w:tcW w:w="591" w:type="dxa"/>
            <w:shd w:val="clear" w:color="auto" w:fill="A7B0D2"/>
            <w:vAlign w:val="center"/>
          </w:tcPr>
          <w:p w:rsidR="009F6E0A" w:rsidRDefault="009F6E0A" w:rsidP="00D51ADF">
            <w:pPr>
              <w:pStyle w:val="TableParagraph"/>
              <w:rPr>
                <w:b/>
                <w:sz w:val="13"/>
              </w:rPr>
            </w:pPr>
          </w:p>
          <w:p w:rsidR="009F6E0A" w:rsidRDefault="00CA2156" w:rsidP="00D51ADF">
            <w:pPr>
              <w:pStyle w:val="TableParagraph"/>
              <w:spacing w:line="178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-</w:t>
            </w:r>
          </w:p>
        </w:tc>
        <w:tc>
          <w:tcPr>
            <w:tcW w:w="593" w:type="dxa"/>
            <w:shd w:val="clear" w:color="auto" w:fill="A7B0D2"/>
            <w:vAlign w:val="center"/>
          </w:tcPr>
          <w:p w:rsidR="009F6E0A" w:rsidRDefault="009F6E0A" w:rsidP="00D51ADF">
            <w:pPr>
              <w:pStyle w:val="TableParagraph"/>
              <w:rPr>
                <w:b/>
                <w:sz w:val="13"/>
              </w:rPr>
            </w:pPr>
          </w:p>
          <w:p w:rsidR="009F6E0A" w:rsidRDefault="00CA2156" w:rsidP="00D51ADF">
            <w:pPr>
              <w:pStyle w:val="TableParagraph"/>
              <w:spacing w:line="178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-</w:t>
            </w:r>
          </w:p>
        </w:tc>
        <w:tc>
          <w:tcPr>
            <w:tcW w:w="591" w:type="dxa"/>
            <w:shd w:val="clear" w:color="auto" w:fill="A7B0D2"/>
            <w:vAlign w:val="center"/>
          </w:tcPr>
          <w:p w:rsidR="009F6E0A" w:rsidRDefault="009F6E0A" w:rsidP="00D51ADF">
            <w:pPr>
              <w:pStyle w:val="TableParagraph"/>
              <w:rPr>
                <w:b/>
                <w:sz w:val="13"/>
              </w:rPr>
            </w:pPr>
          </w:p>
          <w:p w:rsidR="009F6E0A" w:rsidRDefault="00CA2156" w:rsidP="00D51ADF">
            <w:pPr>
              <w:pStyle w:val="TableParagraph"/>
              <w:spacing w:line="178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-</w:t>
            </w:r>
          </w:p>
        </w:tc>
        <w:tc>
          <w:tcPr>
            <w:tcW w:w="593" w:type="dxa"/>
            <w:shd w:val="clear" w:color="auto" w:fill="A7B0D2"/>
            <w:vAlign w:val="center"/>
          </w:tcPr>
          <w:p w:rsidR="009F6E0A" w:rsidRDefault="009F6E0A" w:rsidP="00D51ADF">
            <w:pPr>
              <w:pStyle w:val="TableParagraph"/>
              <w:rPr>
                <w:b/>
                <w:sz w:val="13"/>
              </w:rPr>
            </w:pPr>
          </w:p>
          <w:p w:rsidR="009F6E0A" w:rsidRDefault="00CA2156" w:rsidP="00D51ADF">
            <w:pPr>
              <w:pStyle w:val="TableParagraph"/>
              <w:spacing w:line="178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-</w:t>
            </w:r>
          </w:p>
        </w:tc>
        <w:tc>
          <w:tcPr>
            <w:tcW w:w="826" w:type="dxa"/>
            <w:shd w:val="clear" w:color="auto" w:fill="A7B0D2"/>
            <w:vAlign w:val="center"/>
          </w:tcPr>
          <w:p w:rsidR="009F6E0A" w:rsidRDefault="009F6E0A" w:rsidP="00D51ADF">
            <w:pPr>
              <w:pStyle w:val="TableParagraph"/>
              <w:rPr>
                <w:b/>
                <w:sz w:val="13"/>
              </w:rPr>
            </w:pPr>
          </w:p>
          <w:p w:rsidR="009F6E0A" w:rsidRDefault="00CA2156" w:rsidP="00D51ADF">
            <w:pPr>
              <w:pStyle w:val="TableParagraph"/>
              <w:spacing w:line="178" w:lineRule="exact"/>
              <w:ind w:right="1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1,152.9</w:t>
            </w:r>
          </w:p>
        </w:tc>
        <w:tc>
          <w:tcPr>
            <w:tcW w:w="797" w:type="dxa"/>
            <w:shd w:val="clear" w:color="auto" w:fill="A7B0D2"/>
            <w:vAlign w:val="center"/>
          </w:tcPr>
          <w:p w:rsidR="009F6E0A" w:rsidRDefault="009F6E0A" w:rsidP="00D51ADF">
            <w:pPr>
              <w:pStyle w:val="TableParagraph"/>
              <w:rPr>
                <w:b/>
                <w:sz w:val="13"/>
              </w:rPr>
            </w:pPr>
          </w:p>
          <w:p w:rsidR="009F6E0A" w:rsidRDefault="00CA2156" w:rsidP="00D51ADF">
            <w:pPr>
              <w:pStyle w:val="TableParagraph"/>
              <w:spacing w:line="178" w:lineRule="exact"/>
              <w:ind w:right="1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1,152.9</w:t>
            </w:r>
          </w:p>
        </w:tc>
      </w:tr>
    </w:tbl>
    <w:p w:rsidR="009F6E0A" w:rsidRDefault="00CA2156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spacing w:before="64" w:line="321" w:lineRule="auto"/>
        <w:ind w:right="364"/>
        <w:rPr>
          <w:sz w:val="16"/>
        </w:rPr>
      </w:pP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positive</w:t>
      </w:r>
      <w:r>
        <w:rPr>
          <w:spacing w:val="-10"/>
          <w:sz w:val="16"/>
        </w:rPr>
        <w:t xml:space="preserve"> </w:t>
      </w:r>
      <w:r>
        <w:rPr>
          <w:sz w:val="16"/>
        </w:rPr>
        <w:t>number</w:t>
      </w:r>
      <w:r>
        <w:rPr>
          <w:spacing w:val="-7"/>
          <w:sz w:val="16"/>
        </w:rPr>
        <w:t xml:space="preserve"> </w:t>
      </w:r>
      <w:r>
        <w:rPr>
          <w:sz w:val="16"/>
        </w:rPr>
        <w:t>for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fiscal</w:t>
      </w:r>
      <w:r>
        <w:rPr>
          <w:spacing w:val="-7"/>
          <w:sz w:val="16"/>
        </w:rPr>
        <w:t xml:space="preserve"> </w:t>
      </w:r>
      <w:r>
        <w:rPr>
          <w:sz w:val="16"/>
        </w:rPr>
        <w:t>balance</w:t>
      </w:r>
      <w:r>
        <w:rPr>
          <w:spacing w:val="-7"/>
          <w:sz w:val="16"/>
        </w:rPr>
        <w:t xml:space="preserve"> </w:t>
      </w:r>
      <w:r>
        <w:rPr>
          <w:sz w:val="16"/>
        </w:rPr>
        <w:t>indicates</w:t>
      </w:r>
      <w:r>
        <w:rPr>
          <w:spacing w:val="-9"/>
          <w:sz w:val="16"/>
        </w:rPr>
        <w:t xml:space="preserve"> </w:t>
      </w:r>
      <w:r>
        <w:rPr>
          <w:sz w:val="16"/>
        </w:rPr>
        <w:t>an</w:t>
      </w:r>
      <w:r>
        <w:rPr>
          <w:spacing w:val="-7"/>
          <w:sz w:val="16"/>
        </w:rPr>
        <w:t xml:space="preserve"> </w:t>
      </w:r>
      <w:r>
        <w:rPr>
          <w:sz w:val="16"/>
        </w:rPr>
        <w:t>increase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revenue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decrease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expenses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net</w:t>
      </w:r>
      <w:r>
        <w:rPr>
          <w:spacing w:val="-7"/>
          <w:sz w:val="16"/>
        </w:rPr>
        <w:t xml:space="preserve"> </w:t>
      </w:r>
      <w:r>
        <w:rPr>
          <w:sz w:val="16"/>
        </w:rPr>
        <w:t>capital</w:t>
      </w:r>
      <w:r>
        <w:rPr>
          <w:spacing w:val="-10"/>
          <w:sz w:val="16"/>
        </w:rPr>
        <w:t xml:space="preserve"> </w:t>
      </w:r>
      <w:r>
        <w:rPr>
          <w:sz w:val="16"/>
        </w:rPr>
        <w:t>investment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accrual</w:t>
      </w:r>
      <w:r>
        <w:rPr>
          <w:spacing w:val="-7"/>
          <w:sz w:val="16"/>
        </w:rPr>
        <w:t xml:space="preserve"> </w:t>
      </w:r>
      <w:r>
        <w:rPr>
          <w:sz w:val="16"/>
        </w:rPr>
        <w:t>terms. A</w:t>
      </w:r>
      <w:r>
        <w:rPr>
          <w:spacing w:val="-9"/>
          <w:sz w:val="16"/>
        </w:rPr>
        <w:t xml:space="preserve"> </w:t>
      </w:r>
      <w:r>
        <w:rPr>
          <w:sz w:val="16"/>
        </w:rPr>
        <w:t>negative</w:t>
      </w:r>
      <w:r>
        <w:rPr>
          <w:spacing w:val="-11"/>
          <w:sz w:val="16"/>
        </w:rPr>
        <w:t xml:space="preserve"> </w:t>
      </w:r>
      <w:r>
        <w:rPr>
          <w:sz w:val="16"/>
        </w:rPr>
        <w:t>number</w:t>
      </w:r>
      <w:r>
        <w:rPr>
          <w:spacing w:val="-9"/>
          <w:sz w:val="16"/>
        </w:rPr>
        <w:t xml:space="preserve"> </w:t>
      </w:r>
      <w:r>
        <w:rPr>
          <w:sz w:val="16"/>
        </w:rPr>
        <w:t>for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fiscal</w:t>
      </w:r>
      <w:r>
        <w:rPr>
          <w:spacing w:val="-10"/>
          <w:sz w:val="16"/>
        </w:rPr>
        <w:t xml:space="preserve"> </w:t>
      </w:r>
      <w:r>
        <w:rPr>
          <w:sz w:val="16"/>
        </w:rPr>
        <w:t>balance</w:t>
      </w:r>
      <w:r>
        <w:rPr>
          <w:spacing w:val="-10"/>
          <w:sz w:val="16"/>
        </w:rPr>
        <w:t xml:space="preserve"> </w:t>
      </w:r>
      <w:r>
        <w:rPr>
          <w:sz w:val="16"/>
        </w:rPr>
        <w:t>indicates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decrease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10"/>
          <w:sz w:val="16"/>
        </w:rPr>
        <w:t xml:space="preserve"> </w:t>
      </w:r>
      <w:r>
        <w:rPr>
          <w:sz w:val="16"/>
        </w:rPr>
        <w:t>revenue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an</w:t>
      </w:r>
      <w:r>
        <w:rPr>
          <w:spacing w:val="-9"/>
          <w:sz w:val="16"/>
        </w:rPr>
        <w:t xml:space="preserve"> </w:t>
      </w:r>
      <w:r>
        <w:rPr>
          <w:sz w:val="16"/>
        </w:rPr>
        <w:t>increase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expenses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12"/>
          <w:sz w:val="16"/>
        </w:rPr>
        <w:t xml:space="preserve"> </w:t>
      </w:r>
      <w:r>
        <w:rPr>
          <w:sz w:val="16"/>
        </w:rPr>
        <w:t>net</w:t>
      </w:r>
      <w:r>
        <w:rPr>
          <w:spacing w:val="-10"/>
          <w:sz w:val="16"/>
        </w:rPr>
        <w:t xml:space="preserve"> </w:t>
      </w:r>
      <w:r>
        <w:rPr>
          <w:sz w:val="16"/>
        </w:rPr>
        <w:t>capital</w:t>
      </w:r>
      <w:r>
        <w:rPr>
          <w:spacing w:val="-12"/>
          <w:sz w:val="16"/>
        </w:rPr>
        <w:t xml:space="preserve"> </w:t>
      </w:r>
      <w:r>
        <w:rPr>
          <w:sz w:val="16"/>
        </w:rPr>
        <w:t>investment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accrual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terms.</w:t>
      </w:r>
    </w:p>
    <w:p w:rsidR="009F6E0A" w:rsidRDefault="00CA2156">
      <w:pPr>
        <w:spacing w:line="319" w:lineRule="auto"/>
        <w:ind w:left="676"/>
        <w:rPr>
          <w:sz w:val="16"/>
        </w:rPr>
      </w:pPr>
      <w:r>
        <w:rPr>
          <w:sz w:val="16"/>
        </w:rPr>
        <w:t xml:space="preserve">A positive number for the underlying cash balance indicates an increase in receipts or a decrease in payments or net capital </w:t>
      </w:r>
      <w:r>
        <w:rPr>
          <w:spacing w:val="-4"/>
          <w:sz w:val="16"/>
        </w:rPr>
        <w:t xml:space="preserve">investment </w:t>
      </w:r>
      <w:r>
        <w:rPr>
          <w:sz w:val="16"/>
        </w:rPr>
        <w:t>in cash terms.</w:t>
      </w:r>
      <w:r>
        <w:rPr>
          <w:spacing w:val="18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negative</w:t>
      </w:r>
      <w:r>
        <w:rPr>
          <w:spacing w:val="-10"/>
          <w:sz w:val="16"/>
        </w:rPr>
        <w:t xml:space="preserve"> </w:t>
      </w:r>
      <w:r>
        <w:rPr>
          <w:sz w:val="16"/>
        </w:rPr>
        <w:t>number</w:t>
      </w:r>
      <w:r>
        <w:rPr>
          <w:spacing w:val="-12"/>
          <w:sz w:val="16"/>
        </w:rPr>
        <w:t xml:space="preserve"> </w:t>
      </w:r>
      <w:r>
        <w:rPr>
          <w:sz w:val="16"/>
        </w:rPr>
        <w:t>for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z w:val="16"/>
        </w:rPr>
        <w:t>underlying</w:t>
      </w:r>
      <w:r>
        <w:rPr>
          <w:spacing w:val="-5"/>
          <w:sz w:val="16"/>
        </w:rPr>
        <w:t xml:space="preserve"> </w:t>
      </w:r>
      <w:r>
        <w:rPr>
          <w:sz w:val="16"/>
        </w:rPr>
        <w:t>cash</w:t>
      </w:r>
      <w:r>
        <w:rPr>
          <w:spacing w:val="-10"/>
          <w:sz w:val="16"/>
        </w:rPr>
        <w:t xml:space="preserve"> </w:t>
      </w:r>
      <w:r>
        <w:rPr>
          <w:sz w:val="16"/>
        </w:rPr>
        <w:t>balance</w:t>
      </w:r>
      <w:r>
        <w:rPr>
          <w:spacing w:val="-9"/>
          <w:sz w:val="16"/>
        </w:rPr>
        <w:t xml:space="preserve"> </w:t>
      </w:r>
      <w:r>
        <w:rPr>
          <w:sz w:val="16"/>
        </w:rPr>
        <w:t>indicates</w:t>
      </w:r>
      <w:r>
        <w:rPr>
          <w:spacing w:val="-12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decrease</w:t>
      </w:r>
      <w:r>
        <w:rPr>
          <w:spacing w:val="-12"/>
          <w:sz w:val="16"/>
        </w:rPr>
        <w:t xml:space="preserve"> </w:t>
      </w:r>
      <w:r>
        <w:rPr>
          <w:sz w:val="16"/>
        </w:rPr>
        <w:t>in</w:t>
      </w:r>
      <w:r>
        <w:rPr>
          <w:spacing w:val="-10"/>
          <w:sz w:val="16"/>
        </w:rPr>
        <w:t xml:space="preserve"> </w:t>
      </w:r>
      <w:r>
        <w:rPr>
          <w:sz w:val="16"/>
        </w:rPr>
        <w:t>receipts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an</w:t>
      </w:r>
      <w:r>
        <w:rPr>
          <w:spacing w:val="-10"/>
          <w:sz w:val="16"/>
        </w:rPr>
        <w:t xml:space="preserve"> </w:t>
      </w:r>
      <w:r>
        <w:rPr>
          <w:sz w:val="16"/>
        </w:rPr>
        <w:t>increase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10"/>
          <w:sz w:val="16"/>
        </w:rPr>
        <w:t xml:space="preserve"> </w:t>
      </w:r>
      <w:r>
        <w:rPr>
          <w:sz w:val="16"/>
        </w:rPr>
        <w:t>payments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12"/>
          <w:sz w:val="16"/>
        </w:rPr>
        <w:t xml:space="preserve"> </w:t>
      </w:r>
      <w:r>
        <w:rPr>
          <w:sz w:val="16"/>
        </w:rPr>
        <w:t>net</w:t>
      </w:r>
      <w:r>
        <w:rPr>
          <w:spacing w:val="-12"/>
          <w:sz w:val="16"/>
        </w:rPr>
        <w:t xml:space="preserve"> </w:t>
      </w:r>
      <w:r>
        <w:rPr>
          <w:sz w:val="16"/>
        </w:rPr>
        <w:t>capital</w:t>
      </w:r>
      <w:r>
        <w:rPr>
          <w:spacing w:val="-11"/>
          <w:sz w:val="16"/>
        </w:rPr>
        <w:t xml:space="preserve"> </w:t>
      </w:r>
      <w:r>
        <w:rPr>
          <w:sz w:val="16"/>
        </w:rPr>
        <w:t>investment</w:t>
      </w:r>
      <w:r>
        <w:rPr>
          <w:spacing w:val="-7"/>
          <w:sz w:val="16"/>
        </w:rPr>
        <w:t xml:space="preserve"> </w:t>
      </w:r>
      <w:r>
        <w:rPr>
          <w:sz w:val="16"/>
        </w:rPr>
        <w:t>in cash</w:t>
      </w:r>
      <w:r>
        <w:rPr>
          <w:spacing w:val="-7"/>
          <w:sz w:val="16"/>
        </w:rPr>
        <w:t xml:space="preserve"> </w:t>
      </w:r>
      <w:r>
        <w:rPr>
          <w:sz w:val="16"/>
        </w:rPr>
        <w:t>terms.</w:t>
      </w:r>
    </w:p>
    <w:p w:rsidR="009F6E0A" w:rsidRDefault="00CA2156">
      <w:pPr>
        <w:pStyle w:val="ListParagraph"/>
        <w:numPr>
          <w:ilvl w:val="0"/>
          <w:numId w:val="1"/>
        </w:numPr>
        <w:tabs>
          <w:tab w:val="left" w:pos="676"/>
          <w:tab w:val="left" w:pos="677"/>
        </w:tabs>
        <w:ind w:left="676"/>
        <w:rPr>
          <w:sz w:val="16"/>
        </w:rPr>
      </w:pPr>
      <w:r>
        <w:rPr>
          <w:sz w:val="16"/>
        </w:rPr>
        <w:t>Figures</w:t>
      </w:r>
      <w:r>
        <w:rPr>
          <w:spacing w:val="-7"/>
          <w:sz w:val="16"/>
        </w:rPr>
        <w:t xml:space="preserve"> </w:t>
      </w:r>
      <w:r>
        <w:rPr>
          <w:sz w:val="16"/>
        </w:rPr>
        <w:t>may</w:t>
      </w:r>
      <w:r>
        <w:rPr>
          <w:spacing w:val="-6"/>
          <w:sz w:val="16"/>
        </w:rPr>
        <w:t xml:space="preserve"> </w:t>
      </w:r>
      <w:r>
        <w:rPr>
          <w:sz w:val="16"/>
        </w:rPr>
        <w:t>not</w:t>
      </w:r>
      <w:r>
        <w:rPr>
          <w:spacing w:val="-6"/>
          <w:sz w:val="16"/>
        </w:rPr>
        <w:t xml:space="preserve"> </w:t>
      </w:r>
      <w:r>
        <w:rPr>
          <w:sz w:val="16"/>
        </w:rPr>
        <w:t>sum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totals</w:t>
      </w:r>
      <w:r>
        <w:rPr>
          <w:spacing w:val="-3"/>
          <w:sz w:val="16"/>
        </w:rPr>
        <w:t xml:space="preserve"> </w:t>
      </w:r>
      <w:r>
        <w:rPr>
          <w:sz w:val="16"/>
        </w:rPr>
        <w:t>due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rounding.</w:t>
      </w:r>
    </w:p>
    <w:p w:rsidR="009F6E0A" w:rsidRDefault="00CA2156">
      <w:pPr>
        <w:tabs>
          <w:tab w:val="left" w:pos="676"/>
        </w:tabs>
        <w:spacing w:before="60"/>
        <w:ind w:left="109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Indicates</w:t>
      </w:r>
      <w:r>
        <w:rPr>
          <w:spacing w:val="-7"/>
          <w:sz w:val="16"/>
        </w:rPr>
        <w:t xml:space="preserve"> </w:t>
      </w:r>
      <w:r>
        <w:rPr>
          <w:sz w:val="16"/>
        </w:rPr>
        <w:t>nil.</w:t>
      </w:r>
    </w:p>
    <w:sectPr w:rsidR="009F6E0A">
      <w:pgSz w:w="11920" w:h="16850"/>
      <w:pgMar w:top="840" w:right="940" w:bottom="800" w:left="880" w:header="376" w:footer="6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0D" w:rsidRDefault="00CA2156">
      <w:r>
        <w:separator/>
      </w:r>
    </w:p>
  </w:endnote>
  <w:endnote w:type="continuationSeparator" w:id="0">
    <w:p w:rsidR="0044390D" w:rsidRDefault="00CA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0A" w:rsidRDefault="00BD132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24.85pt;margin-top:801pt;width:144.55pt;height:20pt;z-index:-252390400;mso-position-horizontal-relative:page;mso-position-vertical-relative:page" filled="f" stroked="f">
          <v:textbox inset="0,0,0,0">
            <w:txbxContent>
              <w:p w:rsidR="009F6E0A" w:rsidRDefault="00CA2156">
                <w:pPr>
                  <w:spacing w:line="387" w:lineRule="exact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trike/>
                    <w:color w:val="FF0000"/>
                    <w:sz w:val="36"/>
                  </w:rPr>
                  <w:t>OFFICIAL: Sensitive</w:t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69.9pt;margin-top:805.65pt;width:124.8pt;height:13.05pt;z-index:-252389376;mso-position-horizontal-relative:page;mso-position-vertical-relative:page" filled="f" stroked="f">
          <v:textbox inset="0,0,0,0">
            <w:txbxContent>
              <w:p w:rsidR="009F6E0A" w:rsidRDefault="00CA2156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PBO reference</w:t>
                </w:r>
                <w:r w:rsidRPr="00D51ADF">
                  <w:rPr>
                    <w:b/>
                    <w:spacing w:val="-37"/>
                  </w:rPr>
                  <w:t xml:space="preserve"> </w:t>
                </w:r>
                <w:r w:rsidRPr="00D51ADF">
                  <w:rPr>
                    <w:b/>
                  </w:rPr>
                  <w:t>PR21</w:t>
                </w:r>
                <w:r>
                  <w:rPr>
                    <w:b/>
                  </w:rPr>
                  <w:t>/00064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471.8pt;margin-top:805.65pt;width:52.15pt;height:13.05pt;z-index:-252388352;mso-position-horizontal-relative:page;mso-position-vertical-relative:page" filled="f" stroked="f">
          <v:textbox inset="0,0,0,0">
            <w:txbxContent>
              <w:p w:rsidR="009F6E0A" w:rsidRDefault="00CA2156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Page 1 of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0A" w:rsidRDefault="00BD132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26.05pt;margin-top:801pt;width:144.55pt;height:20pt;z-index:-252386304;mso-position-horizontal-relative:page;mso-position-vertical-relative:page" filled="f" stroked="f">
          <v:textbox inset="0,0,0,0">
            <w:txbxContent>
              <w:p w:rsidR="009F6E0A" w:rsidRDefault="00CA2156">
                <w:pPr>
                  <w:spacing w:line="387" w:lineRule="exact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trike/>
                    <w:color w:val="FF0000"/>
                    <w:sz w:val="36"/>
                  </w:rPr>
                  <w:t>OFFICIAL: Sensitive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471.8pt;margin-top:805.65pt;width:52.15pt;height:13.05pt;z-index:-252385280;mso-position-horizontal-relative:page;mso-position-vertical-relative:page" filled="f" stroked="f">
          <v:textbox inset="0,0,0,0">
            <w:txbxContent>
              <w:p w:rsidR="009F6E0A" w:rsidRDefault="00CA2156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Page 2 of 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0A" w:rsidRDefault="00BD132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5.9pt;margin-top:801pt;width:144.55pt;height:20pt;z-index:-252383232;mso-position-horizontal-relative:page;mso-position-vertical-relative:page" filled="f" stroked="f">
          <v:textbox inset="0,0,0,0">
            <w:txbxContent>
              <w:p w:rsidR="009F6E0A" w:rsidRDefault="00CA2156">
                <w:pPr>
                  <w:spacing w:line="387" w:lineRule="exact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trike/>
                    <w:color w:val="FF0000"/>
                    <w:sz w:val="36"/>
                  </w:rPr>
                  <w:t>OFFICIAL: Sensitive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50.45pt;margin-top:805.65pt;width:52.15pt;height:13.05pt;z-index:-252382208;mso-position-horizontal-relative:page;mso-position-vertical-relative:page" filled="f" stroked="f">
          <v:textbox inset="0,0,0,0">
            <w:txbxContent>
              <w:p w:rsidR="009F6E0A" w:rsidRDefault="00CA2156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BD132C">
                  <w:rPr>
                    <w:b/>
                    <w:noProof/>
                  </w:rPr>
                  <w:t>3</w:t>
                </w:r>
                <w:r>
                  <w:fldChar w:fldCharType="end"/>
                </w:r>
                <w:r>
                  <w:rPr>
                    <w:b/>
                  </w:rPr>
                  <w:t xml:space="preserve"> of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0D" w:rsidRDefault="00CA2156">
      <w:r>
        <w:separator/>
      </w:r>
    </w:p>
  </w:footnote>
  <w:footnote w:type="continuationSeparator" w:id="0">
    <w:p w:rsidR="0044390D" w:rsidRDefault="00CA2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0A" w:rsidRDefault="00BD132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32.5pt;margin-top:17.8pt;width:131.4pt;height:20pt;z-index:-252391424;mso-position-horizontal-relative:page;mso-position-vertical-relative:page" filled="f" stroked="f">
          <v:textbox inset="0,0,0,0">
            <w:txbxContent>
              <w:p w:rsidR="009F6E0A" w:rsidRDefault="00CA2156">
                <w:pPr>
                  <w:spacing w:line="387" w:lineRule="exact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trike/>
                    <w:color w:val="FF0000"/>
                    <w:sz w:val="36"/>
                  </w:rPr>
                  <w:t>Official: Sensitive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0A" w:rsidRDefault="00BD132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25.9pt;margin-top:17.8pt;width:144.55pt;height:20pt;z-index:-252387328;mso-position-horizontal-relative:page;mso-position-vertical-relative:page" filled="f" stroked="f">
          <v:textbox inset="0,0,0,0">
            <w:txbxContent>
              <w:p w:rsidR="009F6E0A" w:rsidRDefault="00CA2156">
                <w:pPr>
                  <w:spacing w:line="387" w:lineRule="exact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trike/>
                    <w:color w:val="FF0000"/>
                    <w:sz w:val="36"/>
                  </w:rPr>
                  <w:t>OFFICIAL: Sensitive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0A" w:rsidRDefault="00BD132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25.9pt;margin-top:17.8pt;width:144.55pt;height:20pt;z-index:-252384256;mso-position-horizontal-relative:page;mso-position-vertical-relative:page" filled="f" stroked="f">
          <v:textbox inset="0,0,0,0">
            <w:txbxContent>
              <w:p w:rsidR="009F6E0A" w:rsidRDefault="00CA2156">
                <w:pPr>
                  <w:spacing w:line="387" w:lineRule="exact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trike/>
                    <w:color w:val="FF0000"/>
                    <w:sz w:val="36"/>
                  </w:rPr>
                  <w:t>OFFICIAL: Sensitive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E1C8D"/>
    <w:multiLevelType w:val="hybridMultilevel"/>
    <w:tmpl w:val="1DE4F6B4"/>
    <w:lvl w:ilvl="0" w:tplc="EB386316">
      <w:numFmt w:val="bullet"/>
      <w:lvlText w:val="☐"/>
      <w:lvlJc w:val="left"/>
      <w:pPr>
        <w:ind w:left="330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9D36C180">
      <w:numFmt w:val="bullet"/>
      <w:lvlText w:val="•"/>
      <w:lvlJc w:val="left"/>
      <w:pPr>
        <w:ind w:left="577" w:hanging="272"/>
      </w:pPr>
      <w:rPr>
        <w:rFonts w:hint="default"/>
      </w:rPr>
    </w:lvl>
    <w:lvl w:ilvl="2" w:tplc="C9463C98">
      <w:numFmt w:val="bullet"/>
      <w:lvlText w:val="•"/>
      <w:lvlJc w:val="left"/>
      <w:pPr>
        <w:ind w:left="815" w:hanging="272"/>
      </w:pPr>
      <w:rPr>
        <w:rFonts w:hint="default"/>
      </w:rPr>
    </w:lvl>
    <w:lvl w:ilvl="3" w:tplc="1E8C57D8">
      <w:numFmt w:val="bullet"/>
      <w:lvlText w:val="•"/>
      <w:lvlJc w:val="left"/>
      <w:pPr>
        <w:ind w:left="1052" w:hanging="272"/>
      </w:pPr>
      <w:rPr>
        <w:rFonts w:hint="default"/>
      </w:rPr>
    </w:lvl>
    <w:lvl w:ilvl="4" w:tplc="6AAA7FE8">
      <w:numFmt w:val="bullet"/>
      <w:lvlText w:val="•"/>
      <w:lvlJc w:val="left"/>
      <w:pPr>
        <w:ind w:left="1290" w:hanging="272"/>
      </w:pPr>
      <w:rPr>
        <w:rFonts w:hint="default"/>
      </w:rPr>
    </w:lvl>
    <w:lvl w:ilvl="5" w:tplc="51709BA0">
      <w:numFmt w:val="bullet"/>
      <w:lvlText w:val="•"/>
      <w:lvlJc w:val="left"/>
      <w:pPr>
        <w:ind w:left="1528" w:hanging="272"/>
      </w:pPr>
      <w:rPr>
        <w:rFonts w:hint="default"/>
      </w:rPr>
    </w:lvl>
    <w:lvl w:ilvl="6" w:tplc="DD92EDC4">
      <w:numFmt w:val="bullet"/>
      <w:lvlText w:val="•"/>
      <w:lvlJc w:val="left"/>
      <w:pPr>
        <w:ind w:left="1765" w:hanging="272"/>
      </w:pPr>
      <w:rPr>
        <w:rFonts w:hint="default"/>
      </w:rPr>
    </w:lvl>
    <w:lvl w:ilvl="7" w:tplc="FF6C6D98">
      <w:numFmt w:val="bullet"/>
      <w:lvlText w:val="•"/>
      <w:lvlJc w:val="left"/>
      <w:pPr>
        <w:ind w:left="2003" w:hanging="272"/>
      </w:pPr>
      <w:rPr>
        <w:rFonts w:hint="default"/>
      </w:rPr>
    </w:lvl>
    <w:lvl w:ilvl="8" w:tplc="D5ACD576">
      <w:numFmt w:val="bullet"/>
      <w:lvlText w:val="•"/>
      <w:lvlJc w:val="left"/>
      <w:pPr>
        <w:ind w:left="2240" w:hanging="272"/>
      </w:pPr>
      <w:rPr>
        <w:rFonts w:hint="default"/>
      </w:rPr>
    </w:lvl>
  </w:abstractNum>
  <w:abstractNum w:abstractNumId="1" w15:restartNumberingAfterBreak="0">
    <w:nsid w:val="30E3217A"/>
    <w:multiLevelType w:val="hybridMultilevel"/>
    <w:tmpl w:val="1C240E8C"/>
    <w:lvl w:ilvl="0" w:tplc="7DAC9896">
      <w:start w:val="1"/>
      <w:numFmt w:val="lowerLetter"/>
      <w:lvlText w:val="(%1)"/>
      <w:lvlJc w:val="left"/>
      <w:pPr>
        <w:ind w:left="880" w:hanging="284"/>
      </w:pPr>
      <w:rPr>
        <w:rFonts w:ascii="Calibri" w:eastAsia="Calibri" w:hAnsi="Calibri" w:cs="Calibri" w:hint="default"/>
        <w:spacing w:val="-3"/>
        <w:w w:val="98"/>
        <w:sz w:val="20"/>
        <w:szCs w:val="20"/>
      </w:rPr>
    </w:lvl>
    <w:lvl w:ilvl="1" w:tplc="444A6114">
      <w:numFmt w:val="bullet"/>
      <w:lvlText w:val="•"/>
      <w:lvlJc w:val="left"/>
      <w:pPr>
        <w:ind w:left="1801" w:hanging="284"/>
      </w:pPr>
      <w:rPr>
        <w:rFonts w:hint="default"/>
      </w:rPr>
    </w:lvl>
    <w:lvl w:ilvl="2" w:tplc="C4625530">
      <w:numFmt w:val="bullet"/>
      <w:lvlText w:val="•"/>
      <w:lvlJc w:val="left"/>
      <w:pPr>
        <w:ind w:left="2722" w:hanging="284"/>
      </w:pPr>
      <w:rPr>
        <w:rFonts w:hint="default"/>
      </w:rPr>
    </w:lvl>
    <w:lvl w:ilvl="3" w:tplc="A0D239AE">
      <w:numFmt w:val="bullet"/>
      <w:lvlText w:val="•"/>
      <w:lvlJc w:val="left"/>
      <w:pPr>
        <w:ind w:left="3643" w:hanging="284"/>
      </w:pPr>
      <w:rPr>
        <w:rFonts w:hint="default"/>
      </w:rPr>
    </w:lvl>
    <w:lvl w:ilvl="4" w:tplc="2A987A9E">
      <w:numFmt w:val="bullet"/>
      <w:lvlText w:val="•"/>
      <w:lvlJc w:val="left"/>
      <w:pPr>
        <w:ind w:left="4564" w:hanging="284"/>
      </w:pPr>
      <w:rPr>
        <w:rFonts w:hint="default"/>
      </w:rPr>
    </w:lvl>
    <w:lvl w:ilvl="5" w:tplc="928218A0">
      <w:numFmt w:val="bullet"/>
      <w:lvlText w:val="•"/>
      <w:lvlJc w:val="left"/>
      <w:pPr>
        <w:ind w:left="5485" w:hanging="284"/>
      </w:pPr>
      <w:rPr>
        <w:rFonts w:hint="default"/>
      </w:rPr>
    </w:lvl>
    <w:lvl w:ilvl="6" w:tplc="F4DE7E0E">
      <w:numFmt w:val="bullet"/>
      <w:lvlText w:val="•"/>
      <w:lvlJc w:val="left"/>
      <w:pPr>
        <w:ind w:left="6406" w:hanging="284"/>
      </w:pPr>
      <w:rPr>
        <w:rFonts w:hint="default"/>
      </w:rPr>
    </w:lvl>
    <w:lvl w:ilvl="7" w:tplc="6FFA3216">
      <w:numFmt w:val="bullet"/>
      <w:lvlText w:val="•"/>
      <w:lvlJc w:val="left"/>
      <w:pPr>
        <w:ind w:left="7327" w:hanging="284"/>
      </w:pPr>
      <w:rPr>
        <w:rFonts w:hint="default"/>
      </w:rPr>
    </w:lvl>
    <w:lvl w:ilvl="8" w:tplc="E13C5E54">
      <w:numFmt w:val="bullet"/>
      <w:lvlText w:val="•"/>
      <w:lvlJc w:val="left"/>
      <w:pPr>
        <w:ind w:left="8248" w:hanging="284"/>
      </w:pPr>
      <w:rPr>
        <w:rFonts w:hint="default"/>
      </w:rPr>
    </w:lvl>
  </w:abstractNum>
  <w:abstractNum w:abstractNumId="2" w15:restartNumberingAfterBreak="0">
    <w:nsid w:val="4C092EAE"/>
    <w:multiLevelType w:val="hybridMultilevel"/>
    <w:tmpl w:val="1374A4F4"/>
    <w:lvl w:ilvl="0" w:tplc="C3B6CFA6">
      <w:start w:val="1"/>
      <w:numFmt w:val="lowerLetter"/>
      <w:lvlText w:val="(%1)"/>
      <w:lvlJc w:val="left"/>
      <w:pPr>
        <w:ind w:left="677" w:hanging="567"/>
      </w:pPr>
      <w:rPr>
        <w:rFonts w:ascii="Calibri" w:eastAsia="Calibri" w:hAnsi="Calibri" w:cs="Calibri" w:hint="default"/>
        <w:spacing w:val="-1"/>
        <w:w w:val="100"/>
        <w:sz w:val="16"/>
        <w:szCs w:val="16"/>
      </w:rPr>
    </w:lvl>
    <w:lvl w:ilvl="1" w:tplc="CD04A682">
      <w:numFmt w:val="bullet"/>
      <w:lvlText w:val="•"/>
      <w:lvlJc w:val="left"/>
      <w:pPr>
        <w:ind w:left="1621" w:hanging="567"/>
      </w:pPr>
      <w:rPr>
        <w:rFonts w:hint="default"/>
      </w:rPr>
    </w:lvl>
    <w:lvl w:ilvl="2" w:tplc="72F252A8">
      <w:numFmt w:val="bullet"/>
      <w:lvlText w:val="•"/>
      <w:lvlJc w:val="left"/>
      <w:pPr>
        <w:ind w:left="2562" w:hanging="567"/>
      </w:pPr>
      <w:rPr>
        <w:rFonts w:hint="default"/>
      </w:rPr>
    </w:lvl>
    <w:lvl w:ilvl="3" w:tplc="7966DBD4">
      <w:numFmt w:val="bullet"/>
      <w:lvlText w:val="•"/>
      <w:lvlJc w:val="left"/>
      <w:pPr>
        <w:ind w:left="3503" w:hanging="567"/>
      </w:pPr>
      <w:rPr>
        <w:rFonts w:hint="default"/>
      </w:rPr>
    </w:lvl>
    <w:lvl w:ilvl="4" w:tplc="0F8E0FA0">
      <w:numFmt w:val="bullet"/>
      <w:lvlText w:val="•"/>
      <w:lvlJc w:val="left"/>
      <w:pPr>
        <w:ind w:left="4444" w:hanging="567"/>
      </w:pPr>
      <w:rPr>
        <w:rFonts w:hint="default"/>
      </w:rPr>
    </w:lvl>
    <w:lvl w:ilvl="5" w:tplc="B99C4BB8">
      <w:numFmt w:val="bullet"/>
      <w:lvlText w:val="•"/>
      <w:lvlJc w:val="left"/>
      <w:pPr>
        <w:ind w:left="5385" w:hanging="567"/>
      </w:pPr>
      <w:rPr>
        <w:rFonts w:hint="default"/>
      </w:rPr>
    </w:lvl>
    <w:lvl w:ilvl="6" w:tplc="4BB00BCA">
      <w:numFmt w:val="bullet"/>
      <w:lvlText w:val="•"/>
      <w:lvlJc w:val="left"/>
      <w:pPr>
        <w:ind w:left="6326" w:hanging="567"/>
      </w:pPr>
      <w:rPr>
        <w:rFonts w:hint="default"/>
      </w:rPr>
    </w:lvl>
    <w:lvl w:ilvl="7" w:tplc="860E297A">
      <w:numFmt w:val="bullet"/>
      <w:lvlText w:val="•"/>
      <w:lvlJc w:val="left"/>
      <w:pPr>
        <w:ind w:left="7267" w:hanging="567"/>
      </w:pPr>
      <w:rPr>
        <w:rFonts w:hint="default"/>
      </w:rPr>
    </w:lvl>
    <w:lvl w:ilvl="8" w:tplc="B3647E32">
      <w:numFmt w:val="bullet"/>
      <w:lvlText w:val="•"/>
      <w:lvlJc w:val="left"/>
      <w:pPr>
        <w:ind w:left="8208" w:hanging="567"/>
      </w:pPr>
      <w:rPr>
        <w:rFonts w:hint="default"/>
      </w:rPr>
    </w:lvl>
  </w:abstractNum>
  <w:abstractNum w:abstractNumId="3" w15:restartNumberingAfterBreak="0">
    <w:nsid w:val="695A5FC0"/>
    <w:multiLevelType w:val="hybridMultilevel"/>
    <w:tmpl w:val="0C56A8F0"/>
    <w:lvl w:ilvl="0" w:tplc="8390CB32">
      <w:numFmt w:val="bullet"/>
      <w:lvlText w:val=""/>
      <w:lvlJc w:val="left"/>
      <w:pPr>
        <w:ind w:left="824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807D48">
      <w:numFmt w:val="bullet"/>
      <w:lvlText w:val="•"/>
      <w:lvlJc w:val="left"/>
      <w:pPr>
        <w:ind w:left="1747" w:hanging="286"/>
      </w:pPr>
      <w:rPr>
        <w:rFonts w:hint="default"/>
      </w:rPr>
    </w:lvl>
    <w:lvl w:ilvl="2" w:tplc="AA02C18C">
      <w:numFmt w:val="bullet"/>
      <w:lvlText w:val="•"/>
      <w:lvlJc w:val="left"/>
      <w:pPr>
        <w:ind w:left="2674" w:hanging="286"/>
      </w:pPr>
      <w:rPr>
        <w:rFonts w:hint="default"/>
      </w:rPr>
    </w:lvl>
    <w:lvl w:ilvl="3" w:tplc="91B206AA">
      <w:numFmt w:val="bullet"/>
      <w:lvlText w:val="•"/>
      <w:lvlJc w:val="left"/>
      <w:pPr>
        <w:ind w:left="3601" w:hanging="286"/>
      </w:pPr>
      <w:rPr>
        <w:rFonts w:hint="default"/>
      </w:rPr>
    </w:lvl>
    <w:lvl w:ilvl="4" w:tplc="FF2039B0">
      <w:numFmt w:val="bullet"/>
      <w:lvlText w:val="•"/>
      <w:lvlJc w:val="left"/>
      <w:pPr>
        <w:ind w:left="4528" w:hanging="286"/>
      </w:pPr>
      <w:rPr>
        <w:rFonts w:hint="default"/>
      </w:rPr>
    </w:lvl>
    <w:lvl w:ilvl="5" w:tplc="78FA8766">
      <w:numFmt w:val="bullet"/>
      <w:lvlText w:val="•"/>
      <w:lvlJc w:val="left"/>
      <w:pPr>
        <w:ind w:left="5455" w:hanging="286"/>
      </w:pPr>
      <w:rPr>
        <w:rFonts w:hint="default"/>
      </w:rPr>
    </w:lvl>
    <w:lvl w:ilvl="6" w:tplc="EB303E48">
      <w:numFmt w:val="bullet"/>
      <w:lvlText w:val="•"/>
      <w:lvlJc w:val="left"/>
      <w:pPr>
        <w:ind w:left="6382" w:hanging="286"/>
      </w:pPr>
      <w:rPr>
        <w:rFonts w:hint="default"/>
      </w:rPr>
    </w:lvl>
    <w:lvl w:ilvl="7" w:tplc="C430FC88">
      <w:numFmt w:val="bullet"/>
      <w:lvlText w:val="•"/>
      <w:lvlJc w:val="left"/>
      <w:pPr>
        <w:ind w:left="7309" w:hanging="286"/>
      </w:pPr>
      <w:rPr>
        <w:rFonts w:hint="default"/>
      </w:rPr>
    </w:lvl>
    <w:lvl w:ilvl="8" w:tplc="BA54B402">
      <w:numFmt w:val="bullet"/>
      <w:lvlText w:val="•"/>
      <w:lvlJc w:val="left"/>
      <w:pPr>
        <w:ind w:left="8236" w:hanging="286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F6E0A"/>
    <w:rsid w:val="0044390D"/>
    <w:rsid w:val="009F6E0A"/>
    <w:rsid w:val="00BD132C"/>
    <w:rsid w:val="00CA2156"/>
    <w:rsid w:val="00D5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EE8EE18-7055-40DD-BC34-16E08219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538"/>
      <w:outlineLvl w:val="0"/>
    </w:pPr>
    <w:rPr>
      <w:rFonts w:ascii="Calibri Light" w:eastAsia="Calibri Light" w:hAnsi="Calibri Light" w:cs="Calibri Light"/>
      <w:sz w:val="30"/>
      <w:szCs w:val="30"/>
    </w:rPr>
  </w:style>
  <w:style w:type="paragraph" w:styleId="Heading2">
    <w:name w:val="heading 2"/>
    <w:basedOn w:val="Normal"/>
    <w:uiPriority w:val="1"/>
    <w:qFormat/>
    <w:pPr>
      <w:spacing w:line="245" w:lineRule="exact"/>
      <w:ind w:left="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4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1A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AD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51A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ADF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1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1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to.gov.au/General/JobKeeper-Payment/Employers/JobKeeper-voluntary-repayment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of proposal</vt:lpstr>
    </vt:vector>
  </TitlesOfParts>
  <Company>Parliament of Australia</Company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Profitable corporations to return JobKeeper payments</dc:title>
  <dc:creator>Parliamentary Budget Office</dc:creator>
  <cp:lastModifiedBy>Kuo, Suzy (PBO)</cp:lastModifiedBy>
  <cp:revision>3</cp:revision>
  <cp:lastPrinted>2021-05-04T06:06:00Z</cp:lastPrinted>
  <dcterms:created xsi:type="dcterms:W3CDTF">2021-05-04T05:55:00Z</dcterms:created>
  <dcterms:modified xsi:type="dcterms:W3CDTF">2021-05-04T06:16:00Z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2021-05-04T00:00:00Z</vt:filetime>
  </property>
</Properties>
</file>