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D2" w:rsidRDefault="00615CD2">
      <w:pPr>
        <w:pStyle w:val="BodyText"/>
        <w:spacing w:before="2"/>
        <w:rPr>
          <w:rFonts w:ascii="Times New Roman"/>
          <w:sz w:val="7"/>
        </w:rPr>
      </w:pPr>
      <w:bookmarkStart w:id="0" w:name="_GoBack"/>
      <w:bookmarkEnd w:id="0"/>
    </w:p>
    <w:p w:rsidR="00615CD2" w:rsidRDefault="00B2545B">
      <w:pPr>
        <w:pStyle w:val="BodyText"/>
        <w:ind w:left="53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46268" cy="57950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268" cy="57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CD2" w:rsidRDefault="00615CD2">
      <w:pPr>
        <w:pStyle w:val="BodyText"/>
        <w:rPr>
          <w:rFonts w:ascii="Times New Roman"/>
          <w:sz w:val="20"/>
        </w:rPr>
      </w:pPr>
    </w:p>
    <w:p w:rsidR="00615CD2" w:rsidRDefault="00615CD2">
      <w:pPr>
        <w:pStyle w:val="BodyText"/>
        <w:spacing w:before="6"/>
        <w:rPr>
          <w:rFonts w:ascii="Times New Roman"/>
          <w:sz w:val="28"/>
        </w:rPr>
      </w:pPr>
    </w:p>
    <w:p w:rsidR="00615CD2" w:rsidRDefault="00B2545B">
      <w:pPr>
        <w:spacing w:before="35"/>
        <w:ind w:left="538"/>
        <w:rPr>
          <w:sz w:val="32"/>
        </w:rPr>
      </w:pPr>
      <w:bookmarkStart w:id="1" w:name="Policy_costing"/>
      <w:bookmarkEnd w:id="1"/>
      <w:r>
        <w:rPr>
          <w:color w:val="3C4D7C"/>
          <w:sz w:val="32"/>
        </w:rPr>
        <w:t>Policy costing</w:t>
      </w:r>
    </w:p>
    <w:p w:rsidR="00615CD2" w:rsidRDefault="00615CD2">
      <w:pPr>
        <w:pStyle w:val="BodyText"/>
        <w:spacing w:before="9" w:after="1"/>
        <w:rPr>
          <w:sz w:val="19"/>
        </w:rPr>
      </w:pPr>
    </w:p>
    <w:tbl>
      <w:tblPr>
        <w:tblW w:w="0" w:type="auto"/>
        <w:tblInd w:w="558" w:type="dxa"/>
        <w:tblBorders>
          <w:top w:val="single" w:sz="8" w:space="0" w:color="788183"/>
          <w:left w:val="single" w:sz="8" w:space="0" w:color="788183"/>
          <w:bottom w:val="single" w:sz="8" w:space="0" w:color="788183"/>
          <w:right w:val="single" w:sz="8" w:space="0" w:color="788183"/>
          <w:insideH w:val="single" w:sz="8" w:space="0" w:color="788183"/>
          <w:insideV w:val="single" w:sz="8" w:space="0" w:color="788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3430"/>
        <w:gridCol w:w="2161"/>
        <w:gridCol w:w="3338"/>
      </w:tblGrid>
      <w:tr w:rsidR="00615CD2">
        <w:trPr>
          <w:trHeight w:val="508"/>
        </w:trPr>
        <w:tc>
          <w:tcPr>
            <w:tcW w:w="108" w:type="dxa"/>
            <w:tcBorders>
              <w:right w:val="nil"/>
            </w:tcBorders>
            <w:shd w:val="clear" w:color="auto" w:fill="A7B1D3"/>
          </w:tcPr>
          <w:p w:rsidR="00615CD2" w:rsidRDefault="00615CD2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8929" w:type="dxa"/>
            <w:gridSpan w:val="3"/>
            <w:tcBorders>
              <w:left w:val="nil"/>
            </w:tcBorders>
            <w:shd w:val="clear" w:color="auto" w:fill="A7B1D3"/>
          </w:tcPr>
          <w:p w:rsidR="00615CD2" w:rsidRDefault="00B2545B">
            <w:pPr>
              <w:pStyle w:val="TableParagraph"/>
              <w:spacing w:before="119"/>
              <w:ind w:left="9"/>
              <w:jc w:val="left"/>
              <w:rPr>
                <w:b/>
              </w:rPr>
            </w:pPr>
            <w:r>
              <w:rPr>
                <w:b/>
              </w:rPr>
              <w:t>Interest withholding tax for financial institutions</w:t>
            </w:r>
          </w:p>
        </w:tc>
      </w:tr>
      <w:tr w:rsidR="00615CD2">
        <w:trPr>
          <w:trHeight w:val="508"/>
        </w:trPr>
        <w:tc>
          <w:tcPr>
            <w:tcW w:w="3538" w:type="dxa"/>
            <w:gridSpan w:val="2"/>
          </w:tcPr>
          <w:p w:rsidR="00615CD2" w:rsidRDefault="00B2545B">
            <w:pPr>
              <w:pStyle w:val="TableParagraph"/>
              <w:spacing w:before="119"/>
              <w:ind w:left="107"/>
              <w:jc w:val="left"/>
            </w:pPr>
            <w:r>
              <w:t>Person/party requesting the costing:</w:t>
            </w:r>
          </w:p>
        </w:tc>
        <w:tc>
          <w:tcPr>
            <w:tcW w:w="5499" w:type="dxa"/>
            <w:gridSpan w:val="2"/>
          </w:tcPr>
          <w:p w:rsidR="00615CD2" w:rsidRDefault="00B2545B">
            <w:pPr>
              <w:pStyle w:val="TableParagraph"/>
              <w:spacing w:before="119"/>
              <w:ind w:left="106"/>
              <w:jc w:val="left"/>
            </w:pPr>
            <w:r>
              <w:t>Senator Andrew Bragg, Senator for New South Wales</w:t>
            </w:r>
          </w:p>
        </w:tc>
      </w:tr>
      <w:tr w:rsidR="00615CD2">
        <w:trPr>
          <w:trHeight w:val="509"/>
        </w:trPr>
        <w:tc>
          <w:tcPr>
            <w:tcW w:w="3538" w:type="dxa"/>
            <w:gridSpan w:val="2"/>
          </w:tcPr>
          <w:p w:rsidR="00615CD2" w:rsidRDefault="00B2545B">
            <w:pPr>
              <w:pStyle w:val="TableParagraph"/>
              <w:spacing w:before="120"/>
              <w:ind w:left="107"/>
              <w:jc w:val="left"/>
            </w:pPr>
            <w:r>
              <w:t>Date costing completed:</w:t>
            </w:r>
          </w:p>
        </w:tc>
        <w:tc>
          <w:tcPr>
            <w:tcW w:w="5499" w:type="dxa"/>
            <w:gridSpan w:val="2"/>
          </w:tcPr>
          <w:p w:rsidR="00615CD2" w:rsidRDefault="00B2545B">
            <w:pPr>
              <w:pStyle w:val="TableParagraph"/>
              <w:spacing w:before="120"/>
              <w:ind w:left="106"/>
              <w:jc w:val="left"/>
            </w:pPr>
            <w:r>
              <w:t>7 April 2021</w:t>
            </w:r>
          </w:p>
        </w:tc>
      </w:tr>
      <w:tr w:rsidR="00615CD2">
        <w:trPr>
          <w:trHeight w:val="507"/>
        </w:trPr>
        <w:tc>
          <w:tcPr>
            <w:tcW w:w="3538" w:type="dxa"/>
            <w:gridSpan w:val="2"/>
          </w:tcPr>
          <w:p w:rsidR="00615CD2" w:rsidRDefault="00B2545B">
            <w:pPr>
              <w:pStyle w:val="TableParagraph"/>
              <w:spacing w:before="119"/>
              <w:ind w:left="107"/>
              <w:jc w:val="left"/>
            </w:pPr>
            <w:r>
              <w:t>Expiry date of the costing:</w:t>
            </w:r>
          </w:p>
        </w:tc>
        <w:tc>
          <w:tcPr>
            <w:tcW w:w="5499" w:type="dxa"/>
            <w:gridSpan w:val="2"/>
          </w:tcPr>
          <w:p w:rsidR="00615CD2" w:rsidRDefault="00B2545B">
            <w:pPr>
              <w:pStyle w:val="TableParagraph"/>
              <w:spacing w:before="119"/>
              <w:ind w:left="105"/>
              <w:jc w:val="left"/>
            </w:pPr>
            <w:r>
              <w:t>Release of the next economic and fiscal outlook report.</w:t>
            </w:r>
          </w:p>
        </w:tc>
      </w:tr>
      <w:tr w:rsidR="00615CD2">
        <w:trPr>
          <w:trHeight w:val="522"/>
        </w:trPr>
        <w:tc>
          <w:tcPr>
            <w:tcW w:w="3538" w:type="dxa"/>
            <w:gridSpan w:val="2"/>
            <w:vMerge w:val="restart"/>
          </w:tcPr>
          <w:p w:rsidR="00615CD2" w:rsidRDefault="00B2545B">
            <w:pPr>
              <w:pStyle w:val="TableParagraph"/>
              <w:spacing w:before="120"/>
              <w:ind w:left="107"/>
              <w:jc w:val="left"/>
            </w:pPr>
            <w:r>
              <w:t>Status at time of request:</w:t>
            </w:r>
          </w:p>
        </w:tc>
        <w:tc>
          <w:tcPr>
            <w:tcW w:w="5499" w:type="dxa"/>
            <w:gridSpan w:val="2"/>
            <w:tcBorders>
              <w:bottom w:val="nil"/>
            </w:tcBorders>
          </w:tcPr>
          <w:p w:rsidR="00615CD2" w:rsidRDefault="00B2545B">
            <w:pPr>
              <w:pStyle w:val="TableParagraph"/>
              <w:spacing w:before="120"/>
              <w:ind w:left="106"/>
              <w:jc w:val="left"/>
            </w:pPr>
            <w:r>
              <w:t>Submitted outside the caretaker period</w:t>
            </w:r>
          </w:p>
        </w:tc>
      </w:tr>
      <w:tr w:rsidR="00615CD2">
        <w:trPr>
          <w:trHeight w:val="511"/>
        </w:trPr>
        <w:tc>
          <w:tcPr>
            <w:tcW w:w="3538" w:type="dxa"/>
            <w:gridSpan w:val="2"/>
            <w:vMerge/>
            <w:tcBorders>
              <w:top w:val="nil"/>
            </w:tcBorders>
          </w:tcPr>
          <w:p w:rsidR="00615CD2" w:rsidRDefault="00615CD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tcBorders>
              <w:top w:val="nil"/>
              <w:right w:val="nil"/>
            </w:tcBorders>
          </w:tcPr>
          <w:p w:rsidR="00615CD2" w:rsidRDefault="00B2545B">
            <w:pPr>
              <w:pStyle w:val="TableParagraph"/>
              <w:spacing w:before="107"/>
              <w:ind w:left="105"/>
              <w:jc w:val="left"/>
            </w:pPr>
            <w:r>
              <w:rPr>
                <w:rFonts w:ascii="MS Gothic" w:hAnsi="MS Gothic"/>
              </w:rPr>
              <w:t>☒</w:t>
            </w:r>
            <w:r>
              <w:rPr>
                <w:rFonts w:ascii="MS Gothic" w:hAnsi="MS Gothic"/>
                <w:spacing w:val="-64"/>
              </w:rPr>
              <w:t xml:space="preserve"> </w:t>
            </w:r>
            <w:r>
              <w:t>Confidential</w:t>
            </w:r>
          </w:p>
        </w:tc>
        <w:tc>
          <w:tcPr>
            <w:tcW w:w="3338" w:type="dxa"/>
            <w:tcBorders>
              <w:top w:val="nil"/>
              <w:left w:val="nil"/>
            </w:tcBorders>
          </w:tcPr>
          <w:p w:rsidR="00615CD2" w:rsidRDefault="00B2545B">
            <w:pPr>
              <w:pStyle w:val="TableParagraph"/>
              <w:numPr>
                <w:ilvl w:val="0"/>
                <w:numId w:val="7"/>
              </w:numPr>
              <w:tabs>
                <w:tab w:val="left" w:pos="987"/>
              </w:tabs>
              <w:spacing w:before="107"/>
              <w:ind w:hanging="269"/>
              <w:jc w:val="left"/>
            </w:pPr>
            <w:r>
              <w:t>Not</w:t>
            </w:r>
            <w:r>
              <w:rPr>
                <w:spacing w:val="-4"/>
              </w:rPr>
              <w:t xml:space="preserve"> </w:t>
            </w:r>
            <w:r>
              <w:t>confidential</w:t>
            </w:r>
          </w:p>
        </w:tc>
      </w:tr>
      <w:tr w:rsidR="00615CD2">
        <w:trPr>
          <w:trHeight w:val="2869"/>
        </w:trPr>
        <w:tc>
          <w:tcPr>
            <w:tcW w:w="9037" w:type="dxa"/>
            <w:gridSpan w:val="4"/>
          </w:tcPr>
          <w:p w:rsidR="00615CD2" w:rsidRDefault="00B2545B">
            <w:pPr>
              <w:pStyle w:val="TableParagraph"/>
              <w:spacing w:before="120"/>
              <w:ind w:left="107"/>
              <w:jc w:val="left"/>
            </w:pPr>
            <w:r>
              <w:t>Summary of proposal:</w:t>
            </w:r>
          </w:p>
          <w:p w:rsidR="00615CD2" w:rsidRDefault="00B2545B">
            <w:pPr>
              <w:pStyle w:val="TableParagraph"/>
              <w:spacing w:before="119"/>
              <w:ind w:left="107" w:right="163" w:hanging="1"/>
              <w:jc w:val="left"/>
            </w:pPr>
            <w:r>
              <w:t>This</w:t>
            </w:r>
            <w:r>
              <w:rPr>
                <w:spacing w:val="-10"/>
              </w:rPr>
              <w:t xml:space="preserve"> </w:t>
            </w:r>
            <w:r>
              <w:t>proposal</w:t>
            </w:r>
            <w:r>
              <w:rPr>
                <w:spacing w:val="-10"/>
              </w:rPr>
              <w:t xml:space="preserve"> </w:t>
            </w:r>
            <w:r>
              <w:t>would</w:t>
            </w:r>
            <w:r>
              <w:rPr>
                <w:spacing w:val="-10"/>
              </w:rPr>
              <w:t xml:space="preserve"> </w:t>
            </w:r>
            <w:r>
              <w:t>eliminate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following</w:t>
            </w:r>
            <w:r>
              <w:rPr>
                <w:spacing w:val="-11"/>
              </w:rPr>
              <w:t xml:space="preserve"> </w:t>
            </w:r>
            <w:r>
              <w:t>withholding</w:t>
            </w:r>
            <w:r>
              <w:rPr>
                <w:spacing w:val="-10"/>
              </w:rPr>
              <w:t xml:space="preserve"> </w:t>
            </w:r>
            <w:r>
              <w:t>tax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interest</w:t>
            </w:r>
            <w:r>
              <w:rPr>
                <w:spacing w:val="-11"/>
              </w:rPr>
              <w:t xml:space="preserve"> </w:t>
            </w:r>
            <w:r>
              <w:t>paid</w:t>
            </w:r>
            <w:r>
              <w:rPr>
                <w:spacing w:val="-10"/>
              </w:rPr>
              <w:t xml:space="preserve"> </w:t>
            </w:r>
            <w:r>
              <w:t>by</w:t>
            </w:r>
            <w:r>
              <w:rPr>
                <w:spacing w:val="-9"/>
              </w:rPr>
              <w:t xml:space="preserve"> </w:t>
            </w:r>
            <w:r>
              <w:t>financial institutions operating in Australia to foreign</w:t>
            </w:r>
            <w:r>
              <w:rPr>
                <w:spacing w:val="-21"/>
              </w:rPr>
              <w:t xml:space="preserve"> </w:t>
            </w:r>
            <w:r>
              <w:t>residents.</w:t>
            </w:r>
          </w:p>
          <w:p w:rsidR="00615CD2" w:rsidRDefault="00B2545B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  <w:tab w:val="left" w:pos="562"/>
              </w:tabs>
              <w:spacing w:before="120"/>
              <w:ind w:hanging="455"/>
              <w:jc w:val="left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2"/>
              </w:rPr>
              <w:t xml:space="preserve"> </w:t>
            </w:r>
            <w:r>
              <w:t>interest</w:t>
            </w:r>
            <w:r>
              <w:rPr>
                <w:spacing w:val="-5"/>
              </w:rPr>
              <w:t xml:space="preserve"> </w:t>
            </w:r>
            <w:r>
              <w:t>withholding</w:t>
            </w:r>
            <w:r>
              <w:rPr>
                <w:spacing w:val="-4"/>
              </w:rPr>
              <w:t xml:space="preserve"> </w:t>
            </w:r>
            <w:r>
              <w:t>tax</w:t>
            </w:r>
            <w:r>
              <w:rPr>
                <w:spacing w:val="-4"/>
              </w:rPr>
              <w:t xml:space="preserve"> </w:t>
            </w:r>
            <w:r>
              <w:t>levied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cent</w:t>
            </w:r>
          </w:p>
          <w:p w:rsidR="00615CD2" w:rsidRDefault="00B2545B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  <w:tab w:val="left" w:pos="562"/>
              </w:tabs>
              <w:spacing w:before="120"/>
              <w:ind w:right="253"/>
              <w:jc w:val="left"/>
              <w:rPr>
                <w:i/>
              </w:rPr>
            </w:pPr>
            <w:r>
              <w:t>The reduced interest withholding tax charged on Australian branches borrowing from their foreign</w:t>
            </w:r>
            <w:r>
              <w:rPr>
                <w:spacing w:val="-10"/>
              </w:rPr>
              <w:t xml:space="preserve"> </w:t>
            </w:r>
            <w:r>
              <w:t>parents</w:t>
            </w:r>
            <w:r>
              <w:rPr>
                <w:spacing w:val="-10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outli</w:t>
            </w:r>
            <w:r>
              <w:t>ned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i/>
              </w:rPr>
              <w:t>Australia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as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Finance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&amp;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Technology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Centre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Advisory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Group (AFTCAG)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Report.</w:t>
            </w:r>
          </w:p>
          <w:p w:rsidR="00615CD2" w:rsidRDefault="00B2545B">
            <w:pPr>
              <w:pStyle w:val="TableParagraph"/>
              <w:spacing w:before="120"/>
              <w:ind w:left="108"/>
              <w:jc w:val="left"/>
            </w:pPr>
            <w:r>
              <w:t>The proposal would have effect from 1 July 2022.</w:t>
            </w:r>
          </w:p>
        </w:tc>
      </w:tr>
    </w:tbl>
    <w:p w:rsidR="00615CD2" w:rsidRDefault="00615CD2">
      <w:pPr>
        <w:pStyle w:val="BodyText"/>
        <w:spacing w:before="5"/>
        <w:rPr>
          <w:sz w:val="29"/>
        </w:rPr>
      </w:pPr>
    </w:p>
    <w:p w:rsidR="00615CD2" w:rsidRDefault="00B2545B">
      <w:pPr>
        <w:pStyle w:val="Heading1"/>
        <w:spacing w:before="1"/>
      </w:pPr>
      <w:bookmarkStart w:id="2" w:name="Costing_overview"/>
      <w:bookmarkEnd w:id="2"/>
      <w:r>
        <w:rPr>
          <w:color w:val="3C4D7C"/>
        </w:rPr>
        <w:t>Costing overview</w:t>
      </w:r>
    </w:p>
    <w:p w:rsidR="00615CD2" w:rsidRDefault="00B2545B">
      <w:pPr>
        <w:pStyle w:val="BodyText"/>
        <w:spacing w:before="211" w:line="268" w:lineRule="auto"/>
        <w:ind w:left="538" w:right="503"/>
      </w:pPr>
      <w:r>
        <w:t>This</w:t>
      </w:r>
      <w:r>
        <w:rPr>
          <w:spacing w:val="-8"/>
        </w:rPr>
        <w:t xml:space="preserve"> </w:t>
      </w:r>
      <w:r>
        <w:t>proposal</w:t>
      </w:r>
      <w:r>
        <w:rPr>
          <w:spacing w:val="-8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expected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decrease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fiscal</w:t>
      </w:r>
      <w:r>
        <w:rPr>
          <w:spacing w:val="-9"/>
        </w:rPr>
        <w:t xml:space="preserve"> </w:t>
      </w:r>
      <w:r>
        <w:t>balance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$1,220.2</w:t>
      </w:r>
      <w:r>
        <w:rPr>
          <w:spacing w:val="-8"/>
        </w:rPr>
        <w:t xml:space="preserve"> </w:t>
      </w:r>
      <w:r>
        <w:t>million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decrease</w:t>
      </w:r>
      <w:r>
        <w:rPr>
          <w:spacing w:val="-9"/>
        </w:rPr>
        <w:t xml:space="preserve"> </w:t>
      </w:r>
      <w:r>
        <w:t>the underlying</w:t>
      </w:r>
      <w:r>
        <w:rPr>
          <w:spacing w:val="-8"/>
        </w:rPr>
        <w:t xml:space="preserve"> </w:t>
      </w:r>
      <w:r>
        <w:t>cash</w:t>
      </w:r>
      <w:r>
        <w:rPr>
          <w:spacing w:val="-11"/>
        </w:rPr>
        <w:t xml:space="preserve"> </w:t>
      </w:r>
      <w:r>
        <w:t>balance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$1,170.2</w:t>
      </w:r>
      <w:r>
        <w:rPr>
          <w:spacing w:val="-8"/>
        </w:rPr>
        <w:t xml:space="preserve"> </w:t>
      </w:r>
      <w:r>
        <w:t>million</w:t>
      </w:r>
      <w:r>
        <w:rPr>
          <w:spacing w:val="-9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2020-21</w:t>
      </w:r>
      <w:r>
        <w:rPr>
          <w:spacing w:val="-10"/>
        </w:rPr>
        <w:t xml:space="preserve"> </w:t>
      </w:r>
      <w:r>
        <w:t>Budget</w:t>
      </w:r>
      <w:r>
        <w:rPr>
          <w:spacing w:val="-9"/>
        </w:rPr>
        <w:t xml:space="preserve"> </w:t>
      </w:r>
      <w:r>
        <w:t>forward</w:t>
      </w:r>
      <w:r>
        <w:rPr>
          <w:spacing w:val="-9"/>
        </w:rPr>
        <w:t xml:space="preserve"> </w:t>
      </w:r>
      <w:r>
        <w:t>estimates</w:t>
      </w:r>
      <w:r>
        <w:rPr>
          <w:spacing w:val="-9"/>
        </w:rPr>
        <w:t xml:space="preserve"> </w:t>
      </w:r>
      <w:r>
        <w:t>period.</w:t>
      </w:r>
      <w:r>
        <w:rPr>
          <w:spacing w:val="33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 fiscal</w:t>
      </w:r>
      <w:r>
        <w:rPr>
          <w:spacing w:val="-9"/>
        </w:rPr>
        <w:t xml:space="preserve"> </w:t>
      </w:r>
      <w:r>
        <w:t>balance</w:t>
      </w:r>
      <w:r>
        <w:rPr>
          <w:spacing w:val="-9"/>
        </w:rPr>
        <w:t xml:space="preserve"> </w:t>
      </w:r>
      <w:r>
        <w:t>basis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impact</w:t>
      </w:r>
      <w:r>
        <w:rPr>
          <w:spacing w:val="-11"/>
        </w:rPr>
        <w:t xml:space="preserve"> </w:t>
      </w:r>
      <w:r>
        <w:t>reflects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decrease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administered</w:t>
      </w:r>
      <w:r>
        <w:rPr>
          <w:spacing w:val="-10"/>
        </w:rPr>
        <w:t xml:space="preserve"> </w:t>
      </w:r>
      <w:r>
        <w:t>revenue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$1,220.0</w:t>
      </w:r>
      <w:r>
        <w:rPr>
          <w:spacing w:val="-9"/>
        </w:rPr>
        <w:t xml:space="preserve"> </w:t>
      </w:r>
      <w:r>
        <w:t>million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an increase in departmental expenses of $0.2</w:t>
      </w:r>
      <w:r>
        <w:rPr>
          <w:spacing w:val="-16"/>
        </w:rPr>
        <w:t xml:space="preserve"> </w:t>
      </w:r>
      <w:r>
        <w:t>million.</w:t>
      </w:r>
    </w:p>
    <w:p w:rsidR="00615CD2" w:rsidRDefault="00B2545B">
      <w:pPr>
        <w:pStyle w:val="BodyText"/>
        <w:spacing w:before="117" w:line="268" w:lineRule="auto"/>
        <w:ind w:left="538" w:right="503"/>
      </w:pPr>
      <w:r>
        <w:t>The</w:t>
      </w:r>
      <w:r>
        <w:rPr>
          <w:spacing w:val="-9"/>
        </w:rPr>
        <w:t xml:space="preserve"> </w:t>
      </w:r>
      <w:r>
        <w:t>proposal</w:t>
      </w:r>
      <w:r>
        <w:rPr>
          <w:spacing w:val="-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expected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2020-21</w:t>
      </w:r>
      <w:r>
        <w:rPr>
          <w:spacing w:val="-9"/>
        </w:rPr>
        <w:t xml:space="preserve"> </w:t>
      </w:r>
      <w:r>
        <w:t>Budget</w:t>
      </w:r>
      <w:r>
        <w:rPr>
          <w:spacing w:val="-9"/>
        </w:rPr>
        <w:t xml:space="preserve"> </w:t>
      </w:r>
      <w:r>
        <w:t>forward</w:t>
      </w:r>
      <w:r>
        <w:rPr>
          <w:spacing w:val="-8"/>
        </w:rPr>
        <w:t xml:space="preserve"> </w:t>
      </w:r>
      <w:r>
        <w:t xml:space="preserve">estimates period. A breakdown of the financial implications over the period to 2030-31 is provided at </w:t>
      </w:r>
      <w:r>
        <w:rPr>
          <w:u w:val="single"/>
        </w:rPr>
        <w:t>Attachment</w:t>
      </w:r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t>.</w:t>
      </w:r>
    </w:p>
    <w:p w:rsidR="00615CD2" w:rsidRDefault="00B2545B">
      <w:pPr>
        <w:pStyle w:val="BodyText"/>
        <w:spacing w:before="118" w:line="268" w:lineRule="auto"/>
        <w:ind w:left="538" w:right="503"/>
      </w:pPr>
      <w:r>
        <w:t>The</w:t>
      </w:r>
      <w:r>
        <w:rPr>
          <w:spacing w:val="-11"/>
        </w:rPr>
        <w:t xml:space="preserve"> </w:t>
      </w:r>
      <w:r>
        <w:t>differences</w:t>
      </w:r>
      <w:r>
        <w:rPr>
          <w:spacing w:val="-12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fiscal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underlyin</w:t>
      </w:r>
      <w:r>
        <w:t>g</w:t>
      </w:r>
      <w:r>
        <w:rPr>
          <w:spacing w:val="-10"/>
        </w:rPr>
        <w:t xml:space="preserve"> </w:t>
      </w:r>
      <w:r>
        <w:t>cash</w:t>
      </w:r>
      <w:r>
        <w:rPr>
          <w:spacing w:val="-13"/>
        </w:rPr>
        <w:t xml:space="preserve"> </w:t>
      </w:r>
      <w:r>
        <w:t>balance</w:t>
      </w:r>
      <w:r>
        <w:rPr>
          <w:spacing w:val="-10"/>
        </w:rPr>
        <w:t xml:space="preserve"> </w:t>
      </w:r>
      <w:r>
        <w:t>impacts</w:t>
      </w:r>
      <w:r>
        <w:rPr>
          <w:spacing w:val="-12"/>
        </w:rPr>
        <w:t xml:space="preserve"> </w:t>
      </w:r>
      <w:r>
        <w:t>reflect</w:t>
      </w:r>
      <w:r>
        <w:rPr>
          <w:spacing w:val="-12"/>
        </w:rPr>
        <w:t xml:space="preserve"> </w:t>
      </w:r>
      <w:r>
        <w:t>timing</w:t>
      </w:r>
      <w:r>
        <w:rPr>
          <w:spacing w:val="-10"/>
        </w:rPr>
        <w:t xml:space="preserve"> </w:t>
      </w:r>
      <w:r>
        <w:t>differences between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withholding</w:t>
      </w:r>
      <w:r>
        <w:rPr>
          <w:spacing w:val="-5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recognised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paid.</w:t>
      </w:r>
    </w:p>
    <w:p w:rsidR="00615CD2" w:rsidRDefault="00B2545B">
      <w:pPr>
        <w:spacing w:before="118" w:line="268" w:lineRule="auto"/>
        <w:ind w:left="538" w:right="503" w:hanging="1"/>
      </w:pPr>
      <w:r>
        <w:t>There would be an increase in departmental expenses for the Australian Taxation Office associated with implementing the proposal. These estimates were based on the departmental cost profile for the</w:t>
      </w:r>
      <w:r>
        <w:rPr>
          <w:spacing w:val="-11"/>
        </w:rPr>
        <w:t xml:space="preserve"> </w:t>
      </w:r>
      <w:r>
        <w:t>2010-11</w:t>
      </w:r>
      <w:r>
        <w:rPr>
          <w:spacing w:val="-10"/>
        </w:rPr>
        <w:t xml:space="preserve"> </w:t>
      </w:r>
      <w:r>
        <w:t>Budget</w:t>
      </w:r>
      <w:r>
        <w:rPr>
          <w:spacing w:val="-10"/>
        </w:rPr>
        <w:t xml:space="preserve"> </w:t>
      </w:r>
      <w:r>
        <w:t>measure</w:t>
      </w:r>
      <w:r>
        <w:rPr>
          <w:spacing w:val="-11"/>
        </w:rPr>
        <w:t xml:space="preserve"> </w:t>
      </w:r>
      <w:r>
        <w:rPr>
          <w:i/>
        </w:rPr>
        <w:t>Stronger,</w:t>
      </w:r>
      <w:r>
        <w:rPr>
          <w:i/>
          <w:spacing w:val="-9"/>
        </w:rPr>
        <w:t xml:space="preserve"> </w:t>
      </w:r>
      <w:r>
        <w:rPr>
          <w:i/>
        </w:rPr>
        <w:t>fairer,</w:t>
      </w:r>
      <w:r>
        <w:rPr>
          <w:i/>
          <w:spacing w:val="-10"/>
        </w:rPr>
        <w:t xml:space="preserve"> </w:t>
      </w:r>
      <w:r>
        <w:rPr>
          <w:i/>
        </w:rPr>
        <w:t>simpler</w:t>
      </w:r>
      <w:r>
        <w:rPr>
          <w:i/>
          <w:spacing w:val="-11"/>
        </w:rPr>
        <w:t xml:space="preserve"> </w:t>
      </w:r>
      <w:r>
        <w:rPr>
          <w:i/>
        </w:rPr>
        <w:t>tax</w:t>
      </w:r>
      <w:r>
        <w:rPr>
          <w:i/>
          <w:spacing w:val="-11"/>
        </w:rPr>
        <w:t xml:space="preserve"> </w:t>
      </w:r>
      <w:r>
        <w:rPr>
          <w:i/>
        </w:rPr>
        <w:t>refor</w:t>
      </w:r>
      <w:r>
        <w:rPr>
          <w:i/>
        </w:rPr>
        <w:t>m</w:t>
      </w:r>
      <w:r>
        <w:rPr>
          <w:i/>
          <w:spacing w:val="-10"/>
        </w:rPr>
        <w:t xml:space="preserve"> </w:t>
      </w:r>
      <w:r>
        <w:rPr>
          <w:i/>
        </w:rPr>
        <w:t>–</w:t>
      </w:r>
      <w:r>
        <w:rPr>
          <w:i/>
          <w:spacing w:val="-11"/>
        </w:rPr>
        <w:t xml:space="preserve"> </w:t>
      </w:r>
      <w:r>
        <w:rPr>
          <w:i/>
        </w:rPr>
        <w:t>phasing</w:t>
      </w:r>
      <w:r>
        <w:rPr>
          <w:i/>
          <w:spacing w:val="-10"/>
        </w:rPr>
        <w:t xml:space="preserve"> </w:t>
      </w:r>
      <w:r>
        <w:rPr>
          <w:i/>
        </w:rPr>
        <w:t>down</w:t>
      </w:r>
      <w:r>
        <w:rPr>
          <w:i/>
          <w:spacing w:val="-11"/>
        </w:rPr>
        <w:t xml:space="preserve"> </w:t>
      </w:r>
      <w:r>
        <w:rPr>
          <w:i/>
        </w:rPr>
        <w:t>interest</w:t>
      </w:r>
      <w:r>
        <w:rPr>
          <w:i/>
          <w:spacing w:val="-11"/>
        </w:rPr>
        <w:t xml:space="preserve"> </w:t>
      </w:r>
      <w:r>
        <w:rPr>
          <w:i/>
        </w:rPr>
        <w:t>withholding tax on financial</w:t>
      </w:r>
      <w:r>
        <w:rPr>
          <w:i/>
          <w:spacing w:val="-9"/>
        </w:rPr>
        <w:t xml:space="preserve"> </w:t>
      </w:r>
      <w:r>
        <w:rPr>
          <w:i/>
        </w:rPr>
        <w:t>institutions</w:t>
      </w:r>
      <w:r>
        <w:t>.</w:t>
      </w:r>
    </w:p>
    <w:p w:rsidR="00615CD2" w:rsidRDefault="00615CD2">
      <w:pPr>
        <w:spacing w:line="268" w:lineRule="auto"/>
        <w:sectPr w:rsidR="00615CD2">
          <w:headerReference w:type="default" r:id="rId8"/>
          <w:footerReference w:type="default" r:id="rId9"/>
          <w:type w:val="continuous"/>
          <w:pgSz w:w="11910" w:h="16840"/>
          <w:pgMar w:top="1120" w:right="938" w:bottom="820" w:left="880" w:header="596" w:footer="622" w:gutter="0"/>
          <w:pgNumType w:start="1"/>
          <w:cols w:space="720"/>
        </w:sectPr>
      </w:pPr>
    </w:p>
    <w:p w:rsidR="00615CD2" w:rsidRDefault="00B2545B">
      <w:pPr>
        <w:pStyle w:val="BodyText"/>
        <w:spacing w:before="45" w:line="268" w:lineRule="auto"/>
        <w:ind w:left="538" w:right="503"/>
      </w:pPr>
      <w:r>
        <w:lastRenderedPageBreak/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impact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proposal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sensitive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assumption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aggregate</w:t>
      </w:r>
      <w:r>
        <w:rPr>
          <w:spacing w:val="-9"/>
        </w:rPr>
        <w:t xml:space="preserve"> </w:t>
      </w:r>
      <w:r>
        <w:t xml:space="preserve">effective withholding tax rate would be 3.5 per cent, based on the </w:t>
      </w:r>
      <w:r>
        <w:rPr>
          <w:i/>
        </w:rPr>
        <w:t xml:space="preserve">Australia’s Future Tax System (Henry </w:t>
      </w:r>
      <w:r>
        <w:rPr>
          <w:i/>
          <w:spacing w:val="-2"/>
        </w:rPr>
        <w:t xml:space="preserve">Tax </w:t>
      </w:r>
      <w:r>
        <w:rPr>
          <w:i/>
        </w:rPr>
        <w:t xml:space="preserve">Review) </w:t>
      </w:r>
      <w:r>
        <w:t xml:space="preserve">report of 2009. This </w:t>
      </w:r>
      <w:r>
        <w:t>assumption is quite uncertain as there is insufficient data on the jurisdictions</w:t>
      </w:r>
      <w:r>
        <w:rPr>
          <w:spacing w:val="-6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foreign</w:t>
      </w:r>
      <w:r>
        <w:rPr>
          <w:spacing w:val="-8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institutions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located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precise</w:t>
      </w:r>
      <w:r>
        <w:rPr>
          <w:spacing w:val="-6"/>
        </w:rPr>
        <w:t xml:space="preserve"> </w:t>
      </w:r>
      <w:r>
        <w:t>estimate.</w:t>
      </w:r>
    </w:p>
    <w:p w:rsidR="00615CD2" w:rsidRDefault="00615CD2">
      <w:pPr>
        <w:pStyle w:val="BodyText"/>
        <w:spacing w:before="2"/>
        <w:rPr>
          <w:sz w:val="29"/>
        </w:rPr>
      </w:pPr>
    </w:p>
    <w:p w:rsidR="00615CD2" w:rsidRDefault="00B2545B">
      <w:pPr>
        <w:pStyle w:val="Heading2"/>
        <w:spacing w:before="1" w:line="240" w:lineRule="auto"/>
        <w:ind w:left="538"/>
      </w:pPr>
      <w:r>
        <w:rPr>
          <w:color w:val="3C4D7C"/>
        </w:rPr>
        <w:t>Table 1: Interest withholding tax for financial institutions – Financial implications ($m)</w:t>
      </w:r>
      <w:r>
        <w:rPr>
          <w:color w:val="3C4D7C"/>
          <w:vertAlign w:val="superscript"/>
        </w:rPr>
        <w:t>(a)(b)</w:t>
      </w:r>
    </w:p>
    <w:p w:rsidR="00615CD2" w:rsidRDefault="00615CD2">
      <w:pPr>
        <w:pStyle w:val="BodyText"/>
        <w:spacing w:before="9" w:after="1"/>
        <w:rPr>
          <w:b/>
          <w:sz w:val="9"/>
        </w:rPr>
      </w:pPr>
    </w:p>
    <w:tbl>
      <w:tblPr>
        <w:tblW w:w="0" w:type="auto"/>
        <w:tblInd w:w="558" w:type="dxa"/>
        <w:tblBorders>
          <w:top w:val="single" w:sz="8" w:space="0" w:color="788183"/>
          <w:left w:val="single" w:sz="8" w:space="0" w:color="788183"/>
          <w:bottom w:val="single" w:sz="8" w:space="0" w:color="788183"/>
          <w:right w:val="single" w:sz="8" w:space="0" w:color="788183"/>
          <w:insideH w:val="single" w:sz="8" w:space="0" w:color="788183"/>
          <w:insideV w:val="single" w:sz="8" w:space="0" w:color="788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1275"/>
        <w:gridCol w:w="1276"/>
        <w:gridCol w:w="1275"/>
        <w:gridCol w:w="1275"/>
        <w:gridCol w:w="1274"/>
      </w:tblGrid>
      <w:tr w:rsidR="00615CD2">
        <w:trPr>
          <w:trHeight w:val="677"/>
        </w:trPr>
        <w:tc>
          <w:tcPr>
            <w:tcW w:w="2672" w:type="dxa"/>
            <w:shd w:val="clear" w:color="auto" w:fill="A7B1D3"/>
          </w:tcPr>
          <w:p w:rsidR="00615CD2" w:rsidRDefault="00615CD2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275" w:type="dxa"/>
            <w:shd w:val="clear" w:color="auto" w:fill="A7B1D3"/>
          </w:tcPr>
          <w:p w:rsidR="00615CD2" w:rsidRDefault="00615CD2"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 w:rsidR="00615CD2" w:rsidRDefault="00B2545B">
            <w:pPr>
              <w:pStyle w:val="TableParagraph"/>
              <w:spacing w:before="0"/>
              <w:ind w:right="141"/>
            </w:pPr>
            <w:r>
              <w:t>2020–21</w:t>
            </w:r>
          </w:p>
        </w:tc>
        <w:tc>
          <w:tcPr>
            <w:tcW w:w="1276" w:type="dxa"/>
            <w:shd w:val="clear" w:color="auto" w:fill="A7B1D3"/>
          </w:tcPr>
          <w:p w:rsidR="00615CD2" w:rsidRDefault="00615CD2"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 w:rsidR="00615CD2" w:rsidRDefault="00B2545B">
            <w:pPr>
              <w:pStyle w:val="TableParagraph"/>
              <w:spacing w:before="0"/>
              <w:ind w:right="142"/>
            </w:pPr>
            <w:r>
              <w:t>2021–22</w:t>
            </w:r>
          </w:p>
        </w:tc>
        <w:tc>
          <w:tcPr>
            <w:tcW w:w="1275" w:type="dxa"/>
            <w:shd w:val="clear" w:color="auto" w:fill="A7B1D3"/>
          </w:tcPr>
          <w:p w:rsidR="00615CD2" w:rsidRDefault="00615CD2"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 w:rsidR="00615CD2" w:rsidRDefault="00B2545B">
            <w:pPr>
              <w:pStyle w:val="TableParagraph"/>
              <w:spacing w:before="0"/>
              <w:ind w:right="141"/>
            </w:pPr>
            <w:r>
              <w:t>2022–23</w:t>
            </w:r>
          </w:p>
        </w:tc>
        <w:tc>
          <w:tcPr>
            <w:tcW w:w="1275" w:type="dxa"/>
            <w:shd w:val="clear" w:color="auto" w:fill="A7B1D3"/>
          </w:tcPr>
          <w:p w:rsidR="00615CD2" w:rsidRDefault="00615CD2">
            <w:pPr>
              <w:pStyle w:val="TableParagraph"/>
              <w:spacing w:before="10"/>
              <w:jc w:val="left"/>
              <w:rPr>
                <w:b/>
                <w:sz w:val="16"/>
              </w:rPr>
            </w:pPr>
          </w:p>
          <w:p w:rsidR="00615CD2" w:rsidRDefault="00B2545B">
            <w:pPr>
              <w:pStyle w:val="TableParagraph"/>
              <w:spacing w:before="0"/>
              <w:ind w:right="139"/>
            </w:pPr>
            <w:r>
              <w:t>2023–24</w:t>
            </w:r>
          </w:p>
        </w:tc>
        <w:tc>
          <w:tcPr>
            <w:tcW w:w="1274" w:type="dxa"/>
            <w:shd w:val="clear" w:color="auto" w:fill="A7B1D3"/>
          </w:tcPr>
          <w:p w:rsidR="00615CD2" w:rsidRDefault="00B2545B">
            <w:pPr>
              <w:pStyle w:val="TableParagraph"/>
              <w:spacing w:before="71"/>
              <w:ind w:left="332" w:right="122" w:firstLine="69"/>
              <w:jc w:val="left"/>
              <w:rPr>
                <w:b/>
              </w:rPr>
            </w:pPr>
            <w:r>
              <w:rPr>
                <w:b/>
              </w:rPr>
              <w:t>Total to 2023–24</w:t>
            </w:r>
          </w:p>
        </w:tc>
      </w:tr>
      <w:tr w:rsidR="00615CD2">
        <w:trPr>
          <w:trHeight w:val="408"/>
        </w:trPr>
        <w:tc>
          <w:tcPr>
            <w:tcW w:w="2672" w:type="dxa"/>
          </w:tcPr>
          <w:p w:rsidR="00615CD2" w:rsidRDefault="00B2545B">
            <w:pPr>
              <w:pStyle w:val="TableParagraph"/>
              <w:spacing w:before="71"/>
              <w:ind w:left="165"/>
              <w:jc w:val="left"/>
            </w:pPr>
            <w:r>
              <w:t>Fiscal balance</w:t>
            </w:r>
          </w:p>
        </w:tc>
        <w:tc>
          <w:tcPr>
            <w:tcW w:w="1275" w:type="dxa"/>
          </w:tcPr>
          <w:p w:rsidR="00615CD2" w:rsidRDefault="00B2545B">
            <w:pPr>
              <w:pStyle w:val="TableParagraph"/>
              <w:spacing w:before="71"/>
              <w:ind w:right="141"/>
            </w:pPr>
            <w:r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15CD2" w:rsidRDefault="00B2545B">
            <w:pPr>
              <w:pStyle w:val="TableParagraph"/>
              <w:spacing w:before="71"/>
              <w:ind w:right="141"/>
            </w:pPr>
            <w:r>
              <w:rPr>
                <w:w w:val="99"/>
              </w:rPr>
              <w:t>-</w:t>
            </w:r>
          </w:p>
        </w:tc>
        <w:tc>
          <w:tcPr>
            <w:tcW w:w="1275" w:type="dxa"/>
          </w:tcPr>
          <w:p w:rsidR="00615CD2" w:rsidRDefault="00B2545B">
            <w:pPr>
              <w:pStyle w:val="TableParagraph"/>
              <w:spacing w:before="71"/>
              <w:ind w:right="142"/>
            </w:pPr>
            <w:r>
              <w:t>-580.1</w:t>
            </w:r>
          </w:p>
        </w:tc>
        <w:tc>
          <w:tcPr>
            <w:tcW w:w="1275" w:type="dxa"/>
          </w:tcPr>
          <w:p w:rsidR="00615CD2" w:rsidRDefault="00B2545B">
            <w:pPr>
              <w:pStyle w:val="TableParagraph"/>
              <w:spacing w:before="71"/>
              <w:ind w:right="140"/>
            </w:pPr>
            <w:r>
              <w:t>-640.1</w:t>
            </w:r>
          </w:p>
        </w:tc>
        <w:tc>
          <w:tcPr>
            <w:tcW w:w="1274" w:type="dxa"/>
          </w:tcPr>
          <w:p w:rsidR="00615CD2" w:rsidRDefault="00B2545B">
            <w:pPr>
              <w:pStyle w:val="TableParagraph"/>
              <w:spacing w:before="71"/>
              <w:ind w:right="140"/>
              <w:rPr>
                <w:b/>
              </w:rPr>
            </w:pPr>
            <w:r>
              <w:rPr>
                <w:b/>
              </w:rPr>
              <w:t>-1,220.2</w:t>
            </w:r>
          </w:p>
        </w:tc>
      </w:tr>
      <w:tr w:rsidR="00615CD2">
        <w:trPr>
          <w:trHeight w:val="409"/>
        </w:trPr>
        <w:tc>
          <w:tcPr>
            <w:tcW w:w="2672" w:type="dxa"/>
          </w:tcPr>
          <w:p w:rsidR="00615CD2" w:rsidRDefault="00B2545B">
            <w:pPr>
              <w:pStyle w:val="TableParagraph"/>
              <w:spacing w:before="71"/>
              <w:ind w:left="165"/>
              <w:jc w:val="left"/>
            </w:pPr>
            <w:r>
              <w:t>Underlying cash balance</w:t>
            </w:r>
          </w:p>
        </w:tc>
        <w:tc>
          <w:tcPr>
            <w:tcW w:w="1275" w:type="dxa"/>
          </w:tcPr>
          <w:p w:rsidR="00615CD2" w:rsidRDefault="00B2545B">
            <w:pPr>
              <w:pStyle w:val="TableParagraph"/>
              <w:spacing w:before="71"/>
              <w:ind w:right="141"/>
            </w:pPr>
            <w:r>
              <w:rPr>
                <w:w w:val="99"/>
              </w:rPr>
              <w:t>-</w:t>
            </w:r>
          </w:p>
        </w:tc>
        <w:tc>
          <w:tcPr>
            <w:tcW w:w="1276" w:type="dxa"/>
          </w:tcPr>
          <w:p w:rsidR="00615CD2" w:rsidRDefault="00B2545B">
            <w:pPr>
              <w:pStyle w:val="TableParagraph"/>
              <w:spacing w:before="71"/>
              <w:ind w:right="142"/>
            </w:pPr>
            <w:r>
              <w:rPr>
                <w:w w:val="99"/>
              </w:rPr>
              <w:t>-</w:t>
            </w:r>
          </w:p>
        </w:tc>
        <w:tc>
          <w:tcPr>
            <w:tcW w:w="1275" w:type="dxa"/>
          </w:tcPr>
          <w:p w:rsidR="00615CD2" w:rsidRDefault="00B2545B">
            <w:pPr>
              <w:pStyle w:val="TableParagraph"/>
              <w:spacing w:before="71"/>
              <w:ind w:right="142"/>
            </w:pPr>
            <w:r>
              <w:t>-530.1</w:t>
            </w:r>
          </w:p>
        </w:tc>
        <w:tc>
          <w:tcPr>
            <w:tcW w:w="1275" w:type="dxa"/>
          </w:tcPr>
          <w:p w:rsidR="00615CD2" w:rsidRDefault="00B2545B">
            <w:pPr>
              <w:pStyle w:val="TableParagraph"/>
              <w:spacing w:before="71"/>
              <w:ind w:right="140"/>
            </w:pPr>
            <w:r>
              <w:t>-640.1</w:t>
            </w:r>
          </w:p>
        </w:tc>
        <w:tc>
          <w:tcPr>
            <w:tcW w:w="1274" w:type="dxa"/>
          </w:tcPr>
          <w:p w:rsidR="00615CD2" w:rsidRDefault="00B2545B">
            <w:pPr>
              <w:pStyle w:val="TableParagraph"/>
              <w:spacing w:before="71"/>
              <w:ind w:right="140"/>
              <w:rPr>
                <w:b/>
              </w:rPr>
            </w:pPr>
            <w:r>
              <w:rPr>
                <w:b/>
              </w:rPr>
              <w:t>-1,170.2</w:t>
            </w:r>
          </w:p>
        </w:tc>
      </w:tr>
    </w:tbl>
    <w:p w:rsidR="00615CD2" w:rsidRDefault="00B2545B">
      <w:pPr>
        <w:pStyle w:val="ListParagraph"/>
        <w:numPr>
          <w:ilvl w:val="0"/>
          <w:numId w:val="5"/>
        </w:numPr>
        <w:tabs>
          <w:tab w:val="left" w:pos="823"/>
        </w:tabs>
        <w:spacing w:before="55" w:line="295" w:lineRule="auto"/>
        <w:ind w:right="672"/>
        <w:rPr>
          <w:sz w:val="20"/>
        </w:rPr>
      </w:pPr>
      <w:r>
        <w:rPr>
          <w:sz w:val="20"/>
        </w:rPr>
        <w:t>A positive number represents an increase in the relevant budget balance; a negative number represents a decrease.</w:t>
      </w:r>
    </w:p>
    <w:p w:rsidR="00615CD2" w:rsidRDefault="00B2545B">
      <w:pPr>
        <w:pStyle w:val="ListParagraph"/>
        <w:numPr>
          <w:ilvl w:val="0"/>
          <w:numId w:val="5"/>
        </w:numPr>
        <w:tabs>
          <w:tab w:val="left" w:pos="823"/>
        </w:tabs>
        <w:spacing w:line="244" w:lineRule="exact"/>
        <w:rPr>
          <w:sz w:val="20"/>
        </w:rPr>
      </w:pPr>
      <w:r>
        <w:rPr>
          <w:sz w:val="20"/>
        </w:rPr>
        <w:t>Figures may not sum to totals due to</w:t>
      </w:r>
      <w:r>
        <w:rPr>
          <w:spacing w:val="-5"/>
          <w:sz w:val="20"/>
        </w:rPr>
        <w:t xml:space="preserve"> </w:t>
      </w:r>
      <w:r>
        <w:rPr>
          <w:sz w:val="20"/>
        </w:rPr>
        <w:t>rounding.</w:t>
      </w:r>
    </w:p>
    <w:p w:rsidR="00615CD2" w:rsidRDefault="00B2545B">
      <w:pPr>
        <w:tabs>
          <w:tab w:val="left" w:pos="822"/>
        </w:tabs>
        <w:spacing w:before="15"/>
        <w:ind w:left="538"/>
        <w:rPr>
          <w:sz w:val="20"/>
        </w:rPr>
      </w:pPr>
      <w:bookmarkStart w:id="3" w:name="Key_assumptions"/>
      <w:bookmarkEnd w:id="3"/>
      <w:r>
        <w:rPr>
          <w:sz w:val="20"/>
        </w:rPr>
        <w:t>-</w:t>
      </w:r>
      <w:r>
        <w:rPr>
          <w:sz w:val="20"/>
        </w:rPr>
        <w:tab/>
        <w:t>Indicates</w:t>
      </w:r>
      <w:r>
        <w:rPr>
          <w:spacing w:val="-2"/>
          <w:sz w:val="20"/>
        </w:rPr>
        <w:t xml:space="preserve"> </w:t>
      </w:r>
      <w:r>
        <w:rPr>
          <w:sz w:val="20"/>
        </w:rPr>
        <w:t>nil.</w:t>
      </w:r>
    </w:p>
    <w:p w:rsidR="00615CD2" w:rsidRDefault="00615CD2">
      <w:pPr>
        <w:pStyle w:val="BodyText"/>
        <w:spacing w:before="8"/>
        <w:rPr>
          <w:sz w:val="29"/>
        </w:rPr>
      </w:pPr>
    </w:p>
    <w:p w:rsidR="00615CD2" w:rsidRDefault="00B2545B">
      <w:pPr>
        <w:pStyle w:val="Heading1"/>
      </w:pPr>
      <w:r>
        <w:rPr>
          <w:color w:val="3C4D7C"/>
        </w:rPr>
        <w:t>Key assumptions</w:t>
      </w:r>
    </w:p>
    <w:p w:rsidR="00615CD2" w:rsidRDefault="00B2545B">
      <w:pPr>
        <w:pStyle w:val="BodyText"/>
        <w:spacing w:before="211"/>
        <w:ind w:left="538"/>
      </w:pPr>
      <w:r>
        <w:t>The Parliamentary Budget Office has made the following assumptions in costing this proposal.</w:t>
      </w:r>
    </w:p>
    <w:p w:rsidR="00615CD2" w:rsidRDefault="00B2545B">
      <w:pPr>
        <w:pStyle w:val="ListParagraph"/>
        <w:numPr>
          <w:ilvl w:val="0"/>
          <w:numId w:val="4"/>
        </w:numPr>
        <w:tabs>
          <w:tab w:val="left" w:pos="823"/>
        </w:tabs>
        <w:spacing w:before="152" w:line="268" w:lineRule="auto"/>
        <w:ind w:right="825"/>
      </w:pPr>
      <w:r>
        <w:t>The</w:t>
      </w:r>
      <w:r>
        <w:rPr>
          <w:spacing w:val="-11"/>
        </w:rPr>
        <w:t xml:space="preserve"> </w:t>
      </w:r>
      <w:r>
        <w:t>aggregate</w:t>
      </w:r>
      <w:r>
        <w:rPr>
          <w:spacing w:val="-11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tax</w:t>
      </w:r>
      <w:r>
        <w:rPr>
          <w:spacing w:val="-12"/>
        </w:rPr>
        <w:t xml:space="preserve"> </w:t>
      </w:r>
      <w:r>
        <w:t>rate</w:t>
      </w:r>
      <w:r>
        <w:rPr>
          <w:spacing w:val="-11"/>
        </w:rPr>
        <w:t xml:space="preserve"> </w:t>
      </w:r>
      <w:r>
        <w:t>applied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interest</w:t>
      </w:r>
      <w:r>
        <w:rPr>
          <w:spacing w:val="-11"/>
        </w:rPr>
        <w:t xml:space="preserve"> </w:t>
      </w:r>
      <w:r>
        <w:t>payments</w:t>
      </w:r>
      <w:r>
        <w:rPr>
          <w:spacing w:val="-10"/>
        </w:rPr>
        <w:t xml:space="preserve"> </w:t>
      </w:r>
      <w:r>
        <w:t>made</w:t>
      </w:r>
      <w:r>
        <w:rPr>
          <w:spacing w:val="-11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Australia-based</w:t>
      </w:r>
      <w:r>
        <w:rPr>
          <w:spacing w:val="-11"/>
        </w:rPr>
        <w:t xml:space="preserve"> </w:t>
      </w:r>
      <w:r>
        <w:t>financial institutions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3.5</w:t>
      </w:r>
      <w:r>
        <w:rPr>
          <w:spacing w:val="-4"/>
        </w:rPr>
        <w:t xml:space="preserve"> </w:t>
      </w:r>
      <w:r>
        <w:t>pe</w:t>
      </w:r>
      <w:r>
        <w:t>r</w:t>
      </w:r>
      <w:r>
        <w:rPr>
          <w:spacing w:val="-3"/>
        </w:rPr>
        <w:t xml:space="preserve"> </w:t>
      </w:r>
      <w:r>
        <w:t>cent.</w:t>
      </w:r>
    </w:p>
    <w:p w:rsidR="00615CD2" w:rsidRDefault="00B2545B">
      <w:pPr>
        <w:pStyle w:val="ListParagraph"/>
        <w:numPr>
          <w:ilvl w:val="0"/>
          <w:numId w:val="4"/>
        </w:numPr>
        <w:tabs>
          <w:tab w:val="left" w:pos="824"/>
        </w:tabs>
        <w:spacing w:before="118" w:line="268" w:lineRule="auto"/>
        <w:ind w:right="1007"/>
        <w:rPr>
          <w:i/>
        </w:rPr>
      </w:pPr>
      <w:r>
        <w:t>Interest</w:t>
      </w:r>
      <w:r>
        <w:rPr>
          <w:spacing w:val="-10"/>
        </w:rPr>
        <w:t xml:space="preserve"> </w:t>
      </w:r>
      <w:r>
        <w:t>withholding</w:t>
      </w:r>
      <w:r>
        <w:rPr>
          <w:spacing w:val="-8"/>
        </w:rPr>
        <w:t xml:space="preserve"> </w:t>
      </w:r>
      <w:r>
        <w:t>taxes</w:t>
      </w:r>
      <w:r>
        <w:rPr>
          <w:spacing w:val="-7"/>
        </w:rPr>
        <w:t xml:space="preserve"> </w:t>
      </w:r>
      <w:r>
        <w:t>foregone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result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proposal</w:t>
      </w:r>
      <w:r>
        <w:rPr>
          <w:spacing w:val="-10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grow</w:t>
      </w:r>
      <w:r>
        <w:rPr>
          <w:spacing w:val="-9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 xml:space="preserve">to 2030-31 in line with the average growth rate of relevant variation items in the </w:t>
      </w:r>
      <w:r>
        <w:rPr>
          <w:i/>
        </w:rPr>
        <w:t>2020 Tax Benchmarks and Variations</w:t>
      </w:r>
      <w:r>
        <w:rPr>
          <w:i/>
          <w:spacing w:val="-10"/>
        </w:rPr>
        <w:t xml:space="preserve"> </w:t>
      </w:r>
      <w:r>
        <w:rPr>
          <w:i/>
        </w:rPr>
        <w:t>Statement.</w:t>
      </w:r>
    </w:p>
    <w:p w:rsidR="00615CD2" w:rsidRDefault="00615CD2">
      <w:pPr>
        <w:pStyle w:val="BodyText"/>
        <w:spacing w:before="9"/>
        <w:rPr>
          <w:i/>
          <w:sz w:val="26"/>
        </w:rPr>
      </w:pPr>
    </w:p>
    <w:p w:rsidR="00615CD2" w:rsidRDefault="00B2545B">
      <w:pPr>
        <w:pStyle w:val="Heading1"/>
      </w:pPr>
      <w:bookmarkStart w:id="4" w:name="Methodology"/>
      <w:bookmarkEnd w:id="4"/>
      <w:r>
        <w:rPr>
          <w:color w:val="3C4D7C"/>
        </w:rPr>
        <w:t>Methodology</w:t>
      </w:r>
    </w:p>
    <w:p w:rsidR="00615CD2" w:rsidRDefault="00B2545B">
      <w:pPr>
        <w:pStyle w:val="BodyText"/>
        <w:spacing w:before="211"/>
        <w:ind w:left="538"/>
      </w:pPr>
      <w:r>
        <w:t>The total interest withholding tax foregone was calculated as the sum of the following:</w:t>
      </w:r>
    </w:p>
    <w:p w:rsidR="00615CD2" w:rsidRDefault="00B2545B">
      <w:pPr>
        <w:pStyle w:val="ListParagraph"/>
        <w:numPr>
          <w:ilvl w:val="0"/>
          <w:numId w:val="4"/>
        </w:numPr>
        <w:tabs>
          <w:tab w:val="left" w:pos="823"/>
        </w:tabs>
        <w:spacing w:before="152"/>
      </w:pPr>
      <w:r>
        <w:t>the effective interest withholding tax under international tax</w:t>
      </w:r>
      <w:r>
        <w:rPr>
          <w:spacing w:val="-25"/>
        </w:rPr>
        <w:t xml:space="preserve"> </w:t>
      </w:r>
      <w:r>
        <w:t>treaties</w:t>
      </w:r>
    </w:p>
    <w:p w:rsidR="00615CD2" w:rsidRDefault="00B2545B">
      <w:pPr>
        <w:pStyle w:val="ListParagraph"/>
        <w:numPr>
          <w:ilvl w:val="0"/>
          <w:numId w:val="4"/>
        </w:numPr>
        <w:tabs>
          <w:tab w:val="left" w:pos="823"/>
        </w:tabs>
        <w:spacing w:before="151" w:line="268" w:lineRule="auto"/>
        <w:ind w:right="590"/>
      </w:pPr>
      <w:r>
        <w:t>the</w:t>
      </w:r>
      <w:r>
        <w:rPr>
          <w:spacing w:val="-11"/>
        </w:rPr>
        <w:t xml:space="preserve"> </w:t>
      </w:r>
      <w:r>
        <w:t>reduced</w:t>
      </w:r>
      <w:r>
        <w:rPr>
          <w:spacing w:val="-10"/>
        </w:rPr>
        <w:t xml:space="preserve"> </w:t>
      </w:r>
      <w:r>
        <w:t>interest</w:t>
      </w:r>
      <w:r>
        <w:rPr>
          <w:spacing w:val="-10"/>
        </w:rPr>
        <w:t xml:space="preserve"> </w:t>
      </w:r>
      <w:r>
        <w:t>withholding</w:t>
      </w:r>
      <w:r>
        <w:rPr>
          <w:spacing w:val="-10"/>
        </w:rPr>
        <w:t xml:space="preserve"> </w:t>
      </w:r>
      <w:r>
        <w:t>tax</w:t>
      </w:r>
      <w:r>
        <w:rPr>
          <w:spacing w:val="-10"/>
        </w:rPr>
        <w:t xml:space="preserve"> </w:t>
      </w:r>
      <w:r>
        <w:t>charged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Australian</w:t>
      </w:r>
      <w:r>
        <w:rPr>
          <w:spacing w:val="-10"/>
        </w:rPr>
        <w:t xml:space="preserve"> </w:t>
      </w:r>
      <w:r>
        <w:t>branches</w:t>
      </w:r>
      <w:r>
        <w:rPr>
          <w:spacing w:val="-11"/>
        </w:rPr>
        <w:t xml:space="preserve"> </w:t>
      </w:r>
      <w:r>
        <w:t>borrowing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foreign</w:t>
      </w:r>
      <w:r>
        <w:t xml:space="preserve"> parents.</w:t>
      </w:r>
    </w:p>
    <w:p w:rsidR="00615CD2" w:rsidRDefault="00B2545B">
      <w:pPr>
        <w:pStyle w:val="BodyText"/>
        <w:spacing w:before="119" w:line="268" w:lineRule="auto"/>
        <w:ind w:left="538" w:right="503"/>
        <w:rPr>
          <w:i/>
        </w:rPr>
      </w:pPr>
      <w:r>
        <w:t>Both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were</w:t>
      </w:r>
      <w:r>
        <w:rPr>
          <w:spacing w:val="-9"/>
        </w:rPr>
        <w:t xml:space="preserve"> </w:t>
      </w:r>
      <w:r>
        <w:t>estimated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calculating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concessionality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items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 xml:space="preserve">would arise as a result of the proposal, based on the relevant variation items in the </w:t>
      </w:r>
      <w:r>
        <w:rPr>
          <w:i/>
        </w:rPr>
        <w:t>2020 Tax Benchmarks and Variations</w:t>
      </w:r>
      <w:r>
        <w:rPr>
          <w:i/>
          <w:spacing w:val="-7"/>
        </w:rPr>
        <w:t xml:space="preserve"> </w:t>
      </w:r>
      <w:r>
        <w:rPr>
          <w:i/>
        </w:rPr>
        <w:t>Statement.</w:t>
      </w:r>
    </w:p>
    <w:p w:rsidR="00615CD2" w:rsidRDefault="00B2545B">
      <w:pPr>
        <w:pStyle w:val="BodyText"/>
        <w:spacing w:before="118" w:line="374" w:lineRule="auto"/>
        <w:ind w:left="538" w:right="2528"/>
      </w:pPr>
      <w:r>
        <w:t>Revenue estimates have been rounded to the nearest $1 million. Departmental expense estimates have been rounded to the nearest $100,000.</w:t>
      </w:r>
    </w:p>
    <w:p w:rsidR="00615CD2" w:rsidRDefault="00615CD2">
      <w:pPr>
        <w:pStyle w:val="BodyText"/>
        <w:spacing w:before="2"/>
        <w:rPr>
          <w:sz w:val="17"/>
        </w:rPr>
      </w:pPr>
    </w:p>
    <w:p w:rsidR="00615CD2" w:rsidRDefault="00B2545B">
      <w:pPr>
        <w:pStyle w:val="Heading1"/>
      </w:pPr>
      <w:bookmarkStart w:id="5" w:name="Data_sources"/>
      <w:bookmarkEnd w:id="5"/>
      <w:r>
        <w:rPr>
          <w:color w:val="3C4D7C"/>
        </w:rPr>
        <w:t>Data sources</w:t>
      </w:r>
    </w:p>
    <w:p w:rsidR="00615CD2" w:rsidRDefault="00B2545B">
      <w:pPr>
        <w:spacing w:before="212" w:line="268" w:lineRule="auto"/>
        <w:ind w:left="538" w:right="503"/>
      </w:pPr>
      <w:r>
        <w:t xml:space="preserve">Australia as a Finance &amp; Technology Centre Advisory Group, 2021. </w:t>
      </w:r>
      <w:r>
        <w:rPr>
          <w:i/>
        </w:rPr>
        <w:t>Australia as a Finance &amp; Technology Cent</w:t>
      </w:r>
      <w:r>
        <w:rPr>
          <w:i/>
        </w:rPr>
        <w:t>re Advisory Group Report</w:t>
      </w:r>
      <w:r>
        <w:t>.</w:t>
      </w:r>
    </w:p>
    <w:p w:rsidR="00615CD2" w:rsidRDefault="00B2545B">
      <w:pPr>
        <w:spacing w:before="118" w:line="268" w:lineRule="auto"/>
        <w:ind w:left="537" w:right="503"/>
      </w:pPr>
      <w:r>
        <w:t xml:space="preserve">Commonwealth of Australia, 2009. </w:t>
      </w:r>
      <w:r>
        <w:rPr>
          <w:i/>
        </w:rPr>
        <w:t>Australia’s Future Tax System – Part Two Volume 1 of 2</w:t>
      </w:r>
      <w:r>
        <w:t>, Commonwealth of Australia: Canberra.</w:t>
      </w:r>
    </w:p>
    <w:p w:rsidR="00615CD2" w:rsidRDefault="00B2545B">
      <w:pPr>
        <w:pStyle w:val="BodyText"/>
        <w:spacing w:before="119"/>
        <w:ind w:left="537"/>
      </w:pPr>
      <w:r>
        <w:t>Commonwealth of Australia, 2010. 2010-11 Budget, Canberra: Commonwealth of Australia.</w:t>
      </w:r>
    </w:p>
    <w:p w:rsidR="00615CD2" w:rsidRDefault="00615CD2">
      <w:pPr>
        <w:sectPr w:rsidR="00615CD2">
          <w:headerReference w:type="default" r:id="rId10"/>
          <w:footerReference w:type="default" r:id="rId11"/>
          <w:pgSz w:w="11910" w:h="16840"/>
          <w:pgMar w:top="1120" w:right="938" w:bottom="820" w:left="880" w:header="596" w:footer="622" w:gutter="0"/>
          <w:pgNumType w:start="2"/>
          <w:cols w:space="720"/>
        </w:sectPr>
      </w:pPr>
    </w:p>
    <w:p w:rsidR="00615CD2" w:rsidRDefault="00B2545B">
      <w:pPr>
        <w:pStyle w:val="BodyText"/>
        <w:spacing w:before="45"/>
        <w:ind w:left="538"/>
      </w:pPr>
      <w:r>
        <w:lastRenderedPageBreak/>
        <w:t xml:space="preserve">Commonwealth of Australia, 2020. </w:t>
      </w:r>
      <w:r>
        <w:rPr>
          <w:i/>
        </w:rPr>
        <w:t>2020-21 Budget</w:t>
      </w:r>
      <w:r>
        <w:t>, Canberra: Commonwealth of Australia.</w:t>
      </w:r>
    </w:p>
    <w:p w:rsidR="00615CD2" w:rsidRDefault="00B2545B">
      <w:pPr>
        <w:spacing w:before="151" w:line="268" w:lineRule="auto"/>
        <w:ind w:left="538" w:right="503" w:hanging="1"/>
      </w:pPr>
      <w:r>
        <w:t xml:space="preserve">Commonwealth of Australia, 2020. </w:t>
      </w:r>
      <w:r>
        <w:rPr>
          <w:i/>
        </w:rPr>
        <w:t>2020-21 Mid-Year Economic and Fiscal Outlo</w:t>
      </w:r>
      <w:r>
        <w:rPr>
          <w:i/>
        </w:rPr>
        <w:t>ok</w:t>
      </w:r>
      <w:r>
        <w:t>, Commonwealth of Australia: Canberra.</w:t>
      </w:r>
    </w:p>
    <w:p w:rsidR="00615CD2" w:rsidRDefault="00B2545B">
      <w:pPr>
        <w:spacing w:before="119" w:line="268" w:lineRule="auto"/>
        <w:ind w:left="538" w:right="503"/>
      </w:pPr>
      <w:r>
        <w:t>The</w:t>
      </w:r>
      <w:r>
        <w:rPr>
          <w:spacing w:val="-11"/>
        </w:rPr>
        <w:t xml:space="preserve"> </w:t>
      </w:r>
      <w:r>
        <w:t>Treasury,</w:t>
      </w:r>
      <w:r>
        <w:rPr>
          <w:spacing w:val="-10"/>
        </w:rPr>
        <w:t xml:space="preserve"> </w:t>
      </w:r>
      <w:r>
        <w:t>2020.</w:t>
      </w:r>
      <w:r>
        <w:rPr>
          <w:spacing w:val="31"/>
        </w:rPr>
        <w:t xml:space="preserve"> </w:t>
      </w:r>
      <w:r>
        <w:rPr>
          <w:i/>
        </w:rPr>
        <w:t>Tax</w:t>
      </w:r>
      <w:r>
        <w:rPr>
          <w:i/>
          <w:spacing w:val="-10"/>
        </w:rPr>
        <w:t xml:space="preserve"> </w:t>
      </w:r>
      <w:r>
        <w:rPr>
          <w:i/>
        </w:rPr>
        <w:t>Benchmarks</w:t>
      </w:r>
      <w:r>
        <w:rPr>
          <w:i/>
          <w:spacing w:val="-10"/>
        </w:rPr>
        <w:t xml:space="preserve"> </w:t>
      </w:r>
      <w:r>
        <w:rPr>
          <w:i/>
        </w:rPr>
        <w:t>and</w:t>
      </w:r>
      <w:r>
        <w:rPr>
          <w:i/>
          <w:spacing w:val="-12"/>
        </w:rPr>
        <w:t xml:space="preserve"> </w:t>
      </w:r>
      <w:r>
        <w:rPr>
          <w:i/>
        </w:rPr>
        <w:t>Variations</w:t>
      </w:r>
      <w:r>
        <w:rPr>
          <w:i/>
          <w:spacing w:val="-10"/>
        </w:rPr>
        <w:t xml:space="preserve"> </w:t>
      </w:r>
      <w:r>
        <w:rPr>
          <w:i/>
        </w:rPr>
        <w:t>Statement</w:t>
      </w:r>
      <w:r>
        <w:rPr>
          <w:i/>
          <w:spacing w:val="-11"/>
        </w:rPr>
        <w:t xml:space="preserve"> </w:t>
      </w:r>
      <w:r>
        <w:rPr>
          <w:i/>
        </w:rPr>
        <w:t>2019</w:t>
      </w:r>
      <w:r>
        <w:t>,</w:t>
      </w:r>
      <w:r>
        <w:rPr>
          <w:spacing w:val="-10"/>
        </w:rPr>
        <w:t xml:space="preserve"> </w:t>
      </w:r>
      <w:r>
        <w:t>Commonwealth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Australia: Canberra.</w:t>
      </w:r>
    </w:p>
    <w:p w:rsidR="00615CD2" w:rsidRDefault="00B2545B">
      <w:pPr>
        <w:spacing w:before="118" w:line="268" w:lineRule="auto"/>
        <w:ind w:left="538" w:right="503"/>
      </w:pPr>
      <w:r>
        <w:t>The</w:t>
      </w:r>
      <w:r>
        <w:rPr>
          <w:spacing w:val="-11"/>
        </w:rPr>
        <w:t xml:space="preserve"> </w:t>
      </w:r>
      <w:r>
        <w:t>Treasury,</w:t>
      </w:r>
      <w:r>
        <w:rPr>
          <w:spacing w:val="-10"/>
        </w:rPr>
        <w:t xml:space="preserve"> </w:t>
      </w:r>
      <w:r>
        <w:t>2021.</w:t>
      </w:r>
      <w:r>
        <w:rPr>
          <w:spacing w:val="31"/>
        </w:rPr>
        <w:t xml:space="preserve"> </w:t>
      </w:r>
      <w:r>
        <w:rPr>
          <w:i/>
        </w:rPr>
        <w:t>Tax</w:t>
      </w:r>
      <w:r>
        <w:rPr>
          <w:i/>
          <w:spacing w:val="-10"/>
        </w:rPr>
        <w:t xml:space="preserve"> </w:t>
      </w:r>
      <w:r>
        <w:rPr>
          <w:i/>
        </w:rPr>
        <w:t>Benchmarks</w:t>
      </w:r>
      <w:r>
        <w:rPr>
          <w:i/>
          <w:spacing w:val="-10"/>
        </w:rPr>
        <w:t xml:space="preserve"> </w:t>
      </w:r>
      <w:r>
        <w:rPr>
          <w:i/>
        </w:rPr>
        <w:t>and</w:t>
      </w:r>
      <w:r>
        <w:rPr>
          <w:i/>
          <w:spacing w:val="-12"/>
        </w:rPr>
        <w:t xml:space="preserve"> </w:t>
      </w:r>
      <w:r>
        <w:rPr>
          <w:i/>
        </w:rPr>
        <w:t>Variations</w:t>
      </w:r>
      <w:r>
        <w:rPr>
          <w:i/>
          <w:spacing w:val="-10"/>
        </w:rPr>
        <w:t xml:space="preserve"> </w:t>
      </w:r>
      <w:r>
        <w:rPr>
          <w:i/>
        </w:rPr>
        <w:t>Statement</w:t>
      </w:r>
      <w:r>
        <w:rPr>
          <w:i/>
          <w:spacing w:val="-11"/>
        </w:rPr>
        <w:t xml:space="preserve"> </w:t>
      </w:r>
      <w:r>
        <w:rPr>
          <w:i/>
        </w:rPr>
        <w:t>2020</w:t>
      </w:r>
      <w:r>
        <w:t>,</w:t>
      </w:r>
      <w:r>
        <w:rPr>
          <w:spacing w:val="-10"/>
        </w:rPr>
        <w:t xml:space="preserve"> </w:t>
      </w:r>
      <w:r>
        <w:t>Commonwealth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Australia: Canberra.</w:t>
      </w:r>
    </w:p>
    <w:p w:rsidR="00615CD2" w:rsidRDefault="00615CD2">
      <w:pPr>
        <w:spacing w:line="268" w:lineRule="auto"/>
        <w:sectPr w:rsidR="00615CD2">
          <w:pgSz w:w="11910" w:h="16840"/>
          <w:pgMar w:top="1120" w:right="938" w:bottom="820" w:left="880" w:header="596" w:footer="622" w:gutter="0"/>
          <w:cols w:space="720"/>
        </w:sectPr>
      </w:pPr>
    </w:p>
    <w:p w:rsidR="00615CD2" w:rsidRDefault="00B2545B">
      <w:pPr>
        <w:pStyle w:val="Heading1"/>
        <w:spacing w:before="129" w:line="242" w:lineRule="auto"/>
        <w:ind w:left="112" w:right="1874" w:firstLine="2"/>
      </w:pPr>
      <w:r>
        <w:rPr>
          <w:noProof/>
          <w:lang w:bidi="ar-SA"/>
        </w:rPr>
        <w:lastRenderedPageBreak/>
        <w:drawing>
          <wp:inline distT="0" distB="0" distL="0" distR="0">
            <wp:extent cx="1071371" cy="1356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371" cy="1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 xml:space="preserve"> </w:t>
      </w:r>
      <w:r>
        <w:rPr>
          <w:rFonts w:ascii="Times New Roman" w:hAnsi="Times New Roman"/>
          <w:spacing w:val="-15"/>
          <w:position w:val="1"/>
          <w:sz w:val="20"/>
        </w:rPr>
        <w:t xml:space="preserve"> </w:t>
      </w:r>
      <w:bookmarkStart w:id="6" w:name="Attachment_A_–_Interest_withholding_tax_"/>
      <w:bookmarkEnd w:id="6"/>
      <w:r>
        <w:rPr>
          <w:color w:val="3C4D7C"/>
          <w:position w:val="1"/>
        </w:rPr>
        <w:t xml:space="preserve">– Interest withholding tax for financial institutions – </w:t>
      </w:r>
      <w:r>
        <w:rPr>
          <w:color w:val="3C4D7C"/>
        </w:rPr>
        <w:t>financial</w:t>
      </w:r>
      <w:r>
        <w:rPr>
          <w:color w:val="3C4D7C"/>
          <w:spacing w:val="-1"/>
        </w:rPr>
        <w:t xml:space="preserve"> </w:t>
      </w:r>
      <w:r>
        <w:rPr>
          <w:color w:val="3C4D7C"/>
        </w:rPr>
        <w:t>implications</w:t>
      </w:r>
    </w:p>
    <w:p w:rsidR="00615CD2" w:rsidRDefault="00615CD2">
      <w:pPr>
        <w:pStyle w:val="BodyText"/>
        <w:spacing w:before="10"/>
        <w:rPr>
          <w:sz w:val="31"/>
        </w:rPr>
      </w:pPr>
    </w:p>
    <w:p w:rsidR="00615CD2" w:rsidRDefault="00B2545B">
      <w:pPr>
        <w:pStyle w:val="Heading2"/>
        <w:spacing w:line="240" w:lineRule="auto"/>
        <w:ind w:left="112"/>
      </w:pPr>
      <w:r>
        <w:rPr>
          <w:color w:val="3C4D7C"/>
        </w:rPr>
        <w:t>Table A1: Interest withholding tax for financial institutions – Fiscal balance ($m)</w:t>
      </w:r>
      <w:r>
        <w:rPr>
          <w:color w:val="3C4D7C"/>
          <w:vertAlign w:val="superscript"/>
        </w:rPr>
        <w:t>(a)(b)</w:t>
      </w:r>
    </w:p>
    <w:p w:rsidR="00615CD2" w:rsidRDefault="00615CD2">
      <w:pPr>
        <w:pStyle w:val="BodyText"/>
        <w:spacing w:before="9" w:after="1"/>
        <w:rPr>
          <w:b/>
          <w:sz w:val="9"/>
        </w:rPr>
      </w:pPr>
    </w:p>
    <w:tbl>
      <w:tblPr>
        <w:tblW w:w="0" w:type="auto"/>
        <w:tblInd w:w="132" w:type="dxa"/>
        <w:tblBorders>
          <w:top w:val="single" w:sz="8" w:space="0" w:color="788183"/>
          <w:left w:val="single" w:sz="8" w:space="0" w:color="788183"/>
          <w:bottom w:val="single" w:sz="8" w:space="0" w:color="788183"/>
          <w:right w:val="single" w:sz="8" w:space="0" w:color="788183"/>
          <w:insideH w:val="single" w:sz="8" w:space="0" w:color="788183"/>
          <w:insideV w:val="single" w:sz="8" w:space="0" w:color="788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693"/>
        <w:gridCol w:w="682"/>
      </w:tblGrid>
      <w:tr w:rsidR="00615CD2">
        <w:trPr>
          <w:trHeight w:val="530"/>
        </w:trPr>
        <w:tc>
          <w:tcPr>
            <w:tcW w:w="2290" w:type="dxa"/>
            <w:shd w:val="clear" w:color="auto" w:fill="A7B1D3"/>
          </w:tcPr>
          <w:p w:rsidR="00615CD2" w:rsidRDefault="00615C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spacing w:before="70"/>
              <w:ind w:right="31"/>
              <w:rPr>
                <w:sz w:val="16"/>
              </w:rPr>
            </w:pPr>
            <w:r>
              <w:rPr>
                <w:spacing w:val="-1"/>
                <w:sz w:val="16"/>
              </w:rPr>
              <w:t>2020–</w:t>
            </w:r>
          </w:p>
          <w:p w:rsidR="00615CD2" w:rsidRDefault="00B2545B"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21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spacing w:before="70"/>
              <w:ind w:right="32"/>
              <w:rPr>
                <w:sz w:val="16"/>
              </w:rPr>
            </w:pPr>
            <w:r>
              <w:rPr>
                <w:spacing w:val="-1"/>
                <w:sz w:val="16"/>
              </w:rPr>
              <w:t>2021–</w:t>
            </w:r>
          </w:p>
          <w:p w:rsidR="00615CD2" w:rsidRDefault="00B2545B"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22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spacing w:before="70"/>
              <w:ind w:right="31"/>
              <w:rPr>
                <w:sz w:val="16"/>
              </w:rPr>
            </w:pPr>
            <w:r>
              <w:rPr>
                <w:spacing w:val="-1"/>
                <w:sz w:val="16"/>
              </w:rPr>
              <w:t>2022–</w:t>
            </w:r>
          </w:p>
          <w:p w:rsidR="00615CD2" w:rsidRDefault="00B2545B">
            <w:pPr>
              <w:pStyle w:val="TableParagraph"/>
              <w:spacing w:before="0"/>
              <w:ind w:right="31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23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spacing w:before="70"/>
              <w:ind w:right="33"/>
              <w:rPr>
                <w:sz w:val="16"/>
              </w:rPr>
            </w:pPr>
            <w:r>
              <w:rPr>
                <w:spacing w:val="-1"/>
                <w:sz w:val="16"/>
              </w:rPr>
              <w:t>2023–</w:t>
            </w:r>
          </w:p>
          <w:p w:rsidR="00615CD2" w:rsidRDefault="00B2545B"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24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spacing w:before="70"/>
              <w:ind w:right="33"/>
              <w:rPr>
                <w:sz w:val="16"/>
              </w:rPr>
            </w:pPr>
            <w:r>
              <w:rPr>
                <w:spacing w:val="-1"/>
                <w:sz w:val="16"/>
              </w:rPr>
              <w:t>2024–</w:t>
            </w:r>
          </w:p>
          <w:p w:rsidR="00615CD2" w:rsidRDefault="00B2545B">
            <w:pPr>
              <w:pStyle w:val="TableParagraph"/>
              <w:spacing w:before="0"/>
              <w:ind w:right="34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25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spacing w:before="70"/>
              <w:ind w:right="34"/>
              <w:rPr>
                <w:sz w:val="16"/>
              </w:rPr>
            </w:pPr>
            <w:r>
              <w:rPr>
                <w:spacing w:val="-1"/>
                <w:sz w:val="16"/>
              </w:rPr>
              <w:t>2025–</w:t>
            </w:r>
          </w:p>
          <w:p w:rsidR="00615CD2" w:rsidRDefault="00B2545B">
            <w:pPr>
              <w:pStyle w:val="TableParagraph"/>
              <w:spacing w:before="0"/>
              <w:ind w:right="34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26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spacing w:before="70"/>
              <w:ind w:right="33"/>
              <w:rPr>
                <w:sz w:val="16"/>
              </w:rPr>
            </w:pPr>
            <w:r>
              <w:rPr>
                <w:spacing w:val="-1"/>
                <w:sz w:val="16"/>
              </w:rPr>
              <w:t>2026–</w:t>
            </w:r>
          </w:p>
          <w:p w:rsidR="00615CD2" w:rsidRDefault="00B2545B"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27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spacing w:before="70"/>
              <w:ind w:right="35"/>
              <w:rPr>
                <w:sz w:val="16"/>
              </w:rPr>
            </w:pPr>
            <w:r>
              <w:rPr>
                <w:spacing w:val="-1"/>
                <w:sz w:val="16"/>
              </w:rPr>
              <w:t>2027–</w:t>
            </w:r>
          </w:p>
          <w:p w:rsidR="00615CD2" w:rsidRDefault="00B2545B"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28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spacing w:before="70"/>
              <w:ind w:right="34"/>
              <w:rPr>
                <w:sz w:val="16"/>
              </w:rPr>
            </w:pPr>
            <w:r>
              <w:rPr>
                <w:spacing w:val="-1"/>
                <w:sz w:val="16"/>
              </w:rPr>
              <w:t>2028–</w:t>
            </w:r>
          </w:p>
          <w:p w:rsidR="00615CD2" w:rsidRDefault="00B2545B">
            <w:pPr>
              <w:pStyle w:val="TableParagraph"/>
              <w:spacing w:before="0"/>
              <w:ind w:right="34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29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spacing w:before="70"/>
              <w:ind w:right="36"/>
              <w:rPr>
                <w:sz w:val="16"/>
              </w:rPr>
            </w:pPr>
            <w:r>
              <w:rPr>
                <w:spacing w:val="-1"/>
                <w:sz w:val="16"/>
              </w:rPr>
              <w:t>2029–</w:t>
            </w:r>
          </w:p>
          <w:p w:rsidR="00615CD2" w:rsidRDefault="00B2545B">
            <w:pPr>
              <w:pStyle w:val="TableParagraph"/>
              <w:spacing w:before="0"/>
              <w:ind w:right="36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30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spacing w:before="70"/>
              <w:ind w:right="36"/>
              <w:rPr>
                <w:sz w:val="16"/>
              </w:rPr>
            </w:pPr>
            <w:r>
              <w:rPr>
                <w:spacing w:val="-1"/>
                <w:sz w:val="16"/>
              </w:rPr>
              <w:t>2030–</w:t>
            </w:r>
          </w:p>
          <w:p w:rsidR="00615CD2" w:rsidRDefault="00B2545B">
            <w:pPr>
              <w:pStyle w:val="TableParagraph"/>
              <w:spacing w:before="0"/>
              <w:ind w:right="37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31</w:t>
            </w:r>
          </w:p>
        </w:tc>
        <w:tc>
          <w:tcPr>
            <w:tcW w:w="693" w:type="dxa"/>
            <w:shd w:val="clear" w:color="auto" w:fill="A7B1D3"/>
          </w:tcPr>
          <w:p w:rsidR="00615CD2" w:rsidRDefault="00B2545B">
            <w:pPr>
              <w:pStyle w:val="TableParagraph"/>
              <w:spacing w:before="70"/>
              <w:ind w:left="67" w:right="19" w:firstLin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to 2023–24</w:t>
            </w:r>
          </w:p>
        </w:tc>
        <w:tc>
          <w:tcPr>
            <w:tcW w:w="682" w:type="dxa"/>
            <w:shd w:val="clear" w:color="auto" w:fill="A7B1D3"/>
          </w:tcPr>
          <w:p w:rsidR="00615CD2" w:rsidRDefault="00B2545B">
            <w:pPr>
              <w:pStyle w:val="TableParagraph"/>
              <w:spacing w:before="70"/>
              <w:ind w:left="57" w:right="18" w:firstLin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to 2030–31</w:t>
            </w:r>
          </w:p>
        </w:tc>
      </w:tr>
      <w:tr w:rsidR="00615CD2">
        <w:trPr>
          <w:trHeight w:val="335"/>
        </w:trPr>
        <w:tc>
          <w:tcPr>
            <w:tcW w:w="2290" w:type="dxa"/>
          </w:tcPr>
          <w:p w:rsidR="00615CD2" w:rsidRDefault="00B2545B">
            <w:pPr>
              <w:pStyle w:val="TableParagraph"/>
              <w:spacing w:before="7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Administered revenue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0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-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1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-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1"/>
              <w:rPr>
                <w:i/>
                <w:sz w:val="13"/>
              </w:rPr>
            </w:pPr>
            <w:r>
              <w:rPr>
                <w:i/>
                <w:sz w:val="13"/>
              </w:rPr>
              <w:t>-580.0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2"/>
              <w:rPr>
                <w:i/>
                <w:sz w:val="13"/>
              </w:rPr>
            </w:pPr>
            <w:r>
              <w:rPr>
                <w:i/>
                <w:sz w:val="13"/>
              </w:rPr>
              <w:t>-640.0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3"/>
              <w:rPr>
                <w:i/>
                <w:sz w:val="13"/>
              </w:rPr>
            </w:pPr>
            <w:r>
              <w:rPr>
                <w:i/>
                <w:sz w:val="13"/>
              </w:rPr>
              <w:t>-710.0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3"/>
              <w:rPr>
                <w:i/>
                <w:sz w:val="13"/>
              </w:rPr>
            </w:pPr>
            <w:r>
              <w:rPr>
                <w:i/>
                <w:sz w:val="13"/>
              </w:rPr>
              <w:t>-780.0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3"/>
              <w:rPr>
                <w:i/>
                <w:sz w:val="13"/>
              </w:rPr>
            </w:pPr>
            <w:r>
              <w:rPr>
                <w:i/>
                <w:sz w:val="13"/>
              </w:rPr>
              <w:t>-860.0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4"/>
              <w:rPr>
                <w:i/>
                <w:sz w:val="13"/>
              </w:rPr>
            </w:pPr>
            <w:r>
              <w:rPr>
                <w:i/>
                <w:sz w:val="13"/>
              </w:rPr>
              <w:t>-950.0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3"/>
              <w:rPr>
                <w:i/>
                <w:sz w:val="13"/>
              </w:rPr>
            </w:pPr>
            <w:r>
              <w:rPr>
                <w:i/>
                <w:sz w:val="13"/>
              </w:rPr>
              <w:t>-1,040.0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5"/>
              <w:rPr>
                <w:i/>
                <w:sz w:val="13"/>
              </w:rPr>
            </w:pPr>
            <w:r>
              <w:rPr>
                <w:i/>
                <w:sz w:val="13"/>
              </w:rPr>
              <w:t>-1,150.0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6"/>
              <w:rPr>
                <w:i/>
                <w:sz w:val="13"/>
              </w:rPr>
            </w:pPr>
            <w:r>
              <w:rPr>
                <w:i/>
                <w:sz w:val="13"/>
              </w:rPr>
              <w:t>-1,270.0</w:t>
            </w:r>
          </w:p>
        </w:tc>
        <w:tc>
          <w:tcPr>
            <w:tcW w:w="693" w:type="dxa"/>
          </w:tcPr>
          <w:p w:rsidR="00615CD2" w:rsidRDefault="00B2545B">
            <w:pPr>
              <w:pStyle w:val="TableParagraph"/>
              <w:ind w:right="36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-1,220.0</w:t>
            </w:r>
          </w:p>
        </w:tc>
        <w:tc>
          <w:tcPr>
            <w:tcW w:w="682" w:type="dxa"/>
          </w:tcPr>
          <w:p w:rsidR="00615CD2" w:rsidRDefault="00B2545B">
            <w:pPr>
              <w:pStyle w:val="TableParagraph"/>
              <w:ind w:right="35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-7,970.0</w:t>
            </w:r>
          </w:p>
        </w:tc>
      </w:tr>
      <w:tr w:rsidR="00615CD2">
        <w:trPr>
          <w:trHeight w:val="335"/>
        </w:trPr>
        <w:tc>
          <w:tcPr>
            <w:tcW w:w="2290" w:type="dxa"/>
          </w:tcPr>
          <w:p w:rsidR="00615CD2" w:rsidRDefault="00B2545B">
            <w:pPr>
              <w:pStyle w:val="TableParagraph"/>
              <w:spacing w:before="7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Departmental expenses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0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-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1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-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1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2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3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3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2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4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3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5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5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693" w:type="dxa"/>
          </w:tcPr>
          <w:p w:rsidR="00615CD2" w:rsidRDefault="00B2545B">
            <w:pPr>
              <w:pStyle w:val="TableParagraph"/>
              <w:ind w:right="36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-0.2</w:t>
            </w:r>
          </w:p>
        </w:tc>
        <w:tc>
          <w:tcPr>
            <w:tcW w:w="682" w:type="dxa"/>
          </w:tcPr>
          <w:p w:rsidR="00615CD2" w:rsidRDefault="00B2545B">
            <w:pPr>
              <w:pStyle w:val="TableParagraph"/>
              <w:ind w:right="35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-0.9</w:t>
            </w:r>
          </w:p>
        </w:tc>
      </w:tr>
      <w:tr w:rsidR="00615CD2">
        <w:trPr>
          <w:trHeight w:val="336"/>
        </w:trPr>
        <w:tc>
          <w:tcPr>
            <w:tcW w:w="2290" w:type="dxa"/>
            <w:shd w:val="clear" w:color="auto" w:fill="A7B1D3"/>
          </w:tcPr>
          <w:p w:rsidR="00615CD2" w:rsidRDefault="00B2545B">
            <w:pPr>
              <w:pStyle w:val="TableParagraph"/>
              <w:spacing w:before="7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ind w:right="3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sz w:val="13"/>
              </w:rPr>
              <w:t>-580.1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-640.1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-710.1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ind w:right="33"/>
              <w:rPr>
                <w:b/>
                <w:sz w:val="13"/>
              </w:rPr>
            </w:pPr>
            <w:r>
              <w:rPr>
                <w:b/>
                <w:sz w:val="13"/>
              </w:rPr>
              <w:t>-780.1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-860.1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-950.1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-1,040.1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ind w:right="35"/>
              <w:rPr>
                <w:b/>
                <w:sz w:val="13"/>
              </w:rPr>
            </w:pPr>
            <w:r>
              <w:rPr>
                <w:b/>
                <w:sz w:val="13"/>
              </w:rPr>
              <w:t>-1,150.1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-1,270.1</w:t>
            </w:r>
          </w:p>
        </w:tc>
        <w:tc>
          <w:tcPr>
            <w:tcW w:w="693" w:type="dxa"/>
            <w:shd w:val="clear" w:color="auto" w:fill="A7B1D3"/>
          </w:tcPr>
          <w:p w:rsidR="00615CD2" w:rsidRDefault="00B2545B">
            <w:pPr>
              <w:pStyle w:val="TableParagraph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-1,220.2</w:t>
            </w:r>
          </w:p>
        </w:tc>
        <w:tc>
          <w:tcPr>
            <w:tcW w:w="682" w:type="dxa"/>
            <w:shd w:val="clear" w:color="auto" w:fill="A7B1D3"/>
          </w:tcPr>
          <w:p w:rsidR="00615CD2" w:rsidRDefault="00B2545B">
            <w:pPr>
              <w:pStyle w:val="TableParagraph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-7,970.9</w:t>
            </w:r>
          </w:p>
        </w:tc>
      </w:tr>
    </w:tbl>
    <w:p w:rsidR="00615CD2" w:rsidRDefault="00B2545B">
      <w:pPr>
        <w:pStyle w:val="ListParagraph"/>
        <w:numPr>
          <w:ilvl w:val="0"/>
          <w:numId w:val="3"/>
        </w:numPr>
        <w:tabs>
          <w:tab w:val="left" w:pos="397"/>
        </w:tabs>
        <w:spacing w:before="88" w:line="364" w:lineRule="auto"/>
        <w:ind w:right="255"/>
        <w:rPr>
          <w:sz w:val="14"/>
        </w:rPr>
      </w:pP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positive</w:t>
      </w:r>
      <w:r>
        <w:rPr>
          <w:spacing w:val="-9"/>
          <w:sz w:val="14"/>
        </w:rPr>
        <w:t xml:space="preserve"> </w:t>
      </w:r>
      <w:r>
        <w:rPr>
          <w:sz w:val="14"/>
        </w:rPr>
        <w:t>number</w:t>
      </w:r>
      <w:r>
        <w:rPr>
          <w:spacing w:val="-7"/>
          <w:sz w:val="14"/>
        </w:rPr>
        <w:t xml:space="preserve"> </w:t>
      </w:r>
      <w:r>
        <w:rPr>
          <w:sz w:val="14"/>
        </w:rPr>
        <w:t>for</w:t>
      </w:r>
      <w:r>
        <w:rPr>
          <w:spacing w:val="-8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fiscal</w:t>
      </w:r>
      <w:r>
        <w:rPr>
          <w:spacing w:val="-7"/>
          <w:sz w:val="14"/>
        </w:rPr>
        <w:t xml:space="preserve"> </w:t>
      </w:r>
      <w:r>
        <w:rPr>
          <w:sz w:val="14"/>
        </w:rPr>
        <w:t>balance</w:t>
      </w:r>
      <w:r>
        <w:rPr>
          <w:spacing w:val="-7"/>
          <w:sz w:val="14"/>
        </w:rPr>
        <w:t xml:space="preserve"> </w:t>
      </w:r>
      <w:r>
        <w:rPr>
          <w:sz w:val="14"/>
        </w:rPr>
        <w:t>indicates</w:t>
      </w:r>
      <w:r>
        <w:rPr>
          <w:spacing w:val="-7"/>
          <w:sz w:val="14"/>
        </w:rPr>
        <w:t xml:space="preserve"> </w:t>
      </w:r>
      <w:r>
        <w:rPr>
          <w:sz w:val="14"/>
        </w:rPr>
        <w:t>an</w:t>
      </w:r>
      <w:r>
        <w:rPr>
          <w:spacing w:val="-9"/>
          <w:sz w:val="14"/>
        </w:rPr>
        <w:t xml:space="preserve"> </w:t>
      </w:r>
      <w:r>
        <w:rPr>
          <w:sz w:val="14"/>
        </w:rPr>
        <w:t>increase</w:t>
      </w:r>
      <w:r>
        <w:rPr>
          <w:spacing w:val="-7"/>
          <w:sz w:val="14"/>
        </w:rPr>
        <w:t xml:space="preserve"> </w:t>
      </w:r>
      <w:r>
        <w:rPr>
          <w:sz w:val="14"/>
        </w:rPr>
        <w:t>in</w:t>
      </w:r>
      <w:r>
        <w:rPr>
          <w:spacing w:val="-7"/>
          <w:sz w:val="14"/>
        </w:rPr>
        <w:t xml:space="preserve"> </w:t>
      </w:r>
      <w:r>
        <w:rPr>
          <w:sz w:val="14"/>
        </w:rPr>
        <w:t>revenue</w:t>
      </w:r>
      <w:r>
        <w:rPr>
          <w:spacing w:val="-7"/>
          <w:sz w:val="14"/>
        </w:rPr>
        <w:t xml:space="preserve"> </w:t>
      </w:r>
      <w:r>
        <w:rPr>
          <w:sz w:val="14"/>
        </w:rPr>
        <w:t>or</w:t>
      </w:r>
      <w:r>
        <w:rPr>
          <w:spacing w:val="-8"/>
          <w:sz w:val="14"/>
        </w:rPr>
        <w:t xml:space="preserve"> </w:t>
      </w:r>
      <w:r>
        <w:rPr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z w:val="14"/>
        </w:rPr>
        <w:t>decrease</w:t>
      </w:r>
      <w:r>
        <w:rPr>
          <w:spacing w:val="-6"/>
          <w:sz w:val="14"/>
        </w:rPr>
        <w:t xml:space="preserve"> </w:t>
      </w:r>
      <w:r>
        <w:rPr>
          <w:sz w:val="14"/>
        </w:rPr>
        <w:t>in</w:t>
      </w:r>
      <w:r>
        <w:rPr>
          <w:spacing w:val="-9"/>
          <w:sz w:val="14"/>
        </w:rPr>
        <w:t xml:space="preserve"> </w:t>
      </w:r>
      <w:r>
        <w:rPr>
          <w:sz w:val="14"/>
        </w:rPr>
        <w:t>expenses</w:t>
      </w:r>
      <w:r>
        <w:rPr>
          <w:spacing w:val="-8"/>
          <w:sz w:val="14"/>
        </w:rPr>
        <w:t xml:space="preserve"> </w:t>
      </w:r>
      <w:r>
        <w:rPr>
          <w:sz w:val="14"/>
        </w:rPr>
        <w:t>or</w:t>
      </w:r>
      <w:r>
        <w:rPr>
          <w:spacing w:val="-6"/>
          <w:sz w:val="14"/>
        </w:rPr>
        <w:t xml:space="preserve"> </w:t>
      </w:r>
      <w:r>
        <w:rPr>
          <w:sz w:val="14"/>
        </w:rPr>
        <w:t>net</w:t>
      </w:r>
      <w:r>
        <w:rPr>
          <w:spacing w:val="-7"/>
          <w:sz w:val="14"/>
        </w:rPr>
        <w:t xml:space="preserve"> </w:t>
      </w:r>
      <w:r>
        <w:rPr>
          <w:sz w:val="14"/>
        </w:rPr>
        <w:t>capital</w:t>
      </w:r>
      <w:r>
        <w:rPr>
          <w:spacing w:val="-8"/>
          <w:sz w:val="14"/>
        </w:rPr>
        <w:t xml:space="preserve"> </w:t>
      </w:r>
      <w:r>
        <w:rPr>
          <w:sz w:val="14"/>
        </w:rPr>
        <w:t>investment</w:t>
      </w:r>
      <w:r>
        <w:rPr>
          <w:spacing w:val="-8"/>
          <w:sz w:val="14"/>
        </w:rPr>
        <w:t xml:space="preserve"> </w:t>
      </w:r>
      <w:r>
        <w:rPr>
          <w:sz w:val="14"/>
        </w:rPr>
        <w:t>in</w:t>
      </w:r>
      <w:r>
        <w:rPr>
          <w:spacing w:val="-9"/>
          <w:sz w:val="14"/>
        </w:rPr>
        <w:t xml:space="preserve"> </w:t>
      </w:r>
      <w:r>
        <w:rPr>
          <w:sz w:val="14"/>
        </w:rPr>
        <w:t>accrual</w:t>
      </w:r>
      <w:r>
        <w:rPr>
          <w:spacing w:val="-7"/>
          <w:sz w:val="14"/>
        </w:rPr>
        <w:t xml:space="preserve"> </w:t>
      </w:r>
      <w:r>
        <w:rPr>
          <w:sz w:val="14"/>
        </w:rPr>
        <w:t>terms.</w:t>
      </w:r>
      <w:r>
        <w:rPr>
          <w:spacing w:val="18"/>
          <w:sz w:val="14"/>
        </w:rPr>
        <w:t xml:space="preserve"> </w:t>
      </w:r>
      <w:r>
        <w:rPr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z w:val="14"/>
        </w:rPr>
        <w:t>negative</w:t>
      </w:r>
      <w:r>
        <w:rPr>
          <w:spacing w:val="-8"/>
          <w:sz w:val="14"/>
        </w:rPr>
        <w:t xml:space="preserve"> </w:t>
      </w:r>
      <w:r>
        <w:rPr>
          <w:sz w:val="14"/>
        </w:rPr>
        <w:t>number</w:t>
      </w:r>
      <w:r>
        <w:rPr>
          <w:spacing w:val="-8"/>
          <w:sz w:val="14"/>
        </w:rPr>
        <w:t xml:space="preserve"> </w:t>
      </w:r>
      <w:r>
        <w:rPr>
          <w:sz w:val="14"/>
        </w:rPr>
        <w:t>for</w:t>
      </w:r>
      <w:r>
        <w:rPr>
          <w:spacing w:val="-8"/>
          <w:sz w:val="14"/>
        </w:rPr>
        <w:t xml:space="preserve"> </w:t>
      </w:r>
      <w:r>
        <w:rPr>
          <w:sz w:val="14"/>
        </w:rPr>
        <w:t>the fiscal</w:t>
      </w:r>
      <w:r>
        <w:rPr>
          <w:spacing w:val="-4"/>
          <w:sz w:val="14"/>
        </w:rPr>
        <w:t xml:space="preserve"> </w:t>
      </w:r>
      <w:r>
        <w:rPr>
          <w:sz w:val="14"/>
        </w:rPr>
        <w:t>balance</w:t>
      </w:r>
      <w:r>
        <w:rPr>
          <w:spacing w:val="-3"/>
          <w:sz w:val="14"/>
        </w:rPr>
        <w:t xml:space="preserve"> </w:t>
      </w:r>
      <w:r>
        <w:rPr>
          <w:sz w:val="14"/>
        </w:rPr>
        <w:t>indicates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decrease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revenue</w:t>
      </w:r>
      <w:r>
        <w:rPr>
          <w:spacing w:val="-5"/>
          <w:sz w:val="14"/>
        </w:rPr>
        <w:t xml:space="preserve"> </w:t>
      </w:r>
      <w:r>
        <w:rPr>
          <w:sz w:val="14"/>
        </w:rPr>
        <w:t>or</w:t>
      </w:r>
      <w:r>
        <w:rPr>
          <w:spacing w:val="-4"/>
          <w:sz w:val="14"/>
        </w:rPr>
        <w:t xml:space="preserve"> </w:t>
      </w:r>
      <w:r>
        <w:rPr>
          <w:sz w:val="14"/>
        </w:rPr>
        <w:t>an</w:t>
      </w:r>
      <w:r>
        <w:rPr>
          <w:spacing w:val="-4"/>
          <w:sz w:val="14"/>
        </w:rPr>
        <w:t xml:space="preserve"> </w:t>
      </w:r>
      <w:r>
        <w:rPr>
          <w:sz w:val="14"/>
        </w:rPr>
        <w:t>increase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expenses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net</w:t>
      </w:r>
      <w:r>
        <w:rPr>
          <w:spacing w:val="-3"/>
          <w:sz w:val="14"/>
        </w:rPr>
        <w:t xml:space="preserve"> </w:t>
      </w:r>
      <w:r>
        <w:rPr>
          <w:sz w:val="14"/>
        </w:rPr>
        <w:t>capital</w:t>
      </w:r>
      <w:r>
        <w:rPr>
          <w:spacing w:val="-3"/>
          <w:sz w:val="14"/>
        </w:rPr>
        <w:t xml:space="preserve"> </w:t>
      </w:r>
      <w:r>
        <w:rPr>
          <w:sz w:val="14"/>
        </w:rPr>
        <w:t>investment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accrual</w:t>
      </w:r>
      <w:r>
        <w:rPr>
          <w:spacing w:val="-3"/>
          <w:sz w:val="14"/>
        </w:rPr>
        <w:t xml:space="preserve"> </w:t>
      </w:r>
      <w:r>
        <w:rPr>
          <w:sz w:val="14"/>
        </w:rPr>
        <w:t>terms.</w:t>
      </w:r>
    </w:p>
    <w:p w:rsidR="00615CD2" w:rsidRDefault="00B2545B">
      <w:pPr>
        <w:pStyle w:val="ListParagraph"/>
        <w:numPr>
          <w:ilvl w:val="0"/>
          <w:numId w:val="3"/>
        </w:numPr>
        <w:tabs>
          <w:tab w:val="left" w:pos="397"/>
        </w:tabs>
        <w:rPr>
          <w:sz w:val="14"/>
        </w:rPr>
      </w:pPr>
      <w:r>
        <w:rPr>
          <w:sz w:val="14"/>
        </w:rPr>
        <w:t>Figures may not sum to totals due to</w:t>
      </w:r>
      <w:r>
        <w:rPr>
          <w:spacing w:val="-10"/>
          <w:sz w:val="14"/>
        </w:rPr>
        <w:t xml:space="preserve"> </w:t>
      </w:r>
      <w:r>
        <w:rPr>
          <w:sz w:val="14"/>
        </w:rPr>
        <w:t>rounding.</w:t>
      </w:r>
    </w:p>
    <w:p w:rsidR="00615CD2" w:rsidRDefault="00B2545B">
      <w:pPr>
        <w:pStyle w:val="ListParagraph"/>
        <w:numPr>
          <w:ilvl w:val="0"/>
          <w:numId w:val="2"/>
        </w:numPr>
        <w:tabs>
          <w:tab w:val="left" w:pos="396"/>
          <w:tab w:val="left" w:pos="397"/>
        </w:tabs>
        <w:spacing w:before="90"/>
        <w:rPr>
          <w:sz w:val="14"/>
        </w:rPr>
      </w:pPr>
      <w:r>
        <w:rPr>
          <w:sz w:val="14"/>
        </w:rPr>
        <w:t>Indicates</w:t>
      </w:r>
      <w:r>
        <w:rPr>
          <w:spacing w:val="-2"/>
          <w:sz w:val="14"/>
        </w:rPr>
        <w:t xml:space="preserve"> </w:t>
      </w:r>
      <w:r>
        <w:rPr>
          <w:sz w:val="14"/>
        </w:rPr>
        <w:t>nil.</w:t>
      </w:r>
    </w:p>
    <w:p w:rsidR="00615CD2" w:rsidRDefault="00615CD2">
      <w:pPr>
        <w:pStyle w:val="BodyText"/>
        <w:rPr>
          <w:sz w:val="14"/>
        </w:rPr>
      </w:pPr>
    </w:p>
    <w:p w:rsidR="00615CD2" w:rsidRDefault="00615CD2">
      <w:pPr>
        <w:pStyle w:val="BodyText"/>
        <w:spacing w:before="2"/>
        <w:rPr>
          <w:sz w:val="18"/>
        </w:rPr>
      </w:pPr>
    </w:p>
    <w:p w:rsidR="00615CD2" w:rsidRDefault="00B2545B">
      <w:pPr>
        <w:pStyle w:val="Heading2"/>
        <w:spacing w:line="240" w:lineRule="auto"/>
        <w:ind w:left="112"/>
      </w:pPr>
      <w:r>
        <w:rPr>
          <w:color w:val="3C4D7C"/>
        </w:rPr>
        <w:t>Table A2: Interest withholding tax for financial institutions – Underlying cash balance ($m)</w:t>
      </w:r>
      <w:r>
        <w:rPr>
          <w:color w:val="3C4D7C"/>
          <w:vertAlign w:val="superscript"/>
        </w:rPr>
        <w:t>(a)(b)</w:t>
      </w:r>
    </w:p>
    <w:p w:rsidR="00615CD2" w:rsidRDefault="00615CD2">
      <w:pPr>
        <w:pStyle w:val="BodyText"/>
        <w:spacing w:before="10"/>
        <w:rPr>
          <w:b/>
          <w:sz w:val="9"/>
        </w:rPr>
      </w:pPr>
    </w:p>
    <w:tbl>
      <w:tblPr>
        <w:tblW w:w="0" w:type="auto"/>
        <w:tblInd w:w="132" w:type="dxa"/>
        <w:tblBorders>
          <w:top w:val="single" w:sz="8" w:space="0" w:color="788183"/>
          <w:left w:val="single" w:sz="8" w:space="0" w:color="788183"/>
          <w:bottom w:val="single" w:sz="8" w:space="0" w:color="788183"/>
          <w:right w:val="single" w:sz="8" w:space="0" w:color="788183"/>
          <w:insideH w:val="single" w:sz="8" w:space="0" w:color="788183"/>
          <w:insideV w:val="single" w:sz="8" w:space="0" w:color="7881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562"/>
        <w:gridCol w:w="561"/>
        <w:gridCol w:w="693"/>
        <w:gridCol w:w="682"/>
      </w:tblGrid>
      <w:tr w:rsidR="00615CD2">
        <w:trPr>
          <w:trHeight w:val="530"/>
        </w:trPr>
        <w:tc>
          <w:tcPr>
            <w:tcW w:w="2290" w:type="dxa"/>
            <w:shd w:val="clear" w:color="auto" w:fill="A7B1D3"/>
          </w:tcPr>
          <w:p w:rsidR="00615CD2" w:rsidRDefault="00615CD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spacing w:before="69"/>
              <w:ind w:right="31"/>
              <w:rPr>
                <w:sz w:val="16"/>
              </w:rPr>
            </w:pPr>
            <w:r>
              <w:rPr>
                <w:spacing w:val="-1"/>
                <w:sz w:val="16"/>
              </w:rPr>
              <w:t>2020–</w:t>
            </w:r>
          </w:p>
          <w:p w:rsidR="00615CD2" w:rsidRDefault="00B2545B"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21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spacing w:before="69"/>
              <w:ind w:right="32"/>
              <w:rPr>
                <w:sz w:val="16"/>
              </w:rPr>
            </w:pPr>
            <w:r>
              <w:rPr>
                <w:spacing w:val="-1"/>
                <w:sz w:val="16"/>
              </w:rPr>
              <w:t>2021–</w:t>
            </w:r>
          </w:p>
          <w:p w:rsidR="00615CD2" w:rsidRDefault="00B2545B">
            <w:pPr>
              <w:pStyle w:val="TableParagraph"/>
              <w:spacing w:before="1"/>
              <w:ind w:right="3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22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spacing w:before="69"/>
              <w:ind w:right="31"/>
              <w:rPr>
                <w:sz w:val="16"/>
              </w:rPr>
            </w:pPr>
            <w:r>
              <w:rPr>
                <w:spacing w:val="-1"/>
                <w:sz w:val="16"/>
              </w:rPr>
              <w:t>2022–</w:t>
            </w:r>
          </w:p>
          <w:p w:rsidR="00615CD2" w:rsidRDefault="00B2545B">
            <w:pPr>
              <w:pStyle w:val="TableParagraph"/>
              <w:spacing w:before="1"/>
              <w:ind w:right="31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23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spacing w:before="69"/>
              <w:ind w:right="33"/>
              <w:rPr>
                <w:sz w:val="16"/>
              </w:rPr>
            </w:pPr>
            <w:r>
              <w:rPr>
                <w:spacing w:val="-1"/>
                <w:sz w:val="16"/>
              </w:rPr>
              <w:t>2023–</w:t>
            </w:r>
          </w:p>
          <w:p w:rsidR="00615CD2" w:rsidRDefault="00B2545B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24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spacing w:before="69"/>
              <w:ind w:right="33"/>
              <w:rPr>
                <w:sz w:val="16"/>
              </w:rPr>
            </w:pPr>
            <w:r>
              <w:rPr>
                <w:spacing w:val="-1"/>
                <w:sz w:val="16"/>
              </w:rPr>
              <w:t>2024–</w:t>
            </w:r>
          </w:p>
          <w:p w:rsidR="00615CD2" w:rsidRDefault="00B2545B">
            <w:pPr>
              <w:pStyle w:val="TableParagraph"/>
              <w:spacing w:before="1"/>
              <w:ind w:right="34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25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spacing w:before="69"/>
              <w:ind w:right="34"/>
              <w:rPr>
                <w:sz w:val="16"/>
              </w:rPr>
            </w:pPr>
            <w:r>
              <w:rPr>
                <w:spacing w:val="-1"/>
                <w:sz w:val="16"/>
              </w:rPr>
              <w:t>2025–</w:t>
            </w:r>
          </w:p>
          <w:p w:rsidR="00615CD2" w:rsidRDefault="00B2545B">
            <w:pPr>
              <w:pStyle w:val="TableParagraph"/>
              <w:spacing w:before="1"/>
              <w:ind w:right="34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26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spacing w:before="69"/>
              <w:ind w:right="33"/>
              <w:rPr>
                <w:sz w:val="16"/>
              </w:rPr>
            </w:pPr>
            <w:r>
              <w:rPr>
                <w:spacing w:val="-1"/>
                <w:sz w:val="16"/>
              </w:rPr>
              <w:t>2026–</w:t>
            </w:r>
          </w:p>
          <w:p w:rsidR="00615CD2" w:rsidRDefault="00B2545B">
            <w:pPr>
              <w:pStyle w:val="TableParagraph"/>
              <w:spacing w:before="1"/>
              <w:ind w:right="33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27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spacing w:before="69"/>
              <w:ind w:right="35"/>
              <w:rPr>
                <w:sz w:val="16"/>
              </w:rPr>
            </w:pPr>
            <w:r>
              <w:rPr>
                <w:spacing w:val="-1"/>
                <w:sz w:val="16"/>
              </w:rPr>
              <w:t>2027–</w:t>
            </w:r>
          </w:p>
          <w:p w:rsidR="00615CD2" w:rsidRDefault="00B2545B">
            <w:pPr>
              <w:pStyle w:val="TableParagraph"/>
              <w:spacing w:before="1"/>
              <w:ind w:right="35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28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spacing w:before="69"/>
              <w:ind w:right="34"/>
              <w:rPr>
                <w:sz w:val="16"/>
              </w:rPr>
            </w:pPr>
            <w:r>
              <w:rPr>
                <w:spacing w:val="-1"/>
                <w:sz w:val="16"/>
              </w:rPr>
              <w:t>2028–</w:t>
            </w:r>
          </w:p>
          <w:p w:rsidR="00615CD2" w:rsidRDefault="00B2545B">
            <w:pPr>
              <w:pStyle w:val="TableParagraph"/>
              <w:spacing w:before="1"/>
              <w:ind w:right="34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29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spacing w:before="69"/>
              <w:ind w:right="36"/>
              <w:rPr>
                <w:sz w:val="16"/>
              </w:rPr>
            </w:pPr>
            <w:r>
              <w:rPr>
                <w:spacing w:val="-1"/>
                <w:sz w:val="16"/>
              </w:rPr>
              <w:t>2029–</w:t>
            </w:r>
          </w:p>
          <w:p w:rsidR="00615CD2" w:rsidRDefault="00B2545B">
            <w:pPr>
              <w:pStyle w:val="TableParagraph"/>
              <w:spacing w:before="1"/>
              <w:ind w:right="36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30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spacing w:before="69"/>
              <w:ind w:right="36"/>
              <w:rPr>
                <w:sz w:val="16"/>
              </w:rPr>
            </w:pPr>
            <w:r>
              <w:rPr>
                <w:spacing w:val="-1"/>
                <w:sz w:val="16"/>
              </w:rPr>
              <w:t>2030–</w:t>
            </w:r>
          </w:p>
          <w:p w:rsidR="00615CD2" w:rsidRDefault="00B2545B">
            <w:pPr>
              <w:pStyle w:val="TableParagraph"/>
              <w:spacing w:before="1"/>
              <w:ind w:right="37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31</w:t>
            </w:r>
          </w:p>
        </w:tc>
        <w:tc>
          <w:tcPr>
            <w:tcW w:w="693" w:type="dxa"/>
            <w:shd w:val="clear" w:color="auto" w:fill="A7B1D3"/>
          </w:tcPr>
          <w:p w:rsidR="00615CD2" w:rsidRDefault="00B2545B">
            <w:pPr>
              <w:pStyle w:val="TableParagraph"/>
              <w:spacing w:before="69"/>
              <w:ind w:left="67" w:right="19" w:firstLin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to 2023–24</w:t>
            </w:r>
          </w:p>
        </w:tc>
        <w:tc>
          <w:tcPr>
            <w:tcW w:w="682" w:type="dxa"/>
            <w:shd w:val="clear" w:color="auto" w:fill="A7B1D3"/>
          </w:tcPr>
          <w:p w:rsidR="00615CD2" w:rsidRDefault="00B2545B">
            <w:pPr>
              <w:pStyle w:val="TableParagraph"/>
              <w:spacing w:before="69"/>
              <w:ind w:left="57" w:right="18" w:firstLine="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 to 2030–31</w:t>
            </w:r>
          </w:p>
        </w:tc>
      </w:tr>
      <w:tr w:rsidR="00615CD2">
        <w:trPr>
          <w:trHeight w:val="335"/>
        </w:trPr>
        <w:tc>
          <w:tcPr>
            <w:tcW w:w="2290" w:type="dxa"/>
          </w:tcPr>
          <w:p w:rsidR="00615CD2" w:rsidRDefault="00B2545B">
            <w:pPr>
              <w:pStyle w:val="TableParagraph"/>
              <w:spacing w:before="6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Administered receipts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0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-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1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-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1"/>
              <w:rPr>
                <w:i/>
                <w:sz w:val="13"/>
              </w:rPr>
            </w:pPr>
            <w:r>
              <w:rPr>
                <w:i/>
                <w:sz w:val="13"/>
              </w:rPr>
              <w:t>-530.0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2"/>
              <w:rPr>
                <w:i/>
                <w:sz w:val="13"/>
              </w:rPr>
            </w:pPr>
            <w:r>
              <w:rPr>
                <w:i/>
                <w:sz w:val="13"/>
              </w:rPr>
              <w:t>-640.0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3"/>
              <w:rPr>
                <w:i/>
                <w:sz w:val="13"/>
              </w:rPr>
            </w:pPr>
            <w:r>
              <w:rPr>
                <w:i/>
                <w:sz w:val="13"/>
              </w:rPr>
              <w:t>-700.0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3"/>
              <w:rPr>
                <w:i/>
                <w:sz w:val="13"/>
              </w:rPr>
            </w:pPr>
            <w:r>
              <w:rPr>
                <w:i/>
                <w:sz w:val="13"/>
              </w:rPr>
              <w:t>-770.0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3"/>
              <w:rPr>
                <w:i/>
                <w:sz w:val="13"/>
              </w:rPr>
            </w:pPr>
            <w:r>
              <w:rPr>
                <w:i/>
                <w:sz w:val="13"/>
              </w:rPr>
              <w:t>-850.0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4"/>
              <w:rPr>
                <w:i/>
                <w:sz w:val="13"/>
              </w:rPr>
            </w:pPr>
            <w:r>
              <w:rPr>
                <w:i/>
                <w:sz w:val="13"/>
              </w:rPr>
              <w:t>-940.0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3"/>
              <w:rPr>
                <w:i/>
                <w:sz w:val="13"/>
              </w:rPr>
            </w:pPr>
            <w:r>
              <w:rPr>
                <w:i/>
                <w:sz w:val="13"/>
              </w:rPr>
              <w:t>-1,030.0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5"/>
              <w:rPr>
                <w:i/>
                <w:sz w:val="13"/>
              </w:rPr>
            </w:pPr>
            <w:r>
              <w:rPr>
                <w:i/>
                <w:sz w:val="13"/>
              </w:rPr>
              <w:t>-1,140.0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6"/>
              <w:rPr>
                <w:i/>
                <w:sz w:val="13"/>
              </w:rPr>
            </w:pPr>
            <w:r>
              <w:rPr>
                <w:i/>
                <w:sz w:val="13"/>
              </w:rPr>
              <w:t>-1,260.0</w:t>
            </w:r>
          </w:p>
        </w:tc>
        <w:tc>
          <w:tcPr>
            <w:tcW w:w="693" w:type="dxa"/>
          </w:tcPr>
          <w:p w:rsidR="00615CD2" w:rsidRDefault="00B2545B">
            <w:pPr>
              <w:pStyle w:val="TableParagraph"/>
              <w:ind w:right="36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-1,170.0</w:t>
            </w:r>
          </w:p>
        </w:tc>
        <w:tc>
          <w:tcPr>
            <w:tcW w:w="682" w:type="dxa"/>
          </w:tcPr>
          <w:p w:rsidR="00615CD2" w:rsidRDefault="00B2545B">
            <w:pPr>
              <w:pStyle w:val="TableParagraph"/>
              <w:ind w:right="35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-7,860.0</w:t>
            </w:r>
          </w:p>
        </w:tc>
      </w:tr>
      <w:tr w:rsidR="00615CD2">
        <w:trPr>
          <w:trHeight w:val="335"/>
        </w:trPr>
        <w:tc>
          <w:tcPr>
            <w:tcW w:w="2290" w:type="dxa"/>
          </w:tcPr>
          <w:p w:rsidR="00615CD2" w:rsidRDefault="00B2545B">
            <w:pPr>
              <w:pStyle w:val="TableParagraph"/>
              <w:spacing w:before="69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Departmental payments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0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-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1"/>
              <w:rPr>
                <w:i/>
                <w:sz w:val="13"/>
              </w:rPr>
            </w:pPr>
            <w:r>
              <w:rPr>
                <w:i/>
                <w:w w:val="99"/>
                <w:sz w:val="13"/>
              </w:rPr>
              <w:t>-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1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2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3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3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2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4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3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562" w:type="dxa"/>
          </w:tcPr>
          <w:p w:rsidR="00615CD2" w:rsidRDefault="00B2545B">
            <w:pPr>
              <w:pStyle w:val="TableParagraph"/>
              <w:ind w:right="35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561" w:type="dxa"/>
          </w:tcPr>
          <w:p w:rsidR="00615CD2" w:rsidRDefault="00B2545B">
            <w:pPr>
              <w:pStyle w:val="TableParagraph"/>
              <w:ind w:right="35"/>
              <w:rPr>
                <w:i/>
                <w:sz w:val="13"/>
              </w:rPr>
            </w:pPr>
            <w:r>
              <w:rPr>
                <w:i/>
                <w:sz w:val="13"/>
              </w:rPr>
              <w:t>-0.1</w:t>
            </w:r>
          </w:p>
        </w:tc>
        <w:tc>
          <w:tcPr>
            <w:tcW w:w="693" w:type="dxa"/>
          </w:tcPr>
          <w:p w:rsidR="00615CD2" w:rsidRDefault="00B2545B">
            <w:pPr>
              <w:pStyle w:val="TableParagraph"/>
              <w:ind w:right="36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-0.2</w:t>
            </w:r>
          </w:p>
        </w:tc>
        <w:tc>
          <w:tcPr>
            <w:tcW w:w="682" w:type="dxa"/>
          </w:tcPr>
          <w:p w:rsidR="00615CD2" w:rsidRDefault="00B2545B">
            <w:pPr>
              <w:pStyle w:val="TableParagraph"/>
              <w:ind w:right="35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-0.9</w:t>
            </w:r>
          </w:p>
        </w:tc>
      </w:tr>
      <w:tr w:rsidR="00615CD2">
        <w:trPr>
          <w:trHeight w:val="336"/>
        </w:trPr>
        <w:tc>
          <w:tcPr>
            <w:tcW w:w="2290" w:type="dxa"/>
            <w:shd w:val="clear" w:color="auto" w:fill="A7B1D3"/>
          </w:tcPr>
          <w:p w:rsidR="00615CD2" w:rsidRDefault="00B2545B">
            <w:pPr>
              <w:pStyle w:val="TableParagraph"/>
              <w:spacing w:before="7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ind w:right="30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w w:val="99"/>
                <w:sz w:val="13"/>
              </w:rPr>
              <w:t>-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ind w:right="31"/>
              <w:rPr>
                <w:b/>
                <w:sz w:val="13"/>
              </w:rPr>
            </w:pPr>
            <w:r>
              <w:rPr>
                <w:b/>
                <w:sz w:val="13"/>
              </w:rPr>
              <w:t>-530.1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-640.1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-700.1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ind w:right="33"/>
              <w:rPr>
                <w:b/>
                <w:sz w:val="13"/>
              </w:rPr>
            </w:pPr>
            <w:r>
              <w:rPr>
                <w:b/>
                <w:sz w:val="13"/>
              </w:rPr>
              <w:t>-770.1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ind w:right="32"/>
              <w:rPr>
                <w:b/>
                <w:sz w:val="13"/>
              </w:rPr>
            </w:pPr>
            <w:r>
              <w:rPr>
                <w:b/>
                <w:sz w:val="13"/>
              </w:rPr>
              <w:t>-850.1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-940.1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ind w:right="34"/>
              <w:rPr>
                <w:b/>
                <w:sz w:val="13"/>
              </w:rPr>
            </w:pPr>
            <w:r>
              <w:rPr>
                <w:b/>
                <w:sz w:val="13"/>
              </w:rPr>
              <w:t>-1,030.1</w:t>
            </w:r>
          </w:p>
        </w:tc>
        <w:tc>
          <w:tcPr>
            <w:tcW w:w="562" w:type="dxa"/>
            <w:shd w:val="clear" w:color="auto" w:fill="A7B1D3"/>
          </w:tcPr>
          <w:p w:rsidR="00615CD2" w:rsidRDefault="00B2545B">
            <w:pPr>
              <w:pStyle w:val="TableParagraph"/>
              <w:ind w:right="35"/>
              <w:rPr>
                <w:b/>
                <w:sz w:val="13"/>
              </w:rPr>
            </w:pPr>
            <w:r>
              <w:rPr>
                <w:b/>
                <w:sz w:val="13"/>
              </w:rPr>
              <w:t>-1,140.1</w:t>
            </w:r>
          </w:p>
        </w:tc>
        <w:tc>
          <w:tcPr>
            <w:tcW w:w="561" w:type="dxa"/>
            <w:shd w:val="clear" w:color="auto" w:fill="A7B1D3"/>
          </w:tcPr>
          <w:p w:rsidR="00615CD2" w:rsidRDefault="00B2545B">
            <w:pPr>
              <w:pStyle w:val="TableParagraph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-1,260.1</w:t>
            </w:r>
          </w:p>
        </w:tc>
        <w:tc>
          <w:tcPr>
            <w:tcW w:w="693" w:type="dxa"/>
            <w:shd w:val="clear" w:color="auto" w:fill="A7B1D3"/>
          </w:tcPr>
          <w:p w:rsidR="00615CD2" w:rsidRDefault="00B2545B">
            <w:pPr>
              <w:pStyle w:val="TableParagraph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-1,170.2</w:t>
            </w:r>
          </w:p>
        </w:tc>
        <w:tc>
          <w:tcPr>
            <w:tcW w:w="682" w:type="dxa"/>
            <w:shd w:val="clear" w:color="auto" w:fill="A7B1D3"/>
          </w:tcPr>
          <w:p w:rsidR="00615CD2" w:rsidRDefault="00B2545B">
            <w:pPr>
              <w:pStyle w:val="TableParagraph"/>
              <w:ind w:right="36"/>
              <w:rPr>
                <w:b/>
                <w:sz w:val="13"/>
              </w:rPr>
            </w:pPr>
            <w:r>
              <w:rPr>
                <w:b/>
                <w:sz w:val="13"/>
              </w:rPr>
              <w:t>-7,860.9</w:t>
            </w:r>
          </w:p>
        </w:tc>
      </w:tr>
    </w:tbl>
    <w:p w:rsidR="00615CD2" w:rsidRDefault="00B2545B">
      <w:pPr>
        <w:pStyle w:val="ListParagraph"/>
        <w:numPr>
          <w:ilvl w:val="0"/>
          <w:numId w:val="1"/>
        </w:numPr>
        <w:tabs>
          <w:tab w:val="left" w:pos="397"/>
        </w:tabs>
        <w:spacing w:before="88" w:line="364" w:lineRule="auto"/>
        <w:ind w:right="201"/>
        <w:rPr>
          <w:sz w:val="14"/>
        </w:rPr>
      </w:pPr>
      <w:r>
        <w:rPr>
          <w:sz w:val="14"/>
        </w:rPr>
        <w:t>A</w:t>
      </w:r>
      <w:r>
        <w:rPr>
          <w:spacing w:val="-9"/>
          <w:sz w:val="14"/>
        </w:rPr>
        <w:t xml:space="preserve"> </w:t>
      </w:r>
      <w:r>
        <w:rPr>
          <w:sz w:val="14"/>
        </w:rPr>
        <w:t>positive</w:t>
      </w:r>
      <w:r>
        <w:rPr>
          <w:spacing w:val="-9"/>
          <w:sz w:val="14"/>
        </w:rPr>
        <w:t xml:space="preserve"> </w:t>
      </w:r>
      <w:r>
        <w:rPr>
          <w:sz w:val="14"/>
        </w:rPr>
        <w:t>number</w:t>
      </w:r>
      <w:r>
        <w:rPr>
          <w:spacing w:val="-8"/>
          <w:sz w:val="14"/>
        </w:rPr>
        <w:t xml:space="preserve"> </w:t>
      </w:r>
      <w:r>
        <w:rPr>
          <w:sz w:val="14"/>
        </w:rPr>
        <w:t>for</w:t>
      </w:r>
      <w:r>
        <w:rPr>
          <w:spacing w:val="-8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underlying</w:t>
      </w:r>
      <w:r>
        <w:rPr>
          <w:spacing w:val="-7"/>
          <w:sz w:val="14"/>
        </w:rPr>
        <w:t xml:space="preserve"> </w:t>
      </w:r>
      <w:r>
        <w:rPr>
          <w:sz w:val="14"/>
        </w:rPr>
        <w:t>cash</w:t>
      </w:r>
      <w:r>
        <w:rPr>
          <w:spacing w:val="-8"/>
          <w:sz w:val="14"/>
        </w:rPr>
        <w:t xml:space="preserve"> </w:t>
      </w:r>
      <w:r>
        <w:rPr>
          <w:sz w:val="14"/>
        </w:rPr>
        <w:t>balance</w:t>
      </w:r>
      <w:r>
        <w:rPr>
          <w:spacing w:val="-9"/>
          <w:sz w:val="14"/>
        </w:rPr>
        <w:t xml:space="preserve"> </w:t>
      </w:r>
      <w:r>
        <w:rPr>
          <w:sz w:val="14"/>
        </w:rPr>
        <w:t>indicates</w:t>
      </w:r>
      <w:r>
        <w:rPr>
          <w:spacing w:val="-8"/>
          <w:sz w:val="14"/>
        </w:rPr>
        <w:t xml:space="preserve"> </w:t>
      </w:r>
      <w:r>
        <w:rPr>
          <w:sz w:val="14"/>
        </w:rPr>
        <w:t>an</w:t>
      </w:r>
      <w:r>
        <w:rPr>
          <w:spacing w:val="-9"/>
          <w:sz w:val="14"/>
        </w:rPr>
        <w:t xml:space="preserve"> </w:t>
      </w:r>
      <w:r>
        <w:rPr>
          <w:sz w:val="14"/>
        </w:rPr>
        <w:t>increase</w:t>
      </w:r>
      <w:r>
        <w:rPr>
          <w:spacing w:val="-7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4"/>
        </w:rPr>
        <w:t>receipts</w:t>
      </w:r>
      <w:r>
        <w:rPr>
          <w:spacing w:val="-8"/>
          <w:sz w:val="14"/>
        </w:rPr>
        <w:t xml:space="preserve"> </w:t>
      </w:r>
      <w:r>
        <w:rPr>
          <w:sz w:val="14"/>
        </w:rPr>
        <w:t>or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decrease</w:t>
      </w:r>
      <w:r>
        <w:rPr>
          <w:spacing w:val="-7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4"/>
        </w:rPr>
        <w:t>payments</w:t>
      </w:r>
      <w:r>
        <w:rPr>
          <w:spacing w:val="-8"/>
          <w:sz w:val="14"/>
        </w:rPr>
        <w:t xml:space="preserve"> </w:t>
      </w:r>
      <w:r>
        <w:rPr>
          <w:sz w:val="14"/>
        </w:rPr>
        <w:t>or</w:t>
      </w:r>
      <w:r>
        <w:rPr>
          <w:spacing w:val="-7"/>
          <w:sz w:val="14"/>
        </w:rPr>
        <w:t xml:space="preserve"> </w:t>
      </w:r>
      <w:r>
        <w:rPr>
          <w:sz w:val="14"/>
        </w:rPr>
        <w:t>net</w:t>
      </w:r>
      <w:r>
        <w:rPr>
          <w:spacing w:val="-8"/>
          <w:sz w:val="14"/>
        </w:rPr>
        <w:t xml:space="preserve"> </w:t>
      </w:r>
      <w:r>
        <w:rPr>
          <w:sz w:val="14"/>
        </w:rPr>
        <w:t>capital</w:t>
      </w:r>
      <w:r>
        <w:rPr>
          <w:spacing w:val="-8"/>
          <w:sz w:val="14"/>
        </w:rPr>
        <w:t xml:space="preserve"> </w:t>
      </w:r>
      <w:r>
        <w:rPr>
          <w:sz w:val="14"/>
        </w:rPr>
        <w:t>investment</w:t>
      </w:r>
      <w:r>
        <w:rPr>
          <w:spacing w:val="-7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4"/>
        </w:rPr>
        <w:t>cash</w:t>
      </w:r>
      <w:r>
        <w:rPr>
          <w:spacing w:val="-9"/>
          <w:sz w:val="14"/>
        </w:rPr>
        <w:t xml:space="preserve"> </w:t>
      </w:r>
      <w:r>
        <w:rPr>
          <w:sz w:val="14"/>
        </w:rPr>
        <w:t>terms.</w:t>
      </w:r>
      <w:r>
        <w:rPr>
          <w:spacing w:val="17"/>
          <w:sz w:val="14"/>
        </w:rPr>
        <w:t xml:space="preserve"> </w:t>
      </w:r>
      <w:r>
        <w:rPr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z w:val="14"/>
        </w:rPr>
        <w:t>negative</w:t>
      </w:r>
      <w:r>
        <w:rPr>
          <w:spacing w:val="-8"/>
          <w:sz w:val="14"/>
        </w:rPr>
        <w:t xml:space="preserve"> </w:t>
      </w:r>
      <w:r>
        <w:rPr>
          <w:sz w:val="14"/>
        </w:rPr>
        <w:t>number for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underlying</w:t>
      </w:r>
      <w:r>
        <w:rPr>
          <w:spacing w:val="-3"/>
          <w:sz w:val="14"/>
        </w:rPr>
        <w:t xml:space="preserve"> </w:t>
      </w:r>
      <w:r>
        <w:rPr>
          <w:sz w:val="14"/>
        </w:rPr>
        <w:t>cash</w:t>
      </w:r>
      <w:r>
        <w:rPr>
          <w:spacing w:val="-5"/>
          <w:sz w:val="14"/>
        </w:rPr>
        <w:t xml:space="preserve"> </w:t>
      </w:r>
      <w:r>
        <w:rPr>
          <w:sz w:val="14"/>
        </w:rPr>
        <w:t>balance</w:t>
      </w:r>
      <w:r>
        <w:rPr>
          <w:spacing w:val="-5"/>
          <w:sz w:val="14"/>
        </w:rPr>
        <w:t xml:space="preserve"> </w:t>
      </w:r>
      <w:r>
        <w:rPr>
          <w:sz w:val="14"/>
        </w:rPr>
        <w:t>indicates</w:t>
      </w:r>
      <w:r>
        <w:rPr>
          <w:spacing w:val="-5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decrease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receipts</w:t>
      </w:r>
      <w:r>
        <w:rPr>
          <w:spacing w:val="-5"/>
          <w:sz w:val="14"/>
        </w:rPr>
        <w:t xml:space="preserve"> </w:t>
      </w:r>
      <w:r>
        <w:rPr>
          <w:sz w:val="14"/>
        </w:rPr>
        <w:t>or</w:t>
      </w:r>
      <w:r>
        <w:rPr>
          <w:spacing w:val="-4"/>
          <w:sz w:val="14"/>
        </w:rPr>
        <w:t xml:space="preserve"> </w:t>
      </w:r>
      <w:r>
        <w:rPr>
          <w:sz w:val="14"/>
        </w:rPr>
        <w:t>an</w:t>
      </w:r>
      <w:r>
        <w:rPr>
          <w:spacing w:val="-5"/>
          <w:sz w:val="14"/>
        </w:rPr>
        <w:t xml:space="preserve"> </w:t>
      </w:r>
      <w:r>
        <w:rPr>
          <w:sz w:val="14"/>
        </w:rPr>
        <w:t>increase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payments</w:t>
      </w:r>
      <w:r>
        <w:rPr>
          <w:spacing w:val="-5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net</w:t>
      </w:r>
      <w:r>
        <w:rPr>
          <w:spacing w:val="-3"/>
          <w:sz w:val="14"/>
        </w:rPr>
        <w:t xml:space="preserve"> </w:t>
      </w:r>
      <w:r>
        <w:rPr>
          <w:sz w:val="14"/>
        </w:rPr>
        <w:t>capital</w:t>
      </w:r>
      <w:r>
        <w:rPr>
          <w:spacing w:val="-4"/>
          <w:sz w:val="14"/>
        </w:rPr>
        <w:t xml:space="preserve"> </w:t>
      </w:r>
      <w:r>
        <w:rPr>
          <w:sz w:val="14"/>
        </w:rPr>
        <w:t>investment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-5"/>
          <w:sz w:val="14"/>
        </w:rPr>
        <w:t xml:space="preserve"> </w:t>
      </w:r>
      <w:r>
        <w:rPr>
          <w:sz w:val="14"/>
        </w:rPr>
        <w:t>cash</w:t>
      </w:r>
      <w:r>
        <w:rPr>
          <w:spacing w:val="-4"/>
          <w:sz w:val="14"/>
        </w:rPr>
        <w:t xml:space="preserve"> </w:t>
      </w:r>
      <w:r>
        <w:rPr>
          <w:sz w:val="14"/>
        </w:rPr>
        <w:t>terms.</w:t>
      </w:r>
    </w:p>
    <w:p w:rsidR="00615CD2" w:rsidRDefault="00B2545B">
      <w:pPr>
        <w:pStyle w:val="ListParagraph"/>
        <w:numPr>
          <w:ilvl w:val="0"/>
          <w:numId w:val="1"/>
        </w:numPr>
        <w:tabs>
          <w:tab w:val="left" w:pos="397"/>
        </w:tabs>
        <w:rPr>
          <w:sz w:val="14"/>
        </w:rPr>
      </w:pPr>
      <w:r>
        <w:rPr>
          <w:sz w:val="14"/>
        </w:rPr>
        <w:t>Figures may not sum to totals due to</w:t>
      </w:r>
      <w:r>
        <w:rPr>
          <w:spacing w:val="-10"/>
          <w:sz w:val="14"/>
        </w:rPr>
        <w:t xml:space="preserve"> </w:t>
      </w:r>
      <w:r>
        <w:rPr>
          <w:sz w:val="14"/>
        </w:rPr>
        <w:t>rounding.</w:t>
      </w:r>
    </w:p>
    <w:p w:rsidR="00615CD2" w:rsidRDefault="00B2545B">
      <w:pPr>
        <w:pStyle w:val="ListParagraph"/>
        <w:numPr>
          <w:ilvl w:val="0"/>
          <w:numId w:val="2"/>
        </w:numPr>
        <w:tabs>
          <w:tab w:val="left" w:pos="396"/>
          <w:tab w:val="left" w:pos="397"/>
        </w:tabs>
        <w:spacing w:before="90"/>
        <w:ind w:left="397"/>
        <w:rPr>
          <w:sz w:val="14"/>
        </w:rPr>
      </w:pPr>
      <w:r>
        <w:rPr>
          <w:sz w:val="14"/>
        </w:rPr>
        <w:t>Indicates</w:t>
      </w:r>
      <w:r>
        <w:rPr>
          <w:spacing w:val="-2"/>
          <w:sz w:val="14"/>
        </w:rPr>
        <w:t xml:space="preserve"> </w:t>
      </w:r>
      <w:r>
        <w:rPr>
          <w:sz w:val="14"/>
        </w:rPr>
        <w:t>nil.</w:t>
      </w:r>
    </w:p>
    <w:sectPr w:rsidR="00615CD2">
      <w:headerReference w:type="default" r:id="rId13"/>
      <w:footerReference w:type="default" r:id="rId14"/>
      <w:pgSz w:w="11910" w:h="16840"/>
      <w:pgMar w:top="1120" w:right="940" w:bottom="820" w:left="880" w:header="596" w:footer="6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545B">
      <w:r>
        <w:separator/>
      </w:r>
    </w:p>
  </w:endnote>
  <w:endnote w:type="continuationSeparator" w:id="0">
    <w:p w:rsidR="00000000" w:rsidRDefault="00B2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D2" w:rsidRDefault="00B2545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25.5pt;margin-top:799.8pt;width:144.5pt;height:20pt;z-index:-252333056;mso-position-horizontal-relative:page;mso-position-vertical-relative:page" filled="f" stroked="f">
          <v:textbox inset="0,0,0,0">
            <w:txbxContent>
              <w:p w:rsidR="00615CD2" w:rsidRDefault="00B2545B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69.9pt;margin-top:805.1pt;width:126.2pt;height:13pt;z-index:-252332032;mso-position-horizontal-relative:page;mso-position-vertical-relative:page" filled="f" stroked="f">
          <v:textbox inset="0,0,0,0">
            <w:txbxContent>
              <w:p w:rsidR="00615CD2" w:rsidRDefault="00B2545B">
                <w:pPr>
                  <w:spacing w:line="244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PBO reference PR21/00049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73.35pt;margin-top:805.1pt;width:52pt;height:13pt;z-index:-252331008;mso-position-horizontal-relative:page;mso-position-vertical-relative:page" filled="f" stroked="f">
          <v:textbox inset="0,0,0,0">
            <w:txbxContent>
              <w:p w:rsidR="00615CD2" w:rsidRDefault="00B2545B">
                <w:pPr>
                  <w:spacing w:line="244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D2" w:rsidRDefault="00B2545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25.5pt;margin-top:799.8pt;width:144.5pt;height:20pt;z-index:-252328960;mso-position-horizontal-relative:page;mso-position-vertical-relative:page" filled="f" stroked="f">
          <v:textbox inset="0,0,0,0">
            <w:txbxContent>
              <w:p w:rsidR="00615CD2" w:rsidRDefault="00B2545B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73.35pt;margin-top:805.1pt;width:52pt;height:13pt;z-index:-252327936;mso-position-horizontal-relative:page;mso-position-vertical-relative:page" filled="f" stroked="f">
          <v:textbox inset="0,0,0,0">
            <w:txbxContent>
              <w:p w:rsidR="00615CD2" w:rsidRDefault="00B2545B">
                <w:pPr>
                  <w:spacing w:line="244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b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D2" w:rsidRDefault="00B2545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4.2pt;margin-top:799.9pt;width:144.5pt;height:20pt;z-index:-252325888;mso-position-horizontal-relative:page;mso-position-vertical-relative:page" filled="f" stroked="f">
          <v:textbox inset="0,0,0,0">
            <w:txbxContent>
              <w:p w:rsidR="00615CD2" w:rsidRDefault="00B2545B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52.2pt;margin-top:805.15pt;width:52pt;height:13pt;z-index:-252324864;mso-position-horizontal-relative:page;mso-position-vertical-relative:page" filled="f" stroked="f">
          <v:textbox inset="0,0,0,0">
            <w:txbxContent>
              <w:p w:rsidR="00615CD2" w:rsidRDefault="00B2545B">
                <w:pPr>
                  <w:spacing w:line="244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Page 4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545B">
      <w:r>
        <w:separator/>
      </w:r>
    </w:p>
  </w:footnote>
  <w:footnote w:type="continuationSeparator" w:id="0">
    <w:p w:rsidR="00000000" w:rsidRDefault="00B25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D2" w:rsidRDefault="00B2545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25.4pt;margin-top:28.8pt;width:144.5pt;height:20pt;z-index:-252334080;mso-position-horizontal-relative:page;mso-position-vertical-relative:page" filled="f" stroked="f">
          <v:textbox inset="0,0,0,0">
            <w:txbxContent>
              <w:p w:rsidR="00615CD2" w:rsidRDefault="00B2545B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D2" w:rsidRDefault="00B2545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25.4pt;margin-top:28.8pt;width:144.5pt;height:20pt;z-index:-252329984;mso-position-horizontal-relative:page;mso-position-vertical-relative:page" filled="f" stroked="f">
          <v:textbox inset="0,0,0,0">
            <w:txbxContent>
              <w:p w:rsidR="00615CD2" w:rsidRDefault="00B2545B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D2" w:rsidRDefault="00B2545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25.45pt;margin-top:28.8pt;width:144.5pt;height:20pt;z-index:-252326912;mso-position-horizontal-relative:page;mso-position-vertical-relative:page" filled="f" stroked="f">
          <v:textbox inset="0,0,0,0">
            <w:txbxContent>
              <w:p w:rsidR="00615CD2" w:rsidRDefault="00B2545B">
                <w:pPr>
                  <w:spacing w:line="387" w:lineRule="exact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strike/>
                    <w:color w:val="FF0000"/>
                    <w:sz w:val="36"/>
                  </w:rPr>
                  <w:t>OFFICIAL: Sensitive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C0C"/>
    <w:multiLevelType w:val="hybridMultilevel"/>
    <w:tmpl w:val="B5400632"/>
    <w:lvl w:ilvl="0" w:tplc="0696E0B6">
      <w:numFmt w:val="bullet"/>
      <w:lvlText w:val="☐"/>
      <w:lvlJc w:val="left"/>
      <w:pPr>
        <w:ind w:left="986" w:hanging="268"/>
      </w:pPr>
      <w:rPr>
        <w:rFonts w:ascii="MS Gothic" w:eastAsia="MS Gothic" w:hAnsi="MS Gothic" w:cs="MS Gothic" w:hint="default"/>
        <w:w w:val="99"/>
        <w:sz w:val="22"/>
        <w:szCs w:val="22"/>
        <w:lang w:val="en-AU" w:eastAsia="en-AU" w:bidi="en-AU"/>
      </w:rPr>
    </w:lvl>
    <w:lvl w:ilvl="1" w:tplc="2BD879E6">
      <w:numFmt w:val="bullet"/>
      <w:lvlText w:val="•"/>
      <w:lvlJc w:val="left"/>
      <w:pPr>
        <w:ind w:left="1214" w:hanging="268"/>
      </w:pPr>
      <w:rPr>
        <w:rFonts w:hint="default"/>
        <w:lang w:val="en-AU" w:eastAsia="en-AU" w:bidi="en-AU"/>
      </w:rPr>
    </w:lvl>
    <w:lvl w:ilvl="2" w:tplc="C98CAF06">
      <w:numFmt w:val="bullet"/>
      <w:lvlText w:val="•"/>
      <w:lvlJc w:val="left"/>
      <w:pPr>
        <w:ind w:left="1449" w:hanging="268"/>
      </w:pPr>
      <w:rPr>
        <w:rFonts w:hint="default"/>
        <w:lang w:val="en-AU" w:eastAsia="en-AU" w:bidi="en-AU"/>
      </w:rPr>
    </w:lvl>
    <w:lvl w:ilvl="3" w:tplc="E990D17A">
      <w:numFmt w:val="bullet"/>
      <w:lvlText w:val="•"/>
      <w:lvlJc w:val="left"/>
      <w:pPr>
        <w:ind w:left="1684" w:hanging="268"/>
      </w:pPr>
      <w:rPr>
        <w:rFonts w:hint="default"/>
        <w:lang w:val="en-AU" w:eastAsia="en-AU" w:bidi="en-AU"/>
      </w:rPr>
    </w:lvl>
    <w:lvl w:ilvl="4" w:tplc="C054C6E8">
      <w:numFmt w:val="bullet"/>
      <w:lvlText w:val="•"/>
      <w:lvlJc w:val="left"/>
      <w:pPr>
        <w:ind w:left="1919" w:hanging="268"/>
      </w:pPr>
      <w:rPr>
        <w:rFonts w:hint="default"/>
        <w:lang w:val="en-AU" w:eastAsia="en-AU" w:bidi="en-AU"/>
      </w:rPr>
    </w:lvl>
    <w:lvl w:ilvl="5" w:tplc="566E0BC6">
      <w:numFmt w:val="bullet"/>
      <w:lvlText w:val="•"/>
      <w:lvlJc w:val="left"/>
      <w:pPr>
        <w:ind w:left="2154" w:hanging="268"/>
      </w:pPr>
      <w:rPr>
        <w:rFonts w:hint="default"/>
        <w:lang w:val="en-AU" w:eastAsia="en-AU" w:bidi="en-AU"/>
      </w:rPr>
    </w:lvl>
    <w:lvl w:ilvl="6" w:tplc="108C528C">
      <w:numFmt w:val="bullet"/>
      <w:lvlText w:val="•"/>
      <w:lvlJc w:val="left"/>
      <w:pPr>
        <w:ind w:left="2388" w:hanging="268"/>
      </w:pPr>
      <w:rPr>
        <w:rFonts w:hint="default"/>
        <w:lang w:val="en-AU" w:eastAsia="en-AU" w:bidi="en-AU"/>
      </w:rPr>
    </w:lvl>
    <w:lvl w:ilvl="7" w:tplc="4984B50A">
      <w:numFmt w:val="bullet"/>
      <w:lvlText w:val="•"/>
      <w:lvlJc w:val="left"/>
      <w:pPr>
        <w:ind w:left="2623" w:hanging="268"/>
      </w:pPr>
      <w:rPr>
        <w:rFonts w:hint="default"/>
        <w:lang w:val="en-AU" w:eastAsia="en-AU" w:bidi="en-AU"/>
      </w:rPr>
    </w:lvl>
    <w:lvl w:ilvl="8" w:tplc="CB8AE932">
      <w:numFmt w:val="bullet"/>
      <w:lvlText w:val="•"/>
      <w:lvlJc w:val="left"/>
      <w:pPr>
        <w:ind w:left="2858" w:hanging="268"/>
      </w:pPr>
      <w:rPr>
        <w:rFonts w:hint="default"/>
        <w:lang w:val="en-AU" w:eastAsia="en-AU" w:bidi="en-AU"/>
      </w:rPr>
    </w:lvl>
  </w:abstractNum>
  <w:abstractNum w:abstractNumId="1" w15:restartNumberingAfterBreak="0">
    <w:nsid w:val="170B321F"/>
    <w:multiLevelType w:val="hybridMultilevel"/>
    <w:tmpl w:val="FB7E94A8"/>
    <w:lvl w:ilvl="0" w:tplc="76A2C978">
      <w:start w:val="1"/>
      <w:numFmt w:val="lowerLetter"/>
      <w:lvlText w:val="(%1)"/>
      <w:lvlJc w:val="left"/>
      <w:pPr>
        <w:ind w:left="822" w:hanging="285"/>
        <w:jc w:val="left"/>
      </w:pPr>
      <w:rPr>
        <w:rFonts w:ascii="Calibri" w:eastAsia="Calibri" w:hAnsi="Calibri" w:cs="Calibri" w:hint="default"/>
        <w:w w:val="100"/>
        <w:sz w:val="20"/>
        <w:szCs w:val="20"/>
        <w:lang w:val="en-AU" w:eastAsia="en-AU" w:bidi="en-AU"/>
      </w:rPr>
    </w:lvl>
    <w:lvl w:ilvl="1" w:tplc="7B9CA644">
      <w:numFmt w:val="bullet"/>
      <w:lvlText w:val="•"/>
      <w:lvlJc w:val="left"/>
      <w:pPr>
        <w:ind w:left="1746" w:hanging="285"/>
      </w:pPr>
      <w:rPr>
        <w:rFonts w:hint="default"/>
        <w:lang w:val="en-AU" w:eastAsia="en-AU" w:bidi="en-AU"/>
      </w:rPr>
    </w:lvl>
    <w:lvl w:ilvl="2" w:tplc="E98AFEDC">
      <w:numFmt w:val="bullet"/>
      <w:lvlText w:val="•"/>
      <w:lvlJc w:val="left"/>
      <w:pPr>
        <w:ind w:left="2673" w:hanging="285"/>
      </w:pPr>
      <w:rPr>
        <w:rFonts w:hint="default"/>
        <w:lang w:val="en-AU" w:eastAsia="en-AU" w:bidi="en-AU"/>
      </w:rPr>
    </w:lvl>
    <w:lvl w:ilvl="3" w:tplc="E6F84010">
      <w:numFmt w:val="bullet"/>
      <w:lvlText w:val="•"/>
      <w:lvlJc w:val="left"/>
      <w:pPr>
        <w:ind w:left="3600" w:hanging="285"/>
      </w:pPr>
      <w:rPr>
        <w:rFonts w:hint="default"/>
        <w:lang w:val="en-AU" w:eastAsia="en-AU" w:bidi="en-AU"/>
      </w:rPr>
    </w:lvl>
    <w:lvl w:ilvl="4" w:tplc="11CC2A9C">
      <w:numFmt w:val="bullet"/>
      <w:lvlText w:val="•"/>
      <w:lvlJc w:val="left"/>
      <w:pPr>
        <w:ind w:left="4527" w:hanging="285"/>
      </w:pPr>
      <w:rPr>
        <w:rFonts w:hint="default"/>
        <w:lang w:val="en-AU" w:eastAsia="en-AU" w:bidi="en-AU"/>
      </w:rPr>
    </w:lvl>
    <w:lvl w:ilvl="5" w:tplc="10281CB8">
      <w:numFmt w:val="bullet"/>
      <w:lvlText w:val="•"/>
      <w:lvlJc w:val="left"/>
      <w:pPr>
        <w:ind w:left="5453" w:hanging="285"/>
      </w:pPr>
      <w:rPr>
        <w:rFonts w:hint="default"/>
        <w:lang w:val="en-AU" w:eastAsia="en-AU" w:bidi="en-AU"/>
      </w:rPr>
    </w:lvl>
    <w:lvl w:ilvl="6" w:tplc="2DBAB8D8">
      <w:numFmt w:val="bullet"/>
      <w:lvlText w:val="•"/>
      <w:lvlJc w:val="left"/>
      <w:pPr>
        <w:ind w:left="6380" w:hanging="285"/>
      </w:pPr>
      <w:rPr>
        <w:rFonts w:hint="default"/>
        <w:lang w:val="en-AU" w:eastAsia="en-AU" w:bidi="en-AU"/>
      </w:rPr>
    </w:lvl>
    <w:lvl w:ilvl="7" w:tplc="D8C21CFC">
      <w:numFmt w:val="bullet"/>
      <w:lvlText w:val="•"/>
      <w:lvlJc w:val="left"/>
      <w:pPr>
        <w:ind w:left="7307" w:hanging="285"/>
      </w:pPr>
      <w:rPr>
        <w:rFonts w:hint="default"/>
        <w:lang w:val="en-AU" w:eastAsia="en-AU" w:bidi="en-AU"/>
      </w:rPr>
    </w:lvl>
    <w:lvl w:ilvl="8" w:tplc="5B6CAA76">
      <w:numFmt w:val="bullet"/>
      <w:lvlText w:val="•"/>
      <w:lvlJc w:val="left"/>
      <w:pPr>
        <w:ind w:left="8234" w:hanging="285"/>
      </w:pPr>
      <w:rPr>
        <w:rFonts w:hint="default"/>
        <w:lang w:val="en-AU" w:eastAsia="en-AU" w:bidi="en-AU"/>
      </w:rPr>
    </w:lvl>
  </w:abstractNum>
  <w:abstractNum w:abstractNumId="2" w15:restartNumberingAfterBreak="0">
    <w:nsid w:val="28F746A4"/>
    <w:multiLevelType w:val="hybridMultilevel"/>
    <w:tmpl w:val="AE0EC9A8"/>
    <w:lvl w:ilvl="0" w:tplc="E9FA9A56">
      <w:start w:val="1"/>
      <w:numFmt w:val="lowerLetter"/>
      <w:lvlText w:val="(%1)"/>
      <w:lvlJc w:val="left"/>
      <w:pPr>
        <w:ind w:left="396" w:hanging="285"/>
        <w:jc w:val="left"/>
      </w:pPr>
      <w:rPr>
        <w:rFonts w:ascii="Calibri" w:eastAsia="Calibri" w:hAnsi="Calibri" w:cs="Calibri" w:hint="default"/>
        <w:spacing w:val="-2"/>
        <w:w w:val="100"/>
        <w:sz w:val="14"/>
        <w:szCs w:val="14"/>
        <w:lang w:val="en-AU" w:eastAsia="en-AU" w:bidi="en-AU"/>
      </w:rPr>
    </w:lvl>
    <w:lvl w:ilvl="1" w:tplc="5396F36A">
      <w:numFmt w:val="bullet"/>
      <w:lvlText w:val="•"/>
      <w:lvlJc w:val="left"/>
      <w:pPr>
        <w:ind w:left="1368" w:hanging="285"/>
      </w:pPr>
      <w:rPr>
        <w:rFonts w:hint="default"/>
        <w:lang w:val="en-AU" w:eastAsia="en-AU" w:bidi="en-AU"/>
      </w:rPr>
    </w:lvl>
    <w:lvl w:ilvl="2" w:tplc="BC4C4FD6">
      <w:numFmt w:val="bullet"/>
      <w:lvlText w:val="•"/>
      <w:lvlJc w:val="left"/>
      <w:pPr>
        <w:ind w:left="2337" w:hanging="285"/>
      </w:pPr>
      <w:rPr>
        <w:rFonts w:hint="default"/>
        <w:lang w:val="en-AU" w:eastAsia="en-AU" w:bidi="en-AU"/>
      </w:rPr>
    </w:lvl>
    <w:lvl w:ilvl="3" w:tplc="5C10683A">
      <w:numFmt w:val="bullet"/>
      <w:lvlText w:val="•"/>
      <w:lvlJc w:val="left"/>
      <w:pPr>
        <w:ind w:left="3306" w:hanging="285"/>
      </w:pPr>
      <w:rPr>
        <w:rFonts w:hint="default"/>
        <w:lang w:val="en-AU" w:eastAsia="en-AU" w:bidi="en-AU"/>
      </w:rPr>
    </w:lvl>
    <w:lvl w:ilvl="4" w:tplc="D8409B26">
      <w:numFmt w:val="bullet"/>
      <w:lvlText w:val="•"/>
      <w:lvlJc w:val="left"/>
      <w:pPr>
        <w:ind w:left="4275" w:hanging="285"/>
      </w:pPr>
      <w:rPr>
        <w:rFonts w:hint="default"/>
        <w:lang w:val="en-AU" w:eastAsia="en-AU" w:bidi="en-AU"/>
      </w:rPr>
    </w:lvl>
    <w:lvl w:ilvl="5" w:tplc="ABD81B4A">
      <w:numFmt w:val="bullet"/>
      <w:lvlText w:val="•"/>
      <w:lvlJc w:val="left"/>
      <w:pPr>
        <w:ind w:left="5243" w:hanging="285"/>
      </w:pPr>
      <w:rPr>
        <w:rFonts w:hint="default"/>
        <w:lang w:val="en-AU" w:eastAsia="en-AU" w:bidi="en-AU"/>
      </w:rPr>
    </w:lvl>
    <w:lvl w:ilvl="6" w:tplc="356E4792">
      <w:numFmt w:val="bullet"/>
      <w:lvlText w:val="•"/>
      <w:lvlJc w:val="left"/>
      <w:pPr>
        <w:ind w:left="6212" w:hanging="285"/>
      </w:pPr>
      <w:rPr>
        <w:rFonts w:hint="default"/>
        <w:lang w:val="en-AU" w:eastAsia="en-AU" w:bidi="en-AU"/>
      </w:rPr>
    </w:lvl>
    <w:lvl w:ilvl="7" w:tplc="13A04024">
      <w:numFmt w:val="bullet"/>
      <w:lvlText w:val="•"/>
      <w:lvlJc w:val="left"/>
      <w:pPr>
        <w:ind w:left="7181" w:hanging="285"/>
      </w:pPr>
      <w:rPr>
        <w:rFonts w:hint="default"/>
        <w:lang w:val="en-AU" w:eastAsia="en-AU" w:bidi="en-AU"/>
      </w:rPr>
    </w:lvl>
    <w:lvl w:ilvl="8" w:tplc="00A05EDE">
      <w:numFmt w:val="bullet"/>
      <w:lvlText w:val="•"/>
      <w:lvlJc w:val="left"/>
      <w:pPr>
        <w:ind w:left="8150" w:hanging="285"/>
      </w:pPr>
      <w:rPr>
        <w:rFonts w:hint="default"/>
        <w:lang w:val="en-AU" w:eastAsia="en-AU" w:bidi="en-AU"/>
      </w:rPr>
    </w:lvl>
  </w:abstractNum>
  <w:abstractNum w:abstractNumId="3" w15:restartNumberingAfterBreak="0">
    <w:nsid w:val="290E3A08"/>
    <w:multiLevelType w:val="hybridMultilevel"/>
    <w:tmpl w:val="2BA48238"/>
    <w:lvl w:ilvl="0" w:tplc="076058CA">
      <w:numFmt w:val="bullet"/>
      <w:lvlText w:val="-"/>
      <w:lvlJc w:val="left"/>
      <w:pPr>
        <w:ind w:left="396" w:hanging="285"/>
      </w:pPr>
      <w:rPr>
        <w:rFonts w:ascii="Calibri" w:eastAsia="Calibri" w:hAnsi="Calibri" w:cs="Calibri" w:hint="default"/>
        <w:w w:val="100"/>
        <w:sz w:val="14"/>
        <w:szCs w:val="14"/>
        <w:lang w:val="en-AU" w:eastAsia="en-AU" w:bidi="en-AU"/>
      </w:rPr>
    </w:lvl>
    <w:lvl w:ilvl="1" w:tplc="AFCEE394">
      <w:numFmt w:val="bullet"/>
      <w:lvlText w:val="•"/>
      <w:lvlJc w:val="left"/>
      <w:pPr>
        <w:ind w:left="1368" w:hanging="285"/>
      </w:pPr>
      <w:rPr>
        <w:rFonts w:hint="default"/>
        <w:lang w:val="en-AU" w:eastAsia="en-AU" w:bidi="en-AU"/>
      </w:rPr>
    </w:lvl>
    <w:lvl w:ilvl="2" w:tplc="6010E4E0">
      <w:numFmt w:val="bullet"/>
      <w:lvlText w:val="•"/>
      <w:lvlJc w:val="left"/>
      <w:pPr>
        <w:ind w:left="2337" w:hanging="285"/>
      </w:pPr>
      <w:rPr>
        <w:rFonts w:hint="default"/>
        <w:lang w:val="en-AU" w:eastAsia="en-AU" w:bidi="en-AU"/>
      </w:rPr>
    </w:lvl>
    <w:lvl w:ilvl="3" w:tplc="05947FF6">
      <w:numFmt w:val="bullet"/>
      <w:lvlText w:val="•"/>
      <w:lvlJc w:val="left"/>
      <w:pPr>
        <w:ind w:left="3306" w:hanging="285"/>
      </w:pPr>
      <w:rPr>
        <w:rFonts w:hint="default"/>
        <w:lang w:val="en-AU" w:eastAsia="en-AU" w:bidi="en-AU"/>
      </w:rPr>
    </w:lvl>
    <w:lvl w:ilvl="4" w:tplc="9AB6C1E6">
      <w:numFmt w:val="bullet"/>
      <w:lvlText w:val="•"/>
      <w:lvlJc w:val="left"/>
      <w:pPr>
        <w:ind w:left="4275" w:hanging="285"/>
      </w:pPr>
      <w:rPr>
        <w:rFonts w:hint="default"/>
        <w:lang w:val="en-AU" w:eastAsia="en-AU" w:bidi="en-AU"/>
      </w:rPr>
    </w:lvl>
    <w:lvl w:ilvl="5" w:tplc="26AAB9DC">
      <w:numFmt w:val="bullet"/>
      <w:lvlText w:val="•"/>
      <w:lvlJc w:val="left"/>
      <w:pPr>
        <w:ind w:left="5243" w:hanging="285"/>
      </w:pPr>
      <w:rPr>
        <w:rFonts w:hint="default"/>
        <w:lang w:val="en-AU" w:eastAsia="en-AU" w:bidi="en-AU"/>
      </w:rPr>
    </w:lvl>
    <w:lvl w:ilvl="6" w:tplc="E6AE2E2A">
      <w:numFmt w:val="bullet"/>
      <w:lvlText w:val="•"/>
      <w:lvlJc w:val="left"/>
      <w:pPr>
        <w:ind w:left="6212" w:hanging="285"/>
      </w:pPr>
      <w:rPr>
        <w:rFonts w:hint="default"/>
        <w:lang w:val="en-AU" w:eastAsia="en-AU" w:bidi="en-AU"/>
      </w:rPr>
    </w:lvl>
    <w:lvl w:ilvl="7" w:tplc="58CE4DCC">
      <w:numFmt w:val="bullet"/>
      <w:lvlText w:val="•"/>
      <w:lvlJc w:val="left"/>
      <w:pPr>
        <w:ind w:left="7181" w:hanging="285"/>
      </w:pPr>
      <w:rPr>
        <w:rFonts w:hint="default"/>
        <w:lang w:val="en-AU" w:eastAsia="en-AU" w:bidi="en-AU"/>
      </w:rPr>
    </w:lvl>
    <w:lvl w:ilvl="8" w:tplc="1ACC87A6">
      <w:numFmt w:val="bullet"/>
      <w:lvlText w:val="•"/>
      <w:lvlJc w:val="left"/>
      <w:pPr>
        <w:ind w:left="8150" w:hanging="285"/>
      </w:pPr>
      <w:rPr>
        <w:rFonts w:hint="default"/>
        <w:lang w:val="en-AU" w:eastAsia="en-AU" w:bidi="en-AU"/>
      </w:rPr>
    </w:lvl>
  </w:abstractNum>
  <w:abstractNum w:abstractNumId="4" w15:restartNumberingAfterBreak="0">
    <w:nsid w:val="4A3520B7"/>
    <w:multiLevelType w:val="hybridMultilevel"/>
    <w:tmpl w:val="8C9CE682"/>
    <w:lvl w:ilvl="0" w:tplc="B1E06C0A">
      <w:start w:val="1"/>
      <w:numFmt w:val="lowerLetter"/>
      <w:lvlText w:val="(%1)"/>
      <w:lvlJc w:val="left"/>
      <w:pPr>
        <w:ind w:left="396" w:hanging="285"/>
        <w:jc w:val="left"/>
      </w:pPr>
      <w:rPr>
        <w:rFonts w:ascii="Calibri" w:eastAsia="Calibri" w:hAnsi="Calibri" w:cs="Calibri" w:hint="default"/>
        <w:spacing w:val="-2"/>
        <w:w w:val="100"/>
        <w:sz w:val="14"/>
        <w:szCs w:val="14"/>
        <w:lang w:val="en-AU" w:eastAsia="en-AU" w:bidi="en-AU"/>
      </w:rPr>
    </w:lvl>
    <w:lvl w:ilvl="1" w:tplc="2960C372">
      <w:numFmt w:val="bullet"/>
      <w:lvlText w:val="•"/>
      <w:lvlJc w:val="left"/>
      <w:pPr>
        <w:ind w:left="1368" w:hanging="285"/>
      </w:pPr>
      <w:rPr>
        <w:rFonts w:hint="default"/>
        <w:lang w:val="en-AU" w:eastAsia="en-AU" w:bidi="en-AU"/>
      </w:rPr>
    </w:lvl>
    <w:lvl w:ilvl="2" w:tplc="A00C94A8">
      <w:numFmt w:val="bullet"/>
      <w:lvlText w:val="•"/>
      <w:lvlJc w:val="left"/>
      <w:pPr>
        <w:ind w:left="2337" w:hanging="285"/>
      </w:pPr>
      <w:rPr>
        <w:rFonts w:hint="default"/>
        <w:lang w:val="en-AU" w:eastAsia="en-AU" w:bidi="en-AU"/>
      </w:rPr>
    </w:lvl>
    <w:lvl w:ilvl="3" w:tplc="572C9B9C">
      <w:numFmt w:val="bullet"/>
      <w:lvlText w:val="•"/>
      <w:lvlJc w:val="left"/>
      <w:pPr>
        <w:ind w:left="3306" w:hanging="285"/>
      </w:pPr>
      <w:rPr>
        <w:rFonts w:hint="default"/>
        <w:lang w:val="en-AU" w:eastAsia="en-AU" w:bidi="en-AU"/>
      </w:rPr>
    </w:lvl>
    <w:lvl w:ilvl="4" w:tplc="2F1EFDCA">
      <w:numFmt w:val="bullet"/>
      <w:lvlText w:val="•"/>
      <w:lvlJc w:val="left"/>
      <w:pPr>
        <w:ind w:left="4275" w:hanging="285"/>
      </w:pPr>
      <w:rPr>
        <w:rFonts w:hint="default"/>
        <w:lang w:val="en-AU" w:eastAsia="en-AU" w:bidi="en-AU"/>
      </w:rPr>
    </w:lvl>
    <w:lvl w:ilvl="5" w:tplc="BB740806">
      <w:numFmt w:val="bullet"/>
      <w:lvlText w:val="•"/>
      <w:lvlJc w:val="left"/>
      <w:pPr>
        <w:ind w:left="5243" w:hanging="285"/>
      </w:pPr>
      <w:rPr>
        <w:rFonts w:hint="default"/>
        <w:lang w:val="en-AU" w:eastAsia="en-AU" w:bidi="en-AU"/>
      </w:rPr>
    </w:lvl>
    <w:lvl w:ilvl="6" w:tplc="0902D724">
      <w:numFmt w:val="bullet"/>
      <w:lvlText w:val="•"/>
      <w:lvlJc w:val="left"/>
      <w:pPr>
        <w:ind w:left="6212" w:hanging="285"/>
      </w:pPr>
      <w:rPr>
        <w:rFonts w:hint="default"/>
        <w:lang w:val="en-AU" w:eastAsia="en-AU" w:bidi="en-AU"/>
      </w:rPr>
    </w:lvl>
    <w:lvl w:ilvl="7" w:tplc="3600FD44">
      <w:numFmt w:val="bullet"/>
      <w:lvlText w:val="•"/>
      <w:lvlJc w:val="left"/>
      <w:pPr>
        <w:ind w:left="7181" w:hanging="285"/>
      </w:pPr>
      <w:rPr>
        <w:rFonts w:hint="default"/>
        <w:lang w:val="en-AU" w:eastAsia="en-AU" w:bidi="en-AU"/>
      </w:rPr>
    </w:lvl>
    <w:lvl w:ilvl="8" w:tplc="A08A530C">
      <w:numFmt w:val="bullet"/>
      <w:lvlText w:val="•"/>
      <w:lvlJc w:val="left"/>
      <w:pPr>
        <w:ind w:left="8150" w:hanging="285"/>
      </w:pPr>
      <w:rPr>
        <w:rFonts w:hint="default"/>
        <w:lang w:val="en-AU" w:eastAsia="en-AU" w:bidi="en-AU"/>
      </w:rPr>
    </w:lvl>
  </w:abstractNum>
  <w:abstractNum w:abstractNumId="5" w15:restartNumberingAfterBreak="0">
    <w:nsid w:val="71AB038C"/>
    <w:multiLevelType w:val="hybridMultilevel"/>
    <w:tmpl w:val="60B2F8CC"/>
    <w:lvl w:ilvl="0" w:tplc="2E921934">
      <w:numFmt w:val="bullet"/>
      <w:lvlText w:val="•"/>
      <w:lvlJc w:val="left"/>
      <w:pPr>
        <w:ind w:left="823" w:hanging="285"/>
      </w:pPr>
      <w:rPr>
        <w:rFonts w:ascii="Calibri" w:eastAsia="Calibri" w:hAnsi="Calibri" w:cs="Calibri" w:hint="default"/>
        <w:w w:val="99"/>
        <w:sz w:val="22"/>
        <w:szCs w:val="22"/>
        <w:lang w:val="en-AU" w:eastAsia="en-AU" w:bidi="en-AU"/>
      </w:rPr>
    </w:lvl>
    <w:lvl w:ilvl="1" w:tplc="362453F8">
      <w:numFmt w:val="bullet"/>
      <w:lvlText w:val="•"/>
      <w:lvlJc w:val="left"/>
      <w:pPr>
        <w:ind w:left="1746" w:hanging="285"/>
      </w:pPr>
      <w:rPr>
        <w:rFonts w:hint="default"/>
        <w:lang w:val="en-AU" w:eastAsia="en-AU" w:bidi="en-AU"/>
      </w:rPr>
    </w:lvl>
    <w:lvl w:ilvl="2" w:tplc="CD583336">
      <w:numFmt w:val="bullet"/>
      <w:lvlText w:val="•"/>
      <w:lvlJc w:val="left"/>
      <w:pPr>
        <w:ind w:left="2673" w:hanging="285"/>
      </w:pPr>
      <w:rPr>
        <w:rFonts w:hint="default"/>
        <w:lang w:val="en-AU" w:eastAsia="en-AU" w:bidi="en-AU"/>
      </w:rPr>
    </w:lvl>
    <w:lvl w:ilvl="3" w:tplc="2BA4B0A0">
      <w:numFmt w:val="bullet"/>
      <w:lvlText w:val="•"/>
      <w:lvlJc w:val="left"/>
      <w:pPr>
        <w:ind w:left="3600" w:hanging="285"/>
      </w:pPr>
      <w:rPr>
        <w:rFonts w:hint="default"/>
        <w:lang w:val="en-AU" w:eastAsia="en-AU" w:bidi="en-AU"/>
      </w:rPr>
    </w:lvl>
    <w:lvl w:ilvl="4" w:tplc="8F1CC8C8">
      <w:numFmt w:val="bullet"/>
      <w:lvlText w:val="•"/>
      <w:lvlJc w:val="left"/>
      <w:pPr>
        <w:ind w:left="4527" w:hanging="285"/>
      </w:pPr>
      <w:rPr>
        <w:rFonts w:hint="default"/>
        <w:lang w:val="en-AU" w:eastAsia="en-AU" w:bidi="en-AU"/>
      </w:rPr>
    </w:lvl>
    <w:lvl w:ilvl="5" w:tplc="5AEC9B3E">
      <w:numFmt w:val="bullet"/>
      <w:lvlText w:val="•"/>
      <w:lvlJc w:val="left"/>
      <w:pPr>
        <w:ind w:left="5453" w:hanging="285"/>
      </w:pPr>
      <w:rPr>
        <w:rFonts w:hint="default"/>
        <w:lang w:val="en-AU" w:eastAsia="en-AU" w:bidi="en-AU"/>
      </w:rPr>
    </w:lvl>
    <w:lvl w:ilvl="6" w:tplc="3B50F746">
      <w:numFmt w:val="bullet"/>
      <w:lvlText w:val="•"/>
      <w:lvlJc w:val="left"/>
      <w:pPr>
        <w:ind w:left="6380" w:hanging="285"/>
      </w:pPr>
      <w:rPr>
        <w:rFonts w:hint="default"/>
        <w:lang w:val="en-AU" w:eastAsia="en-AU" w:bidi="en-AU"/>
      </w:rPr>
    </w:lvl>
    <w:lvl w:ilvl="7" w:tplc="F13A0836">
      <w:numFmt w:val="bullet"/>
      <w:lvlText w:val="•"/>
      <w:lvlJc w:val="left"/>
      <w:pPr>
        <w:ind w:left="7307" w:hanging="285"/>
      </w:pPr>
      <w:rPr>
        <w:rFonts w:hint="default"/>
        <w:lang w:val="en-AU" w:eastAsia="en-AU" w:bidi="en-AU"/>
      </w:rPr>
    </w:lvl>
    <w:lvl w:ilvl="8" w:tplc="810C2EBC">
      <w:numFmt w:val="bullet"/>
      <w:lvlText w:val="•"/>
      <w:lvlJc w:val="left"/>
      <w:pPr>
        <w:ind w:left="8234" w:hanging="285"/>
      </w:pPr>
      <w:rPr>
        <w:rFonts w:hint="default"/>
        <w:lang w:val="en-AU" w:eastAsia="en-AU" w:bidi="en-AU"/>
      </w:rPr>
    </w:lvl>
  </w:abstractNum>
  <w:abstractNum w:abstractNumId="6" w15:restartNumberingAfterBreak="0">
    <w:nsid w:val="74D56592"/>
    <w:multiLevelType w:val="hybridMultilevel"/>
    <w:tmpl w:val="C40A5FAC"/>
    <w:lvl w:ilvl="0" w:tplc="B7107F98">
      <w:numFmt w:val="bullet"/>
      <w:lvlText w:val="•"/>
      <w:lvlJc w:val="left"/>
      <w:pPr>
        <w:ind w:left="561" w:hanging="454"/>
      </w:pPr>
      <w:rPr>
        <w:rFonts w:ascii="Calibri" w:eastAsia="Calibri" w:hAnsi="Calibri" w:cs="Calibri" w:hint="default"/>
        <w:w w:val="99"/>
        <w:sz w:val="22"/>
        <w:szCs w:val="22"/>
        <w:lang w:val="en-AU" w:eastAsia="en-AU" w:bidi="en-AU"/>
      </w:rPr>
    </w:lvl>
    <w:lvl w:ilvl="1" w:tplc="57305A2C">
      <w:numFmt w:val="bullet"/>
      <w:lvlText w:val="•"/>
      <w:lvlJc w:val="left"/>
      <w:pPr>
        <w:ind w:left="1405" w:hanging="454"/>
      </w:pPr>
      <w:rPr>
        <w:rFonts w:hint="default"/>
        <w:lang w:val="en-AU" w:eastAsia="en-AU" w:bidi="en-AU"/>
      </w:rPr>
    </w:lvl>
    <w:lvl w:ilvl="2" w:tplc="A4A031A6">
      <w:numFmt w:val="bullet"/>
      <w:lvlText w:val="•"/>
      <w:lvlJc w:val="left"/>
      <w:pPr>
        <w:ind w:left="2251" w:hanging="454"/>
      </w:pPr>
      <w:rPr>
        <w:rFonts w:hint="default"/>
        <w:lang w:val="en-AU" w:eastAsia="en-AU" w:bidi="en-AU"/>
      </w:rPr>
    </w:lvl>
    <w:lvl w:ilvl="3" w:tplc="2A14A5FA">
      <w:numFmt w:val="bullet"/>
      <w:lvlText w:val="•"/>
      <w:lvlJc w:val="left"/>
      <w:pPr>
        <w:ind w:left="3097" w:hanging="454"/>
      </w:pPr>
      <w:rPr>
        <w:rFonts w:hint="default"/>
        <w:lang w:val="en-AU" w:eastAsia="en-AU" w:bidi="en-AU"/>
      </w:rPr>
    </w:lvl>
    <w:lvl w:ilvl="4" w:tplc="FACADC38">
      <w:numFmt w:val="bullet"/>
      <w:lvlText w:val="•"/>
      <w:lvlJc w:val="left"/>
      <w:pPr>
        <w:ind w:left="3942" w:hanging="454"/>
      </w:pPr>
      <w:rPr>
        <w:rFonts w:hint="default"/>
        <w:lang w:val="en-AU" w:eastAsia="en-AU" w:bidi="en-AU"/>
      </w:rPr>
    </w:lvl>
    <w:lvl w:ilvl="5" w:tplc="E6000970">
      <w:numFmt w:val="bullet"/>
      <w:lvlText w:val="•"/>
      <w:lvlJc w:val="left"/>
      <w:pPr>
        <w:ind w:left="4788" w:hanging="454"/>
      </w:pPr>
      <w:rPr>
        <w:rFonts w:hint="default"/>
        <w:lang w:val="en-AU" w:eastAsia="en-AU" w:bidi="en-AU"/>
      </w:rPr>
    </w:lvl>
    <w:lvl w:ilvl="6" w:tplc="89306D40">
      <w:numFmt w:val="bullet"/>
      <w:lvlText w:val="•"/>
      <w:lvlJc w:val="left"/>
      <w:pPr>
        <w:ind w:left="5634" w:hanging="454"/>
      </w:pPr>
      <w:rPr>
        <w:rFonts w:hint="default"/>
        <w:lang w:val="en-AU" w:eastAsia="en-AU" w:bidi="en-AU"/>
      </w:rPr>
    </w:lvl>
    <w:lvl w:ilvl="7" w:tplc="97809CA6">
      <w:numFmt w:val="bullet"/>
      <w:lvlText w:val="•"/>
      <w:lvlJc w:val="left"/>
      <w:pPr>
        <w:ind w:left="6479" w:hanging="454"/>
      </w:pPr>
      <w:rPr>
        <w:rFonts w:hint="default"/>
        <w:lang w:val="en-AU" w:eastAsia="en-AU" w:bidi="en-AU"/>
      </w:rPr>
    </w:lvl>
    <w:lvl w:ilvl="8" w:tplc="38068684">
      <w:numFmt w:val="bullet"/>
      <w:lvlText w:val="•"/>
      <w:lvlJc w:val="left"/>
      <w:pPr>
        <w:ind w:left="7325" w:hanging="454"/>
      </w:pPr>
      <w:rPr>
        <w:rFonts w:hint="default"/>
        <w:lang w:val="en-AU" w:eastAsia="en-AU" w:bidi="en-AU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15CD2"/>
    <w:rsid w:val="00615CD2"/>
    <w:rsid w:val="00B2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81744E4-843A-4955-B51A-B0963BF3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538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spacing w:line="244" w:lineRule="exact"/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96" w:hanging="285"/>
    </w:pPr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Parliamentary Budget Office</dc:creator>
  <cp:lastModifiedBy>Kuo, Suzy (PBO)</cp:lastModifiedBy>
  <cp:revision>2</cp:revision>
  <dcterms:created xsi:type="dcterms:W3CDTF">2021-04-13T02:34:00Z</dcterms:created>
  <dcterms:modified xsi:type="dcterms:W3CDTF">2021-04-13T05:15:00Z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2021-04-13T00:00:00Z</vt:filetime>
  </property>
</Properties>
</file>