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22217" w14:textId="77777777" w:rsidR="00AA478E" w:rsidRDefault="00AA478E" w:rsidP="002636AE">
      <w:pPr>
        <w:pStyle w:val="Heading1"/>
        <w:spacing w:before="0"/>
      </w:pPr>
      <w:r w:rsidRPr="008D4FA9">
        <w:t>Policy costing</w:t>
      </w:r>
    </w:p>
    <w:tbl>
      <w:tblPr>
        <w:tblStyle w:val="PBOTable2-11pt"/>
        <w:tblW w:w="4992" w:type="pct"/>
        <w:tblLook w:val="0620" w:firstRow="1" w:lastRow="0" w:firstColumn="0" w:lastColumn="0" w:noHBand="1" w:noVBand="1"/>
      </w:tblPr>
      <w:tblGrid>
        <w:gridCol w:w="3537"/>
        <w:gridCol w:w="2764"/>
        <w:gridCol w:w="2736"/>
      </w:tblGrid>
      <w:tr w:rsidR="00AA478E" w:rsidRPr="004F5F28" w14:paraId="33BE5138" w14:textId="77777777" w:rsidTr="00D674A5">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18F2C00C" w14:textId="77777777" w:rsidR="00AA478E" w:rsidRPr="004F5F28" w:rsidRDefault="00200AAA" w:rsidP="002E0CD6">
            <w:pPr>
              <w:pStyle w:val="NameofProposal"/>
              <w:spacing w:before="120" w:line="260" w:lineRule="atLeast"/>
            </w:pPr>
            <w:r>
              <w:t>Ending Corporate Tax Avoidance</w:t>
            </w:r>
          </w:p>
        </w:tc>
      </w:tr>
      <w:tr w:rsidR="00AA478E" w:rsidRPr="004F5F28" w14:paraId="1D4E59D3" w14:textId="77777777" w:rsidTr="00D674A5">
        <w:tc>
          <w:tcPr>
            <w:tcW w:w="1957" w:type="pct"/>
          </w:tcPr>
          <w:p w14:paraId="273EA86A" w14:textId="77777777" w:rsidR="00AA478E" w:rsidRPr="004F5F28" w:rsidRDefault="00AA478E" w:rsidP="002E0CD6">
            <w:pPr>
              <w:spacing w:before="120" w:line="260" w:lineRule="atLeast"/>
            </w:pPr>
            <w:r w:rsidRPr="004F5F28">
              <w:t>Person/party requesting the costing:</w:t>
            </w:r>
          </w:p>
        </w:tc>
        <w:tc>
          <w:tcPr>
            <w:tcW w:w="3043" w:type="pct"/>
            <w:gridSpan w:val="2"/>
          </w:tcPr>
          <w:p w14:paraId="29CFA088" w14:textId="77777777" w:rsidR="00AA478E" w:rsidRPr="004F5F28" w:rsidRDefault="00EA5EB1" w:rsidP="002E0CD6">
            <w:pPr>
              <w:spacing w:before="120" w:line="260" w:lineRule="atLeast"/>
            </w:pPr>
            <w:sdt>
              <w:sdtPr>
                <w:alias w:val="Requestor"/>
                <w:tag w:val="Requestor"/>
                <w:id w:val="39022088"/>
                <w:placeholder>
                  <w:docPart w:val="F11328474D9249B9BAC13919A1D876D1"/>
                </w:placeholder>
                <w:dropDownList>
                  <w:listItem w:value="Choose an item."/>
                  <w:listItem w:displayText="Mr Adam Bandt MP, Australian Greens" w:value="Mr Adam Bandt MP, Australian Greens"/>
                  <w:listItem w:displayText="The Hon Anthony Albanese MP, Australian Labor Party" w:value="The Hon Anthony Albanese MP, Australian Labor Party"/>
                  <w:listItem w:displayText="The Hon Richard Marles MP, Australian Labor Party" w:value="The Hon Richard Marles MP, Australian Labor Party"/>
                  <w:listItem w:displayText="Dr Jim Chalmers MP, Australian Labor Party" w:value="Dr Jim Chalmers MP, Australian Labor Party"/>
                  <w:listItem w:displayText="Mr Stephen Jones MP, Australian Labor Party" w:value="Mr Stephen Jones MP, Australian Labor Party"/>
                  <w:listItem w:displayText="Senator Katy Gallagher, Australian Labor Party" w:value="Senator Katy Gallagher, Australian Labor Party"/>
                  <w:listItem w:displayText="The Hon Tanya Plibersek MP, Australian Labor Party" w:value="The Hon Tanya Plibersek MP, Australian Labor Party"/>
                  <w:listItem w:displayText="The Hon Linda Burney MP, Australian Labor Party" w:value="The Hon Linda Burney MP, Australian Labor Party"/>
                  <w:listItem w:displayText="Senator Jacqui Lambie, Jacqui Lambie Network" w:value="Senator Jacqui Lambie, Jacqui Lambie Network"/>
                  <w:listItem w:displayText="Mr Bert van Manen MP, Member for Forde" w:value="Mr Bert van Manen MP, Member for Forde"/>
                  <w:listItem w:displayText="Ms Rebekha Sharkie MP, Member for Mayo" w:value="Ms Rebekha Sharkie MP, Member for Mayo"/>
                  <w:listItem w:displayText="Senator Kimberley Kitching, Senator for Victoria" w:value="Senator Kimberley Kitching, Senator for Victoria"/>
                </w:dropDownList>
              </w:sdtPr>
              <w:sdtEndPr/>
              <w:sdtContent>
                <w:r w:rsidR="00200AAA">
                  <w:t>Mr Adam Bandt MP, Australian Greens</w:t>
                </w:r>
              </w:sdtContent>
            </w:sdt>
          </w:p>
        </w:tc>
      </w:tr>
      <w:tr w:rsidR="00AA478E" w:rsidRPr="004F5F28" w14:paraId="0A4147FB" w14:textId="77777777" w:rsidTr="00D674A5">
        <w:tc>
          <w:tcPr>
            <w:tcW w:w="1957" w:type="pct"/>
          </w:tcPr>
          <w:p w14:paraId="61D8B404" w14:textId="77777777" w:rsidR="00AA478E" w:rsidRPr="004F5F28" w:rsidRDefault="00AA478E" w:rsidP="002E0CD6">
            <w:pPr>
              <w:spacing w:before="120" w:line="260" w:lineRule="atLeast"/>
            </w:pPr>
            <w:r w:rsidRPr="004F5F28">
              <w:t>Date costing completed:</w:t>
            </w:r>
          </w:p>
        </w:tc>
        <w:tc>
          <w:tcPr>
            <w:tcW w:w="3043" w:type="pct"/>
            <w:gridSpan w:val="2"/>
          </w:tcPr>
          <w:p w14:paraId="517ED86A" w14:textId="77777777" w:rsidR="00AA478E" w:rsidRPr="004F5F28" w:rsidRDefault="008B5CED" w:rsidP="002E0CD6">
            <w:pPr>
              <w:spacing w:before="120" w:line="260" w:lineRule="atLeast"/>
            </w:pPr>
            <w:r>
              <w:t>4</w:t>
            </w:r>
            <w:r w:rsidR="00200AAA">
              <w:t xml:space="preserve"> November 2021</w:t>
            </w:r>
          </w:p>
        </w:tc>
      </w:tr>
      <w:tr w:rsidR="00AA478E" w:rsidRPr="004F5F28" w14:paraId="2BCDDE77" w14:textId="77777777" w:rsidTr="00D674A5">
        <w:tc>
          <w:tcPr>
            <w:tcW w:w="1957" w:type="pct"/>
          </w:tcPr>
          <w:p w14:paraId="05732A20" w14:textId="77777777" w:rsidR="00AA478E" w:rsidRPr="004F5F28" w:rsidRDefault="00AA478E" w:rsidP="002E0CD6">
            <w:pPr>
              <w:spacing w:before="120" w:line="260" w:lineRule="atLeast"/>
            </w:pPr>
            <w:r w:rsidRPr="004F5F28">
              <w:t>Expiry date of the costing:</w:t>
            </w:r>
          </w:p>
        </w:tc>
        <w:tc>
          <w:tcPr>
            <w:tcW w:w="3043" w:type="pct"/>
            <w:gridSpan w:val="2"/>
          </w:tcPr>
          <w:p w14:paraId="2E23BB1C" w14:textId="77777777" w:rsidR="00AA478E" w:rsidRPr="004F5F28" w:rsidRDefault="00AA478E" w:rsidP="002E0CD6">
            <w:pPr>
              <w:spacing w:before="120" w:line="260" w:lineRule="atLeast"/>
            </w:pPr>
            <w:r w:rsidRPr="004F5F28">
              <w:t>Release of the next economic and fiscal outlook report.</w:t>
            </w:r>
          </w:p>
        </w:tc>
      </w:tr>
      <w:tr w:rsidR="00AA478E" w:rsidRPr="004F5F28" w14:paraId="3C331D68" w14:textId="77777777" w:rsidTr="00D674A5">
        <w:tc>
          <w:tcPr>
            <w:tcW w:w="1957" w:type="pct"/>
            <w:vMerge w:val="restart"/>
          </w:tcPr>
          <w:p w14:paraId="13DC450A" w14:textId="77777777" w:rsidR="00AA478E" w:rsidRPr="004F5F28" w:rsidRDefault="00AA478E" w:rsidP="002E0CD6">
            <w:pPr>
              <w:spacing w:before="120" w:line="260" w:lineRule="atLeast"/>
            </w:pPr>
            <w:r w:rsidRPr="004F5F28">
              <w:t>Status at time of request:</w:t>
            </w:r>
          </w:p>
        </w:tc>
        <w:tc>
          <w:tcPr>
            <w:tcW w:w="3043" w:type="pct"/>
            <w:gridSpan w:val="2"/>
          </w:tcPr>
          <w:p w14:paraId="045140E4" w14:textId="77777777" w:rsidR="00AA478E" w:rsidRPr="004F5F28" w:rsidRDefault="00AA478E" w:rsidP="002E0CD6">
            <w:pPr>
              <w:spacing w:before="120" w:line="260" w:lineRule="atLeast"/>
            </w:pPr>
            <w:r w:rsidRPr="004F5F28">
              <w:t>Submitted outside the caretaker period</w:t>
            </w:r>
          </w:p>
        </w:tc>
      </w:tr>
      <w:tr w:rsidR="00AA478E" w:rsidRPr="004F5F28" w14:paraId="487755F3" w14:textId="77777777" w:rsidTr="00D674A5">
        <w:tc>
          <w:tcPr>
            <w:tcW w:w="1957" w:type="pct"/>
            <w:vMerge/>
          </w:tcPr>
          <w:p w14:paraId="0FFBE990" w14:textId="77777777" w:rsidR="00AA478E" w:rsidRPr="004F5F28" w:rsidRDefault="00AA478E" w:rsidP="002E0CD6">
            <w:pPr>
              <w:spacing w:before="120" w:line="260" w:lineRule="atLeast"/>
            </w:pPr>
          </w:p>
        </w:tc>
        <w:tc>
          <w:tcPr>
            <w:tcW w:w="1529" w:type="pct"/>
          </w:tcPr>
          <w:p w14:paraId="4E3BF76D" w14:textId="77777777" w:rsidR="00AA478E" w:rsidRPr="004F5F28" w:rsidRDefault="00EA5EB1" w:rsidP="002E0CD6">
            <w:pPr>
              <w:spacing w:before="120" w:line="260" w:lineRule="atLeast"/>
            </w:pPr>
            <w:sdt>
              <w:sdtPr>
                <w:id w:val="-901915855"/>
                <w14:checkbox>
                  <w14:checked w14:val="1"/>
                  <w14:checkedState w14:val="2612" w14:font="MS Gothic"/>
                  <w14:uncheckedState w14:val="2610" w14:font="MS Gothic"/>
                </w14:checkbox>
              </w:sdtPr>
              <w:sdtEndPr/>
              <w:sdtContent>
                <w:r w:rsidR="00200AAA">
                  <w:rPr>
                    <w:rFonts w:ascii="MS Gothic" w:eastAsia="MS Gothic" w:hAnsi="MS Gothic" w:hint="eastAsia"/>
                  </w:rPr>
                  <w:t>☒</w:t>
                </w:r>
              </w:sdtContent>
            </w:sdt>
            <w:r w:rsidR="00AA478E" w:rsidRPr="004F5F28">
              <w:t xml:space="preserve"> Confidential</w:t>
            </w:r>
          </w:p>
        </w:tc>
        <w:tc>
          <w:tcPr>
            <w:tcW w:w="1514" w:type="pct"/>
          </w:tcPr>
          <w:p w14:paraId="6D9000B0" w14:textId="77777777" w:rsidR="00AA478E" w:rsidRPr="004F5F28" w:rsidRDefault="00EA5EB1" w:rsidP="002E0CD6">
            <w:pPr>
              <w:spacing w:before="120" w:line="260" w:lineRule="atLeast"/>
            </w:pPr>
            <w:sdt>
              <w:sdtPr>
                <w:id w:val="1635065970"/>
                <w14:checkbox>
                  <w14:checked w14:val="0"/>
                  <w14:checkedState w14:val="2612" w14:font="MS Gothic"/>
                  <w14:uncheckedState w14:val="2610" w14:font="MS Gothic"/>
                </w14:checkbox>
              </w:sdtPr>
              <w:sdtEndPr/>
              <w:sdtContent>
                <w:r w:rsidR="0002159A">
                  <w:rPr>
                    <w:rFonts w:ascii="MS Gothic" w:eastAsia="MS Gothic" w:hAnsi="MS Gothic" w:hint="eastAsia"/>
                  </w:rPr>
                  <w:t>☐</w:t>
                </w:r>
              </w:sdtContent>
            </w:sdt>
            <w:r w:rsidR="00AA478E" w:rsidRPr="004F5F28">
              <w:t xml:space="preserve"> Not confidential</w:t>
            </w:r>
          </w:p>
        </w:tc>
      </w:tr>
      <w:tr w:rsidR="00AA478E" w:rsidRPr="004F5F28" w14:paraId="7472D127" w14:textId="77777777" w:rsidTr="00D674A5">
        <w:tc>
          <w:tcPr>
            <w:tcW w:w="5000" w:type="pct"/>
            <w:gridSpan w:val="3"/>
          </w:tcPr>
          <w:p w14:paraId="2529286A" w14:textId="77777777" w:rsidR="00AA478E" w:rsidRDefault="00AA478E" w:rsidP="002E0CD6">
            <w:pPr>
              <w:spacing w:before="120" w:line="260" w:lineRule="atLeast"/>
            </w:pPr>
            <w:r w:rsidRPr="004F5F28">
              <w:t>Summary of proposal:</w:t>
            </w:r>
          </w:p>
          <w:p w14:paraId="37003BE1" w14:textId="77777777" w:rsidR="009B7B7E" w:rsidRDefault="009B7B7E" w:rsidP="009B7B7E">
            <w:pPr>
              <w:spacing w:before="120" w:line="260" w:lineRule="atLeast"/>
            </w:pPr>
            <w:r>
              <w:t xml:space="preserve">The proposal consists of </w:t>
            </w:r>
            <w:r w:rsidR="004D5134">
              <w:t>six</w:t>
            </w:r>
            <w:r>
              <w:t xml:space="preserve"> components.</w:t>
            </w:r>
          </w:p>
          <w:p w14:paraId="1F060A9F" w14:textId="77777777" w:rsidR="009B7B7E" w:rsidRDefault="009B7B7E" w:rsidP="009B7B7E">
            <w:pPr>
              <w:spacing w:before="120" w:line="260" w:lineRule="atLeast"/>
              <w:rPr>
                <w:b/>
                <w:bCs/>
              </w:rPr>
            </w:pPr>
            <w:r>
              <w:rPr>
                <w:b/>
                <w:bCs/>
              </w:rPr>
              <w:t>Component 1: Deny royalty tax deductions to</w:t>
            </w:r>
            <w:r>
              <w:t xml:space="preserve"> </w:t>
            </w:r>
            <w:r w:rsidRPr="00F210E5">
              <w:rPr>
                <w:b/>
              </w:rPr>
              <w:t>Significant Global Entities (SGEs) for related party transactions</w:t>
            </w:r>
            <w:r>
              <w:rPr>
                <w:b/>
                <w:bCs/>
              </w:rPr>
              <w:t>.</w:t>
            </w:r>
          </w:p>
          <w:p w14:paraId="45D22E1C" w14:textId="77777777" w:rsidR="009B7B7E" w:rsidRDefault="009B7B7E" w:rsidP="009B7B7E">
            <w:pPr>
              <w:spacing w:line="260" w:lineRule="atLeast"/>
            </w:pPr>
            <w:r>
              <w:t>Deny SGEs a tax deduction for royalties for the use of, or right to use, intellectual property within Australia, when either:</w:t>
            </w:r>
          </w:p>
          <w:p w14:paraId="2B3FB26D" w14:textId="77777777" w:rsidR="009B7B7E" w:rsidRDefault="009B7B7E" w:rsidP="009B7B7E">
            <w:pPr>
              <w:pStyle w:val="ListParagraph"/>
              <w:numPr>
                <w:ilvl w:val="0"/>
                <w:numId w:val="22"/>
              </w:numPr>
              <w:spacing w:line="260" w:lineRule="atLeast"/>
              <w:ind w:left="359"/>
            </w:pPr>
            <w:r>
              <w:t>the royalties are paid to a related party</w:t>
            </w:r>
          </w:p>
          <w:p w14:paraId="45ACD9A9" w14:textId="77777777" w:rsidR="009B7B7E" w:rsidRDefault="009B7B7E" w:rsidP="009B7B7E">
            <w:pPr>
              <w:pStyle w:val="ListParagraph"/>
              <w:numPr>
                <w:ilvl w:val="0"/>
                <w:numId w:val="22"/>
              </w:numPr>
              <w:spacing w:line="260" w:lineRule="atLeast"/>
              <w:ind w:left="359"/>
            </w:pPr>
            <w:r>
              <w:t>the party to which they are paid is in a jurisdiction that provides preferential tax treatment for intellectual property royalties.</w:t>
            </w:r>
          </w:p>
          <w:p w14:paraId="13270EF9" w14:textId="77777777" w:rsidR="009B7B7E" w:rsidRDefault="009B7B7E" w:rsidP="009B7B7E">
            <w:pPr>
              <w:spacing w:before="120" w:line="260" w:lineRule="atLeast"/>
              <w:rPr>
                <w:b/>
                <w:bCs/>
              </w:rPr>
            </w:pPr>
            <w:r>
              <w:rPr>
                <w:b/>
                <w:bCs/>
              </w:rPr>
              <w:t>Component 2: Change thin capitalisation rules.</w:t>
            </w:r>
          </w:p>
          <w:p w14:paraId="5C76337B" w14:textId="77777777" w:rsidR="009B7B7E" w:rsidRDefault="009B7B7E" w:rsidP="009B7B7E">
            <w:pPr>
              <w:pStyle w:val="ListParagraph"/>
              <w:numPr>
                <w:ilvl w:val="0"/>
                <w:numId w:val="23"/>
              </w:numPr>
              <w:spacing w:line="260" w:lineRule="atLeast"/>
            </w:pPr>
            <w:r>
              <w:t xml:space="preserve">Remove the </w:t>
            </w:r>
            <w:r w:rsidRPr="003357A8">
              <w:t>‘safe harbour’ and ‘arm’s length’ debt tests, leaving only th</w:t>
            </w:r>
            <w:r>
              <w:t xml:space="preserve">e ‘worldwide gearing’ debt test. </w:t>
            </w:r>
          </w:p>
          <w:p w14:paraId="3DA1EB65" w14:textId="77777777" w:rsidR="009B7B7E" w:rsidRDefault="009B7B7E" w:rsidP="009B7B7E">
            <w:pPr>
              <w:spacing w:line="260" w:lineRule="atLeast"/>
              <w:rPr>
                <w:b/>
                <w:bCs/>
              </w:rPr>
            </w:pPr>
            <w:r>
              <w:rPr>
                <w:b/>
                <w:bCs/>
              </w:rPr>
              <w:t>Component 3: Improve public access to company reporting.</w:t>
            </w:r>
          </w:p>
          <w:p w14:paraId="07D0693F" w14:textId="5DCEAE60" w:rsidR="009B7B7E" w:rsidRDefault="009B7B7E" w:rsidP="009B7B7E">
            <w:pPr>
              <w:pStyle w:val="ListParagraph"/>
              <w:numPr>
                <w:ilvl w:val="0"/>
                <w:numId w:val="24"/>
              </w:numPr>
              <w:spacing w:before="0" w:line="260" w:lineRule="atLeast"/>
              <w:ind w:left="359"/>
            </w:pPr>
            <w:r>
              <w:t xml:space="preserve">Require currently ‘grandfathered’ large proprietary companies with assets greater than </w:t>
            </w:r>
            <w:r w:rsidR="008A4FA6">
              <w:br/>
            </w:r>
            <w:r>
              <w:t>$25 million and total income greater than $50 million to lodge financial reports.</w:t>
            </w:r>
          </w:p>
          <w:p w14:paraId="61624A69" w14:textId="77777777" w:rsidR="009B7B7E" w:rsidRDefault="009B7B7E" w:rsidP="009B7B7E">
            <w:pPr>
              <w:pStyle w:val="ListParagraph"/>
              <w:numPr>
                <w:ilvl w:val="0"/>
                <w:numId w:val="24"/>
              </w:numPr>
              <w:spacing w:before="0" w:line="260" w:lineRule="atLeast"/>
              <w:ind w:left="359"/>
            </w:pPr>
            <w:r>
              <w:t xml:space="preserve">Abolish fees for the provision of company information and provide all company information through the </w:t>
            </w:r>
            <w:r w:rsidRPr="00990887">
              <w:t>Australian Secur</w:t>
            </w:r>
            <w:r>
              <w:t>ities and Investments Commission’s (ASIC) online public registers.</w:t>
            </w:r>
          </w:p>
          <w:p w14:paraId="12CD84A6" w14:textId="77777777" w:rsidR="009B7B7E" w:rsidRDefault="009B7B7E" w:rsidP="009B7B7E">
            <w:pPr>
              <w:spacing w:before="0" w:line="260" w:lineRule="atLeast"/>
              <w:rPr>
                <w:b/>
                <w:bCs/>
              </w:rPr>
            </w:pPr>
            <w:r>
              <w:rPr>
                <w:b/>
                <w:bCs/>
              </w:rPr>
              <w:t>Component 4: Denial of bad debt write-offs.</w:t>
            </w:r>
          </w:p>
          <w:p w14:paraId="71669A5C" w14:textId="77777777" w:rsidR="009B7B7E" w:rsidRDefault="009B7B7E" w:rsidP="009B7B7E">
            <w:pPr>
              <w:pStyle w:val="ListParagraph"/>
              <w:numPr>
                <w:ilvl w:val="0"/>
                <w:numId w:val="25"/>
              </w:numPr>
              <w:spacing w:before="0" w:line="260" w:lineRule="atLeast"/>
            </w:pPr>
            <w:r>
              <w:t>Deny creditors a tax deduction for a bad debt written-off, where the debtor is a related party.</w:t>
            </w:r>
          </w:p>
          <w:p w14:paraId="083CB542" w14:textId="77777777" w:rsidR="009B7B7E" w:rsidRDefault="009B7B7E" w:rsidP="009B7B7E">
            <w:pPr>
              <w:spacing w:before="0" w:line="260" w:lineRule="atLeast"/>
            </w:pPr>
            <w:r>
              <w:rPr>
                <w:b/>
                <w:bCs/>
              </w:rPr>
              <w:t>Component 5: Implement a w</w:t>
            </w:r>
            <w:r w:rsidRPr="006E550E">
              <w:rPr>
                <w:b/>
                <w:bCs/>
              </w:rPr>
              <w:t>ithholding tax on fixed trust cash distributions to non-residents</w:t>
            </w:r>
          </w:p>
          <w:p w14:paraId="1C0265F1" w14:textId="77777777" w:rsidR="009B7B7E" w:rsidRDefault="009B7B7E" w:rsidP="009B7B7E">
            <w:pPr>
              <w:pStyle w:val="ListParagraph"/>
              <w:numPr>
                <w:ilvl w:val="0"/>
                <w:numId w:val="25"/>
              </w:numPr>
              <w:spacing w:before="0" w:line="260" w:lineRule="atLeast"/>
            </w:pPr>
            <w:r>
              <w:t xml:space="preserve">Apply a minimum final withholding tax of 30% on fixed trust cash distributions to non-residents.  Non-residents would not be able to claim a refund of this withholding in Australia.  Distributions to non-residents paid out of managed investment trusts or collective investment vehicles would not be subject to the withholding tax.  </w:t>
            </w:r>
          </w:p>
          <w:p w14:paraId="230D9489" w14:textId="77777777" w:rsidR="009B7B7E" w:rsidRPr="00AE3D47" w:rsidRDefault="009B7B7E" w:rsidP="00A1741B">
            <w:pPr>
              <w:keepNext/>
              <w:keepLines/>
              <w:spacing w:before="0" w:line="260" w:lineRule="atLeast"/>
              <w:rPr>
                <w:b/>
                <w:bCs/>
              </w:rPr>
            </w:pPr>
            <w:r>
              <w:rPr>
                <w:b/>
                <w:bCs/>
              </w:rPr>
              <w:lastRenderedPageBreak/>
              <w:t>Component 6: Increase in promoter penalties.</w:t>
            </w:r>
            <w:r>
              <w:tab/>
            </w:r>
          </w:p>
          <w:p w14:paraId="5B081845" w14:textId="77777777" w:rsidR="009B7B7E" w:rsidRPr="00AA7451" w:rsidRDefault="009B7B7E" w:rsidP="00A1741B">
            <w:pPr>
              <w:pStyle w:val="ListParagraph"/>
              <w:keepNext/>
              <w:keepLines/>
              <w:numPr>
                <w:ilvl w:val="0"/>
                <w:numId w:val="25"/>
              </w:numPr>
              <w:spacing w:line="260" w:lineRule="atLeast"/>
              <w:ind w:left="357" w:hanging="357"/>
            </w:pPr>
            <w:r>
              <w:t>Double the promoter penalty associated with the promotion of tax avoidance schemes.</w:t>
            </w:r>
          </w:p>
          <w:p w14:paraId="6097FA5D" w14:textId="77777777" w:rsidR="009B7B7E" w:rsidRDefault="009B7B7E" w:rsidP="00A1741B">
            <w:pPr>
              <w:pStyle w:val="ListParagraph"/>
              <w:keepNext/>
              <w:keepLines/>
              <w:numPr>
                <w:ilvl w:val="0"/>
                <w:numId w:val="25"/>
              </w:numPr>
              <w:spacing w:before="120" w:line="260" w:lineRule="atLeast"/>
              <w:ind w:left="357" w:hanging="357"/>
            </w:pPr>
            <w:r>
              <w:t>Under this proposal the penalty units associated with violating the promoter laws would be:</w:t>
            </w:r>
          </w:p>
          <w:p w14:paraId="416C9FD2" w14:textId="77777777" w:rsidR="009B7B7E" w:rsidRDefault="009B7B7E" w:rsidP="00A1741B">
            <w:pPr>
              <w:pStyle w:val="Bullet2"/>
              <w:keepNext/>
              <w:keepLines/>
              <w:numPr>
                <w:ilvl w:val="1"/>
                <w:numId w:val="4"/>
              </w:numPr>
              <w:ind w:left="568"/>
            </w:pPr>
            <w:r>
              <w:t>10,000 penalty units for individuals</w:t>
            </w:r>
          </w:p>
          <w:p w14:paraId="7F3C138D" w14:textId="77777777" w:rsidR="009B7B7E" w:rsidRPr="00AE3D47" w:rsidRDefault="009B7B7E" w:rsidP="00A1741B">
            <w:pPr>
              <w:pStyle w:val="Bullet2"/>
              <w:keepNext/>
              <w:keepLines/>
              <w:numPr>
                <w:ilvl w:val="1"/>
                <w:numId w:val="4"/>
              </w:numPr>
              <w:ind w:left="568"/>
            </w:pPr>
            <w:r>
              <w:t>50,000 penalty units for companies.</w:t>
            </w:r>
          </w:p>
          <w:p w14:paraId="3EC70760" w14:textId="77777777" w:rsidR="0059282B" w:rsidRPr="00850EA0" w:rsidRDefault="009B7B7E" w:rsidP="009B7B7E">
            <w:pPr>
              <w:spacing w:before="120" w:line="260" w:lineRule="atLeast"/>
              <w:rPr>
                <w:color w:val="FF0000"/>
              </w:rPr>
            </w:pPr>
            <w:r>
              <w:t>The proposal would take effect from 1 July 2022.</w:t>
            </w:r>
          </w:p>
        </w:tc>
      </w:tr>
    </w:tbl>
    <w:p w14:paraId="73CEB8DB" w14:textId="77777777" w:rsidR="00AA478E" w:rsidRPr="009B33D1" w:rsidRDefault="00AA478E" w:rsidP="009B33D1">
      <w:pPr>
        <w:pStyle w:val="Heading2"/>
      </w:pPr>
      <w:r w:rsidRPr="009B33D1">
        <w:lastRenderedPageBreak/>
        <w:t>Costing overview</w:t>
      </w:r>
    </w:p>
    <w:p w14:paraId="5C9694C8" w14:textId="77777777" w:rsidR="008548D4" w:rsidRDefault="008548D4" w:rsidP="008548D4">
      <w:r>
        <w:t>The proposal would be expected to increase both the fiscal and underlying cash balances by around $</w:t>
      </w:r>
      <w:r w:rsidR="007B21FE">
        <w:t xml:space="preserve">926 </w:t>
      </w:r>
      <w:r>
        <w:t>million over the 2021-22 Budget forward estimates period.  This impact reflects an increase in revenue of $1,137.5 million and an increase in expenses of $211.</w:t>
      </w:r>
      <w:r w:rsidR="003D7592">
        <w:t>1</w:t>
      </w:r>
      <w:r>
        <w:t xml:space="preserve"> million over the 2021-22 Budget forward estimates period.</w:t>
      </w:r>
    </w:p>
    <w:p w14:paraId="17D693CD" w14:textId="77777777" w:rsidR="00FF78EF" w:rsidRPr="005D0A5F" w:rsidRDefault="00FF78EF" w:rsidP="00FF78EF">
      <w:r>
        <w:t xml:space="preserve">The proposal would be expected to have financial implications that extend beyond the 2021-22 Budget forward estimates period.  Financial implications </w:t>
      </w:r>
      <w:r w:rsidRPr="00C429B5">
        <w:t>(including separate PDI table</w:t>
      </w:r>
      <w:r>
        <w:t>s</w:t>
      </w:r>
      <w:r w:rsidRPr="00C429B5">
        <w:t>)</w:t>
      </w:r>
      <w:r w:rsidRPr="00B71F69">
        <w:t xml:space="preserve"> </w:t>
      </w:r>
      <w:r>
        <w:t xml:space="preserve">over the period to 2031-32 are provided at </w:t>
      </w:r>
      <w:r>
        <w:rPr>
          <w:u w:val="single"/>
        </w:rPr>
        <w:t>Attachment A</w:t>
      </w:r>
      <w:r>
        <w:t xml:space="preserve">.  </w:t>
      </w:r>
    </w:p>
    <w:p w14:paraId="1DF0DC77" w14:textId="77777777" w:rsidR="00AD2F14" w:rsidRDefault="00AD2F14" w:rsidP="00AD2F14">
      <w:r>
        <w:t xml:space="preserve">There is a significant level of uncertainty associated with each component of this proposal and the uncertainty in particular components drives significant uncertainty in the overall cost. </w:t>
      </w:r>
    </w:p>
    <w:p w14:paraId="3C469586" w14:textId="77777777" w:rsidR="00AD2F14" w:rsidRDefault="00AD2F14" w:rsidP="00AD2F14">
      <w:r>
        <w:t xml:space="preserve">Uncertainty of the estimate for Component </w:t>
      </w:r>
      <w:r w:rsidR="007B21FE">
        <w:t>2</w:t>
      </w:r>
      <w:r>
        <w:t xml:space="preserve"> arises from the interaction with the 2018-19 Budget measure, </w:t>
      </w:r>
      <w:r w:rsidRPr="008F5EDA">
        <w:rPr>
          <w:i/>
          <w:iCs/>
        </w:rPr>
        <w:t>Tax</w:t>
      </w:r>
      <w:r>
        <w:rPr>
          <w:i/>
          <w:iCs/>
        </w:rPr>
        <w:t xml:space="preserve"> integrity - thin capitalisation-valuation of assets and treatment of consolidated entities. </w:t>
      </w:r>
      <w:r>
        <w:t>More specifically, the extent to which the 2018-19 Budget measure will affect asset values and thereby the ability of entities to make debt interest deductions under thin capitalisation rules.</w:t>
      </w:r>
    </w:p>
    <w:p w14:paraId="7AE31CC7" w14:textId="10D24F04" w:rsidR="00AD2F14" w:rsidRDefault="00AD2F14" w:rsidP="00AD2F14">
      <w:pPr>
        <w:pStyle w:val="ListParagraph"/>
        <w:numPr>
          <w:ilvl w:val="0"/>
          <w:numId w:val="26"/>
        </w:numPr>
      </w:pPr>
      <w:r>
        <w:t xml:space="preserve">The Parliamentary Budget Office (PBO) has estimated this interaction effect as part of </w:t>
      </w:r>
      <w:r w:rsidR="00E34F78">
        <w:br/>
      </w:r>
      <w:r w:rsidR="00AF2F63">
        <w:t>C</w:t>
      </w:r>
      <w:r>
        <w:t xml:space="preserve">omponent </w:t>
      </w:r>
      <w:r w:rsidR="00E34F78">
        <w:t>2</w:t>
      </w:r>
      <w:r>
        <w:t>, assuming that the 2018-19 Budget tax integrity measure will have a positive impact on company tax revenues.</w:t>
      </w:r>
    </w:p>
    <w:p w14:paraId="75D3FC18" w14:textId="77777777" w:rsidR="00AD2F14" w:rsidRDefault="00AD2F14" w:rsidP="00AD2F14">
      <w:r>
        <w:t xml:space="preserve">Uncertainties arise from behavioural responses to Component 1 and </w:t>
      </w:r>
      <w:r w:rsidR="00E34F78">
        <w:t>2</w:t>
      </w:r>
      <w:r>
        <w:t xml:space="preserve"> as it is difficult to predict how and the extent to which companies will restructure their operations to minimise their income tax liabilities.</w:t>
      </w:r>
    </w:p>
    <w:p w14:paraId="607B2405" w14:textId="77777777" w:rsidR="00AD2F14" w:rsidRDefault="00AD2F14" w:rsidP="009B33D1">
      <w:pPr>
        <w:pStyle w:val="ListParagraph"/>
        <w:numPr>
          <w:ilvl w:val="0"/>
          <w:numId w:val="26"/>
        </w:numPr>
      </w:pPr>
      <w:r>
        <w:t>To account for these behavioural responses, the PBO has made several high-level adjustments to the tax base, although it should be noted that the actual magnitude of these responses remains highly uncertain in addition to their distribution across business entities.</w:t>
      </w:r>
      <w:bookmarkStart w:id="0" w:name="_Hlk63779408"/>
    </w:p>
    <w:p w14:paraId="6F21C508" w14:textId="4A47DC50" w:rsidR="00AD2F14" w:rsidRPr="00BD216D" w:rsidRDefault="00AD2F14" w:rsidP="009F02B9">
      <w:pPr>
        <w:pStyle w:val="Caption"/>
        <w:keepNext w:val="0"/>
        <w:rPr>
          <w:lang w:val="fr-FR"/>
        </w:rPr>
      </w:pPr>
      <w:r w:rsidRPr="00BD216D">
        <w:rPr>
          <w:lang w:val="fr-FR"/>
        </w:rPr>
        <w:t xml:space="preserve">Table </w:t>
      </w:r>
      <w:r>
        <w:rPr>
          <w:noProof/>
        </w:rPr>
        <w:fldChar w:fldCharType="begin"/>
      </w:r>
      <w:r>
        <w:rPr>
          <w:noProof/>
        </w:rPr>
        <w:instrText xml:space="preserve"> SEQ AppendixTable\s 8 </w:instrText>
      </w:r>
      <w:r>
        <w:rPr>
          <w:noProof/>
        </w:rPr>
        <w:fldChar w:fldCharType="separate"/>
      </w:r>
      <w:r w:rsidR="00842172">
        <w:rPr>
          <w:noProof/>
        </w:rPr>
        <w:t>1</w:t>
      </w:r>
      <w:r>
        <w:rPr>
          <w:noProof/>
        </w:rPr>
        <w:fldChar w:fldCharType="end"/>
      </w:r>
      <w:r w:rsidRPr="00BD216D">
        <w:rPr>
          <w:lang w:val="fr-FR"/>
        </w:rPr>
        <w:t>:</w:t>
      </w:r>
      <w:r>
        <w:rPr>
          <w:lang w:val="fr-FR"/>
        </w:rPr>
        <w:t xml:space="preserve"> </w:t>
      </w:r>
      <w:r w:rsidRPr="00BD216D">
        <w:rPr>
          <w:lang w:val="fr-FR"/>
        </w:rPr>
        <w:t>Financial implications ($m)</w:t>
      </w:r>
      <w:r>
        <w:rPr>
          <w:vertAlign w:val="superscript"/>
          <w:lang w:val="fr-FR"/>
        </w:rPr>
        <w:t>(a)</w:t>
      </w:r>
    </w:p>
    <w:tbl>
      <w:tblPr>
        <w:tblStyle w:val="LightGrid-Accent6"/>
        <w:tblW w:w="5000" w:type="pct"/>
        <w:tblLook w:val="0680" w:firstRow="0" w:lastRow="0" w:firstColumn="1" w:lastColumn="0" w:noHBand="1" w:noVBand="1"/>
      </w:tblPr>
      <w:tblGrid>
        <w:gridCol w:w="2674"/>
        <w:gridCol w:w="1276"/>
        <w:gridCol w:w="1276"/>
        <w:gridCol w:w="1276"/>
        <w:gridCol w:w="1276"/>
        <w:gridCol w:w="1273"/>
      </w:tblGrid>
      <w:tr w:rsidR="00AD2F14" w:rsidRPr="009B70E6" w14:paraId="2AD26161" w14:textId="77777777" w:rsidTr="00AA4175">
        <w:tc>
          <w:tcPr>
            <w:cnfStyle w:val="001000000000" w:firstRow="0" w:lastRow="0" w:firstColumn="1" w:lastColumn="0" w:oddVBand="0" w:evenVBand="0" w:oddHBand="0" w:evenHBand="0" w:firstRowFirstColumn="0" w:firstRowLastColumn="0" w:lastRowFirstColumn="0" w:lastRowLastColumn="0"/>
            <w:tcW w:w="1477" w:type="pct"/>
            <w:shd w:val="clear" w:color="auto" w:fill="A7B2D4" w:themeFill="background2" w:themeFillTint="66"/>
            <w:vAlign w:val="center"/>
          </w:tcPr>
          <w:p w14:paraId="7D90AF5A" w14:textId="77777777" w:rsidR="00AD2F14" w:rsidRPr="00BD216D" w:rsidRDefault="00AD2F14" w:rsidP="009F02B9">
            <w:pPr>
              <w:pStyle w:val="TableHeading"/>
              <w:keepNext w:val="0"/>
              <w:rPr>
                <w:b/>
                <w:sz w:val="22"/>
                <w:lang w:val="fr-FR"/>
              </w:rPr>
            </w:pPr>
          </w:p>
        </w:tc>
        <w:tc>
          <w:tcPr>
            <w:tcW w:w="705" w:type="pct"/>
            <w:shd w:val="clear" w:color="auto" w:fill="A7B2D4" w:themeFill="background2" w:themeFillTint="66"/>
            <w:vAlign w:val="center"/>
          </w:tcPr>
          <w:p w14:paraId="32A3FBD1" w14:textId="77777777" w:rsidR="00AD2F14" w:rsidRPr="00FB51F2" w:rsidRDefault="00AD2F14" w:rsidP="009F02B9">
            <w:pPr>
              <w:pStyle w:val="TableHeadingRight"/>
              <w:keepNext w:val="0"/>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sidRPr="00FB51F2">
              <w:rPr>
                <w:b w:val="0"/>
                <w:sz w:val="22"/>
              </w:rPr>
              <w:t>2021–22</w:t>
            </w:r>
          </w:p>
        </w:tc>
        <w:tc>
          <w:tcPr>
            <w:tcW w:w="705" w:type="pct"/>
            <w:shd w:val="clear" w:color="auto" w:fill="A7B2D4" w:themeFill="background2" w:themeFillTint="66"/>
            <w:vAlign w:val="center"/>
          </w:tcPr>
          <w:p w14:paraId="58005EF6" w14:textId="77777777" w:rsidR="00AD2F14" w:rsidRPr="00FB51F2" w:rsidRDefault="00AD2F14" w:rsidP="009F02B9">
            <w:pPr>
              <w:pStyle w:val="TableHeadingRight"/>
              <w:keepNext w:val="0"/>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sidRPr="00FB51F2">
              <w:rPr>
                <w:b w:val="0"/>
                <w:sz w:val="22"/>
              </w:rPr>
              <w:t>2022–23</w:t>
            </w:r>
          </w:p>
        </w:tc>
        <w:tc>
          <w:tcPr>
            <w:tcW w:w="705" w:type="pct"/>
            <w:shd w:val="clear" w:color="auto" w:fill="A7B2D4" w:themeFill="background2" w:themeFillTint="66"/>
            <w:vAlign w:val="center"/>
          </w:tcPr>
          <w:p w14:paraId="2147DBA3" w14:textId="77777777" w:rsidR="00AD2F14" w:rsidRPr="00FB51F2" w:rsidRDefault="00AD2F14" w:rsidP="009F02B9">
            <w:pPr>
              <w:pStyle w:val="TableHeadingRight"/>
              <w:keepNext w:val="0"/>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Pr>
                <w:b w:val="0"/>
                <w:sz w:val="22"/>
              </w:rPr>
              <w:t>2023–24</w:t>
            </w:r>
          </w:p>
        </w:tc>
        <w:tc>
          <w:tcPr>
            <w:tcW w:w="705" w:type="pct"/>
            <w:shd w:val="clear" w:color="auto" w:fill="A7B2D4" w:themeFill="background2" w:themeFillTint="66"/>
            <w:vAlign w:val="center"/>
          </w:tcPr>
          <w:p w14:paraId="5CC1AEA4" w14:textId="77777777" w:rsidR="00AD2F14" w:rsidRPr="00FB51F2" w:rsidRDefault="00AD2F14" w:rsidP="009F02B9">
            <w:pPr>
              <w:pStyle w:val="TableHeadingRight"/>
              <w:keepNext w:val="0"/>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Pr>
                <w:b w:val="0"/>
                <w:sz w:val="22"/>
              </w:rPr>
              <w:t>2024–25</w:t>
            </w:r>
          </w:p>
        </w:tc>
        <w:tc>
          <w:tcPr>
            <w:tcW w:w="703" w:type="pct"/>
            <w:shd w:val="clear" w:color="auto" w:fill="A7B2D4" w:themeFill="background2" w:themeFillTint="66"/>
            <w:vAlign w:val="center"/>
          </w:tcPr>
          <w:p w14:paraId="0D55ACC9" w14:textId="77777777" w:rsidR="00AD2F14" w:rsidRPr="00FB51F2" w:rsidRDefault="00AD2F14" w:rsidP="009F02B9">
            <w:pPr>
              <w:pStyle w:val="TableHeadingRight"/>
              <w:keepNext w:val="0"/>
              <w:keepLines w:val="0"/>
              <w:widowControl w:val="0"/>
              <w:cnfStyle w:val="000000000000" w:firstRow="0" w:lastRow="0" w:firstColumn="0" w:lastColumn="0" w:oddVBand="0" w:evenVBand="0" w:oddHBand="0" w:evenHBand="0" w:firstRowFirstColumn="0" w:firstRowLastColumn="0" w:lastRowFirstColumn="0" w:lastRowLastColumn="0"/>
              <w:rPr>
                <w:sz w:val="22"/>
              </w:rPr>
            </w:pPr>
            <w:r>
              <w:rPr>
                <w:sz w:val="22"/>
              </w:rPr>
              <w:t>Total to 2024–25</w:t>
            </w:r>
          </w:p>
        </w:tc>
      </w:tr>
      <w:tr w:rsidR="00AA4175" w:rsidRPr="009B70E6" w14:paraId="3D580772" w14:textId="77777777" w:rsidTr="00AA4175">
        <w:tc>
          <w:tcPr>
            <w:cnfStyle w:val="001000000000" w:firstRow="0" w:lastRow="0" w:firstColumn="1" w:lastColumn="0" w:oddVBand="0" w:evenVBand="0" w:oddHBand="0" w:evenHBand="0" w:firstRowFirstColumn="0" w:firstRowLastColumn="0" w:lastRowFirstColumn="0" w:lastRowLastColumn="0"/>
            <w:tcW w:w="1477" w:type="pct"/>
            <w:vAlign w:val="center"/>
          </w:tcPr>
          <w:p w14:paraId="63EE8F37" w14:textId="77777777" w:rsidR="00AA4175" w:rsidRPr="009B70E6" w:rsidRDefault="00AA4175" w:rsidP="009F02B9">
            <w:pPr>
              <w:pStyle w:val="TableHeading"/>
              <w:keepNext w:val="0"/>
              <w:rPr>
                <w:rFonts w:asciiTheme="majorHAnsi" w:hAnsiTheme="majorHAnsi"/>
                <w:b/>
                <w:sz w:val="22"/>
              </w:rPr>
            </w:pPr>
            <w:r w:rsidRPr="009B70E6">
              <w:rPr>
                <w:sz w:val="22"/>
              </w:rPr>
              <w:t>Fiscal balance</w:t>
            </w:r>
          </w:p>
        </w:tc>
        <w:tc>
          <w:tcPr>
            <w:tcW w:w="705" w:type="pct"/>
            <w:vAlign w:val="center"/>
          </w:tcPr>
          <w:p w14:paraId="51F92E09" w14:textId="77777777" w:rsidR="00AA4175" w:rsidRPr="009B70E6" w:rsidRDefault="00AA4175" w:rsidP="009F02B9">
            <w:pPr>
              <w:pStyle w:val="TableTextRigh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w:t>
            </w:r>
          </w:p>
        </w:tc>
        <w:tc>
          <w:tcPr>
            <w:tcW w:w="705" w:type="pct"/>
            <w:vAlign w:val="center"/>
          </w:tcPr>
          <w:p w14:paraId="5F67EF2D" w14:textId="77777777" w:rsidR="00AA4175" w:rsidRPr="009B70E6" w:rsidRDefault="00AA4175" w:rsidP="009F02B9">
            <w:pPr>
              <w:pStyle w:val="TableTextRigh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-69.0</w:t>
            </w:r>
          </w:p>
        </w:tc>
        <w:tc>
          <w:tcPr>
            <w:tcW w:w="705" w:type="pct"/>
            <w:vAlign w:val="center"/>
          </w:tcPr>
          <w:p w14:paraId="314F7E5F" w14:textId="77777777" w:rsidR="00AA4175" w:rsidRPr="009B70E6" w:rsidRDefault="00AA4175" w:rsidP="009F02B9">
            <w:pPr>
              <w:pStyle w:val="TableTextRigh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575.9</w:t>
            </w:r>
          </w:p>
        </w:tc>
        <w:tc>
          <w:tcPr>
            <w:tcW w:w="705" w:type="pct"/>
            <w:vAlign w:val="center"/>
          </w:tcPr>
          <w:p w14:paraId="51AFC100" w14:textId="77777777" w:rsidR="00AA4175" w:rsidRPr="009B70E6" w:rsidRDefault="00AA4175" w:rsidP="009F02B9">
            <w:pPr>
              <w:pStyle w:val="TableTextRigh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419.5</w:t>
            </w:r>
          </w:p>
        </w:tc>
        <w:tc>
          <w:tcPr>
            <w:tcW w:w="703" w:type="pct"/>
            <w:vAlign w:val="center"/>
          </w:tcPr>
          <w:p w14:paraId="5E8C0992" w14:textId="77777777" w:rsidR="00AA4175" w:rsidRPr="00DF65BA" w:rsidRDefault="00AA4175" w:rsidP="009F02B9">
            <w:pPr>
              <w:pStyle w:val="TableTextRightBold"/>
              <w:keepLines/>
              <w:cnfStyle w:val="000000000000" w:firstRow="0" w:lastRow="0" w:firstColumn="0" w:lastColumn="0" w:oddVBand="0" w:evenVBand="0" w:oddHBand="0" w:evenHBand="0" w:firstRowFirstColumn="0" w:firstRowLastColumn="0" w:lastRowFirstColumn="0" w:lastRowLastColumn="0"/>
              <w:rPr>
                <w:sz w:val="22"/>
              </w:rPr>
            </w:pPr>
            <w:r w:rsidRPr="00E74270">
              <w:rPr>
                <w:rFonts w:cs="Calibri"/>
                <w:color w:val="000000"/>
                <w:sz w:val="22"/>
              </w:rPr>
              <w:t xml:space="preserve">      926.4 </w:t>
            </w:r>
          </w:p>
        </w:tc>
      </w:tr>
      <w:tr w:rsidR="00AA4175" w:rsidRPr="009B70E6" w14:paraId="2E0F81D6" w14:textId="77777777" w:rsidTr="00AA4175">
        <w:tc>
          <w:tcPr>
            <w:cnfStyle w:val="001000000000" w:firstRow="0" w:lastRow="0" w:firstColumn="1" w:lastColumn="0" w:oddVBand="0" w:evenVBand="0" w:oddHBand="0" w:evenHBand="0" w:firstRowFirstColumn="0" w:firstRowLastColumn="0" w:lastRowFirstColumn="0" w:lastRowLastColumn="0"/>
            <w:tcW w:w="1477" w:type="pct"/>
            <w:vAlign w:val="center"/>
          </w:tcPr>
          <w:p w14:paraId="75227F58" w14:textId="77777777" w:rsidR="00AA4175" w:rsidRPr="009B70E6" w:rsidRDefault="00AA4175" w:rsidP="009F02B9">
            <w:pPr>
              <w:pStyle w:val="TableHeading"/>
              <w:keepNext w:val="0"/>
              <w:rPr>
                <w:b/>
                <w:sz w:val="22"/>
              </w:rPr>
            </w:pPr>
            <w:r w:rsidRPr="009B70E6">
              <w:rPr>
                <w:sz w:val="22"/>
              </w:rPr>
              <w:t>Underlying cash balance</w:t>
            </w:r>
          </w:p>
        </w:tc>
        <w:tc>
          <w:tcPr>
            <w:tcW w:w="705" w:type="pct"/>
            <w:vAlign w:val="center"/>
          </w:tcPr>
          <w:p w14:paraId="477C587E" w14:textId="77777777" w:rsidR="00AA4175" w:rsidRPr="009B70E6" w:rsidRDefault="00AA4175" w:rsidP="009F02B9">
            <w:pPr>
              <w:pStyle w:val="TableTextRigh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w:t>
            </w:r>
          </w:p>
        </w:tc>
        <w:tc>
          <w:tcPr>
            <w:tcW w:w="705" w:type="pct"/>
            <w:vAlign w:val="center"/>
          </w:tcPr>
          <w:p w14:paraId="085BA7A1" w14:textId="77777777" w:rsidR="00AA4175" w:rsidRPr="009B70E6" w:rsidRDefault="00AA4175" w:rsidP="009F02B9">
            <w:pPr>
              <w:pStyle w:val="TableTextRigh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-69.0</w:t>
            </w:r>
          </w:p>
        </w:tc>
        <w:tc>
          <w:tcPr>
            <w:tcW w:w="705" w:type="pct"/>
            <w:vAlign w:val="center"/>
          </w:tcPr>
          <w:p w14:paraId="3F3A7466" w14:textId="77777777" w:rsidR="00AA4175" w:rsidRPr="009B70E6" w:rsidRDefault="00AA4175" w:rsidP="009F02B9">
            <w:pPr>
              <w:pStyle w:val="TableTextRigh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575.9</w:t>
            </w:r>
          </w:p>
        </w:tc>
        <w:tc>
          <w:tcPr>
            <w:tcW w:w="705" w:type="pct"/>
            <w:vAlign w:val="center"/>
          </w:tcPr>
          <w:p w14:paraId="40904DA3" w14:textId="77777777" w:rsidR="00AA4175" w:rsidRPr="009B70E6" w:rsidRDefault="00AA4175" w:rsidP="009F02B9">
            <w:pPr>
              <w:pStyle w:val="TableTextRigh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419.5</w:t>
            </w:r>
          </w:p>
        </w:tc>
        <w:tc>
          <w:tcPr>
            <w:tcW w:w="703" w:type="pct"/>
            <w:vAlign w:val="center"/>
          </w:tcPr>
          <w:p w14:paraId="7AFF4538" w14:textId="77777777" w:rsidR="00AA4175" w:rsidRPr="00DF65BA" w:rsidRDefault="00AA4175" w:rsidP="009F02B9">
            <w:pPr>
              <w:pStyle w:val="TableTextRightBold"/>
              <w:keepLines/>
              <w:cnfStyle w:val="000000000000" w:firstRow="0" w:lastRow="0" w:firstColumn="0" w:lastColumn="0" w:oddVBand="0" w:evenVBand="0" w:oddHBand="0" w:evenHBand="0" w:firstRowFirstColumn="0" w:firstRowLastColumn="0" w:lastRowFirstColumn="0" w:lastRowLastColumn="0"/>
              <w:rPr>
                <w:sz w:val="22"/>
              </w:rPr>
            </w:pPr>
            <w:r w:rsidRPr="00E74270">
              <w:rPr>
                <w:rFonts w:cs="Calibri"/>
                <w:color w:val="000000"/>
                <w:sz w:val="22"/>
              </w:rPr>
              <w:t xml:space="preserve">      926.4 </w:t>
            </w:r>
          </w:p>
        </w:tc>
      </w:tr>
    </w:tbl>
    <w:p w14:paraId="23F4B866" w14:textId="77777777" w:rsidR="00AD2F14" w:rsidRDefault="00AD2F14" w:rsidP="009F02B9">
      <w:pPr>
        <w:pStyle w:val="PRRfootnote1"/>
        <w:keepNext w:val="0"/>
      </w:pPr>
      <w:r w:rsidRPr="00A162FE">
        <w:t>(a)</w:t>
      </w:r>
      <w:r w:rsidRPr="00A162FE">
        <w:tab/>
        <w:t>A positive number represents an increase in the relevant budget balance; a negative number represents a decrease.</w:t>
      </w:r>
    </w:p>
    <w:p w14:paraId="7E52E9BB" w14:textId="77777777" w:rsidR="00AD2F14" w:rsidRDefault="00AD2F14" w:rsidP="009F02B9">
      <w:pPr>
        <w:pStyle w:val="PRRfootnote1"/>
        <w:keepNext w:val="0"/>
        <w:rPr>
          <w:highlight w:val="green"/>
        </w:rPr>
      </w:pPr>
      <w:r w:rsidRPr="00AD2F14">
        <w:t>(b) PDI impacts are not included in the totals</w:t>
      </w:r>
    </w:p>
    <w:p w14:paraId="4DDDB27A" w14:textId="77777777" w:rsidR="00AD2F14" w:rsidRDefault="00AD2F14" w:rsidP="009F02B9">
      <w:pPr>
        <w:pStyle w:val="PRRfootnote1"/>
        <w:keepNext w:val="0"/>
        <w:numPr>
          <w:ilvl w:val="0"/>
          <w:numId w:val="27"/>
        </w:numPr>
        <w:ind w:left="284" w:hanging="284"/>
      </w:pPr>
      <w:r>
        <w:t>Indicates nil.</w:t>
      </w:r>
    </w:p>
    <w:p w14:paraId="4D14E2CA" w14:textId="77777777" w:rsidR="00FE3B13" w:rsidRPr="00D014E1" w:rsidRDefault="00FE3B13" w:rsidP="009B33D1">
      <w:pPr>
        <w:pStyle w:val="Heading2"/>
      </w:pPr>
      <w:r w:rsidRPr="00D014E1">
        <w:lastRenderedPageBreak/>
        <w:t>Key assumptions</w:t>
      </w:r>
    </w:p>
    <w:p w14:paraId="354D2B83" w14:textId="77777777" w:rsidR="006C3668" w:rsidRDefault="001C7A03" w:rsidP="00906BF7">
      <w:r>
        <w:t xml:space="preserve">The </w:t>
      </w:r>
      <w:r w:rsidR="00617691">
        <w:t>Parliamentary Budget Office</w:t>
      </w:r>
      <w:r>
        <w:t xml:space="preserve"> has made the following assumptions in costing this proposal.</w:t>
      </w:r>
    </w:p>
    <w:p w14:paraId="6C8B090B" w14:textId="77777777" w:rsidR="008C36B8" w:rsidRDefault="008C36B8" w:rsidP="008C36B8">
      <w:pPr>
        <w:pStyle w:val="Heading3"/>
      </w:pPr>
      <w:r>
        <w:t>Component 1</w:t>
      </w:r>
    </w:p>
    <w:p w14:paraId="2CE6DDA3" w14:textId="77777777" w:rsidR="008C36B8" w:rsidRDefault="008C36B8" w:rsidP="008C36B8">
      <w:pPr>
        <w:pStyle w:val="ListParagraph"/>
        <w:numPr>
          <w:ilvl w:val="0"/>
          <w:numId w:val="28"/>
        </w:numPr>
        <w:spacing w:after="0"/>
      </w:pPr>
      <w:r>
        <w:t>Royalty deductions would grow in line with the gross operating surplus (GOS) of corporate entities and gross mixed income (GMI) growth.</w:t>
      </w:r>
    </w:p>
    <w:p w14:paraId="2FD18CC2" w14:textId="77777777" w:rsidR="008C36B8" w:rsidRDefault="008C36B8" w:rsidP="008C36B8">
      <w:pPr>
        <w:pStyle w:val="ListParagraph"/>
        <w:numPr>
          <w:ilvl w:val="0"/>
          <w:numId w:val="28"/>
        </w:numPr>
        <w:spacing w:after="0"/>
      </w:pPr>
      <w:r>
        <w:t>Affected companies would restructure their finances to minimise paying additional tax on royalty payments.</w:t>
      </w:r>
    </w:p>
    <w:p w14:paraId="1511C073" w14:textId="77777777" w:rsidR="008C36B8" w:rsidRDefault="008C36B8" w:rsidP="008C36B8">
      <w:pPr>
        <w:pStyle w:val="Heading3"/>
      </w:pPr>
      <w:r>
        <w:t>Component 2</w:t>
      </w:r>
    </w:p>
    <w:p w14:paraId="6510CAAD" w14:textId="77777777" w:rsidR="008C36B8" w:rsidRDefault="008C36B8" w:rsidP="008C36B8">
      <w:pPr>
        <w:pStyle w:val="ListParagraph"/>
        <w:numPr>
          <w:ilvl w:val="0"/>
          <w:numId w:val="29"/>
        </w:numPr>
        <w:spacing w:after="0"/>
      </w:pPr>
      <w:r>
        <w:t>Debt interest deductions subject to thin capitalisation rules would increase by 5% each year.</w:t>
      </w:r>
    </w:p>
    <w:p w14:paraId="503C32F4" w14:textId="77777777" w:rsidR="008C36B8" w:rsidRDefault="008C36B8" w:rsidP="008C36B8">
      <w:pPr>
        <w:pStyle w:val="ListParagraph"/>
        <w:numPr>
          <w:ilvl w:val="0"/>
          <w:numId w:val="29"/>
        </w:numPr>
        <w:spacing w:after="0"/>
      </w:pPr>
      <w:r>
        <w:t>In the year 2022-23, 10% of affected companies would find alternate financing strategies in response to the proposal, rising by an additional 2% of affected companies each subsequent year.</w:t>
      </w:r>
    </w:p>
    <w:p w14:paraId="307B87E5" w14:textId="77777777" w:rsidR="008C36B8" w:rsidRDefault="008C36B8" w:rsidP="008C36B8">
      <w:pPr>
        <w:pStyle w:val="Heading3"/>
      </w:pPr>
      <w:r>
        <w:t>Component 3</w:t>
      </w:r>
    </w:p>
    <w:p w14:paraId="0E191A16" w14:textId="77777777" w:rsidR="008C36B8" w:rsidRDefault="008C36B8" w:rsidP="008C36B8">
      <w:pPr>
        <w:pStyle w:val="Heading4"/>
      </w:pPr>
      <w:r>
        <w:t>Removal of AISC ‘grandfathering’ provisions for large proprietary companies</w:t>
      </w:r>
    </w:p>
    <w:p w14:paraId="740A72D0" w14:textId="77777777" w:rsidR="008C36B8" w:rsidRDefault="008C36B8" w:rsidP="008C36B8">
      <w:pPr>
        <w:pStyle w:val="ListParagraph"/>
        <w:numPr>
          <w:ilvl w:val="0"/>
          <w:numId w:val="30"/>
        </w:numPr>
        <w:ind w:left="357" w:hanging="357"/>
      </w:pPr>
      <w:r>
        <w:t>Grandfathering provisions would apply to 17% of large proprietary corporations.</w:t>
      </w:r>
    </w:p>
    <w:p w14:paraId="4FE397F0" w14:textId="77777777" w:rsidR="008C36B8" w:rsidRDefault="008C36B8" w:rsidP="008C36B8">
      <w:pPr>
        <w:pStyle w:val="ListParagraph"/>
        <w:numPr>
          <w:ilvl w:val="0"/>
          <w:numId w:val="30"/>
        </w:numPr>
        <w:ind w:left="357" w:hanging="357"/>
      </w:pPr>
      <w:r>
        <w:t>Departmental costs per financial document lodged would be included in existing ASIC fees and would not be passed on to affected companies under the proposal.</w:t>
      </w:r>
    </w:p>
    <w:p w14:paraId="6948AE1F" w14:textId="77777777" w:rsidR="008C36B8" w:rsidRDefault="008C36B8" w:rsidP="008C36B8">
      <w:pPr>
        <w:pStyle w:val="ListParagraph"/>
        <w:numPr>
          <w:ilvl w:val="0"/>
          <w:numId w:val="30"/>
        </w:numPr>
        <w:ind w:left="357" w:hanging="357"/>
      </w:pPr>
      <w:r>
        <w:t>Manual intervention would be required for 10% of financial report lodgements.</w:t>
      </w:r>
    </w:p>
    <w:p w14:paraId="244CD698" w14:textId="77777777" w:rsidR="008C36B8" w:rsidRDefault="008C36B8" w:rsidP="008C36B8">
      <w:pPr>
        <w:pStyle w:val="Heading4"/>
      </w:pPr>
      <w:r>
        <w:t>Removal of ASIC search fees</w:t>
      </w:r>
    </w:p>
    <w:p w14:paraId="32D15E4F" w14:textId="77777777" w:rsidR="008C36B8" w:rsidRDefault="008C36B8" w:rsidP="008C36B8">
      <w:pPr>
        <w:pStyle w:val="ListParagraph"/>
        <w:numPr>
          <w:ilvl w:val="0"/>
          <w:numId w:val="31"/>
        </w:numPr>
        <w:spacing w:after="0"/>
      </w:pPr>
      <w:r>
        <w:t>Search fees would grow in line with CPI in the absence of the proposal.</w:t>
      </w:r>
    </w:p>
    <w:p w14:paraId="251BD56B" w14:textId="77777777" w:rsidR="008C36B8" w:rsidRDefault="008C36B8" w:rsidP="008C36B8">
      <w:pPr>
        <w:pStyle w:val="ListParagraph"/>
        <w:numPr>
          <w:ilvl w:val="0"/>
          <w:numId w:val="31"/>
        </w:numPr>
        <w:spacing w:after="0"/>
      </w:pPr>
      <w:r>
        <w:t>ASIC would employ an additional nine full-time equivalent staff to administer this component.</w:t>
      </w:r>
    </w:p>
    <w:p w14:paraId="37D71FBF" w14:textId="77777777" w:rsidR="008C36B8" w:rsidRDefault="008C36B8" w:rsidP="008C36B8">
      <w:pPr>
        <w:pStyle w:val="Bullet2"/>
        <w:numPr>
          <w:ilvl w:val="1"/>
          <w:numId w:val="4"/>
        </w:numPr>
        <w:ind w:left="568"/>
      </w:pPr>
      <w:r>
        <w:t>These figures are based on the current staffing profiles of the business area responsible for registry services as reported in ASIC’s 2019-20 annual report.</w:t>
      </w:r>
    </w:p>
    <w:p w14:paraId="52E9ACDD" w14:textId="77777777" w:rsidR="008C36B8" w:rsidRDefault="008C36B8" w:rsidP="008C36B8">
      <w:pPr>
        <w:pStyle w:val="Heading3"/>
      </w:pPr>
      <w:r>
        <w:t>Component 4</w:t>
      </w:r>
    </w:p>
    <w:p w14:paraId="69998940" w14:textId="77777777" w:rsidR="008C36B8" w:rsidRDefault="008C36B8" w:rsidP="008C36B8">
      <w:pPr>
        <w:pStyle w:val="ListParagraph"/>
        <w:numPr>
          <w:ilvl w:val="0"/>
          <w:numId w:val="32"/>
        </w:numPr>
        <w:spacing w:after="0"/>
      </w:pPr>
      <w:r>
        <w:t>The amount of total bad debt deductions would not change materially over the medium term as a result of behavioural responses to the component.</w:t>
      </w:r>
    </w:p>
    <w:p w14:paraId="42335CD4" w14:textId="77777777" w:rsidR="008C36B8" w:rsidRDefault="008C36B8" w:rsidP="008C36B8">
      <w:pPr>
        <w:pStyle w:val="ListParagraph"/>
        <w:numPr>
          <w:ilvl w:val="0"/>
          <w:numId w:val="32"/>
        </w:numPr>
        <w:spacing w:after="0"/>
      </w:pPr>
      <w:r>
        <w:t>The proportion of deductions related to bad debts from related parties would not materially change over time.</w:t>
      </w:r>
    </w:p>
    <w:p w14:paraId="477CFF2A" w14:textId="77777777" w:rsidR="008C36B8" w:rsidRDefault="008C36B8" w:rsidP="008C36B8">
      <w:pPr>
        <w:pStyle w:val="Heading3"/>
      </w:pPr>
      <w:r>
        <w:t>Component 5</w:t>
      </w:r>
    </w:p>
    <w:p w14:paraId="2155D968" w14:textId="77777777" w:rsidR="008C36B8" w:rsidRDefault="008C36B8" w:rsidP="008C36B8">
      <w:pPr>
        <w:pStyle w:val="ListParagraph"/>
        <w:numPr>
          <w:ilvl w:val="0"/>
          <w:numId w:val="33"/>
        </w:numPr>
        <w:spacing w:after="0"/>
      </w:pPr>
      <w:r>
        <w:t>Fixed trust distributions paid to non-residents in the 2021-22 Budget forward estimates period would grow in line with nominal gross domestic product.</w:t>
      </w:r>
    </w:p>
    <w:p w14:paraId="75823AE0" w14:textId="77777777" w:rsidR="008C36B8" w:rsidRDefault="008C36B8" w:rsidP="008C36B8">
      <w:pPr>
        <w:pStyle w:val="Heading3"/>
      </w:pPr>
      <w:r>
        <w:t>Component 6</w:t>
      </w:r>
    </w:p>
    <w:p w14:paraId="2019AA40" w14:textId="77777777" w:rsidR="008C36B8" w:rsidRPr="00BE4577" w:rsidRDefault="008C36B8" w:rsidP="008C36B8">
      <w:pPr>
        <w:pStyle w:val="ListParagraph"/>
        <w:numPr>
          <w:ilvl w:val="0"/>
          <w:numId w:val="34"/>
        </w:numPr>
        <w:spacing w:after="0"/>
      </w:pPr>
      <w:r>
        <w:t>There would be a behavioural response associated with this proposal.  The value of fines levied would decrease by 0.5% after the increase in penalties.</w:t>
      </w:r>
    </w:p>
    <w:p w14:paraId="13A50AEE" w14:textId="77777777" w:rsidR="00FE3B13" w:rsidRPr="00D014E1" w:rsidRDefault="00FE3B13" w:rsidP="009B33D1">
      <w:pPr>
        <w:pStyle w:val="Heading2"/>
      </w:pPr>
      <w:r w:rsidRPr="00D014E1">
        <w:lastRenderedPageBreak/>
        <w:t>Methodology</w:t>
      </w:r>
    </w:p>
    <w:p w14:paraId="3DA11059" w14:textId="77777777" w:rsidR="00E56F1E" w:rsidRDefault="00E56F1E" w:rsidP="00E56F1E">
      <w:pPr>
        <w:pStyle w:val="Heading3"/>
      </w:pPr>
      <w:r>
        <w:t>Component 1</w:t>
      </w:r>
    </w:p>
    <w:p w14:paraId="66FCEF89" w14:textId="77777777" w:rsidR="00E56F1E" w:rsidRDefault="00E56F1E" w:rsidP="00E56F1E">
      <w:r>
        <w:t>Revenue from the denial of royalty deductions for SGEs was estimated by calculating the increase in taxable income from the royalty deductions denied.  This was done using data on historical deductions made by SGEs under the existing rules.</w:t>
      </w:r>
      <w:r w:rsidDel="000A7275">
        <w:t xml:space="preserve"> </w:t>
      </w:r>
      <w:r>
        <w:t>The proportion of additional tax revenue was then calculated.  The figures were then projected into the medium term using the growth in gross operating surplus in corporations and GMI.</w:t>
      </w:r>
    </w:p>
    <w:p w14:paraId="107E465F" w14:textId="77777777" w:rsidR="00E56F1E" w:rsidRDefault="00E56F1E" w:rsidP="00E56F1E">
      <w:r>
        <w:t>Information on historical royalty deductions, taxable income and tax payable for SGEs was provided by the Australian Taxation Office (ATO).  Medium term projections for the GOS of corporate entities and GMI was provided by the Department of the Treasury.</w:t>
      </w:r>
    </w:p>
    <w:p w14:paraId="575E57B1" w14:textId="77777777" w:rsidR="00E56F1E" w:rsidRDefault="00E56F1E" w:rsidP="00E56F1E">
      <w:pPr>
        <w:pStyle w:val="Heading3"/>
      </w:pPr>
      <w:r>
        <w:t xml:space="preserve">Component </w:t>
      </w:r>
      <w:r w:rsidR="00FB6106">
        <w:t>2</w:t>
      </w:r>
    </w:p>
    <w:p w14:paraId="59570F72" w14:textId="77777777" w:rsidR="00E56F1E" w:rsidRDefault="00E56F1E" w:rsidP="00E56F1E">
      <w:r>
        <w:t>Revenue from the removal of the ‘safe harbour’ and ‘arm</w:t>
      </w:r>
      <w:r w:rsidR="00D97957">
        <w:t>’</w:t>
      </w:r>
      <w:r>
        <w:t>s length’ thin capitalisation tests was estimated by calculating the level of allowable debt under the remaining ‘worldwide gearing’ test and using this to determine the amount of additional debt interest deductions that would be denied under the proposal.  The figures were then projected into the medium-term using Treasury parameters before the additional company tax revenue was calculated.</w:t>
      </w:r>
    </w:p>
    <w:p w14:paraId="7BF862B3" w14:textId="77777777" w:rsidR="00E56F1E" w:rsidRDefault="00E56F1E" w:rsidP="00E56F1E">
      <w:r>
        <w:t xml:space="preserve">The interaction effect between Component </w:t>
      </w:r>
      <w:r w:rsidR="00E34F78">
        <w:t>2</w:t>
      </w:r>
      <w:r>
        <w:t xml:space="preserve"> and the 2018-19 Budget Measure, </w:t>
      </w:r>
      <w:r>
        <w:rPr>
          <w:i/>
          <w:iCs/>
        </w:rPr>
        <w:t xml:space="preserve">Tax integrity – thin capitalisation – valuation of assets and treatment of consolidated </w:t>
      </w:r>
      <w:r>
        <w:t>entities was then calculated and added to the total.</w:t>
      </w:r>
    </w:p>
    <w:p w14:paraId="02EF6883" w14:textId="77777777" w:rsidR="00E56F1E" w:rsidRDefault="00E56F1E" w:rsidP="00E56F1E">
      <w:pPr>
        <w:pStyle w:val="Heading3"/>
      </w:pPr>
      <w:r w:rsidRPr="00433847">
        <w:t xml:space="preserve">Component </w:t>
      </w:r>
      <w:r w:rsidR="00FB6106">
        <w:t>3</w:t>
      </w:r>
    </w:p>
    <w:p w14:paraId="35892A41" w14:textId="77777777" w:rsidR="00E56F1E" w:rsidRDefault="00E56F1E" w:rsidP="00E56F1E">
      <w:pPr>
        <w:pStyle w:val="Heading4"/>
      </w:pPr>
      <w:r>
        <w:t>Removal of ASIC ‘grandfathering’ provisions for large proprietary companies</w:t>
      </w:r>
    </w:p>
    <w:p w14:paraId="6A26D016" w14:textId="77777777" w:rsidR="00E56F1E" w:rsidRDefault="00E56F1E" w:rsidP="00E56F1E">
      <w:r>
        <w:t>Departmental costs for the removal of grandfathering provisions were estimated using the approximate cost per document lodgement and multiplying this by the number of affected businesses.  The total cost is then multiplied by the percentage of lodgements requiring manual intervention.  These estimates were then projected into the medium term using the wage cost index.</w:t>
      </w:r>
    </w:p>
    <w:p w14:paraId="6E09CFFB" w14:textId="77777777" w:rsidR="00E56F1E" w:rsidRDefault="00E56F1E" w:rsidP="00E56F1E">
      <w:pPr>
        <w:pStyle w:val="Heading4"/>
      </w:pPr>
      <w:r>
        <w:t xml:space="preserve">Removal of ASIC search fees </w:t>
      </w:r>
    </w:p>
    <w:p w14:paraId="097CB0EB" w14:textId="77777777" w:rsidR="00E56F1E" w:rsidRDefault="00E56F1E" w:rsidP="00E56F1E">
      <w:r>
        <w:t>Administered expenses from the removal of search fees were estimated by taking the historical proportion of search fee revenue in combined search fee and fine revenue and multiplying this by the combined revenue estimated over the Budget forward estimates period.  This figure was projected into the medium-term using CPI.  Associated departmental costs were estimated based on our assessment of the additional staff required by ASIC and existing staffing profiles.  These costs were projected into the medium term using the wage cost index.</w:t>
      </w:r>
    </w:p>
    <w:p w14:paraId="0F9BEE08" w14:textId="77777777" w:rsidR="00E56F1E" w:rsidRDefault="00E56F1E" w:rsidP="00E56F1E">
      <w:r>
        <w:t xml:space="preserve">Information on the number of large proprietary companies under ‘grandfathering’ provisions was derived from the Australian Bureau of Statistics’ (ABS) publication Counts of Australian Businesses, Entries and Exits and ATO company income tax returns. </w:t>
      </w:r>
    </w:p>
    <w:p w14:paraId="6C076765" w14:textId="77777777" w:rsidR="00E56F1E" w:rsidRDefault="00E56F1E" w:rsidP="00E56F1E">
      <w:pPr>
        <w:pStyle w:val="Heading3"/>
      </w:pPr>
      <w:r>
        <w:t xml:space="preserve">Component </w:t>
      </w:r>
      <w:r w:rsidR="00FB6106">
        <w:t>4</w:t>
      </w:r>
    </w:p>
    <w:p w14:paraId="73167A42" w14:textId="77777777" w:rsidR="00A82926" w:rsidRDefault="00E56F1E" w:rsidP="00E56F1E">
      <w:r>
        <w:t>The ATO</w:t>
      </w:r>
      <w:r w:rsidR="00D97957">
        <w:t xml:space="preserve">’s </w:t>
      </w:r>
      <w:r w:rsidR="00D97957" w:rsidRPr="00063FD4">
        <w:rPr>
          <w:i/>
          <w:iCs/>
        </w:rPr>
        <w:t>2018-19</w:t>
      </w:r>
      <w:r w:rsidRPr="00063FD4">
        <w:rPr>
          <w:i/>
          <w:iCs/>
        </w:rPr>
        <w:t xml:space="preserve"> </w:t>
      </w:r>
      <w:r w:rsidR="00D97957" w:rsidRPr="00063FD4">
        <w:rPr>
          <w:i/>
          <w:iCs/>
        </w:rPr>
        <w:t>Taxation</w:t>
      </w:r>
      <w:r w:rsidRPr="00063FD4">
        <w:rPr>
          <w:i/>
          <w:iCs/>
        </w:rPr>
        <w:t xml:space="preserve"> </w:t>
      </w:r>
      <w:r w:rsidR="00D97957" w:rsidRPr="00063FD4">
        <w:rPr>
          <w:i/>
          <w:iCs/>
        </w:rPr>
        <w:t>Statistics</w:t>
      </w:r>
      <w:r w:rsidR="00D97957">
        <w:t xml:space="preserve"> </w:t>
      </w:r>
      <w:r>
        <w:t xml:space="preserve">contains data on the quantum of bad debts held by companies.  The level of bad debts was averaged from 2012-13 to 2018-19.  The companies that are already covered by the </w:t>
      </w:r>
      <w:r w:rsidR="00D97957">
        <w:t>m</w:t>
      </w:r>
      <w:r>
        <w:t xml:space="preserve">ultinational </w:t>
      </w:r>
      <w:r w:rsidR="00D97957">
        <w:t>a</w:t>
      </w:r>
      <w:r>
        <w:t>nti-</w:t>
      </w:r>
      <w:r w:rsidR="00D97957">
        <w:t>a</w:t>
      </w:r>
      <w:r>
        <w:t xml:space="preserve">voidance </w:t>
      </w:r>
      <w:r w:rsidR="00D97957">
        <w:t>l</w:t>
      </w:r>
      <w:r>
        <w:t xml:space="preserve">aw are removed, the level of bad debt was multiplied by the percentage attributable to related party debt and then the proportion of bad debt to be included </w:t>
      </w:r>
      <w:r>
        <w:lastRenderedPageBreak/>
        <w:t>in the lender’s assessable income.  The additional taxable income was multiplied by the corporate tax rate to give the cost of this proposal.</w:t>
      </w:r>
    </w:p>
    <w:p w14:paraId="405D3DD2" w14:textId="77777777" w:rsidR="00A82926" w:rsidRDefault="00A82926" w:rsidP="00A82926">
      <w:pPr>
        <w:pStyle w:val="Heading3"/>
      </w:pPr>
      <w:r>
        <w:t>Component 5</w:t>
      </w:r>
    </w:p>
    <w:p w14:paraId="54198744" w14:textId="77777777" w:rsidR="00A82926" w:rsidRDefault="00A82926" w:rsidP="00A82926">
      <w:pPr>
        <w:pStyle w:val="BodyText"/>
      </w:pPr>
      <w:r>
        <w:t>The ATO provided a dataset of distributions by trusts to non-residents by payment type for the 201</w:t>
      </w:r>
      <w:r w:rsidR="00671672">
        <w:t>9</w:t>
      </w:r>
      <w:r>
        <w:noBreakHyphen/>
      </w:r>
      <w:r w:rsidR="00671672">
        <w:t>20</w:t>
      </w:r>
      <w:r>
        <w:t xml:space="preserve"> financial year.  </w:t>
      </w:r>
    </w:p>
    <w:p w14:paraId="72671DB5" w14:textId="77777777" w:rsidR="00A82926" w:rsidRDefault="00A82926" w:rsidP="00A82926">
      <w:pPr>
        <w:pStyle w:val="BodyText"/>
      </w:pPr>
      <w:r>
        <w:t xml:space="preserve">The amount of additional withholding tax was calculated based on the ATO file and the above assumptions. </w:t>
      </w:r>
    </w:p>
    <w:p w14:paraId="78EB9911" w14:textId="77777777" w:rsidR="00A82926" w:rsidRDefault="00A82926" w:rsidP="00A82926">
      <w:pPr>
        <w:pStyle w:val="BodyText"/>
      </w:pPr>
      <w:r>
        <w:t>Estimated additional annual withholding tax revenue was then calculated based on 30 per cent of gross distributions for the 201</w:t>
      </w:r>
      <w:r w:rsidR="00671672">
        <w:t xml:space="preserve">9-20 </w:t>
      </w:r>
      <w:r>
        <w:t>financial year.  The additional revenue was projected over the 20</w:t>
      </w:r>
      <w:r w:rsidR="00671672">
        <w:t>21-22</w:t>
      </w:r>
      <w:r>
        <w:t> Budget forward estimates period taking into account economic growth and the timing of tax collections.</w:t>
      </w:r>
    </w:p>
    <w:p w14:paraId="015C2C2C" w14:textId="77777777" w:rsidR="00E56F1E" w:rsidRDefault="00E56F1E" w:rsidP="00E56F1E">
      <w:pPr>
        <w:pStyle w:val="Heading3"/>
      </w:pPr>
      <w:r>
        <w:t xml:space="preserve">Component </w:t>
      </w:r>
      <w:r w:rsidR="00FB6106">
        <w:t>6</w:t>
      </w:r>
    </w:p>
    <w:p w14:paraId="4817455D" w14:textId="77777777" w:rsidR="00E56F1E" w:rsidRDefault="00E56F1E" w:rsidP="00E56F1E">
      <w:r>
        <w:t xml:space="preserve">The total fine revenue was estimated by averaging reported fine revenue over 2015-16 to 2017-18. The baseline fine revenues were grown out using the </w:t>
      </w:r>
      <w:r w:rsidR="009F02B9">
        <w:t>medium-term</w:t>
      </w:r>
      <w:r>
        <w:t xml:space="preserve"> estimates for CPI.  The value of fines levied were scaled by the change in policy after accounting for the behavioural response and compared to the baseline fine revenue to give the cost of the component.</w:t>
      </w:r>
    </w:p>
    <w:p w14:paraId="3FCCCF29" w14:textId="77777777" w:rsidR="005467E2" w:rsidRDefault="00E56F1E" w:rsidP="00E56F1E">
      <w:r>
        <w:t>Financial implications for all components were rounded consistent with the PBO’s rounding rules as outlined on the PBO Costings and budget information webpage</w:t>
      </w:r>
      <w:r>
        <w:rPr>
          <w:rStyle w:val="FootnoteReference"/>
        </w:rPr>
        <w:footnoteReference w:id="1"/>
      </w:r>
      <w:r>
        <w:t>.  </w:t>
      </w:r>
    </w:p>
    <w:p w14:paraId="0216D772" w14:textId="77777777" w:rsidR="00FE3B13" w:rsidRPr="00D014E1" w:rsidRDefault="00FE3B13" w:rsidP="009B33D1">
      <w:pPr>
        <w:pStyle w:val="Heading2"/>
      </w:pPr>
      <w:r w:rsidRPr="00D014E1">
        <w:t>Data sources</w:t>
      </w:r>
    </w:p>
    <w:p w14:paraId="4153DAF9" w14:textId="77777777" w:rsidR="00FB6106" w:rsidRDefault="00FB6106" w:rsidP="00FB6106">
      <w:pPr>
        <w:pStyle w:val="Bullet1"/>
        <w:numPr>
          <w:ilvl w:val="0"/>
          <w:numId w:val="0"/>
        </w:numPr>
        <w:rPr>
          <w:color w:val="auto"/>
        </w:rPr>
      </w:pPr>
      <w:r>
        <w:rPr>
          <w:color w:val="auto"/>
        </w:rPr>
        <w:t xml:space="preserve">Australian Bureau of Statistics, 2021.  </w:t>
      </w:r>
      <w:r>
        <w:rPr>
          <w:i/>
          <w:iCs/>
          <w:color w:val="auto"/>
        </w:rPr>
        <w:t>Counts of Australian Businesses, including entries and exits, July 2016 – June 2021.</w:t>
      </w:r>
      <w:r>
        <w:rPr>
          <w:color w:val="auto"/>
        </w:rPr>
        <w:t xml:space="preserve">  Australian Bureau of Statistics, </w:t>
      </w:r>
      <w:r w:rsidRPr="007C1D5D">
        <w:rPr>
          <w:color w:val="auto"/>
        </w:rPr>
        <w:t>Canberra, Commonwealth of Australia.</w:t>
      </w:r>
    </w:p>
    <w:p w14:paraId="490462E4" w14:textId="77777777" w:rsidR="00FB6106" w:rsidRDefault="00FB6106" w:rsidP="00FB6106">
      <w:pPr>
        <w:pStyle w:val="Bullet1"/>
        <w:numPr>
          <w:ilvl w:val="0"/>
          <w:numId w:val="0"/>
        </w:numPr>
      </w:pPr>
      <w:r w:rsidRPr="00990887">
        <w:t>Australian Secur</w:t>
      </w:r>
      <w:r>
        <w:t xml:space="preserve">ities and Investments Commission, 2019.  </w:t>
      </w:r>
      <w:r w:rsidRPr="00115220">
        <w:rPr>
          <w:i/>
          <w:iCs/>
        </w:rPr>
        <w:t>2019-20</w:t>
      </w:r>
      <w:r>
        <w:t xml:space="preserve"> </w:t>
      </w:r>
      <w:r>
        <w:rPr>
          <w:i/>
          <w:iCs/>
        </w:rPr>
        <w:t>Annual report.</w:t>
      </w:r>
      <w:r>
        <w:t xml:space="preserve"> Available at: &lt;</w:t>
      </w:r>
      <w:r w:rsidRPr="00F173DF">
        <w:t>https://asic.gov.au/about-asic/corporate-publications/asic-annual-reports/</w:t>
      </w:r>
      <w:r>
        <w:t xml:space="preserve">&gt; [Accessed 28 October 2021]. </w:t>
      </w:r>
    </w:p>
    <w:p w14:paraId="4852ACE7" w14:textId="77777777" w:rsidR="00FB6106" w:rsidRDefault="00FB6106" w:rsidP="00FB6106">
      <w:pPr>
        <w:pStyle w:val="Bullet1"/>
        <w:numPr>
          <w:ilvl w:val="0"/>
          <w:numId w:val="0"/>
        </w:numPr>
      </w:pPr>
      <w:r w:rsidRPr="00990887">
        <w:t>Australian Secur</w:t>
      </w:r>
      <w:r>
        <w:t xml:space="preserve">ities and Investments Commission, 2021.  </w:t>
      </w:r>
      <w:r>
        <w:rPr>
          <w:i/>
          <w:iCs/>
        </w:rPr>
        <w:t>Fees for commonly lodged documents.</w:t>
      </w:r>
      <w:r>
        <w:t xml:space="preserve"> Available at: &lt;</w:t>
      </w:r>
      <w:r w:rsidRPr="00F718E1">
        <w:t xml:space="preserve"> </w:t>
      </w:r>
      <w:r w:rsidRPr="00987382">
        <w:t>https://asic.gov.au/for-business/payments-fees-and-invoices/asic-fees/fees-for-commonly-lodged-documents/</w:t>
      </w:r>
      <w:r>
        <w:t>&gt;</w:t>
      </w:r>
      <w:r w:rsidRPr="00F718E1">
        <w:t xml:space="preserve"> </w:t>
      </w:r>
      <w:r>
        <w:t xml:space="preserve">[Accessed 28 October 2021]. </w:t>
      </w:r>
    </w:p>
    <w:p w14:paraId="26BFFF39" w14:textId="77777777" w:rsidR="00FB6106" w:rsidRDefault="00FB6106" w:rsidP="00FB6106">
      <w:pPr>
        <w:pStyle w:val="BodyText"/>
      </w:pPr>
      <w:r>
        <w:t xml:space="preserve">The </w:t>
      </w:r>
      <w:r w:rsidRPr="00903445">
        <w:t>A</w:t>
      </w:r>
      <w:r>
        <w:t xml:space="preserve">ustralian </w:t>
      </w:r>
      <w:r w:rsidRPr="00903445">
        <w:t>T</w:t>
      </w:r>
      <w:r>
        <w:t xml:space="preserve">axation </w:t>
      </w:r>
      <w:r w:rsidRPr="00903445">
        <w:t>O</w:t>
      </w:r>
      <w:r>
        <w:t>ffice provided a complete dataset of non-resident royalty payments by significant global entities for the 2016-17 and 2017</w:t>
      </w:r>
      <w:r>
        <w:noBreakHyphen/>
        <w:t>18 financial years.</w:t>
      </w:r>
    </w:p>
    <w:p w14:paraId="2EAEF75D" w14:textId="77777777" w:rsidR="00FB6106" w:rsidRDefault="00FB6106" w:rsidP="00FB6106">
      <w:pPr>
        <w:pStyle w:val="Bullet1"/>
        <w:numPr>
          <w:ilvl w:val="0"/>
          <w:numId w:val="0"/>
        </w:numPr>
      </w:pPr>
      <w:r>
        <w:t>The Australian Taxation Office provided de-identified information from the</w:t>
      </w:r>
      <w:r w:rsidDel="00BB6C51">
        <w:t xml:space="preserve"> </w:t>
      </w:r>
      <w:r>
        <w:t xml:space="preserve">International Dealings Schedule for the period 2016-17 through to 2019-20. </w:t>
      </w:r>
    </w:p>
    <w:p w14:paraId="09547378" w14:textId="77777777" w:rsidR="00FB6106" w:rsidRDefault="00FB6106" w:rsidP="00FB6106">
      <w:pPr>
        <w:pStyle w:val="BodyText"/>
      </w:pPr>
      <w:r w:rsidRPr="00355FCA">
        <w:t>The Australian Taxation Office provided a dataset of non-resident trust fund payments and withholdings for the 20</w:t>
      </w:r>
      <w:r>
        <w:t xml:space="preserve">18-19 </w:t>
      </w:r>
      <w:r w:rsidRPr="00355FCA">
        <w:t>financial year.</w:t>
      </w:r>
    </w:p>
    <w:p w14:paraId="07DE7D6B" w14:textId="77777777" w:rsidR="00FB6106" w:rsidRDefault="00FB6106" w:rsidP="00FB6106">
      <w:pPr>
        <w:pStyle w:val="BodyText"/>
      </w:pPr>
      <w:r>
        <w:t xml:space="preserve">The </w:t>
      </w:r>
      <w:r w:rsidRPr="00903445">
        <w:t>A</w:t>
      </w:r>
      <w:r>
        <w:t xml:space="preserve">ustralian </w:t>
      </w:r>
      <w:r w:rsidRPr="00903445">
        <w:t>T</w:t>
      </w:r>
      <w:r>
        <w:t xml:space="preserve">axation </w:t>
      </w:r>
      <w:r w:rsidRPr="00903445">
        <w:t>O</w:t>
      </w:r>
      <w:r>
        <w:t>ffice</w:t>
      </w:r>
      <w:r w:rsidRPr="00771BC3">
        <w:t>, 20</w:t>
      </w:r>
      <w:r>
        <w:t>20</w:t>
      </w:r>
      <w:r w:rsidRPr="00771BC3">
        <w:t xml:space="preserve">. </w:t>
      </w:r>
      <w:r w:rsidRPr="00771BC3">
        <w:rPr>
          <w:i/>
        </w:rPr>
        <w:t>Taxation Statistics 201</w:t>
      </w:r>
      <w:r>
        <w:rPr>
          <w:i/>
        </w:rPr>
        <w:t>8</w:t>
      </w:r>
      <w:r w:rsidRPr="00771BC3">
        <w:rPr>
          <w:i/>
        </w:rPr>
        <w:t>-1</w:t>
      </w:r>
      <w:r>
        <w:rPr>
          <w:i/>
        </w:rPr>
        <w:t>9</w:t>
      </w:r>
      <w:r w:rsidRPr="00771BC3">
        <w:t>, Canberra</w:t>
      </w:r>
      <w:r>
        <w:t>: Commonwealth of Australia</w:t>
      </w:r>
      <w:r w:rsidRPr="00771BC3">
        <w:t>.</w:t>
      </w:r>
    </w:p>
    <w:p w14:paraId="7D7E1589" w14:textId="77777777" w:rsidR="00FB6106" w:rsidRDefault="00FB6106" w:rsidP="00FB6106">
      <w:pPr>
        <w:pStyle w:val="Bullet1"/>
        <w:numPr>
          <w:ilvl w:val="0"/>
          <w:numId w:val="0"/>
        </w:numPr>
        <w:ind w:left="284" w:hanging="284"/>
      </w:pPr>
      <w:r>
        <w:t xml:space="preserve">Commonwealth of Australia, 2019.  </w:t>
      </w:r>
      <w:r w:rsidRPr="008F3FA0">
        <w:rPr>
          <w:i/>
          <w:iCs/>
        </w:rPr>
        <w:t>2019-20 Budget</w:t>
      </w:r>
      <w:r>
        <w:t>.  Canberra, Commonwealth of Australia</w:t>
      </w:r>
      <w:r w:rsidRPr="008F3FA0">
        <w:rPr>
          <w:i/>
          <w:iCs/>
        </w:rPr>
        <w:t>.</w:t>
      </w:r>
      <w:r>
        <w:t xml:space="preserve"> </w:t>
      </w:r>
    </w:p>
    <w:p w14:paraId="690D144A" w14:textId="77777777" w:rsidR="00FB6106" w:rsidRDefault="00FB6106" w:rsidP="00FB6106">
      <w:pPr>
        <w:pStyle w:val="BodyText"/>
      </w:pPr>
      <w:r>
        <w:t xml:space="preserve">Commonwealth of Australia, 2018. </w:t>
      </w:r>
      <w:r>
        <w:rPr>
          <w:i/>
        </w:rPr>
        <w:t xml:space="preserve">2018-19 </w:t>
      </w:r>
      <w:r w:rsidRPr="00697791">
        <w:rPr>
          <w:i/>
        </w:rPr>
        <w:t>Budget</w:t>
      </w:r>
      <w:r>
        <w:t>, Canberra: Commonwealth of Australia.</w:t>
      </w:r>
    </w:p>
    <w:p w14:paraId="35D04DE6" w14:textId="77777777" w:rsidR="00FB6106" w:rsidRDefault="00FB6106" w:rsidP="00FB6106">
      <w:pPr>
        <w:pStyle w:val="BodyText"/>
      </w:pPr>
      <w:r>
        <w:lastRenderedPageBreak/>
        <w:t>Company level financial data were extracted from financial statements provided to the Australian Securities Exchange and the New York Stock Exchange.</w:t>
      </w:r>
      <w:r w:rsidRPr="005729AF">
        <w:t xml:space="preserve"> </w:t>
      </w:r>
    </w:p>
    <w:p w14:paraId="1349436E" w14:textId="77777777" w:rsidR="00FB6106" w:rsidRDefault="00FB6106" w:rsidP="00FB6106">
      <w:pPr>
        <w:pStyle w:val="Bullet1"/>
        <w:numPr>
          <w:ilvl w:val="0"/>
          <w:numId w:val="0"/>
        </w:numPr>
      </w:pPr>
      <w:r>
        <w:t xml:space="preserve">The Australian Taxation Office provided a de-identified sample of company tax returns for the 2018-19 financial year. </w:t>
      </w:r>
    </w:p>
    <w:p w14:paraId="7CAC8263" w14:textId="77777777" w:rsidR="006B56A7" w:rsidRDefault="00FB6106" w:rsidP="00FB6106">
      <w:pPr>
        <w:pStyle w:val="Bullet1"/>
        <w:numPr>
          <w:ilvl w:val="0"/>
          <w:numId w:val="0"/>
        </w:numPr>
        <w:rPr>
          <w:color w:val="auto"/>
        </w:rPr>
      </w:pPr>
      <w:r w:rsidRPr="00794E7E">
        <w:rPr>
          <w:color w:val="auto"/>
        </w:rPr>
        <w:t xml:space="preserve">The Department of </w:t>
      </w:r>
      <w:r>
        <w:rPr>
          <w:color w:val="auto"/>
        </w:rPr>
        <w:t xml:space="preserve">the </w:t>
      </w:r>
      <w:r w:rsidRPr="00794E7E">
        <w:rPr>
          <w:color w:val="auto"/>
        </w:rPr>
        <w:t xml:space="preserve">Treasury provided </w:t>
      </w:r>
      <w:r>
        <w:rPr>
          <w:color w:val="auto"/>
        </w:rPr>
        <w:t>forecasts of economic parameters as at the 2021-22 Budget.</w:t>
      </w:r>
    </w:p>
    <w:p w14:paraId="01130F59" w14:textId="77777777" w:rsidR="006B56A7" w:rsidRDefault="006B56A7" w:rsidP="00FB6106">
      <w:pPr>
        <w:pStyle w:val="Bullet1"/>
        <w:numPr>
          <w:ilvl w:val="0"/>
          <w:numId w:val="0"/>
        </w:numPr>
        <w:rPr>
          <w:color w:val="auto"/>
        </w:rPr>
      </w:pPr>
    </w:p>
    <w:p w14:paraId="534074B7" w14:textId="77777777" w:rsidR="006B56A7" w:rsidRDefault="006B56A7" w:rsidP="00FB6106">
      <w:pPr>
        <w:pStyle w:val="Bullet1"/>
        <w:numPr>
          <w:ilvl w:val="0"/>
          <w:numId w:val="0"/>
        </w:numPr>
        <w:rPr>
          <w:color w:val="auto"/>
        </w:rPr>
      </w:pPr>
    </w:p>
    <w:p w14:paraId="6ACA70D6" w14:textId="77777777" w:rsidR="005D2248" w:rsidRPr="00087777" w:rsidRDefault="005D2248" w:rsidP="005D2248">
      <w:pPr>
        <w:sectPr w:rsidR="005D2248" w:rsidRPr="00087777" w:rsidSect="007C4069">
          <w:headerReference w:type="default" r:id="rId12"/>
          <w:footerReference w:type="default" r:id="rId13"/>
          <w:headerReference w:type="first" r:id="rId14"/>
          <w:footerReference w:type="first" r:id="rId15"/>
          <w:pgSz w:w="11907" w:h="16839" w:code="9"/>
          <w:pgMar w:top="907" w:right="1418" w:bottom="1134" w:left="1418" w:header="284" w:footer="454" w:gutter="0"/>
          <w:pgNumType w:start="1"/>
          <w:cols w:space="708"/>
          <w:formProt w:val="0"/>
          <w:titlePg/>
          <w:docGrid w:linePitch="360"/>
        </w:sectPr>
      </w:pPr>
    </w:p>
    <w:p w14:paraId="7357BDAC" w14:textId="77777777" w:rsidR="00087777" w:rsidRDefault="00F57CA2" w:rsidP="00087777">
      <w:pPr>
        <w:pStyle w:val="Heading8"/>
        <w:spacing w:before="240" w:after="120"/>
      </w:pPr>
      <w:r>
        <w:rPr>
          <w:noProof/>
        </w:rPr>
        <w:lastRenderedPageBreak/>
        <w:t>Ending corporate tax avoidance</w:t>
      </w:r>
      <w:r w:rsidR="00087777">
        <w:t xml:space="preserve"> </w:t>
      </w:r>
      <w:r w:rsidR="00EA1AD9">
        <w:t>– financial implications</w:t>
      </w:r>
    </w:p>
    <w:bookmarkEnd w:id="0"/>
    <w:p w14:paraId="08145A1C" w14:textId="745FF26F" w:rsidR="00F57CA2" w:rsidRDefault="00F57CA2" w:rsidP="00F57CA2">
      <w:pPr>
        <w:pStyle w:val="Caption"/>
        <w:widowControl w:val="0"/>
        <w:tabs>
          <w:tab w:val="left" w:pos="9356"/>
        </w:tabs>
        <w:rPr>
          <w:vertAlign w:val="superscript"/>
        </w:rPr>
      </w:pPr>
      <w:r w:rsidRPr="002D239A">
        <w:t xml:space="preserve">Table </w:t>
      </w:r>
      <w:r>
        <w:rPr>
          <w:noProof/>
        </w:rPr>
        <w:fldChar w:fldCharType="begin"/>
      </w:r>
      <w:r>
        <w:rPr>
          <w:noProof/>
        </w:rPr>
        <w:instrText xml:space="preserve"> STYLEREF 8 \s </w:instrText>
      </w:r>
      <w:r>
        <w:rPr>
          <w:noProof/>
        </w:rPr>
        <w:fldChar w:fldCharType="separate"/>
      </w:r>
      <w:r w:rsidR="00842172">
        <w:rPr>
          <w:noProof/>
        </w:rPr>
        <w:t>A</w:t>
      </w:r>
      <w:r>
        <w:rPr>
          <w:noProof/>
        </w:rPr>
        <w:fldChar w:fldCharType="end"/>
      </w:r>
      <w:r>
        <w:rPr>
          <w:noProof/>
        </w:rPr>
        <w:fldChar w:fldCharType="begin"/>
      </w:r>
      <w:r>
        <w:rPr>
          <w:noProof/>
        </w:rPr>
        <w:instrText xml:space="preserve"> SEQ AppendixTable\s 8 </w:instrText>
      </w:r>
      <w:r>
        <w:rPr>
          <w:noProof/>
        </w:rPr>
        <w:fldChar w:fldCharType="separate"/>
      </w:r>
      <w:r w:rsidR="00842172">
        <w:rPr>
          <w:noProof/>
        </w:rPr>
        <w:t>1</w:t>
      </w:r>
      <w:r>
        <w:rPr>
          <w:noProof/>
        </w:rPr>
        <w:fldChar w:fldCharType="end"/>
      </w:r>
      <w:r w:rsidRPr="002D239A">
        <w:t xml:space="preserve">: </w:t>
      </w:r>
      <w:r>
        <w:rPr>
          <w:noProof/>
        </w:rPr>
        <w:fldChar w:fldCharType="begin"/>
      </w:r>
      <w:r>
        <w:rPr>
          <w:noProof/>
        </w:rPr>
        <w:instrText xml:space="preserve"> STYLEREF  "Name of Proposal"  \* MERGEFORMAT </w:instrText>
      </w:r>
      <w:r>
        <w:rPr>
          <w:noProof/>
        </w:rPr>
        <w:fldChar w:fldCharType="separate"/>
      </w:r>
      <w:r w:rsidR="00842172">
        <w:rPr>
          <w:noProof/>
        </w:rPr>
        <w:t>Ending Corporate Tax Avoidance</w:t>
      </w:r>
      <w:r>
        <w:rPr>
          <w:noProof/>
        </w:rPr>
        <w:fldChar w:fldCharType="end"/>
      </w:r>
      <w:r>
        <w:t xml:space="preserve"> – </w:t>
      </w:r>
      <w:r w:rsidRPr="00E74270">
        <w:t>Ending corporate tax avoidance –</w:t>
      </w:r>
      <w:r>
        <w:t xml:space="preserve"> Fiscal and underlying cash balance ($m)</w:t>
      </w:r>
      <w:r>
        <w:rPr>
          <w:vertAlign w:val="superscript"/>
        </w:rPr>
        <w:t>(a)</w:t>
      </w:r>
    </w:p>
    <w:tbl>
      <w:tblPr>
        <w:tblStyle w:val="LightGrid-Accent6"/>
        <w:tblW w:w="4965" w:type="pct"/>
        <w:tblLayout w:type="fixed"/>
        <w:tblLook w:val="0680" w:firstRow="0" w:lastRow="0" w:firstColumn="1" w:lastColumn="0" w:noHBand="1" w:noVBand="1"/>
      </w:tblPr>
      <w:tblGrid>
        <w:gridCol w:w="3420"/>
        <w:gridCol w:w="837"/>
        <w:gridCol w:w="837"/>
        <w:gridCol w:w="837"/>
        <w:gridCol w:w="837"/>
        <w:gridCol w:w="837"/>
        <w:gridCol w:w="837"/>
        <w:gridCol w:w="837"/>
        <w:gridCol w:w="837"/>
        <w:gridCol w:w="836"/>
        <w:gridCol w:w="836"/>
        <w:gridCol w:w="836"/>
        <w:gridCol w:w="1033"/>
        <w:gridCol w:w="1018"/>
      </w:tblGrid>
      <w:tr w:rsidR="00F57CA2" w:rsidRPr="009F2A5C" w14:paraId="212D47F1" w14:textId="77777777" w:rsidTr="00F57CA2">
        <w:tc>
          <w:tcPr>
            <w:cnfStyle w:val="001000000000" w:firstRow="0" w:lastRow="0" w:firstColumn="1" w:lastColumn="0" w:oddVBand="0" w:evenVBand="0" w:oddHBand="0" w:evenHBand="0" w:firstRowFirstColumn="0" w:firstRowLastColumn="0" w:lastRowFirstColumn="0" w:lastRowLastColumn="0"/>
            <w:tcW w:w="1165" w:type="pct"/>
            <w:shd w:val="clear" w:color="auto" w:fill="A7B2D4" w:themeFill="background2" w:themeFillTint="66"/>
            <w:vAlign w:val="center"/>
          </w:tcPr>
          <w:p w14:paraId="0FD1A9EF" w14:textId="77777777" w:rsidR="00F57CA2" w:rsidRPr="009F2A5C" w:rsidRDefault="00F57CA2" w:rsidP="00F57CA2">
            <w:pPr>
              <w:pStyle w:val="TableHeading"/>
              <w:keepLines w:val="0"/>
              <w:widowControl w:val="0"/>
              <w:tabs>
                <w:tab w:val="left" w:pos="9356"/>
              </w:tabs>
              <w:spacing w:line="240" w:lineRule="auto"/>
              <w:ind w:left="-57" w:right="-57"/>
              <w:rPr>
                <w:rFonts w:asciiTheme="minorHAnsi" w:hAnsiTheme="minorHAnsi"/>
                <w:b/>
                <w:sz w:val="16"/>
                <w:szCs w:val="16"/>
              </w:rPr>
            </w:pPr>
          </w:p>
        </w:tc>
        <w:tc>
          <w:tcPr>
            <w:tcW w:w="285" w:type="pct"/>
            <w:shd w:val="clear" w:color="auto" w:fill="A7B2D4" w:themeFill="background2" w:themeFillTint="66"/>
            <w:vAlign w:val="center"/>
          </w:tcPr>
          <w:p w14:paraId="7970ED6B"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2021–22</w:t>
            </w:r>
          </w:p>
        </w:tc>
        <w:tc>
          <w:tcPr>
            <w:tcW w:w="285" w:type="pct"/>
            <w:shd w:val="clear" w:color="auto" w:fill="A7B2D4" w:themeFill="background2" w:themeFillTint="66"/>
            <w:vAlign w:val="center"/>
          </w:tcPr>
          <w:p w14:paraId="7C511987"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2022–23</w:t>
            </w:r>
          </w:p>
        </w:tc>
        <w:tc>
          <w:tcPr>
            <w:tcW w:w="285" w:type="pct"/>
            <w:shd w:val="clear" w:color="auto" w:fill="A7B2D4" w:themeFill="background2" w:themeFillTint="66"/>
            <w:vAlign w:val="center"/>
          </w:tcPr>
          <w:p w14:paraId="4E4D5364"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2023–24</w:t>
            </w:r>
          </w:p>
        </w:tc>
        <w:tc>
          <w:tcPr>
            <w:tcW w:w="285" w:type="pct"/>
            <w:shd w:val="clear" w:color="auto" w:fill="A7B2D4" w:themeFill="background2" w:themeFillTint="66"/>
            <w:vAlign w:val="center"/>
          </w:tcPr>
          <w:p w14:paraId="07850D35"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2024–25</w:t>
            </w:r>
          </w:p>
        </w:tc>
        <w:tc>
          <w:tcPr>
            <w:tcW w:w="285" w:type="pct"/>
            <w:shd w:val="clear" w:color="auto" w:fill="A7B2D4" w:themeFill="background2" w:themeFillTint="66"/>
            <w:vAlign w:val="center"/>
          </w:tcPr>
          <w:p w14:paraId="1658509F"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2025–26</w:t>
            </w:r>
          </w:p>
        </w:tc>
        <w:tc>
          <w:tcPr>
            <w:tcW w:w="285" w:type="pct"/>
            <w:shd w:val="clear" w:color="auto" w:fill="A7B2D4" w:themeFill="background2" w:themeFillTint="66"/>
            <w:vAlign w:val="center"/>
          </w:tcPr>
          <w:p w14:paraId="5519973D"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2026–27</w:t>
            </w:r>
          </w:p>
        </w:tc>
        <w:tc>
          <w:tcPr>
            <w:tcW w:w="285" w:type="pct"/>
            <w:shd w:val="clear" w:color="auto" w:fill="A7B2D4" w:themeFill="background2" w:themeFillTint="66"/>
            <w:vAlign w:val="center"/>
          </w:tcPr>
          <w:p w14:paraId="51CBD0D5"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2027–28</w:t>
            </w:r>
          </w:p>
        </w:tc>
        <w:tc>
          <w:tcPr>
            <w:tcW w:w="285" w:type="pct"/>
            <w:shd w:val="clear" w:color="auto" w:fill="A7B2D4" w:themeFill="background2" w:themeFillTint="66"/>
            <w:vAlign w:val="center"/>
          </w:tcPr>
          <w:p w14:paraId="131754C5"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2028–29</w:t>
            </w:r>
          </w:p>
        </w:tc>
        <w:tc>
          <w:tcPr>
            <w:tcW w:w="285" w:type="pct"/>
            <w:shd w:val="clear" w:color="auto" w:fill="A7B2D4" w:themeFill="background2" w:themeFillTint="66"/>
            <w:vAlign w:val="center"/>
          </w:tcPr>
          <w:p w14:paraId="011BD7CC"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w:t>
            </w:r>
            <w:r>
              <w:rPr>
                <w:rFonts w:asciiTheme="minorHAnsi" w:hAnsiTheme="minorHAnsi"/>
                <w:b w:val="0"/>
                <w:sz w:val="16"/>
                <w:szCs w:val="16"/>
              </w:rPr>
              <w:t>9</w:t>
            </w:r>
            <w:r w:rsidRPr="00ED0817">
              <w:rPr>
                <w:rFonts w:asciiTheme="minorHAnsi" w:hAnsiTheme="minorHAnsi"/>
                <w:b w:val="0"/>
                <w:sz w:val="16"/>
                <w:szCs w:val="16"/>
              </w:rPr>
              <w:t>–</w:t>
            </w:r>
            <w:r>
              <w:rPr>
                <w:rFonts w:asciiTheme="minorHAnsi" w:hAnsiTheme="minorHAnsi"/>
                <w:b w:val="0"/>
                <w:sz w:val="16"/>
                <w:szCs w:val="16"/>
              </w:rPr>
              <w:t>30</w:t>
            </w:r>
          </w:p>
        </w:tc>
        <w:tc>
          <w:tcPr>
            <w:tcW w:w="285" w:type="pct"/>
            <w:shd w:val="clear" w:color="auto" w:fill="A7B2D4" w:themeFill="background2" w:themeFillTint="66"/>
            <w:vAlign w:val="center"/>
          </w:tcPr>
          <w:p w14:paraId="24325280"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2030</w:t>
            </w:r>
            <w:r w:rsidRPr="00ED0817">
              <w:rPr>
                <w:rFonts w:asciiTheme="minorHAnsi" w:hAnsiTheme="minorHAnsi"/>
                <w:b w:val="0"/>
                <w:sz w:val="16"/>
                <w:szCs w:val="16"/>
              </w:rPr>
              <w:t>–</w:t>
            </w:r>
            <w:r>
              <w:rPr>
                <w:rFonts w:asciiTheme="minorHAnsi" w:hAnsiTheme="minorHAnsi"/>
                <w:b w:val="0"/>
                <w:sz w:val="16"/>
                <w:szCs w:val="16"/>
              </w:rPr>
              <w:t>31</w:t>
            </w:r>
          </w:p>
        </w:tc>
        <w:tc>
          <w:tcPr>
            <w:tcW w:w="285" w:type="pct"/>
            <w:shd w:val="clear" w:color="auto" w:fill="A7B2D4" w:themeFill="background2" w:themeFillTint="66"/>
            <w:vAlign w:val="center"/>
          </w:tcPr>
          <w:p w14:paraId="3993C47B" w14:textId="77777777" w:rsidR="00F57CA2" w:rsidRPr="00ED0817" w:rsidRDefault="00F57CA2" w:rsidP="00BB4B7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2031</w:t>
            </w:r>
            <w:r w:rsidRPr="00ED0817">
              <w:rPr>
                <w:rFonts w:asciiTheme="minorHAnsi" w:hAnsiTheme="minorHAnsi"/>
                <w:b w:val="0"/>
                <w:sz w:val="16"/>
                <w:szCs w:val="16"/>
              </w:rPr>
              <w:t>–</w:t>
            </w:r>
            <w:r>
              <w:rPr>
                <w:rFonts w:asciiTheme="minorHAnsi" w:hAnsiTheme="minorHAnsi"/>
                <w:b w:val="0"/>
                <w:sz w:val="16"/>
                <w:szCs w:val="16"/>
              </w:rPr>
              <w:t>32</w:t>
            </w:r>
          </w:p>
        </w:tc>
        <w:tc>
          <w:tcPr>
            <w:tcW w:w="352" w:type="pct"/>
            <w:shd w:val="clear" w:color="auto" w:fill="A7B2D4" w:themeFill="background2" w:themeFillTint="66"/>
            <w:vAlign w:val="center"/>
          </w:tcPr>
          <w:p w14:paraId="74E568B4" w14:textId="77777777" w:rsidR="00F57CA2" w:rsidRPr="00ED0817" w:rsidRDefault="00F57CA2" w:rsidP="00F57CA2">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w:t>
            </w:r>
            <w:r>
              <w:rPr>
                <w:rFonts w:asciiTheme="minorHAnsi" w:hAnsiTheme="minorHAnsi"/>
                <w:sz w:val="16"/>
                <w:szCs w:val="16"/>
              </w:rPr>
              <w:t>4</w:t>
            </w:r>
            <w:r w:rsidRPr="00ED0817">
              <w:rPr>
                <w:rFonts w:asciiTheme="minorHAnsi" w:hAnsiTheme="minorHAnsi"/>
                <w:sz w:val="16"/>
                <w:szCs w:val="16"/>
              </w:rPr>
              <w:t>–2</w:t>
            </w:r>
            <w:r>
              <w:rPr>
                <w:rFonts w:asciiTheme="minorHAnsi" w:hAnsiTheme="minorHAnsi"/>
                <w:sz w:val="16"/>
                <w:szCs w:val="16"/>
              </w:rPr>
              <w:t>5</w:t>
            </w:r>
          </w:p>
        </w:tc>
        <w:tc>
          <w:tcPr>
            <w:tcW w:w="347" w:type="pct"/>
            <w:shd w:val="clear" w:color="auto" w:fill="A7B2D4" w:themeFill="background2" w:themeFillTint="66"/>
            <w:vAlign w:val="center"/>
          </w:tcPr>
          <w:p w14:paraId="1FEEA499" w14:textId="77777777" w:rsidR="00F57CA2" w:rsidRPr="00ED0817" w:rsidRDefault="00F57CA2" w:rsidP="00F57CA2">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Total to 2031</w:t>
            </w:r>
            <w:r w:rsidRPr="00ED0817">
              <w:rPr>
                <w:rFonts w:asciiTheme="minorHAnsi" w:hAnsiTheme="minorHAnsi"/>
                <w:sz w:val="16"/>
                <w:szCs w:val="16"/>
              </w:rPr>
              <w:t>–</w:t>
            </w:r>
            <w:r>
              <w:rPr>
                <w:rFonts w:asciiTheme="minorHAnsi" w:hAnsiTheme="minorHAnsi"/>
                <w:sz w:val="16"/>
                <w:szCs w:val="16"/>
              </w:rPr>
              <w:t>32</w:t>
            </w:r>
          </w:p>
        </w:tc>
      </w:tr>
      <w:tr w:rsidR="00F57CA2" w:rsidRPr="009F2A5C" w14:paraId="2F5F399A" w14:textId="77777777" w:rsidTr="00F57CA2">
        <w:tc>
          <w:tcPr>
            <w:cnfStyle w:val="001000000000" w:firstRow="0" w:lastRow="0" w:firstColumn="1" w:lastColumn="0" w:oddVBand="0" w:evenVBand="0" w:oddHBand="0" w:evenHBand="0" w:firstRowFirstColumn="0" w:firstRowLastColumn="0" w:lastRowFirstColumn="0" w:lastRowLastColumn="0"/>
            <w:tcW w:w="1165" w:type="pct"/>
            <w:tcBorders>
              <w:right w:val="nil"/>
            </w:tcBorders>
            <w:shd w:val="clear" w:color="auto" w:fill="D3D8E9" w:themeFill="background2" w:themeFillTint="33"/>
            <w:vAlign w:val="center"/>
          </w:tcPr>
          <w:p w14:paraId="612DB187" w14:textId="77777777" w:rsidR="00F57CA2" w:rsidRPr="009F2A5C" w:rsidRDefault="00F57CA2" w:rsidP="00F57CA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Revenue</w:t>
            </w:r>
          </w:p>
        </w:tc>
        <w:tc>
          <w:tcPr>
            <w:tcW w:w="285" w:type="pct"/>
            <w:tcBorders>
              <w:left w:val="nil"/>
              <w:right w:val="nil"/>
            </w:tcBorders>
            <w:shd w:val="clear" w:color="auto" w:fill="D3D8E9" w:themeFill="background2" w:themeFillTint="33"/>
            <w:vAlign w:val="center"/>
          </w:tcPr>
          <w:p w14:paraId="31008519"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7BFEEFFD"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7E49A9ED"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6B08F463"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51946D94"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463CAB18"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207C99E1"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6727FE44"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4525305"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654791E6"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5B50F68"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right w:val="nil"/>
            </w:tcBorders>
            <w:shd w:val="clear" w:color="auto" w:fill="D3D8E9" w:themeFill="background2" w:themeFillTint="33"/>
            <w:vAlign w:val="center"/>
          </w:tcPr>
          <w:p w14:paraId="0E1CBD02"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14:paraId="7F8BC05A"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93297A" w:rsidRPr="009F2A5C" w14:paraId="73A1DC0A" w14:textId="77777777" w:rsidTr="0093297A">
        <w:tc>
          <w:tcPr>
            <w:cnfStyle w:val="001000000000" w:firstRow="0" w:lastRow="0" w:firstColumn="1" w:lastColumn="0" w:oddVBand="0" w:evenVBand="0" w:oddHBand="0" w:evenHBand="0" w:firstRowFirstColumn="0" w:firstRowLastColumn="0" w:lastRowFirstColumn="0" w:lastRowLastColumn="0"/>
            <w:tcW w:w="1165" w:type="pct"/>
            <w:vAlign w:val="center"/>
          </w:tcPr>
          <w:p w14:paraId="73319AFD" w14:textId="77777777" w:rsidR="0093297A" w:rsidRPr="00F57CA2" w:rsidRDefault="0093297A" w:rsidP="0093297A">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F57CA2">
              <w:rPr>
                <w:rFonts w:asciiTheme="minorHAnsi" w:hAnsiTheme="minorHAnsi"/>
                <w:b w:val="0"/>
                <w:bCs w:val="0"/>
                <w:i/>
                <w:sz w:val="16"/>
                <w:szCs w:val="16"/>
              </w:rPr>
              <w:t>Component 1: Deny significant global entities a tax deduction for royalties for the use of, or right to use, intellectual property within Australia</w:t>
            </w:r>
          </w:p>
        </w:tc>
        <w:tc>
          <w:tcPr>
            <w:tcW w:w="285" w:type="pct"/>
            <w:vAlign w:val="center"/>
          </w:tcPr>
          <w:p w14:paraId="5113D824"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0157BD37"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1E029C2F"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348.0</w:t>
            </w:r>
          </w:p>
        </w:tc>
        <w:tc>
          <w:tcPr>
            <w:tcW w:w="285" w:type="pct"/>
            <w:vAlign w:val="center"/>
          </w:tcPr>
          <w:p w14:paraId="652E6933"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196.0</w:t>
            </w:r>
          </w:p>
        </w:tc>
        <w:tc>
          <w:tcPr>
            <w:tcW w:w="285" w:type="pct"/>
            <w:vAlign w:val="center"/>
          </w:tcPr>
          <w:p w14:paraId="4086C2B9"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206.0</w:t>
            </w:r>
          </w:p>
        </w:tc>
        <w:tc>
          <w:tcPr>
            <w:tcW w:w="285" w:type="pct"/>
            <w:vAlign w:val="center"/>
          </w:tcPr>
          <w:p w14:paraId="0CE918AA"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217.0</w:t>
            </w:r>
          </w:p>
        </w:tc>
        <w:tc>
          <w:tcPr>
            <w:tcW w:w="285" w:type="pct"/>
            <w:vAlign w:val="center"/>
          </w:tcPr>
          <w:p w14:paraId="6563E2FC"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229.0</w:t>
            </w:r>
          </w:p>
        </w:tc>
        <w:tc>
          <w:tcPr>
            <w:tcW w:w="285" w:type="pct"/>
            <w:vAlign w:val="center"/>
          </w:tcPr>
          <w:p w14:paraId="4407C459"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242.0</w:t>
            </w:r>
          </w:p>
        </w:tc>
        <w:tc>
          <w:tcPr>
            <w:tcW w:w="285" w:type="pct"/>
            <w:vAlign w:val="center"/>
          </w:tcPr>
          <w:p w14:paraId="79046C43"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255.0</w:t>
            </w:r>
          </w:p>
        </w:tc>
        <w:tc>
          <w:tcPr>
            <w:tcW w:w="285" w:type="pct"/>
            <w:vAlign w:val="center"/>
          </w:tcPr>
          <w:p w14:paraId="39BA2FB1"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269.0</w:t>
            </w:r>
          </w:p>
        </w:tc>
        <w:tc>
          <w:tcPr>
            <w:tcW w:w="285" w:type="pct"/>
            <w:vAlign w:val="center"/>
          </w:tcPr>
          <w:p w14:paraId="36C45BC3"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284.0</w:t>
            </w:r>
          </w:p>
        </w:tc>
        <w:tc>
          <w:tcPr>
            <w:tcW w:w="352" w:type="pct"/>
            <w:vAlign w:val="center"/>
          </w:tcPr>
          <w:p w14:paraId="2601261A"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544.0</w:t>
            </w:r>
          </w:p>
        </w:tc>
        <w:tc>
          <w:tcPr>
            <w:tcW w:w="347" w:type="pct"/>
            <w:vAlign w:val="center"/>
          </w:tcPr>
          <w:p w14:paraId="151F7A41"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2,246.0</w:t>
            </w:r>
          </w:p>
        </w:tc>
      </w:tr>
      <w:tr w:rsidR="0093297A" w:rsidRPr="009F2A5C" w14:paraId="78DB3544" w14:textId="77777777" w:rsidTr="0093297A">
        <w:tc>
          <w:tcPr>
            <w:cnfStyle w:val="001000000000" w:firstRow="0" w:lastRow="0" w:firstColumn="1" w:lastColumn="0" w:oddVBand="0" w:evenVBand="0" w:oddHBand="0" w:evenHBand="0" w:firstRowFirstColumn="0" w:firstRowLastColumn="0" w:lastRowFirstColumn="0" w:lastRowLastColumn="0"/>
            <w:tcW w:w="1165" w:type="pct"/>
            <w:vAlign w:val="center"/>
          </w:tcPr>
          <w:p w14:paraId="23834FF7" w14:textId="77777777" w:rsidR="0093297A" w:rsidRPr="0093297A" w:rsidRDefault="0093297A" w:rsidP="0093297A">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93297A">
              <w:rPr>
                <w:rFonts w:asciiTheme="minorHAnsi" w:hAnsiTheme="minorHAnsi"/>
                <w:b w:val="0"/>
                <w:bCs w:val="0"/>
                <w:i/>
                <w:sz w:val="16"/>
                <w:szCs w:val="16"/>
              </w:rPr>
              <w:t>Component 2: Including only worldwide gearing ratio test for thin capitalisation</w:t>
            </w:r>
          </w:p>
        </w:tc>
        <w:tc>
          <w:tcPr>
            <w:tcW w:w="285" w:type="pct"/>
            <w:vAlign w:val="center"/>
          </w:tcPr>
          <w:p w14:paraId="7F9F7298"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22FC3672"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40C16564"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245.0</w:t>
            </w:r>
          </w:p>
        </w:tc>
        <w:tc>
          <w:tcPr>
            <w:tcW w:w="285" w:type="pct"/>
            <w:vAlign w:val="center"/>
          </w:tcPr>
          <w:p w14:paraId="565B8D16"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240.0</w:t>
            </w:r>
          </w:p>
        </w:tc>
        <w:tc>
          <w:tcPr>
            <w:tcW w:w="285" w:type="pct"/>
            <w:vAlign w:val="center"/>
          </w:tcPr>
          <w:p w14:paraId="11406414"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252.0</w:t>
            </w:r>
          </w:p>
        </w:tc>
        <w:tc>
          <w:tcPr>
            <w:tcW w:w="285" w:type="pct"/>
            <w:vAlign w:val="center"/>
          </w:tcPr>
          <w:p w14:paraId="6E4C19FF"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261.0</w:t>
            </w:r>
          </w:p>
        </w:tc>
        <w:tc>
          <w:tcPr>
            <w:tcW w:w="285" w:type="pct"/>
            <w:vAlign w:val="center"/>
          </w:tcPr>
          <w:p w14:paraId="788E3775"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260.0</w:t>
            </w:r>
          </w:p>
        </w:tc>
        <w:tc>
          <w:tcPr>
            <w:tcW w:w="285" w:type="pct"/>
            <w:vAlign w:val="center"/>
          </w:tcPr>
          <w:p w14:paraId="02F26C08"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272.0</w:t>
            </w:r>
          </w:p>
        </w:tc>
        <w:tc>
          <w:tcPr>
            <w:tcW w:w="285" w:type="pct"/>
            <w:vAlign w:val="center"/>
          </w:tcPr>
          <w:p w14:paraId="2927315F"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284.0</w:t>
            </w:r>
          </w:p>
        </w:tc>
        <w:tc>
          <w:tcPr>
            <w:tcW w:w="285" w:type="pct"/>
            <w:vAlign w:val="center"/>
          </w:tcPr>
          <w:p w14:paraId="5F9DC169"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296.0</w:t>
            </w:r>
          </w:p>
        </w:tc>
        <w:tc>
          <w:tcPr>
            <w:tcW w:w="285" w:type="pct"/>
            <w:vAlign w:val="center"/>
          </w:tcPr>
          <w:p w14:paraId="4211B6F4"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319.0</w:t>
            </w:r>
          </w:p>
        </w:tc>
        <w:tc>
          <w:tcPr>
            <w:tcW w:w="352" w:type="pct"/>
            <w:vAlign w:val="center"/>
          </w:tcPr>
          <w:p w14:paraId="3CA4985D"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485.0</w:t>
            </w:r>
          </w:p>
        </w:tc>
        <w:tc>
          <w:tcPr>
            <w:tcW w:w="347" w:type="pct"/>
            <w:vAlign w:val="center"/>
          </w:tcPr>
          <w:p w14:paraId="11760CF1"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2,429.0</w:t>
            </w:r>
          </w:p>
        </w:tc>
      </w:tr>
      <w:tr w:rsidR="0093297A" w:rsidRPr="009F2A5C" w14:paraId="5B8F6823" w14:textId="77777777" w:rsidTr="0093297A">
        <w:tc>
          <w:tcPr>
            <w:cnfStyle w:val="001000000000" w:firstRow="0" w:lastRow="0" w:firstColumn="1" w:lastColumn="0" w:oddVBand="0" w:evenVBand="0" w:oddHBand="0" w:evenHBand="0" w:firstRowFirstColumn="0" w:firstRowLastColumn="0" w:lastRowFirstColumn="0" w:lastRowLastColumn="0"/>
            <w:tcW w:w="1165" w:type="pct"/>
            <w:vAlign w:val="center"/>
          </w:tcPr>
          <w:p w14:paraId="0C9768FE" w14:textId="77777777" w:rsidR="0093297A" w:rsidRPr="0093297A" w:rsidRDefault="0093297A" w:rsidP="0093297A">
            <w:pPr>
              <w:pStyle w:val="TableText"/>
              <w:keepNext/>
              <w:widowControl w:val="0"/>
              <w:tabs>
                <w:tab w:val="left" w:pos="9356"/>
              </w:tabs>
              <w:spacing w:line="240" w:lineRule="auto"/>
              <w:ind w:left="-57" w:right="-57"/>
              <w:rPr>
                <w:rFonts w:asciiTheme="minorHAnsi" w:hAnsiTheme="minorHAnsi"/>
                <w:b w:val="0"/>
                <w:bCs w:val="0"/>
                <w:i/>
                <w:sz w:val="16"/>
                <w:szCs w:val="16"/>
              </w:rPr>
            </w:pPr>
            <w:r w:rsidRPr="0093297A">
              <w:rPr>
                <w:rFonts w:asciiTheme="minorHAnsi" w:hAnsiTheme="minorHAnsi"/>
                <w:b w:val="0"/>
                <w:bCs w:val="0"/>
                <w:i/>
                <w:sz w:val="16"/>
                <w:szCs w:val="16"/>
              </w:rPr>
              <w:t>Component 4: Deny creditors a tax deduction for a bad debt written-off</w:t>
            </w:r>
          </w:p>
        </w:tc>
        <w:tc>
          <w:tcPr>
            <w:tcW w:w="285" w:type="pct"/>
            <w:vAlign w:val="center"/>
          </w:tcPr>
          <w:p w14:paraId="27A39258"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49320B0A"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1FDE6D01"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10.0</w:t>
            </w:r>
          </w:p>
        </w:tc>
        <w:tc>
          <w:tcPr>
            <w:tcW w:w="285" w:type="pct"/>
            <w:vAlign w:val="center"/>
          </w:tcPr>
          <w:p w14:paraId="33088832"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10.0</w:t>
            </w:r>
          </w:p>
        </w:tc>
        <w:tc>
          <w:tcPr>
            <w:tcW w:w="285" w:type="pct"/>
            <w:vAlign w:val="center"/>
          </w:tcPr>
          <w:p w14:paraId="695DAEEB"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10.0</w:t>
            </w:r>
          </w:p>
        </w:tc>
        <w:tc>
          <w:tcPr>
            <w:tcW w:w="285" w:type="pct"/>
            <w:vAlign w:val="center"/>
          </w:tcPr>
          <w:p w14:paraId="4A0C5585"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10.0</w:t>
            </w:r>
          </w:p>
        </w:tc>
        <w:tc>
          <w:tcPr>
            <w:tcW w:w="285" w:type="pct"/>
            <w:vAlign w:val="center"/>
          </w:tcPr>
          <w:p w14:paraId="5639BB96"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10.0</w:t>
            </w:r>
          </w:p>
        </w:tc>
        <w:tc>
          <w:tcPr>
            <w:tcW w:w="285" w:type="pct"/>
            <w:vAlign w:val="center"/>
          </w:tcPr>
          <w:p w14:paraId="7FDE5563"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10.0</w:t>
            </w:r>
          </w:p>
        </w:tc>
        <w:tc>
          <w:tcPr>
            <w:tcW w:w="285" w:type="pct"/>
            <w:vAlign w:val="center"/>
          </w:tcPr>
          <w:p w14:paraId="0F7EA663"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10.0</w:t>
            </w:r>
          </w:p>
        </w:tc>
        <w:tc>
          <w:tcPr>
            <w:tcW w:w="285" w:type="pct"/>
            <w:vAlign w:val="center"/>
          </w:tcPr>
          <w:p w14:paraId="08C1DB57"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10.0</w:t>
            </w:r>
          </w:p>
        </w:tc>
        <w:tc>
          <w:tcPr>
            <w:tcW w:w="285" w:type="pct"/>
            <w:vAlign w:val="center"/>
          </w:tcPr>
          <w:p w14:paraId="10085500"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10.0</w:t>
            </w:r>
          </w:p>
        </w:tc>
        <w:tc>
          <w:tcPr>
            <w:tcW w:w="352" w:type="pct"/>
            <w:vAlign w:val="center"/>
          </w:tcPr>
          <w:p w14:paraId="2AB1A3EA"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20.0</w:t>
            </w:r>
          </w:p>
        </w:tc>
        <w:tc>
          <w:tcPr>
            <w:tcW w:w="347" w:type="pct"/>
            <w:vAlign w:val="center"/>
          </w:tcPr>
          <w:p w14:paraId="7BEA0359"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90.0</w:t>
            </w:r>
          </w:p>
        </w:tc>
      </w:tr>
      <w:tr w:rsidR="0093297A" w:rsidRPr="009F2A5C" w14:paraId="25732D91" w14:textId="77777777" w:rsidTr="0093297A">
        <w:tc>
          <w:tcPr>
            <w:cnfStyle w:val="001000000000" w:firstRow="0" w:lastRow="0" w:firstColumn="1" w:lastColumn="0" w:oddVBand="0" w:evenVBand="0" w:oddHBand="0" w:evenHBand="0" w:firstRowFirstColumn="0" w:firstRowLastColumn="0" w:lastRowFirstColumn="0" w:lastRowLastColumn="0"/>
            <w:tcW w:w="1165" w:type="pct"/>
            <w:vAlign w:val="center"/>
          </w:tcPr>
          <w:p w14:paraId="279AFBD4" w14:textId="77777777" w:rsidR="0093297A" w:rsidRPr="0093297A" w:rsidRDefault="0093297A" w:rsidP="0093297A">
            <w:pPr>
              <w:pStyle w:val="TableText"/>
              <w:keepNext/>
              <w:widowControl w:val="0"/>
              <w:tabs>
                <w:tab w:val="left" w:pos="9356"/>
              </w:tabs>
              <w:spacing w:line="240" w:lineRule="auto"/>
              <w:ind w:left="-57" w:right="-57"/>
              <w:rPr>
                <w:rFonts w:asciiTheme="minorHAnsi" w:hAnsiTheme="minorHAnsi"/>
                <w:b w:val="0"/>
                <w:i/>
                <w:sz w:val="16"/>
                <w:szCs w:val="16"/>
              </w:rPr>
            </w:pPr>
            <w:r w:rsidRPr="0093297A">
              <w:rPr>
                <w:rFonts w:asciiTheme="minorHAnsi" w:hAnsiTheme="minorHAnsi"/>
                <w:b w:val="0"/>
                <w:i/>
                <w:sz w:val="16"/>
                <w:szCs w:val="16"/>
              </w:rPr>
              <w:t>Component 5: Minimum final withholding tax of 30 per cent on fixed trust cash distributions to non-residents</w:t>
            </w:r>
          </w:p>
        </w:tc>
        <w:tc>
          <w:tcPr>
            <w:tcW w:w="285" w:type="pct"/>
            <w:vAlign w:val="center"/>
          </w:tcPr>
          <w:p w14:paraId="7FBBCA2E"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62484291"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092E9842"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43.2</w:t>
            </w:r>
          </w:p>
        </w:tc>
        <w:tc>
          <w:tcPr>
            <w:tcW w:w="285" w:type="pct"/>
            <w:vAlign w:val="center"/>
          </w:tcPr>
          <w:p w14:paraId="5B93DED0"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45.3</w:t>
            </w:r>
          </w:p>
        </w:tc>
        <w:tc>
          <w:tcPr>
            <w:tcW w:w="285" w:type="pct"/>
            <w:vAlign w:val="center"/>
          </w:tcPr>
          <w:p w14:paraId="52D7AC4D"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47.6</w:t>
            </w:r>
          </w:p>
        </w:tc>
        <w:tc>
          <w:tcPr>
            <w:tcW w:w="285" w:type="pct"/>
            <w:vAlign w:val="center"/>
          </w:tcPr>
          <w:p w14:paraId="36F9DE8A"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49.8</w:t>
            </w:r>
          </w:p>
        </w:tc>
        <w:tc>
          <w:tcPr>
            <w:tcW w:w="285" w:type="pct"/>
            <w:vAlign w:val="center"/>
          </w:tcPr>
          <w:p w14:paraId="2ADB226F"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52.2</w:t>
            </w:r>
          </w:p>
        </w:tc>
        <w:tc>
          <w:tcPr>
            <w:tcW w:w="285" w:type="pct"/>
            <w:vAlign w:val="center"/>
          </w:tcPr>
          <w:p w14:paraId="33C4CF0C"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55.0</w:t>
            </w:r>
          </w:p>
        </w:tc>
        <w:tc>
          <w:tcPr>
            <w:tcW w:w="285" w:type="pct"/>
            <w:vAlign w:val="center"/>
          </w:tcPr>
          <w:p w14:paraId="2047C738"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58.0</w:t>
            </w:r>
          </w:p>
        </w:tc>
        <w:tc>
          <w:tcPr>
            <w:tcW w:w="285" w:type="pct"/>
            <w:vAlign w:val="center"/>
          </w:tcPr>
          <w:p w14:paraId="7CB26A3C"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61.2</w:t>
            </w:r>
          </w:p>
        </w:tc>
        <w:tc>
          <w:tcPr>
            <w:tcW w:w="285" w:type="pct"/>
            <w:vAlign w:val="center"/>
          </w:tcPr>
          <w:p w14:paraId="63A27728"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64.5</w:t>
            </w:r>
          </w:p>
        </w:tc>
        <w:tc>
          <w:tcPr>
            <w:tcW w:w="352" w:type="pct"/>
            <w:vAlign w:val="center"/>
          </w:tcPr>
          <w:p w14:paraId="6AC22101"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88.5</w:t>
            </w:r>
          </w:p>
        </w:tc>
        <w:tc>
          <w:tcPr>
            <w:tcW w:w="347" w:type="pct"/>
            <w:vAlign w:val="center"/>
          </w:tcPr>
          <w:p w14:paraId="34791DA6"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476.8</w:t>
            </w:r>
          </w:p>
        </w:tc>
      </w:tr>
      <w:tr w:rsidR="0093297A" w:rsidRPr="009F2A5C" w14:paraId="2DEDB778" w14:textId="77777777" w:rsidTr="0093297A">
        <w:tc>
          <w:tcPr>
            <w:cnfStyle w:val="001000000000" w:firstRow="0" w:lastRow="0" w:firstColumn="1" w:lastColumn="0" w:oddVBand="0" w:evenVBand="0" w:oddHBand="0" w:evenHBand="0" w:firstRowFirstColumn="0" w:firstRowLastColumn="0" w:lastRowFirstColumn="0" w:lastRowLastColumn="0"/>
            <w:tcW w:w="1165" w:type="pct"/>
            <w:vAlign w:val="center"/>
          </w:tcPr>
          <w:p w14:paraId="4EA7D95C" w14:textId="77777777" w:rsidR="0093297A" w:rsidRPr="0093297A" w:rsidRDefault="0093297A" w:rsidP="0093297A">
            <w:pPr>
              <w:pStyle w:val="TableText"/>
              <w:keepNext/>
              <w:widowControl w:val="0"/>
              <w:tabs>
                <w:tab w:val="left" w:pos="9356"/>
              </w:tabs>
              <w:spacing w:line="240" w:lineRule="auto"/>
              <w:ind w:left="-57" w:right="-57"/>
              <w:rPr>
                <w:rFonts w:asciiTheme="minorHAnsi" w:hAnsiTheme="minorHAnsi"/>
                <w:b w:val="0"/>
                <w:i/>
                <w:sz w:val="16"/>
                <w:szCs w:val="16"/>
              </w:rPr>
            </w:pPr>
            <w:r w:rsidRPr="0093297A">
              <w:rPr>
                <w:rFonts w:asciiTheme="minorHAnsi" w:hAnsiTheme="minorHAnsi"/>
                <w:b w:val="0"/>
                <w:i/>
                <w:sz w:val="16"/>
                <w:szCs w:val="16"/>
              </w:rPr>
              <w:t>Component 6: Increase in promoter penalty laws</w:t>
            </w:r>
          </w:p>
        </w:tc>
        <w:tc>
          <w:tcPr>
            <w:tcW w:w="285" w:type="pct"/>
            <w:vAlign w:val="center"/>
          </w:tcPr>
          <w:p w14:paraId="184A756B"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7B8738EC"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0D9FB8A3"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437B0547"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61865A3F"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7A40FA7A"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29D60120"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11F5E432"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21401527"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32783B7B"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0.1</w:t>
            </w:r>
          </w:p>
        </w:tc>
        <w:tc>
          <w:tcPr>
            <w:tcW w:w="285" w:type="pct"/>
            <w:vAlign w:val="center"/>
          </w:tcPr>
          <w:p w14:paraId="498EAE02"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0.1</w:t>
            </w:r>
          </w:p>
        </w:tc>
        <w:tc>
          <w:tcPr>
            <w:tcW w:w="352" w:type="pct"/>
            <w:vAlign w:val="center"/>
          </w:tcPr>
          <w:p w14:paraId="01B651C8"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w:t>
            </w:r>
          </w:p>
        </w:tc>
        <w:tc>
          <w:tcPr>
            <w:tcW w:w="347" w:type="pct"/>
            <w:vAlign w:val="center"/>
          </w:tcPr>
          <w:p w14:paraId="4A6C0AF8"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0.2</w:t>
            </w:r>
          </w:p>
        </w:tc>
      </w:tr>
      <w:tr w:rsidR="0093297A" w:rsidRPr="009F2A5C" w14:paraId="422FB2A8" w14:textId="77777777" w:rsidTr="0093297A">
        <w:tc>
          <w:tcPr>
            <w:cnfStyle w:val="001000000000" w:firstRow="0" w:lastRow="0" w:firstColumn="1" w:lastColumn="0" w:oddVBand="0" w:evenVBand="0" w:oddHBand="0" w:evenHBand="0" w:firstRowFirstColumn="0" w:firstRowLastColumn="0" w:lastRowFirstColumn="0" w:lastRowLastColumn="0"/>
            <w:tcW w:w="1165" w:type="pct"/>
            <w:vAlign w:val="center"/>
          </w:tcPr>
          <w:p w14:paraId="13A44C3D" w14:textId="77777777" w:rsidR="0093297A" w:rsidRPr="009F2A5C" w:rsidRDefault="0093297A" w:rsidP="0093297A">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 revenue</w:t>
            </w:r>
          </w:p>
        </w:tc>
        <w:tc>
          <w:tcPr>
            <w:tcW w:w="285" w:type="pct"/>
            <w:vAlign w:val="center"/>
          </w:tcPr>
          <w:p w14:paraId="210D8B3E"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sz w:val="16"/>
                <w:szCs w:val="16"/>
              </w:rPr>
            </w:pPr>
            <w:r w:rsidRPr="00751CB7">
              <w:rPr>
                <w:rFonts w:cs="Calibri"/>
                <w:b/>
                <w:bCs/>
                <w:i/>
                <w:color w:val="000000"/>
                <w:sz w:val="16"/>
                <w:szCs w:val="16"/>
              </w:rPr>
              <w:t>-</w:t>
            </w:r>
          </w:p>
        </w:tc>
        <w:tc>
          <w:tcPr>
            <w:tcW w:w="285" w:type="pct"/>
            <w:vAlign w:val="center"/>
          </w:tcPr>
          <w:p w14:paraId="1FA37D27"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sz w:val="16"/>
                <w:szCs w:val="16"/>
              </w:rPr>
            </w:pPr>
            <w:r w:rsidRPr="00751CB7">
              <w:rPr>
                <w:rFonts w:cs="Calibri"/>
                <w:b/>
                <w:bCs/>
                <w:i/>
                <w:color w:val="000000"/>
                <w:sz w:val="16"/>
                <w:szCs w:val="16"/>
              </w:rPr>
              <w:t>-</w:t>
            </w:r>
          </w:p>
        </w:tc>
        <w:tc>
          <w:tcPr>
            <w:tcW w:w="285" w:type="pct"/>
            <w:vAlign w:val="center"/>
          </w:tcPr>
          <w:p w14:paraId="5E04FA69"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646.2</w:t>
            </w:r>
          </w:p>
        </w:tc>
        <w:tc>
          <w:tcPr>
            <w:tcW w:w="285" w:type="pct"/>
            <w:vAlign w:val="center"/>
          </w:tcPr>
          <w:p w14:paraId="000785A9"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491.3</w:t>
            </w:r>
          </w:p>
        </w:tc>
        <w:tc>
          <w:tcPr>
            <w:tcW w:w="285" w:type="pct"/>
            <w:vAlign w:val="center"/>
          </w:tcPr>
          <w:p w14:paraId="3B9F4D02"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515.6</w:t>
            </w:r>
          </w:p>
        </w:tc>
        <w:tc>
          <w:tcPr>
            <w:tcW w:w="285" w:type="pct"/>
            <w:vAlign w:val="center"/>
          </w:tcPr>
          <w:p w14:paraId="695A0A6F"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537.8</w:t>
            </w:r>
          </w:p>
        </w:tc>
        <w:tc>
          <w:tcPr>
            <w:tcW w:w="285" w:type="pct"/>
            <w:vAlign w:val="center"/>
          </w:tcPr>
          <w:p w14:paraId="3E4F4174"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551.2</w:t>
            </w:r>
          </w:p>
        </w:tc>
        <w:tc>
          <w:tcPr>
            <w:tcW w:w="285" w:type="pct"/>
            <w:vAlign w:val="center"/>
          </w:tcPr>
          <w:p w14:paraId="018EE605"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579.0</w:t>
            </w:r>
          </w:p>
        </w:tc>
        <w:tc>
          <w:tcPr>
            <w:tcW w:w="285" w:type="pct"/>
            <w:vAlign w:val="center"/>
          </w:tcPr>
          <w:p w14:paraId="621B105A"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607.0</w:t>
            </w:r>
          </w:p>
        </w:tc>
        <w:tc>
          <w:tcPr>
            <w:tcW w:w="285" w:type="pct"/>
            <w:vAlign w:val="center"/>
          </w:tcPr>
          <w:p w14:paraId="434F31ED"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636.3</w:t>
            </w:r>
          </w:p>
        </w:tc>
        <w:tc>
          <w:tcPr>
            <w:tcW w:w="285" w:type="pct"/>
            <w:vAlign w:val="center"/>
          </w:tcPr>
          <w:p w14:paraId="503B1F3F" w14:textId="77777777" w:rsidR="0093297A" w:rsidRPr="00751CB7" w:rsidRDefault="0093297A" w:rsidP="009329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677.6</w:t>
            </w:r>
          </w:p>
        </w:tc>
        <w:tc>
          <w:tcPr>
            <w:tcW w:w="352" w:type="pct"/>
            <w:vAlign w:val="center"/>
          </w:tcPr>
          <w:p w14:paraId="072A9F0A"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1,137.5</w:t>
            </w:r>
          </w:p>
        </w:tc>
        <w:tc>
          <w:tcPr>
            <w:tcW w:w="347" w:type="pct"/>
            <w:vAlign w:val="center"/>
          </w:tcPr>
          <w:p w14:paraId="0923EC5F" w14:textId="77777777" w:rsidR="0093297A" w:rsidRPr="00751CB7" w:rsidRDefault="0093297A" w:rsidP="009329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5,242.0</w:t>
            </w:r>
          </w:p>
        </w:tc>
      </w:tr>
      <w:tr w:rsidR="00F57CA2" w:rsidRPr="009F2A5C" w14:paraId="457EE76D" w14:textId="77777777" w:rsidTr="00F57CA2">
        <w:tc>
          <w:tcPr>
            <w:cnfStyle w:val="001000000000" w:firstRow="0" w:lastRow="0" w:firstColumn="1" w:lastColumn="0" w:oddVBand="0" w:evenVBand="0" w:oddHBand="0" w:evenHBand="0" w:firstRowFirstColumn="0" w:firstRowLastColumn="0" w:lastRowFirstColumn="0" w:lastRowLastColumn="0"/>
            <w:tcW w:w="1165" w:type="pct"/>
            <w:tcBorders>
              <w:bottom w:val="single" w:sz="8" w:space="0" w:color="788183" w:themeColor="accent6"/>
              <w:right w:val="nil"/>
            </w:tcBorders>
            <w:shd w:val="clear" w:color="auto" w:fill="D3D8E9" w:themeFill="background2" w:themeFillTint="33"/>
            <w:vAlign w:val="center"/>
          </w:tcPr>
          <w:p w14:paraId="3AE5AF13" w14:textId="77777777" w:rsidR="00F57CA2" w:rsidRPr="009F2A5C" w:rsidRDefault="00F57CA2" w:rsidP="00F57CA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Expenses</w:t>
            </w:r>
          </w:p>
        </w:tc>
        <w:tc>
          <w:tcPr>
            <w:tcW w:w="285" w:type="pct"/>
            <w:tcBorders>
              <w:left w:val="nil"/>
              <w:bottom w:val="single" w:sz="8" w:space="0" w:color="788183" w:themeColor="accent6"/>
              <w:right w:val="nil"/>
            </w:tcBorders>
            <w:shd w:val="clear" w:color="auto" w:fill="D3D8E9" w:themeFill="background2" w:themeFillTint="33"/>
            <w:vAlign w:val="center"/>
          </w:tcPr>
          <w:p w14:paraId="187A2FCA"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22882197"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5B7D6316"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744F3CE6"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EE031B4"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9DF7A78"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2D6A0A4A"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5819714D"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31C8E8E"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5995D9E4"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4D4E6C7"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bottom w:val="single" w:sz="8" w:space="0" w:color="788183" w:themeColor="accent6"/>
              <w:right w:val="nil"/>
            </w:tcBorders>
            <w:shd w:val="clear" w:color="auto" w:fill="D3D8E9" w:themeFill="background2" w:themeFillTint="33"/>
            <w:vAlign w:val="center"/>
          </w:tcPr>
          <w:p w14:paraId="56A65029"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14:paraId="455E1600"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F57CA2" w:rsidRPr="009F2A5C" w14:paraId="285C1452" w14:textId="77777777" w:rsidTr="00F57CA2">
        <w:tc>
          <w:tcPr>
            <w:cnfStyle w:val="001000000000" w:firstRow="0" w:lastRow="0" w:firstColumn="1" w:lastColumn="0" w:oddVBand="0" w:evenVBand="0" w:oddHBand="0" w:evenHBand="0" w:firstRowFirstColumn="0" w:firstRowLastColumn="0" w:lastRowFirstColumn="0" w:lastRowLastColumn="0"/>
            <w:tcW w:w="1165" w:type="pct"/>
            <w:tcBorders>
              <w:right w:val="nil"/>
            </w:tcBorders>
            <w:vAlign w:val="center"/>
          </w:tcPr>
          <w:p w14:paraId="308109E1" w14:textId="77777777" w:rsidR="00F57CA2" w:rsidRPr="00C14765" w:rsidRDefault="00F57CA2" w:rsidP="00F57CA2">
            <w:pPr>
              <w:pStyle w:val="TableText"/>
              <w:keepNext/>
              <w:widowControl w:val="0"/>
              <w:tabs>
                <w:tab w:val="left" w:pos="9356"/>
              </w:tabs>
              <w:spacing w:line="240" w:lineRule="auto"/>
              <w:ind w:left="-57" w:right="-57"/>
              <w:rPr>
                <w:rFonts w:asciiTheme="minorHAnsi" w:hAnsiTheme="minorHAnsi"/>
                <w:b w:val="0"/>
                <w:i/>
                <w:sz w:val="16"/>
                <w:szCs w:val="16"/>
              </w:rPr>
            </w:pPr>
            <w:r w:rsidRPr="00C14765">
              <w:rPr>
                <w:rFonts w:asciiTheme="minorHAnsi" w:hAnsiTheme="minorHAnsi"/>
                <w:i/>
                <w:sz w:val="16"/>
                <w:szCs w:val="16"/>
              </w:rPr>
              <w:t>Administered</w:t>
            </w:r>
          </w:p>
        </w:tc>
        <w:tc>
          <w:tcPr>
            <w:tcW w:w="285" w:type="pct"/>
            <w:tcBorders>
              <w:left w:val="nil"/>
              <w:bottom w:val="single" w:sz="8" w:space="0" w:color="788183" w:themeColor="accent6"/>
              <w:right w:val="nil"/>
            </w:tcBorders>
            <w:vAlign w:val="center"/>
          </w:tcPr>
          <w:p w14:paraId="6164C8F0"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727D94F9"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56C902FA"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788407A9"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7C26CC3C"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77762516"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0A79B09C"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79790EA2"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3433655F"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32C4C58E"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41DB9C79"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352" w:type="pct"/>
            <w:tcBorders>
              <w:left w:val="nil"/>
              <w:right w:val="nil"/>
            </w:tcBorders>
            <w:vAlign w:val="center"/>
          </w:tcPr>
          <w:p w14:paraId="210E972A"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c>
          <w:tcPr>
            <w:tcW w:w="347" w:type="pct"/>
            <w:tcBorders>
              <w:left w:val="nil"/>
            </w:tcBorders>
            <w:vAlign w:val="center"/>
          </w:tcPr>
          <w:p w14:paraId="47C9EB7E"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8F5FB9" w:rsidRPr="009F2A5C" w14:paraId="028A82D6" w14:textId="77777777" w:rsidTr="00F57CA2">
        <w:tc>
          <w:tcPr>
            <w:cnfStyle w:val="001000000000" w:firstRow="0" w:lastRow="0" w:firstColumn="1" w:lastColumn="0" w:oddVBand="0" w:evenVBand="0" w:oddHBand="0" w:evenHBand="0" w:firstRowFirstColumn="0" w:firstRowLastColumn="0" w:lastRowFirstColumn="0" w:lastRowLastColumn="0"/>
            <w:tcW w:w="1165" w:type="pct"/>
            <w:tcBorders>
              <w:right w:val="single" w:sz="8" w:space="0" w:color="788183" w:themeColor="accent6"/>
            </w:tcBorders>
            <w:vAlign w:val="center"/>
          </w:tcPr>
          <w:p w14:paraId="6F845591" w14:textId="77777777" w:rsidR="008F5FB9" w:rsidRPr="008F5FB9" w:rsidRDefault="008F5FB9" w:rsidP="008F5FB9">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8F5FB9">
              <w:rPr>
                <w:rFonts w:asciiTheme="minorHAnsi" w:hAnsiTheme="minorHAnsi"/>
                <w:b w:val="0"/>
                <w:bCs w:val="0"/>
                <w:i/>
                <w:sz w:val="16"/>
                <w:szCs w:val="16"/>
              </w:rPr>
              <w:t>Component 3: Improve public access to company reporting</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42D39C54"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4B2117B5"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-67.0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4F9768BF"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-68.6</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7E9A5A19"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-70.3</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027F74CF"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-72.0</w:t>
            </w:r>
          </w:p>
        </w:tc>
        <w:tc>
          <w:tcPr>
            <w:tcW w:w="285" w:type="pct"/>
            <w:tcBorders>
              <w:left w:val="single" w:sz="8" w:space="0" w:color="788183" w:themeColor="accent6"/>
              <w:bottom w:val="single" w:sz="8" w:space="0" w:color="788183" w:themeColor="accent6"/>
              <w:right w:val="single" w:sz="8" w:space="0" w:color="788183" w:themeColor="accent6"/>
            </w:tcBorders>
            <w:vAlign w:val="center"/>
          </w:tcPr>
          <w:p w14:paraId="6EB0E943"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-73.7</w:t>
            </w:r>
          </w:p>
        </w:tc>
        <w:tc>
          <w:tcPr>
            <w:tcW w:w="285" w:type="pct"/>
            <w:tcBorders>
              <w:left w:val="single" w:sz="8" w:space="0" w:color="788183" w:themeColor="accent6"/>
              <w:bottom w:val="single" w:sz="8" w:space="0" w:color="788183" w:themeColor="accent6"/>
            </w:tcBorders>
            <w:vAlign w:val="center"/>
          </w:tcPr>
          <w:p w14:paraId="13F194CC"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-75.6</w:t>
            </w:r>
          </w:p>
        </w:tc>
        <w:tc>
          <w:tcPr>
            <w:tcW w:w="285" w:type="pct"/>
            <w:tcBorders>
              <w:bottom w:val="single" w:sz="8" w:space="0" w:color="788183" w:themeColor="accent6"/>
            </w:tcBorders>
            <w:vAlign w:val="center"/>
          </w:tcPr>
          <w:p w14:paraId="35E61E6B"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-77.4</w:t>
            </w:r>
          </w:p>
        </w:tc>
        <w:tc>
          <w:tcPr>
            <w:tcW w:w="285" w:type="pct"/>
            <w:vAlign w:val="center"/>
          </w:tcPr>
          <w:p w14:paraId="5829AD36"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-79.4</w:t>
            </w:r>
          </w:p>
        </w:tc>
        <w:tc>
          <w:tcPr>
            <w:tcW w:w="285" w:type="pct"/>
            <w:vAlign w:val="center"/>
          </w:tcPr>
          <w:p w14:paraId="51E6CF40"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-81.4</w:t>
            </w:r>
          </w:p>
        </w:tc>
        <w:tc>
          <w:tcPr>
            <w:tcW w:w="285" w:type="pct"/>
            <w:vAlign w:val="center"/>
          </w:tcPr>
          <w:p w14:paraId="1EA9B3E7"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-83.4</w:t>
            </w:r>
          </w:p>
        </w:tc>
        <w:tc>
          <w:tcPr>
            <w:tcW w:w="352" w:type="pct"/>
            <w:vAlign w:val="center"/>
          </w:tcPr>
          <w:p w14:paraId="6F675CBD"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b/>
                <w:bCs/>
                <w:color w:val="000000"/>
                <w:sz w:val="16"/>
                <w:szCs w:val="16"/>
              </w:rPr>
              <w:t>-205.9</w:t>
            </w:r>
          </w:p>
        </w:tc>
        <w:tc>
          <w:tcPr>
            <w:tcW w:w="347" w:type="pct"/>
            <w:vAlign w:val="center"/>
          </w:tcPr>
          <w:p w14:paraId="6B5DA4DC" w14:textId="77777777" w:rsidR="008F5FB9" w:rsidRPr="00751CB7"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b/>
                <w:bCs/>
                <w:color w:val="000000"/>
                <w:sz w:val="16"/>
                <w:szCs w:val="16"/>
              </w:rPr>
              <w:t>-748.8</w:t>
            </w:r>
          </w:p>
        </w:tc>
      </w:tr>
      <w:tr w:rsidR="008F5FB9" w:rsidRPr="009F2A5C" w14:paraId="44F90D6D" w14:textId="77777777" w:rsidTr="00F57CA2">
        <w:tc>
          <w:tcPr>
            <w:cnfStyle w:val="001000000000" w:firstRow="0" w:lastRow="0" w:firstColumn="1" w:lastColumn="0" w:oddVBand="0" w:evenVBand="0" w:oddHBand="0" w:evenHBand="0" w:firstRowFirstColumn="0" w:firstRowLastColumn="0" w:lastRowFirstColumn="0" w:lastRowLastColumn="0"/>
            <w:tcW w:w="1165" w:type="pct"/>
            <w:tcBorders>
              <w:bottom w:val="single" w:sz="8" w:space="0" w:color="788183" w:themeColor="accent6"/>
            </w:tcBorders>
            <w:vAlign w:val="center"/>
          </w:tcPr>
          <w:p w14:paraId="16CA0969" w14:textId="77777777" w:rsidR="008F5FB9" w:rsidRPr="009F2A5C" w:rsidRDefault="008F5FB9" w:rsidP="008F5FB9">
            <w:pPr>
              <w:pStyle w:val="TableText"/>
              <w:keepNext/>
              <w:widowControl w:val="0"/>
              <w:tabs>
                <w:tab w:val="left" w:pos="9356"/>
              </w:tabs>
              <w:spacing w:line="240" w:lineRule="auto"/>
              <w:ind w:left="-57" w:right="-57"/>
              <w:rPr>
                <w:rFonts w:asciiTheme="minorHAnsi" w:hAnsiTheme="minorHAnsi"/>
                <w:b w:val="0"/>
                <w:i/>
                <w:sz w:val="16"/>
                <w:szCs w:val="16"/>
              </w:rPr>
            </w:pPr>
            <w:r w:rsidRPr="009F2A5C">
              <w:rPr>
                <w:rFonts w:asciiTheme="minorHAnsi" w:hAnsiTheme="minorHAnsi"/>
                <w:i/>
                <w:sz w:val="16"/>
                <w:szCs w:val="16"/>
              </w:rPr>
              <w:t>Total – administered</w:t>
            </w:r>
          </w:p>
        </w:tc>
        <w:tc>
          <w:tcPr>
            <w:tcW w:w="285" w:type="pct"/>
            <w:tcBorders>
              <w:top w:val="single" w:sz="8" w:space="0" w:color="788183" w:themeColor="accent6"/>
              <w:bottom w:val="single" w:sz="8" w:space="0" w:color="788183" w:themeColor="accent6"/>
            </w:tcBorders>
            <w:vAlign w:val="center"/>
          </w:tcPr>
          <w:p w14:paraId="5FD7C76E"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w:t>
            </w:r>
          </w:p>
        </w:tc>
        <w:tc>
          <w:tcPr>
            <w:tcW w:w="285" w:type="pct"/>
            <w:tcBorders>
              <w:top w:val="single" w:sz="8" w:space="0" w:color="788183" w:themeColor="accent6"/>
              <w:bottom w:val="single" w:sz="8" w:space="0" w:color="788183" w:themeColor="accent6"/>
            </w:tcBorders>
            <w:vAlign w:val="center"/>
          </w:tcPr>
          <w:p w14:paraId="740A9FF9"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-67.0</w:t>
            </w:r>
          </w:p>
        </w:tc>
        <w:tc>
          <w:tcPr>
            <w:tcW w:w="285" w:type="pct"/>
            <w:tcBorders>
              <w:top w:val="single" w:sz="8" w:space="0" w:color="788183" w:themeColor="accent6"/>
              <w:bottom w:val="single" w:sz="8" w:space="0" w:color="788183" w:themeColor="accent6"/>
            </w:tcBorders>
            <w:vAlign w:val="center"/>
          </w:tcPr>
          <w:p w14:paraId="56A80B91"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-68.6</w:t>
            </w:r>
          </w:p>
        </w:tc>
        <w:tc>
          <w:tcPr>
            <w:tcW w:w="285" w:type="pct"/>
            <w:tcBorders>
              <w:top w:val="single" w:sz="8" w:space="0" w:color="788183" w:themeColor="accent6"/>
              <w:bottom w:val="single" w:sz="8" w:space="0" w:color="788183" w:themeColor="accent6"/>
            </w:tcBorders>
            <w:vAlign w:val="center"/>
          </w:tcPr>
          <w:p w14:paraId="07D09A1D"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-70.3</w:t>
            </w:r>
          </w:p>
        </w:tc>
        <w:tc>
          <w:tcPr>
            <w:tcW w:w="285" w:type="pct"/>
            <w:tcBorders>
              <w:top w:val="single" w:sz="8" w:space="0" w:color="788183" w:themeColor="accent6"/>
              <w:bottom w:val="single" w:sz="8" w:space="0" w:color="788183" w:themeColor="accent6"/>
            </w:tcBorders>
            <w:vAlign w:val="center"/>
          </w:tcPr>
          <w:p w14:paraId="68B4F53E"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-72.0</w:t>
            </w:r>
          </w:p>
        </w:tc>
        <w:tc>
          <w:tcPr>
            <w:tcW w:w="285" w:type="pct"/>
            <w:tcBorders>
              <w:bottom w:val="single" w:sz="8" w:space="0" w:color="788183" w:themeColor="accent6"/>
            </w:tcBorders>
            <w:vAlign w:val="center"/>
          </w:tcPr>
          <w:p w14:paraId="013139E6"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-73.7</w:t>
            </w:r>
          </w:p>
        </w:tc>
        <w:tc>
          <w:tcPr>
            <w:tcW w:w="285" w:type="pct"/>
            <w:tcBorders>
              <w:bottom w:val="single" w:sz="8" w:space="0" w:color="788183" w:themeColor="accent6"/>
            </w:tcBorders>
            <w:vAlign w:val="center"/>
          </w:tcPr>
          <w:p w14:paraId="5886CF05"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-75.6</w:t>
            </w:r>
          </w:p>
        </w:tc>
        <w:tc>
          <w:tcPr>
            <w:tcW w:w="285" w:type="pct"/>
            <w:tcBorders>
              <w:bottom w:val="single" w:sz="8" w:space="0" w:color="788183" w:themeColor="accent6"/>
            </w:tcBorders>
            <w:vAlign w:val="center"/>
          </w:tcPr>
          <w:p w14:paraId="46C0E1F0"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-77.4</w:t>
            </w:r>
          </w:p>
        </w:tc>
        <w:tc>
          <w:tcPr>
            <w:tcW w:w="285" w:type="pct"/>
            <w:tcBorders>
              <w:bottom w:val="single" w:sz="8" w:space="0" w:color="788183" w:themeColor="accent6"/>
            </w:tcBorders>
            <w:vAlign w:val="center"/>
          </w:tcPr>
          <w:p w14:paraId="70A88170"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-79.4</w:t>
            </w:r>
          </w:p>
        </w:tc>
        <w:tc>
          <w:tcPr>
            <w:tcW w:w="285" w:type="pct"/>
            <w:tcBorders>
              <w:bottom w:val="single" w:sz="8" w:space="0" w:color="788183" w:themeColor="accent6"/>
            </w:tcBorders>
            <w:vAlign w:val="center"/>
          </w:tcPr>
          <w:p w14:paraId="0B7A89F2"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-81.4</w:t>
            </w:r>
          </w:p>
        </w:tc>
        <w:tc>
          <w:tcPr>
            <w:tcW w:w="285" w:type="pct"/>
            <w:tcBorders>
              <w:bottom w:val="single" w:sz="8" w:space="0" w:color="788183" w:themeColor="accent6"/>
            </w:tcBorders>
            <w:vAlign w:val="center"/>
          </w:tcPr>
          <w:p w14:paraId="770ABDE3"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-83.4</w:t>
            </w:r>
          </w:p>
        </w:tc>
        <w:tc>
          <w:tcPr>
            <w:tcW w:w="352" w:type="pct"/>
            <w:tcBorders>
              <w:bottom w:val="single" w:sz="8" w:space="0" w:color="788183" w:themeColor="accent6"/>
            </w:tcBorders>
            <w:vAlign w:val="center"/>
          </w:tcPr>
          <w:p w14:paraId="72239769"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-205.9</w:t>
            </w:r>
          </w:p>
        </w:tc>
        <w:tc>
          <w:tcPr>
            <w:tcW w:w="347" w:type="pct"/>
            <w:vAlign w:val="center"/>
          </w:tcPr>
          <w:p w14:paraId="5A74915A" w14:textId="77777777" w:rsidR="008F5FB9" w:rsidRPr="002E7D20" w:rsidRDefault="008F5FB9" w:rsidP="008F5FB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2E7D20">
              <w:rPr>
                <w:rFonts w:cs="Calibri"/>
                <w:b/>
                <w:bCs/>
                <w:color w:val="000000"/>
                <w:sz w:val="16"/>
                <w:szCs w:val="16"/>
              </w:rPr>
              <w:t>-748.8</w:t>
            </w:r>
          </w:p>
        </w:tc>
      </w:tr>
      <w:tr w:rsidR="00F57CA2" w:rsidRPr="009F2A5C" w14:paraId="6B5A9946" w14:textId="77777777" w:rsidTr="00F57CA2">
        <w:tc>
          <w:tcPr>
            <w:cnfStyle w:val="001000000000" w:firstRow="0" w:lastRow="0" w:firstColumn="1" w:lastColumn="0" w:oddVBand="0" w:evenVBand="0" w:oddHBand="0" w:evenHBand="0" w:firstRowFirstColumn="0" w:firstRowLastColumn="0" w:lastRowFirstColumn="0" w:lastRowLastColumn="0"/>
            <w:tcW w:w="1165" w:type="pct"/>
            <w:tcBorders>
              <w:right w:val="nil"/>
            </w:tcBorders>
            <w:vAlign w:val="center"/>
          </w:tcPr>
          <w:p w14:paraId="2184DF5F" w14:textId="77777777" w:rsidR="00F57CA2" w:rsidRPr="00C14765" w:rsidRDefault="00F57CA2" w:rsidP="00F57CA2">
            <w:pPr>
              <w:pStyle w:val="TableText"/>
              <w:keepNext/>
              <w:widowControl w:val="0"/>
              <w:tabs>
                <w:tab w:val="left" w:pos="9356"/>
              </w:tabs>
              <w:spacing w:line="240" w:lineRule="auto"/>
              <w:ind w:left="-57" w:right="-57"/>
              <w:rPr>
                <w:rFonts w:asciiTheme="minorHAnsi" w:hAnsiTheme="minorHAnsi"/>
                <w:b w:val="0"/>
                <w:i/>
                <w:sz w:val="16"/>
                <w:szCs w:val="16"/>
              </w:rPr>
            </w:pPr>
            <w:r w:rsidRPr="00C14765">
              <w:rPr>
                <w:rFonts w:asciiTheme="minorHAnsi" w:hAnsiTheme="minorHAnsi"/>
                <w:i/>
                <w:sz w:val="16"/>
                <w:szCs w:val="16"/>
              </w:rPr>
              <w:t>Departmental</w:t>
            </w:r>
          </w:p>
        </w:tc>
        <w:tc>
          <w:tcPr>
            <w:tcW w:w="285" w:type="pct"/>
            <w:tcBorders>
              <w:left w:val="nil"/>
              <w:right w:val="nil"/>
            </w:tcBorders>
            <w:vAlign w:val="center"/>
          </w:tcPr>
          <w:p w14:paraId="017A1203"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4311B00B"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189B5D42"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1B5561F4"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359B913A"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2C1F31C4"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43C501EC"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77E78CC7"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910AA87"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5F6AB6D0"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1BF42521"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352" w:type="pct"/>
            <w:tcBorders>
              <w:left w:val="nil"/>
              <w:right w:val="nil"/>
            </w:tcBorders>
            <w:vAlign w:val="center"/>
          </w:tcPr>
          <w:p w14:paraId="0041151F"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c>
          <w:tcPr>
            <w:tcW w:w="347" w:type="pct"/>
            <w:tcBorders>
              <w:left w:val="nil"/>
            </w:tcBorders>
            <w:vAlign w:val="center"/>
          </w:tcPr>
          <w:p w14:paraId="5BD3E73B" w14:textId="77777777" w:rsidR="00F57CA2" w:rsidRPr="009F2A5C" w:rsidRDefault="00F57CA2" w:rsidP="00F57CA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751CB7" w:rsidRPr="009F2A5C" w14:paraId="169319B8" w14:textId="77777777" w:rsidTr="00F57CA2">
        <w:tc>
          <w:tcPr>
            <w:cnfStyle w:val="001000000000" w:firstRow="0" w:lastRow="0" w:firstColumn="1" w:lastColumn="0" w:oddVBand="0" w:evenVBand="0" w:oddHBand="0" w:evenHBand="0" w:firstRowFirstColumn="0" w:firstRowLastColumn="0" w:lastRowFirstColumn="0" w:lastRowLastColumn="0"/>
            <w:tcW w:w="1165" w:type="pct"/>
            <w:vAlign w:val="center"/>
          </w:tcPr>
          <w:p w14:paraId="0DB70EAA" w14:textId="77777777" w:rsidR="00751CB7" w:rsidRPr="008F5FB9" w:rsidRDefault="00751CB7" w:rsidP="00751CB7">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8F5FB9">
              <w:rPr>
                <w:rFonts w:asciiTheme="minorHAnsi" w:hAnsiTheme="minorHAnsi"/>
                <w:b w:val="0"/>
                <w:bCs w:val="0"/>
                <w:i/>
                <w:sz w:val="16"/>
                <w:szCs w:val="16"/>
              </w:rPr>
              <w:t>Component 3: Improve public access to company reporting</w:t>
            </w:r>
          </w:p>
        </w:tc>
        <w:tc>
          <w:tcPr>
            <w:tcW w:w="285" w:type="pct"/>
            <w:vAlign w:val="center"/>
          </w:tcPr>
          <w:p w14:paraId="42BA4987"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w:t>
            </w:r>
          </w:p>
        </w:tc>
        <w:tc>
          <w:tcPr>
            <w:tcW w:w="285" w:type="pct"/>
            <w:vAlign w:val="center"/>
          </w:tcPr>
          <w:p w14:paraId="7FA39B9A"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-2.0</w:t>
            </w:r>
          </w:p>
        </w:tc>
        <w:tc>
          <w:tcPr>
            <w:tcW w:w="285" w:type="pct"/>
            <w:vAlign w:val="center"/>
          </w:tcPr>
          <w:p w14:paraId="429561CD"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-1.7</w:t>
            </w:r>
          </w:p>
        </w:tc>
        <w:tc>
          <w:tcPr>
            <w:tcW w:w="285" w:type="pct"/>
            <w:vAlign w:val="center"/>
          </w:tcPr>
          <w:p w14:paraId="77D5BCE0"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-1.5</w:t>
            </w:r>
          </w:p>
        </w:tc>
        <w:tc>
          <w:tcPr>
            <w:tcW w:w="285" w:type="pct"/>
            <w:vAlign w:val="center"/>
          </w:tcPr>
          <w:p w14:paraId="5DBBE18C"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-1.5</w:t>
            </w:r>
          </w:p>
        </w:tc>
        <w:tc>
          <w:tcPr>
            <w:tcW w:w="285" w:type="pct"/>
            <w:vAlign w:val="center"/>
          </w:tcPr>
          <w:p w14:paraId="0BC8A196"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-1.5</w:t>
            </w:r>
          </w:p>
        </w:tc>
        <w:tc>
          <w:tcPr>
            <w:tcW w:w="285" w:type="pct"/>
            <w:vAlign w:val="center"/>
          </w:tcPr>
          <w:p w14:paraId="2AEBB649"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-1.5</w:t>
            </w:r>
          </w:p>
        </w:tc>
        <w:tc>
          <w:tcPr>
            <w:tcW w:w="285" w:type="pct"/>
            <w:vAlign w:val="center"/>
          </w:tcPr>
          <w:p w14:paraId="2FBCCA3D"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-1.5</w:t>
            </w:r>
          </w:p>
        </w:tc>
        <w:tc>
          <w:tcPr>
            <w:tcW w:w="285" w:type="pct"/>
            <w:vAlign w:val="center"/>
          </w:tcPr>
          <w:p w14:paraId="78A75714"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-1.6</w:t>
            </w:r>
          </w:p>
        </w:tc>
        <w:tc>
          <w:tcPr>
            <w:tcW w:w="285" w:type="pct"/>
            <w:vAlign w:val="center"/>
          </w:tcPr>
          <w:p w14:paraId="46C4A110"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-1.6</w:t>
            </w:r>
          </w:p>
        </w:tc>
        <w:tc>
          <w:tcPr>
            <w:tcW w:w="285" w:type="pct"/>
            <w:vAlign w:val="center"/>
          </w:tcPr>
          <w:p w14:paraId="0063B3F7"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51CB7">
              <w:rPr>
                <w:rFonts w:cs="Calibri"/>
                <w:color w:val="000000"/>
                <w:sz w:val="16"/>
                <w:szCs w:val="16"/>
              </w:rPr>
              <w:t>-1.6</w:t>
            </w:r>
          </w:p>
        </w:tc>
        <w:tc>
          <w:tcPr>
            <w:tcW w:w="352" w:type="pct"/>
            <w:vAlign w:val="center"/>
          </w:tcPr>
          <w:p w14:paraId="0BFBB358"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-5.2</w:t>
            </w:r>
          </w:p>
        </w:tc>
        <w:tc>
          <w:tcPr>
            <w:tcW w:w="347" w:type="pct"/>
            <w:vAlign w:val="center"/>
          </w:tcPr>
          <w:p w14:paraId="521BFBAE"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-16.0</w:t>
            </w:r>
          </w:p>
        </w:tc>
      </w:tr>
      <w:tr w:rsidR="00751CB7" w:rsidRPr="009F2A5C" w14:paraId="7924DD2A" w14:textId="77777777" w:rsidTr="00F57CA2">
        <w:tc>
          <w:tcPr>
            <w:cnfStyle w:val="001000000000" w:firstRow="0" w:lastRow="0" w:firstColumn="1" w:lastColumn="0" w:oddVBand="0" w:evenVBand="0" w:oddHBand="0" w:evenHBand="0" w:firstRowFirstColumn="0" w:firstRowLastColumn="0" w:lastRowFirstColumn="0" w:lastRowLastColumn="0"/>
            <w:tcW w:w="1165" w:type="pct"/>
            <w:vAlign w:val="center"/>
          </w:tcPr>
          <w:p w14:paraId="244E7865" w14:textId="77777777" w:rsidR="00751CB7" w:rsidRPr="009F2A5C" w:rsidRDefault="00751CB7" w:rsidP="00751CB7">
            <w:pPr>
              <w:pStyle w:val="TableText"/>
              <w:keepNext/>
              <w:widowControl w:val="0"/>
              <w:tabs>
                <w:tab w:val="left" w:pos="9356"/>
              </w:tabs>
              <w:spacing w:line="240" w:lineRule="auto"/>
              <w:ind w:left="-57" w:right="-57"/>
              <w:rPr>
                <w:rFonts w:asciiTheme="minorHAnsi" w:hAnsiTheme="minorHAnsi"/>
                <w:i/>
                <w:sz w:val="16"/>
                <w:szCs w:val="16"/>
              </w:rPr>
            </w:pPr>
            <w:r w:rsidRPr="009F2A5C">
              <w:rPr>
                <w:rFonts w:asciiTheme="minorHAnsi" w:hAnsiTheme="minorHAnsi"/>
                <w:i/>
                <w:sz w:val="16"/>
                <w:szCs w:val="16"/>
              </w:rPr>
              <w:t>Total – departmental</w:t>
            </w:r>
          </w:p>
        </w:tc>
        <w:tc>
          <w:tcPr>
            <w:tcW w:w="285" w:type="pct"/>
            <w:vAlign w:val="center"/>
          </w:tcPr>
          <w:p w14:paraId="716D7848"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w:t>
            </w:r>
          </w:p>
        </w:tc>
        <w:tc>
          <w:tcPr>
            <w:tcW w:w="285" w:type="pct"/>
            <w:vAlign w:val="center"/>
          </w:tcPr>
          <w:p w14:paraId="0FAC47D6"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-2.0</w:t>
            </w:r>
          </w:p>
        </w:tc>
        <w:tc>
          <w:tcPr>
            <w:tcW w:w="285" w:type="pct"/>
            <w:vAlign w:val="center"/>
          </w:tcPr>
          <w:p w14:paraId="5F4CA2F3"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-1.7</w:t>
            </w:r>
          </w:p>
        </w:tc>
        <w:tc>
          <w:tcPr>
            <w:tcW w:w="285" w:type="pct"/>
            <w:vAlign w:val="center"/>
          </w:tcPr>
          <w:p w14:paraId="1A1425B0"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-1.5</w:t>
            </w:r>
          </w:p>
        </w:tc>
        <w:tc>
          <w:tcPr>
            <w:tcW w:w="285" w:type="pct"/>
            <w:vAlign w:val="center"/>
          </w:tcPr>
          <w:p w14:paraId="11F68983"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-1.5</w:t>
            </w:r>
          </w:p>
        </w:tc>
        <w:tc>
          <w:tcPr>
            <w:tcW w:w="285" w:type="pct"/>
            <w:vAlign w:val="center"/>
          </w:tcPr>
          <w:p w14:paraId="3A061F63"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-1.5</w:t>
            </w:r>
          </w:p>
        </w:tc>
        <w:tc>
          <w:tcPr>
            <w:tcW w:w="285" w:type="pct"/>
            <w:vAlign w:val="center"/>
          </w:tcPr>
          <w:p w14:paraId="17EEE6AB"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-1.5</w:t>
            </w:r>
          </w:p>
        </w:tc>
        <w:tc>
          <w:tcPr>
            <w:tcW w:w="285" w:type="pct"/>
            <w:vAlign w:val="center"/>
          </w:tcPr>
          <w:p w14:paraId="4313EF75"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-1.5</w:t>
            </w:r>
          </w:p>
        </w:tc>
        <w:tc>
          <w:tcPr>
            <w:tcW w:w="285" w:type="pct"/>
            <w:vAlign w:val="center"/>
          </w:tcPr>
          <w:p w14:paraId="6ED64453"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-1.6</w:t>
            </w:r>
          </w:p>
        </w:tc>
        <w:tc>
          <w:tcPr>
            <w:tcW w:w="285" w:type="pct"/>
            <w:vAlign w:val="center"/>
          </w:tcPr>
          <w:p w14:paraId="2D0828C7"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-1.6</w:t>
            </w:r>
          </w:p>
        </w:tc>
        <w:tc>
          <w:tcPr>
            <w:tcW w:w="285" w:type="pct"/>
            <w:vAlign w:val="center"/>
          </w:tcPr>
          <w:p w14:paraId="2D112140"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-1.6</w:t>
            </w:r>
          </w:p>
        </w:tc>
        <w:tc>
          <w:tcPr>
            <w:tcW w:w="352" w:type="pct"/>
            <w:vAlign w:val="center"/>
          </w:tcPr>
          <w:p w14:paraId="05356E9E"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-5.2</w:t>
            </w:r>
          </w:p>
        </w:tc>
        <w:tc>
          <w:tcPr>
            <w:tcW w:w="347" w:type="pct"/>
            <w:vAlign w:val="center"/>
          </w:tcPr>
          <w:p w14:paraId="6DE1591F" w14:textId="77777777" w:rsidR="00751CB7" w:rsidRPr="002E7D20"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2E7D20">
              <w:rPr>
                <w:rFonts w:cs="Calibri"/>
                <w:b/>
                <w:bCs/>
                <w:color w:val="000000"/>
                <w:sz w:val="16"/>
                <w:szCs w:val="16"/>
              </w:rPr>
              <w:t>-16.0</w:t>
            </w:r>
          </w:p>
        </w:tc>
      </w:tr>
      <w:tr w:rsidR="00751CB7" w:rsidRPr="009F2A5C" w14:paraId="0D743D84" w14:textId="77777777" w:rsidTr="00F57CA2">
        <w:tc>
          <w:tcPr>
            <w:cnfStyle w:val="001000000000" w:firstRow="0" w:lastRow="0" w:firstColumn="1" w:lastColumn="0" w:oddVBand="0" w:evenVBand="0" w:oddHBand="0" w:evenHBand="0" w:firstRowFirstColumn="0" w:firstRowLastColumn="0" w:lastRowFirstColumn="0" w:lastRowLastColumn="0"/>
            <w:tcW w:w="1165" w:type="pct"/>
            <w:vAlign w:val="center"/>
          </w:tcPr>
          <w:p w14:paraId="16458B79" w14:textId="77777777" w:rsidR="00751CB7" w:rsidRPr="009F2A5C" w:rsidRDefault="00751CB7" w:rsidP="00751CB7">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 expenses</w:t>
            </w:r>
          </w:p>
        </w:tc>
        <w:tc>
          <w:tcPr>
            <w:tcW w:w="285" w:type="pct"/>
            <w:vAlign w:val="center"/>
          </w:tcPr>
          <w:p w14:paraId="05045423"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sz w:val="16"/>
                <w:szCs w:val="16"/>
              </w:rPr>
            </w:pPr>
            <w:r w:rsidRPr="00751CB7">
              <w:rPr>
                <w:rFonts w:cs="Calibri"/>
                <w:b/>
                <w:bCs/>
                <w:i/>
                <w:color w:val="000000"/>
                <w:sz w:val="16"/>
                <w:szCs w:val="16"/>
              </w:rPr>
              <w:t>-</w:t>
            </w:r>
          </w:p>
        </w:tc>
        <w:tc>
          <w:tcPr>
            <w:tcW w:w="285" w:type="pct"/>
            <w:vAlign w:val="center"/>
          </w:tcPr>
          <w:p w14:paraId="121C7884"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-69.0</w:t>
            </w:r>
          </w:p>
        </w:tc>
        <w:tc>
          <w:tcPr>
            <w:tcW w:w="285" w:type="pct"/>
            <w:vAlign w:val="center"/>
          </w:tcPr>
          <w:p w14:paraId="69482376"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-70.3</w:t>
            </w:r>
          </w:p>
        </w:tc>
        <w:tc>
          <w:tcPr>
            <w:tcW w:w="285" w:type="pct"/>
            <w:vAlign w:val="center"/>
          </w:tcPr>
          <w:p w14:paraId="0F8558F6"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-71.8</w:t>
            </w:r>
          </w:p>
        </w:tc>
        <w:tc>
          <w:tcPr>
            <w:tcW w:w="285" w:type="pct"/>
            <w:vAlign w:val="center"/>
          </w:tcPr>
          <w:p w14:paraId="09B288D9"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-73.5</w:t>
            </w:r>
          </w:p>
        </w:tc>
        <w:tc>
          <w:tcPr>
            <w:tcW w:w="285" w:type="pct"/>
            <w:vAlign w:val="center"/>
          </w:tcPr>
          <w:p w14:paraId="21389825"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-75.2</w:t>
            </w:r>
          </w:p>
        </w:tc>
        <w:tc>
          <w:tcPr>
            <w:tcW w:w="285" w:type="pct"/>
            <w:vAlign w:val="center"/>
          </w:tcPr>
          <w:p w14:paraId="13317678"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-77.1</w:t>
            </w:r>
          </w:p>
        </w:tc>
        <w:tc>
          <w:tcPr>
            <w:tcW w:w="285" w:type="pct"/>
            <w:vAlign w:val="center"/>
          </w:tcPr>
          <w:p w14:paraId="6B9AA7D1"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-78.9</w:t>
            </w:r>
          </w:p>
        </w:tc>
        <w:tc>
          <w:tcPr>
            <w:tcW w:w="285" w:type="pct"/>
            <w:vAlign w:val="center"/>
          </w:tcPr>
          <w:p w14:paraId="2724EF0B"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-81.0</w:t>
            </w:r>
          </w:p>
        </w:tc>
        <w:tc>
          <w:tcPr>
            <w:tcW w:w="285" w:type="pct"/>
            <w:vAlign w:val="center"/>
          </w:tcPr>
          <w:p w14:paraId="4EF3450C"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-83.0</w:t>
            </w:r>
          </w:p>
        </w:tc>
        <w:tc>
          <w:tcPr>
            <w:tcW w:w="285" w:type="pct"/>
            <w:vAlign w:val="center"/>
          </w:tcPr>
          <w:p w14:paraId="65ACC535"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i/>
                <w:sz w:val="16"/>
                <w:szCs w:val="16"/>
              </w:rPr>
            </w:pPr>
            <w:r w:rsidRPr="00751CB7">
              <w:rPr>
                <w:rFonts w:cs="Calibri"/>
                <w:b/>
                <w:bCs/>
                <w:i/>
                <w:color w:val="000000"/>
                <w:sz w:val="16"/>
                <w:szCs w:val="16"/>
              </w:rPr>
              <w:t>-85.0</w:t>
            </w:r>
          </w:p>
        </w:tc>
        <w:tc>
          <w:tcPr>
            <w:tcW w:w="352" w:type="pct"/>
            <w:vAlign w:val="center"/>
          </w:tcPr>
          <w:p w14:paraId="30167904"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-211.1</w:t>
            </w:r>
          </w:p>
        </w:tc>
        <w:tc>
          <w:tcPr>
            <w:tcW w:w="347" w:type="pct"/>
            <w:vAlign w:val="center"/>
          </w:tcPr>
          <w:p w14:paraId="692D6478"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51CB7">
              <w:rPr>
                <w:rFonts w:cs="Calibri"/>
                <w:b/>
                <w:bCs/>
                <w:color w:val="000000"/>
                <w:sz w:val="16"/>
                <w:szCs w:val="16"/>
              </w:rPr>
              <w:t>-764.8</w:t>
            </w:r>
          </w:p>
        </w:tc>
      </w:tr>
      <w:tr w:rsidR="00751CB7" w:rsidRPr="009F2A5C" w14:paraId="3D0956F0" w14:textId="77777777" w:rsidTr="00F57CA2">
        <w:tc>
          <w:tcPr>
            <w:cnfStyle w:val="001000000000" w:firstRow="0" w:lastRow="0" w:firstColumn="1" w:lastColumn="0" w:oddVBand="0" w:evenVBand="0" w:oddHBand="0" w:evenHBand="0" w:firstRowFirstColumn="0" w:firstRowLastColumn="0" w:lastRowFirstColumn="0" w:lastRowLastColumn="0"/>
            <w:tcW w:w="1165" w:type="pct"/>
            <w:shd w:val="clear" w:color="auto" w:fill="A7B2D4" w:themeFill="background2" w:themeFillTint="66"/>
            <w:vAlign w:val="center"/>
          </w:tcPr>
          <w:p w14:paraId="3F68B656" w14:textId="77777777" w:rsidR="00751CB7" w:rsidRPr="009F2A5C" w:rsidRDefault="00751CB7" w:rsidP="00751CB7">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(excluding PDI)</w:t>
            </w:r>
          </w:p>
        </w:tc>
        <w:tc>
          <w:tcPr>
            <w:tcW w:w="285" w:type="pct"/>
            <w:shd w:val="clear" w:color="auto" w:fill="A7B2D4" w:themeFill="background2" w:themeFillTint="66"/>
            <w:vAlign w:val="center"/>
          </w:tcPr>
          <w:p w14:paraId="2F27E2BA"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751CB7">
              <w:rPr>
                <w:rFonts w:cs="Calibri"/>
                <w:color w:val="000000"/>
                <w:sz w:val="16"/>
                <w:szCs w:val="16"/>
              </w:rPr>
              <w:t>-</w:t>
            </w:r>
          </w:p>
        </w:tc>
        <w:tc>
          <w:tcPr>
            <w:tcW w:w="285" w:type="pct"/>
            <w:shd w:val="clear" w:color="auto" w:fill="A7B2D4" w:themeFill="background2" w:themeFillTint="66"/>
            <w:vAlign w:val="center"/>
          </w:tcPr>
          <w:p w14:paraId="2831B91C"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-69.0</w:t>
            </w:r>
          </w:p>
        </w:tc>
        <w:tc>
          <w:tcPr>
            <w:tcW w:w="285" w:type="pct"/>
            <w:shd w:val="clear" w:color="auto" w:fill="A7B2D4" w:themeFill="background2" w:themeFillTint="66"/>
            <w:vAlign w:val="center"/>
          </w:tcPr>
          <w:p w14:paraId="16974236"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575.9</w:t>
            </w:r>
          </w:p>
        </w:tc>
        <w:tc>
          <w:tcPr>
            <w:tcW w:w="285" w:type="pct"/>
            <w:shd w:val="clear" w:color="auto" w:fill="A7B2D4" w:themeFill="background2" w:themeFillTint="66"/>
            <w:vAlign w:val="center"/>
          </w:tcPr>
          <w:p w14:paraId="43D3DFB1"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419.5</w:t>
            </w:r>
          </w:p>
        </w:tc>
        <w:tc>
          <w:tcPr>
            <w:tcW w:w="285" w:type="pct"/>
            <w:shd w:val="clear" w:color="auto" w:fill="A7B2D4" w:themeFill="background2" w:themeFillTint="66"/>
            <w:vAlign w:val="center"/>
          </w:tcPr>
          <w:p w14:paraId="32396D7B"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442.1</w:t>
            </w:r>
          </w:p>
        </w:tc>
        <w:tc>
          <w:tcPr>
            <w:tcW w:w="285" w:type="pct"/>
            <w:shd w:val="clear" w:color="auto" w:fill="A7B2D4" w:themeFill="background2" w:themeFillTint="66"/>
            <w:vAlign w:val="center"/>
          </w:tcPr>
          <w:p w14:paraId="6029DBE7"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462.6</w:t>
            </w:r>
          </w:p>
        </w:tc>
        <w:tc>
          <w:tcPr>
            <w:tcW w:w="285" w:type="pct"/>
            <w:shd w:val="clear" w:color="auto" w:fill="A7B2D4" w:themeFill="background2" w:themeFillTint="66"/>
            <w:vAlign w:val="center"/>
          </w:tcPr>
          <w:p w14:paraId="40E60D0D"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474.1</w:t>
            </w:r>
          </w:p>
        </w:tc>
        <w:tc>
          <w:tcPr>
            <w:tcW w:w="285" w:type="pct"/>
            <w:shd w:val="clear" w:color="auto" w:fill="A7B2D4" w:themeFill="background2" w:themeFillTint="66"/>
            <w:vAlign w:val="center"/>
          </w:tcPr>
          <w:p w14:paraId="548F8749"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500.1</w:t>
            </w:r>
          </w:p>
        </w:tc>
        <w:tc>
          <w:tcPr>
            <w:tcW w:w="285" w:type="pct"/>
            <w:shd w:val="clear" w:color="auto" w:fill="A7B2D4" w:themeFill="background2" w:themeFillTint="66"/>
            <w:vAlign w:val="center"/>
          </w:tcPr>
          <w:p w14:paraId="2145D403"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526.0</w:t>
            </w:r>
          </w:p>
        </w:tc>
        <w:tc>
          <w:tcPr>
            <w:tcW w:w="285" w:type="pct"/>
            <w:shd w:val="clear" w:color="auto" w:fill="A7B2D4" w:themeFill="background2" w:themeFillTint="66"/>
            <w:vAlign w:val="center"/>
          </w:tcPr>
          <w:p w14:paraId="0EE33E6D"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553.3</w:t>
            </w:r>
          </w:p>
        </w:tc>
        <w:tc>
          <w:tcPr>
            <w:tcW w:w="285" w:type="pct"/>
            <w:shd w:val="clear" w:color="auto" w:fill="A7B2D4" w:themeFill="background2" w:themeFillTint="66"/>
            <w:vAlign w:val="center"/>
          </w:tcPr>
          <w:p w14:paraId="3EDE8C14" w14:textId="77777777" w:rsidR="00751CB7" w:rsidRPr="00751CB7" w:rsidRDefault="00751CB7" w:rsidP="00751CB7">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51CB7">
              <w:rPr>
                <w:rFonts w:cs="Calibri"/>
                <w:b/>
                <w:bCs/>
                <w:color w:val="000000"/>
                <w:sz w:val="16"/>
                <w:szCs w:val="16"/>
              </w:rPr>
              <w:t>592.6</w:t>
            </w:r>
          </w:p>
        </w:tc>
        <w:tc>
          <w:tcPr>
            <w:tcW w:w="352" w:type="pct"/>
            <w:shd w:val="clear" w:color="auto" w:fill="A7B2D4" w:themeFill="background2" w:themeFillTint="66"/>
            <w:vAlign w:val="center"/>
          </w:tcPr>
          <w:p w14:paraId="7AB0A2BE"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751CB7">
              <w:rPr>
                <w:rFonts w:cs="Calibri"/>
                <w:b/>
                <w:bCs/>
                <w:i w:val="0"/>
                <w:color w:val="000000"/>
                <w:sz w:val="16"/>
                <w:szCs w:val="16"/>
              </w:rPr>
              <w:t>926.4</w:t>
            </w:r>
          </w:p>
        </w:tc>
        <w:tc>
          <w:tcPr>
            <w:tcW w:w="347" w:type="pct"/>
            <w:shd w:val="clear" w:color="auto" w:fill="A7B2D4" w:themeFill="background2" w:themeFillTint="66"/>
            <w:vAlign w:val="center"/>
          </w:tcPr>
          <w:p w14:paraId="65605E2A" w14:textId="77777777" w:rsidR="00751CB7" w:rsidRPr="00751CB7" w:rsidRDefault="00751CB7" w:rsidP="00751CB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751CB7">
              <w:rPr>
                <w:rFonts w:cs="Calibri"/>
                <w:b/>
                <w:bCs/>
                <w:i w:val="0"/>
                <w:color w:val="000000"/>
                <w:sz w:val="16"/>
                <w:szCs w:val="16"/>
              </w:rPr>
              <w:t>4,477.2</w:t>
            </w:r>
          </w:p>
        </w:tc>
      </w:tr>
    </w:tbl>
    <w:p w14:paraId="2A58FB52" w14:textId="77777777" w:rsidR="00F57CA2" w:rsidRPr="00CD1811" w:rsidRDefault="00F57CA2" w:rsidP="00F57CA2">
      <w:pPr>
        <w:pStyle w:val="PRRfootnote2"/>
      </w:pPr>
      <w:r w:rsidRPr="00CD1811">
        <w:t>(a)</w:t>
      </w:r>
      <w:r w:rsidRPr="00CD1811">
        <w:tab/>
        <w:t xml:space="preserve">A </w:t>
      </w:r>
      <w:r w:rsidRPr="001E5635">
        <w:t>positive number for the fiscal balance indicates an increase in revenue or a decrease in expenses or net capital investment in accrual terms.  A negative number for the</w:t>
      </w:r>
      <w:r w:rsidRPr="00CD1811">
        <w:t xml:space="preserve"> fiscal balance indicates a decrease in revenue or an increase in expenses or net capital investment in accrual terms. </w:t>
      </w:r>
      <w:r>
        <w:t xml:space="preserve"> </w:t>
      </w:r>
      <w:r w:rsidRPr="00816E26">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r w:rsidRPr="00CD1811">
        <w:t xml:space="preserve"> </w:t>
      </w:r>
    </w:p>
    <w:p w14:paraId="32AE533B" w14:textId="77777777" w:rsidR="00F57CA2" w:rsidRDefault="00F57CA2" w:rsidP="009F02B9">
      <w:pPr>
        <w:pStyle w:val="PRRfootnote2"/>
      </w:pPr>
      <w:r w:rsidRPr="00C248C9">
        <w:t>..</w:t>
      </w:r>
      <w:r w:rsidRPr="00C248C9">
        <w:tab/>
        <w:t>Not zero but rounded to zero.</w:t>
      </w:r>
      <w:r w:rsidR="009F02B9">
        <w:tab/>
      </w:r>
      <w:r w:rsidR="009F02B9">
        <w:tab/>
        <w:t xml:space="preserve">- </w:t>
      </w:r>
      <w:r w:rsidRPr="00CD1811">
        <w:t>Indicates nil.</w:t>
      </w:r>
    </w:p>
    <w:p w14:paraId="64BBBB20" w14:textId="1D8E2D30" w:rsidR="00C248C9" w:rsidRPr="00395315" w:rsidRDefault="00C248C9" w:rsidP="00C248C9">
      <w:pPr>
        <w:keepNext/>
        <w:keepLines/>
        <w:widowControl w:val="0"/>
        <w:tabs>
          <w:tab w:val="left" w:pos="9356"/>
        </w:tabs>
        <w:spacing w:before="360"/>
        <w:rPr>
          <w:b/>
          <w:iCs/>
          <w:color w:val="3D4D7D" w:themeColor="background2"/>
          <w:szCs w:val="18"/>
          <w:vertAlign w:val="superscript"/>
        </w:rPr>
      </w:pPr>
      <w:r w:rsidRPr="00395315">
        <w:rPr>
          <w:b/>
          <w:iCs/>
          <w:color w:val="3D4D7D" w:themeColor="background2"/>
          <w:szCs w:val="18"/>
        </w:rPr>
        <w:lastRenderedPageBreak/>
        <w:t xml:space="preserve">Table </w:t>
      </w:r>
      <w:r w:rsidRPr="00395315">
        <w:rPr>
          <w:b/>
          <w:iCs/>
          <w:noProof/>
          <w:color w:val="3D4D7D" w:themeColor="background2"/>
          <w:szCs w:val="18"/>
        </w:rPr>
        <w:fldChar w:fldCharType="begin"/>
      </w:r>
      <w:r w:rsidRPr="00395315">
        <w:rPr>
          <w:b/>
          <w:iCs/>
          <w:noProof/>
          <w:color w:val="3D4D7D" w:themeColor="background2"/>
          <w:szCs w:val="18"/>
        </w:rPr>
        <w:instrText xml:space="preserve"> STYLEREF 8 \s </w:instrText>
      </w:r>
      <w:r w:rsidRPr="00395315">
        <w:rPr>
          <w:b/>
          <w:iCs/>
          <w:noProof/>
          <w:color w:val="3D4D7D" w:themeColor="background2"/>
          <w:szCs w:val="18"/>
        </w:rPr>
        <w:fldChar w:fldCharType="separate"/>
      </w:r>
      <w:r w:rsidR="00842172">
        <w:rPr>
          <w:b/>
          <w:iCs/>
          <w:noProof/>
          <w:color w:val="3D4D7D" w:themeColor="background2"/>
          <w:szCs w:val="18"/>
        </w:rPr>
        <w:t>A</w:t>
      </w:r>
      <w:r w:rsidRPr="00395315">
        <w:rPr>
          <w:b/>
          <w:iCs/>
          <w:noProof/>
          <w:color w:val="3D4D7D" w:themeColor="background2"/>
          <w:szCs w:val="18"/>
        </w:rPr>
        <w:fldChar w:fldCharType="end"/>
      </w:r>
      <w:r w:rsidRPr="00395315">
        <w:rPr>
          <w:b/>
          <w:iCs/>
          <w:noProof/>
          <w:color w:val="3D4D7D" w:themeColor="background2"/>
          <w:szCs w:val="18"/>
        </w:rPr>
        <w:t>2</w:t>
      </w:r>
      <w:r w:rsidRPr="00395315">
        <w:rPr>
          <w:b/>
          <w:iCs/>
          <w:color w:val="3D4D7D" w:themeColor="background2"/>
          <w:szCs w:val="18"/>
        </w:rPr>
        <w:t xml:space="preserve">: </w:t>
      </w:r>
      <w:r>
        <w:rPr>
          <w:b/>
          <w:iCs/>
          <w:color w:val="3D4D7D" w:themeColor="background2"/>
          <w:szCs w:val="18"/>
        </w:rPr>
        <w:t xml:space="preserve">Ending corporate tax avoidance </w:t>
      </w:r>
      <w:r w:rsidRPr="00395315">
        <w:rPr>
          <w:b/>
          <w:iCs/>
          <w:color w:val="3D4D7D" w:themeColor="background2"/>
          <w:szCs w:val="18"/>
        </w:rPr>
        <w:t>– Memorandum item: Public Debt Interest (PDI) impacts – Fiscal and underlying cash balances ($m)</w:t>
      </w:r>
      <w:r w:rsidRPr="00395315">
        <w:rPr>
          <w:b/>
          <w:iCs/>
          <w:color w:val="3D4D7D" w:themeColor="background2"/>
          <w:szCs w:val="18"/>
          <w:vertAlign w:val="superscript"/>
        </w:rPr>
        <w:t>(a)(b)</w:t>
      </w:r>
    </w:p>
    <w:tbl>
      <w:tblPr>
        <w:tblStyle w:val="LightGrid-Accent61"/>
        <w:tblW w:w="5000" w:type="pct"/>
        <w:tblLayout w:type="fixed"/>
        <w:tblLook w:val="0680" w:firstRow="0" w:lastRow="0" w:firstColumn="1" w:lastColumn="0" w:noHBand="1" w:noVBand="1"/>
      </w:tblPr>
      <w:tblGrid>
        <w:gridCol w:w="1975"/>
        <w:gridCol w:w="1417"/>
        <w:gridCol w:w="851"/>
        <w:gridCol w:w="851"/>
        <w:gridCol w:w="851"/>
        <w:gridCol w:w="851"/>
        <w:gridCol w:w="851"/>
        <w:gridCol w:w="851"/>
        <w:gridCol w:w="851"/>
        <w:gridCol w:w="851"/>
        <w:gridCol w:w="851"/>
        <w:gridCol w:w="851"/>
        <w:gridCol w:w="851"/>
        <w:gridCol w:w="993"/>
        <w:gridCol w:w="1032"/>
      </w:tblGrid>
      <w:tr w:rsidR="00C248C9" w:rsidRPr="00395315" w14:paraId="13711032" w14:textId="77777777" w:rsidTr="00C05830">
        <w:tc>
          <w:tcPr>
            <w:cnfStyle w:val="001000000000" w:firstRow="0" w:lastRow="0" w:firstColumn="1" w:lastColumn="0" w:oddVBand="0" w:evenVBand="0" w:oddHBand="0" w:evenHBand="0" w:firstRowFirstColumn="0" w:firstRowLastColumn="0" w:lastRowFirstColumn="0" w:lastRowLastColumn="0"/>
            <w:tcW w:w="668" w:type="pct"/>
            <w:shd w:val="clear" w:color="auto" w:fill="A7B2D4" w:themeFill="background2" w:themeFillTint="66"/>
          </w:tcPr>
          <w:p w14:paraId="1106996A" w14:textId="77777777" w:rsidR="00C248C9" w:rsidRPr="00395315" w:rsidRDefault="00C248C9" w:rsidP="00C05830">
            <w:pPr>
              <w:keepNext/>
              <w:widowControl w:val="0"/>
              <w:tabs>
                <w:tab w:val="left" w:pos="9356"/>
              </w:tabs>
              <w:spacing w:before="70" w:after="70" w:line="240" w:lineRule="auto"/>
              <w:ind w:left="-57" w:right="-57"/>
              <w:rPr>
                <w:rFonts w:asciiTheme="minorHAnsi" w:hAnsiTheme="minorHAnsi" w:cs="Times New Roman"/>
                <w:color w:val="auto"/>
                <w:spacing w:val="0"/>
                <w:sz w:val="16"/>
                <w:szCs w:val="16"/>
              </w:rPr>
            </w:pPr>
          </w:p>
        </w:tc>
        <w:tc>
          <w:tcPr>
            <w:tcW w:w="479" w:type="pct"/>
            <w:shd w:val="clear" w:color="auto" w:fill="A7B2D4" w:themeFill="background2" w:themeFillTint="66"/>
            <w:vAlign w:val="center"/>
          </w:tcPr>
          <w:p w14:paraId="4538225E" w14:textId="77777777" w:rsidR="00C248C9" w:rsidRPr="00395315" w:rsidRDefault="00C248C9" w:rsidP="00C05830">
            <w:pPr>
              <w:keepNext/>
              <w:widowControl w:val="0"/>
              <w:tabs>
                <w:tab w:val="left" w:pos="9356"/>
              </w:tab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p>
        </w:tc>
        <w:tc>
          <w:tcPr>
            <w:tcW w:w="288" w:type="pct"/>
            <w:shd w:val="clear" w:color="auto" w:fill="A7B2D4" w:themeFill="background2" w:themeFillTint="66"/>
            <w:vAlign w:val="center"/>
          </w:tcPr>
          <w:p w14:paraId="158B4618"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2021–22</w:t>
            </w:r>
          </w:p>
        </w:tc>
        <w:tc>
          <w:tcPr>
            <w:tcW w:w="288" w:type="pct"/>
            <w:shd w:val="clear" w:color="auto" w:fill="A7B2D4" w:themeFill="background2" w:themeFillTint="66"/>
            <w:vAlign w:val="center"/>
          </w:tcPr>
          <w:p w14:paraId="1B0CC74F"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2022–23</w:t>
            </w:r>
          </w:p>
        </w:tc>
        <w:tc>
          <w:tcPr>
            <w:tcW w:w="288" w:type="pct"/>
            <w:shd w:val="clear" w:color="auto" w:fill="A7B2D4" w:themeFill="background2" w:themeFillTint="66"/>
            <w:vAlign w:val="center"/>
          </w:tcPr>
          <w:p w14:paraId="5446EB34"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2023–24</w:t>
            </w:r>
          </w:p>
        </w:tc>
        <w:tc>
          <w:tcPr>
            <w:tcW w:w="288" w:type="pct"/>
            <w:shd w:val="clear" w:color="auto" w:fill="A7B2D4" w:themeFill="background2" w:themeFillTint="66"/>
            <w:vAlign w:val="center"/>
          </w:tcPr>
          <w:p w14:paraId="3FBA0AFF"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2024–25</w:t>
            </w:r>
          </w:p>
        </w:tc>
        <w:tc>
          <w:tcPr>
            <w:tcW w:w="288" w:type="pct"/>
            <w:shd w:val="clear" w:color="auto" w:fill="A7B2D4" w:themeFill="background2" w:themeFillTint="66"/>
            <w:vAlign w:val="center"/>
          </w:tcPr>
          <w:p w14:paraId="5F44C20F"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2025–26</w:t>
            </w:r>
          </w:p>
        </w:tc>
        <w:tc>
          <w:tcPr>
            <w:tcW w:w="288" w:type="pct"/>
            <w:shd w:val="clear" w:color="auto" w:fill="A7B2D4" w:themeFill="background2" w:themeFillTint="66"/>
            <w:vAlign w:val="center"/>
          </w:tcPr>
          <w:p w14:paraId="6BD5A917"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2026–27</w:t>
            </w:r>
          </w:p>
        </w:tc>
        <w:tc>
          <w:tcPr>
            <w:tcW w:w="288" w:type="pct"/>
            <w:shd w:val="clear" w:color="auto" w:fill="A7B2D4" w:themeFill="background2" w:themeFillTint="66"/>
            <w:vAlign w:val="center"/>
          </w:tcPr>
          <w:p w14:paraId="7EC4C9EB"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2027–28</w:t>
            </w:r>
          </w:p>
        </w:tc>
        <w:tc>
          <w:tcPr>
            <w:tcW w:w="288" w:type="pct"/>
            <w:shd w:val="clear" w:color="auto" w:fill="A7B2D4" w:themeFill="background2" w:themeFillTint="66"/>
            <w:vAlign w:val="center"/>
          </w:tcPr>
          <w:p w14:paraId="5E83323B"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2028–29</w:t>
            </w:r>
          </w:p>
        </w:tc>
        <w:tc>
          <w:tcPr>
            <w:tcW w:w="288" w:type="pct"/>
            <w:shd w:val="clear" w:color="auto" w:fill="A7B2D4" w:themeFill="background2" w:themeFillTint="66"/>
            <w:vAlign w:val="center"/>
          </w:tcPr>
          <w:p w14:paraId="6A2AF6FE"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2029–30</w:t>
            </w:r>
          </w:p>
        </w:tc>
        <w:tc>
          <w:tcPr>
            <w:tcW w:w="288" w:type="pct"/>
            <w:shd w:val="clear" w:color="auto" w:fill="A7B2D4" w:themeFill="background2" w:themeFillTint="66"/>
            <w:vAlign w:val="center"/>
          </w:tcPr>
          <w:p w14:paraId="0D526E41"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2030–31</w:t>
            </w:r>
          </w:p>
        </w:tc>
        <w:tc>
          <w:tcPr>
            <w:tcW w:w="288" w:type="pct"/>
            <w:shd w:val="clear" w:color="auto" w:fill="A7B2D4" w:themeFill="background2" w:themeFillTint="66"/>
            <w:vAlign w:val="center"/>
          </w:tcPr>
          <w:p w14:paraId="2E5C7062" w14:textId="77777777" w:rsidR="00C248C9" w:rsidRPr="00395315" w:rsidRDefault="00C248C9" w:rsidP="00C05830">
            <w:pPr>
              <w:keepNext/>
              <w:widowControl w:val="0"/>
              <w:tabs>
                <w:tab w:val="left" w:pos="9356"/>
              </w:tabs>
              <w:spacing w:before="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color w:val="auto"/>
                <w:spacing w:val="0"/>
                <w:sz w:val="16"/>
                <w:szCs w:val="16"/>
              </w:rPr>
              <w:t>2031–32</w:t>
            </w:r>
          </w:p>
        </w:tc>
        <w:tc>
          <w:tcPr>
            <w:tcW w:w="336" w:type="pct"/>
            <w:shd w:val="clear" w:color="auto" w:fill="A7B2D4" w:themeFill="background2" w:themeFillTint="66"/>
            <w:vAlign w:val="center"/>
          </w:tcPr>
          <w:p w14:paraId="2B501EFE" w14:textId="77777777" w:rsidR="00C248C9" w:rsidRPr="00395315" w:rsidRDefault="00C248C9" w:rsidP="00C05830">
            <w:pPr>
              <w:keepNext/>
              <w:widowControl w:val="0"/>
              <w:tabs>
                <w:tab w:val="left" w:pos="9356"/>
              </w:tab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color w:val="auto"/>
                <w:spacing w:val="0"/>
                <w:sz w:val="16"/>
                <w:szCs w:val="16"/>
              </w:rPr>
            </w:pPr>
            <w:r w:rsidRPr="00395315">
              <w:rPr>
                <w:rFonts w:cs="Times New Roman"/>
                <w:b/>
                <w:color w:val="auto"/>
                <w:spacing w:val="0"/>
                <w:sz w:val="16"/>
                <w:szCs w:val="16"/>
              </w:rPr>
              <w:t>Total to 2024–25</w:t>
            </w:r>
          </w:p>
        </w:tc>
        <w:tc>
          <w:tcPr>
            <w:tcW w:w="349" w:type="pct"/>
            <w:shd w:val="clear" w:color="auto" w:fill="A7B2D4" w:themeFill="background2" w:themeFillTint="66"/>
            <w:vAlign w:val="center"/>
          </w:tcPr>
          <w:p w14:paraId="3BC1C360" w14:textId="77777777" w:rsidR="00C248C9" w:rsidRPr="00395315" w:rsidRDefault="00C248C9" w:rsidP="00C05830">
            <w:pPr>
              <w:keepNext/>
              <w:widowControl w:val="0"/>
              <w:tabs>
                <w:tab w:val="left" w:pos="9356"/>
              </w:tab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Times New Roman"/>
                <w:b/>
                <w:color w:val="auto"/>
                <w:spacing w:val="0"/>
                <w:sz w:val="16"/>
                <w:szCs w:val="16"/>
              </w:rPr>
            </w:pPr>
            <w:r w:rsidRPr="00395315">
              <w:rPr>
                <w:rFonts w:cs="Times New Roman"/>
                <w:b/>
                <w:color w:val="auto"/>
                <w:spacing w:val="0"/>
                <w:sz w:val="16"/>
                <w:szCs w:val="16"/>
              </w:rPr>
              <w:t>Total to 2031–32</w:t>
            </w:r>
          </w:p>
        </w:tc>
      </w:tr>
      <w:tr w:rsidR="0020094B" w:rsidRPr="00395315" w14:paraId="791C46F4" w14:textId="77777777" w:rsidTr="00C05830">
        <w:tc>
          <w:tcPr>
            <w:cnfStyle w:val="001000000000" w:firstRow="0" w:lastRow="0" w:firstColumn="1" w:lastColumn="0" w:oddVBand="0" w:evenVBand="0" w:oddHBand="0" w:evenHBand="0" w:firstRowFirstColumn="0" w:firstRowLastColumn="0" w:lastRowFirstColumn="0" w:lastRowLastColumn="0"/>
            <w:tcW w:w="668" w:type="pct"/>
            <w:shd w:val="clear" w:color="auto" w:fill="A7B2D4" w:themeFill="background2" w:themeFillTint="66"/>
          </w:tcPr>
          <w:p w14:paraId="73870B3A" w14:textId="77777777" w:rsidR="0020094B" w:rsidRPr="00395315" w:rsidRDefault="0020094B" w:rsidP="0020094B">
            <w:pPr>
              <w:keepNext/>
              <w:widowControl w:val="0"/>
              <w:tabs>
                <w:tab w:val="left" w:pos="9356"/>
              </w:tabs>
              <w:spacing w:before="70" w:after="70" w:line="240" w:lineRule="auto"/>
              <w:ind w:left="-57" w:right="-57"/>
              <w:rPr>
                <w:rFonts w:asciiTheme="minorHAnsi" w:hAnsiTheme="minorHAnsi" w:cs="Times New Roman"/>
                <w:bCs w:val="0"/>
                <w:color w:val="auto"/>
                <w:spacing w:val="0"/>
                <w:sz w:val="16"/>
                <w:szCs w:val="16"/>
              </w:rPr>
            </w:pPr>
            <w:r w:rsidRPr="00395315">
              <w:rPr>
                <w:rFonts w:asciiTheme="minorHAnsi" w:hAnsiTheme="minorHAnsi" w:cs="Times New Roman"/>
                <w:bCs w:val="0"/>
                <w:color w:val="auto"/>
                <w:spacing w:val="0"/>
                <w:sz w:val="16"/>
                <w:szCs w:val="16"/>
              </w:rPr>
              <w:t>Fiscal balance</w:t>
            </w:r>
          </w:p>
        </w:tc>
        <w:tc>
          <w:tcPr>
            <w:tcW w:w="479" w:type="pct"/>
            <w:shd w:val="clear" w:color="auto" w:fill="auto"/>
            <w:vAlign w:val="center"/>
          </w:tcPr>
          <w:p w14:paraId="1EC6B1B3" w14:textId="77777777" w:rsidR="0020094B" w:rsidRPr="00395315" w:rsidRDefault="0020094B" w:rsidP="0020094B">
            <w:pPr>
              <w:keepNext/>
              <w:widowControl w:val="0"/>
              <w:tabs>
                <w:tab w:val="left" w:pos="9356"/>
              </w:tab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rFonts w:cs="Times New Roman"/>
                <w:i/>
                <w:iCs/>
                <w:color w:val="auto"/>
                <w:spacing w:val="0"/>
                <w:sz w:val="16"/>
                <w:szCs w:val="16"/>
              </w:rPr>
            </w:pPr>
            <w:r w:rsidRPr="00395315">
              <w:rPr>
                <w:rFonts w:cs="Times New Roman"/>
                <w:i/>
                <w:iCs/>
                <w:color w:val="auto"/>
                <w:spacing w:val="0"/>
                <w:sz w:val="16"/>
                <w:szCs w:val="16"/>
              </w:rPr>
              <w:t>PDI impacts</w:t>
            </w:r>
          </w:p>
        </w:tc>
        <w:tc>
          <w:tcPr>
            <w:tcW w:w="288" w:type="pct"/>
            <w:tcBorders>
              <w:top w:val="nil"/>
              <w:left w:val="nil"/>
              <w:bottom w:val="single" w:sz="8" w:space="0" w:color="788184"/>
              <w:right w:val="single" w:sz="8" w:space="0" w:color="788184"/>
            </w:tcBorders>
            <w:shd w:val="clear" w:color="auto" w:fill="auto"/>
            <w:vAlign w:val="center"/>
          </w:tcPr>
          <w:p w14:paraId="479BDCCB"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Pr>
                <w:rFonts w:cs="Calibri"/>
                <w:i/>
                <w:iCs/>
                <w:color w:val="000000"/>
                <w:sz w:val="16"/>
                <w:szCs w:val="16"/>
              </w:rPr>
              <w:t>-</w:t>
            </w:r>
          </w:p>
        </w:tc>
        <w:tc>
          <w:tcPr>
            <w:tcW w:w="288" w:type="pct"/>
            <w:tcBorders>
              <w:top w:val="nil"/>
              <w:left w:val="nil"/>
              <w:bottom w:val="single" w:sz="8" w:space="0" w:color="788184"/>
              <w:right w:val="single" w:sz="8" w:space="0" w:color="788184"/>
            </w:tcBorders>
            <w:shd w:val="clear" w:color="auto" w:fill="auto"/>
            <w:vAlign w:val="center"/>
          </w:tcPr>
          <w:p w14:paraId="41723D80"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-1.0</w:t>
            </w:r>
          </w:p>
        </w:tc>
        <w:tc>
          <w:tcPr>
            <w:tcW w:w="288" w:type="pct"/>
            <w:tcBorders>
              <w:top w:val="nil"/>
              <w:left w:val="nil"/>
              <w:bottom w:val="single" w:sz="8" w:space="0" w:color="788184"/>
              <w:right w:val="single" w:sz="8" w:space="0" w:color="788184"/>
            </w:tcBorders>
            <w:shd w:val="clear" w:color="auto" w:fill="auto"/>
            <w:vAlign w:val="center"/>
          </w:tcPr>
          <w:p w14:paraId="56AE249A"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4.0</w:t>
            </w:r>
          </w:p>
        </w:tc>
        <w:tc>
          <w:tcPr>
            <w:tcW w:w="288" w:type="pct"/>
            <w:tcBorders>
              <w:top w:val="nil"/>
              <w:left w:val="nil"/>
              <w:bottom w:val="single" w:sz="8" w:space="0" w:color="788184"/>
              <w:right w:val="single" w:sz="8" w:space="0" w:color="788184"/>
            </w:tcBorders>
            <w:shd w:val="clear" w:color="auto" w:fill="auto"/>
            <w:vAlign w:val="center"/>
          </w:tcPr>
          <w:p w14:paraId="71BEFE43"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12.0</w:t>
            </w:r>
          </w:p>
        </w:tc>
        <w:tc>
          <w:tcPr>
            <w:tcW w:w="288" w:type="pct"/>
            <w:tcBorders>
              <w:top w:val="nil"/>
              <w:left w:val="nil"/>
              <w:bottom w:val="single" w:sz="8" w:space="0" w:color="788184"/>
              <w:right w:val="single" w:sz="8" w:space="0" w:color="788184"/>
            </w:tcBorders>
            <w:shd w:val="clear" w:color="auto" w:fill="auto"/>
            <w:vAlign w:val="center"/>
          </w:tcPr>
          <w:p w14:paraId="472D33C5"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20.0</w:t>
            </w:r>
          </w:p>
        </w:tc>
        <w:tc>
          <w:tcPr>
            <w:tcW w:w="288" w:type="pct"/>
            <w:tcBorders>
              <w:top w:val="nil"/>
              <w:left w:val="nil"/>
              <w:bottom w:val="single" w:sz="8" w:space="0" w:color="788184"/>
              <w:right w:val="single" w:sz="8" w:space="0" w:color="788184"/>
            </w:tcBorders>
            <w:shd w:val="clear" w:color="auto" w:fill="auto"/>
            <w:vAlign w:val="center"/>
          </w:tcPr>
          <w:p w14:paraId="2C27E7E8"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30.0</w:t>
            </w:r>
          </w:p>
        </w:tc>
        <w:tc>
          <w:tcPr>
            <w:tcW w:w="288" w:type="pct"/>
            <w:tcBorders>
              <w:top w:val="nil"/>
              <w:left w:val="nil"/>
              <w:bottom w:val="single" w:sz="8" w:space="0" w:color="788184"/>
              <w:right w:val="single" w:sz="8" w:space="0" w:color="788184"/>
            </w:tcBorders>
            <w:shd w:val="clear" w:color="auto" w:fill="auto"/>
            <w:vAlign w:val="center"/>
          </w:tcPr>
          <w:p w14:paraId="11F872DF"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41.0</w:t>
            </w:r>
          </w:p>
        </w:tc>
        <w:tc>
          <w:tcPr>
            <w:tcW w:w="288" w:type="pct"/>
            <w:tcBorders>
              <w:top w:val="nil"/>
              <w:left w:val="nil"/>
              <w:bottom w:val="single" w:sz="8" w:space="0" w:color="788184"/>
              <w:right w:val="single" w:sz="8" w:space="0" w:color="788184"/>
            </w:tcBorders>
            <w:shd w:val="clear" w:color="auto" w:fill="auto"/>
            <w:vAlign w:val="center"/>
          </w:tcPr>
          <w:p w14:paraId="035B8259"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54.0</w:t>
            </w:r>
          </w:p>
        </w:tc>
        <w:tc>
          <w:tcPr>
            <w:tcW w:w="288" w:type="pct"/>
            <w:tcBorders>
              <w:top w:val="nil"/>
              <w:left w:val="nil"/>
              <w:bottom w:val="single" w:sz="8" w:space="0" w:color="788184"/>
              <w:right w:val="single" w:sz="8" w:space="0" w:color="788184"/>
            </w:tcBorders>
            <w:shd w:val="clear" w:color="auto" w:fill="auto"/>
            <w:vAlign w:val="center"/>
          </w:tcPr>
          <w:p w14:paraId="68A43FAF"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70.0</w:t>
            </w:r>
          </w:p>
        </w:tc>
        <w:tc>
          <w:tcPr>
            <w:tcW w:w="288" w:type="pct"/>
            <w:tcBorders>
              <w:top w:val="nil"/>
              <w:left w:val="nil"/>
              <w:bottom w:val="single" w:sz="8" w:space="0" w:color="788184"/>
              <w:right w:val="single" w:sz="8" w:space="0" w:color="788184"/>
            </w:tcBorders>
            <w:shd w:val="clear" w:color="auto" w:fill="auto"/>
            <w:vAlign w:val="center"/>
          </w:tcPr>
          <w:p w14:paraId="002C14FD"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88.0</w:t>
            </w:r>
          </w:p>
        </w:tc>
        <w:tc>
          <w:tcPr>
            <w:tcW w:w="288" w:type="pct"/>
            <w:tcBorders>
              <w:top w:val="nil"/>
              <w:left w:val="nil"/>
              <w:bottom w:val="single" w:sz="8" w:space="0" w:color="788184"/>
              <w:right w:val="single" w:sz="8" w:space="0" w:color="788184"/>
            </w:tcBorders>
            <w:shd w:val="clear" w:color="auto" w:fill="auto"/>
            <w:vAlign w:val="center"/>
          </w:tcPr>
          <w:p w14:paraId="362DDD6A"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110.0</w:t>
            </w:r>
          </w:p>
        </w:tc>
        <w:tc>
          <w:tcPr>
            <w:tcW w:w="336" w:type="pct"/>
            <w:tcBorders>
              <w:top w:val="nil"/>
              <w:left w:val="nil"/>
              <w:bottom w:val="single" w:sz="8" w:space="0" w:color="788184"/>
              <w:right w:val="single" w:sz="8" w:space="0" w:color="788184"/>
            </w:tcBorders>
            <w:shd w:val="clear" w:color="auto" w:fill="auto"/>
            <w:vAlign w:val="center"/>
          </w:tcPr>
          <w:p w14:paraId="18940B7F"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i/>
                <w:iCs/>
                <w:sz w:val="16"/>
                <w:szCs w:val="16"/>
              </w:rPr>
            </w:pPr>
            <w:r w:rsidRPr="0020094B">
              <w:rPr>
                <w:rFonts w:cs="Calibri"/>
                <w:b/>
                <w:bCs/>
                <w:i/>
                <w:iCs/>
                <w:color w:val="000000"/>
                <w:sz w:val="16"/>
                <w:szCs w:val="16"/>
              </w:rPr>
              <w:t>15.0</w:t>
            </w:r>
          </w:p>
        </w:tc>
        <w:tc>
          <w:tcPr>
            <w:tcW w:w="349" w:type="pct"/>
            <w:tcBorders>
              <w:top w:val="nil"/>
              <w:left w:val="nil"/>
              <w:bottom w:val="single" w:sz="8" w:space="0" w:color="788184"/>
              <w:right w:val="single" w:sz="8" w:space="0" w:color="788184"/>
            </w:tcBorders>
            <w:shd w:val="clear" w:color="auto" w:fill="auto"/>
            <w:vAlign w:val="center"/>
          </w:tcPr>
          <w:p w14:paraId="0289BCCA"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i/>
                <w:iCs/>
                <w:sz w:val="16"/>
                <w:szCs w:val="16"/>
              </w:rPr>
            </w:pPr>
            <w:r w:rsidRPr="0020094B">
              <w:rPr>
                <w:rFonts w:cs="Calibri"/>
                <w:b/>
                <w:bCs/>
                <w:i/>
                <w:iCs/>
                <w:color w:val="000000"/>
                <w:sz w:val="16"/>
                <w:szCs w:val="16"/>
              </w:rPr>
              <w:t>428.0</w:t>
            </w:r>
          </w:p>
        </w:tc>
      </w:tr>
      <w:tr w:rsidR="0020094B" w:rsidRPr="00395315" w14:paraId="29B94507" w14:textId="77777777" w:rsidTr="00C05830">
        <w:tc>
          <w:tcPr>
            <w:cnfStyle w:val="001000000000" w:firstRow="0" w:lastRow="0" w:firstColumn="1" w:lastColumn="0" w:oddVBand="0" w:evenVBand="0" w:oddHBand="0" w:evenHBand="0" w:firstRowFirstColumn="0" w:firstRowLastColumn="0" w:lastRowFirstColumn="0" w:lastRowLastColumn="0"/>
            <w:tcW w:w="668" w:type="pct"/>
            <w:tcBorders>
              <w:right w:val="single" w:sz="8" w:space="0" w:color="788183" w:themeColor="accent6"/>
            </w:tcBorders>
            <w:shd w:val="clear" w:color="auto" w:fill="A7B2D4" w:themeFill="background2" w:themeFillTint="66"/>
          </w:tcPr>
          <w:p w14:paraId="4CDAF9F9" w14:textId="77777777" w:rsidR="0020094B" w:rsidRPr="00395315" w:rsidRDefault="0020094B" w:rsidP="0020094B">
            <w:pPr>
              <w:keepNext/>
              <w:widowControl w:val="0"/>
              <w:tabs>
                <w:tab w:val="left" w:pos="9356"/>
              </w:tabs>
              <w:spacing w:before="70" w:after="70" w:line="240" w:lineRule="auto"/>
              <w:ind w:left="-57" w:right="-57"/>
              <w:rPr>
                <w:rFonts w:asciiTheme="minorHAnsi" w:hAnsiTheme="minorHAnsi" w:cs="Times New Roman"/>
                <w:bCs w:val="0"/>
                <w:color w:val="auto"/>
                <w:spacing w:val="0"/>
                <w:sz w:val="16"/>
                <w:szCs w:val="16"/>
              </w:rPr>
            </w:pPr>
            <w:r w:rsidRPr="00395315">
              <w:rPr>
                <w:rFonts w:asciiTheme="minorHAnsi" w:hAnsiTheme="minorHAnsi" w:cs="Times New Roman"/>
                <w:bCs w:val="0"/>
                <w:color w:val="auto"/>
                <w:spacing w:val="0"/>
                <w:sz w:val="16"/>
                <w:szCs w:val="16"/>
              </w:rPr>
              <w:t>Underlying cash balance</w:t>
            </w:r>
          </w:p>
        </w:tc>
        <w:tc>
          <w:tcPr>
            <w:tcW w:w="479" w:type="pct"/>
            <w:tcBorders>
              <w:left w:val="single" w:sz="8" w:space="0" w:color="788183" w:themeColor="accent6"/>
            </w:tcBorders>
            <w:vAlign w:val="center"/>
          </w:tcPr>
          <w:p w14:paraId="07B4B5A1" w14:textId="77777777" w:rsidR="0020094B" w:rsidRPr="00395315" w:rsidRDefault="0020094B" w:rsidP="0020094B">
            <w:pPr>
              <w:keepNext/>
              <w:widowControl w:val="0"/>
              <w:tabs>
                <w:tab w:val="left" w:pos="9356"/>
              </w:tabs>
              <w:spacing w:before="70" w:after="70" w:line="240" w:lineRule="auto"/>
              <w:ind w:left="-57" w:right="-57"/>
              <w:cnfStyle w:val="000000000000" w:firstRow="0" w:lastRow="0" w:firstColumn="0" w:lastColumn="0" w:oddVBand="0" w:evenVBand="0" w:oddHBand="0" w:evenHBand="0" w:firstRowFirstColumn="0" w:firstRowLastColumn="0" w:lastRowFirstColumn="0" w:lastRowLastColumn="0"/>
              <w:rPr>
                <w:rFonts w:cs="Times New Roman"/>
                <w:i/>
                <w:iCs/>
                <w:color w:val="auto"/>
                <w:spacing w:val="0"/>
                <w:sz w:val="16"/>
                <w:szCs w:val="16"/>
              </w:rPr>
            </w:pPr>
            <w:r w:rsidRPr="00395315">
              <w:rPr>
                <w:rFonts w:cs="Times New Roman"/>
                <w:i/>
                <w:iCs/>
                <w:color w:val="auto"/>
                <w:spacing w:val="0"/>
                <w:sz w:val="16"/>
                <w:szCs w:val="16"/>
              </w:rPr>
              <w:t>PDI impacts</w:t>
            </w:r>
          </w:p>
        </w:tc>
        <w:tc>
          <w:tcPr>
            <w:tcW w:w="288" w:type="pct"/>
            <w:tcBorders>
              <w:top w:val="nil"/>
              <w:left w:val="nil"/>
              <w:bottom w:val="single" w:sz="8" w:space="0" w:color="788184"/>
              <w:right w:val="single" w:sz="8" w:space="0" w:color="788184"/>
            </w:tcBorders>
            <w:shd w:val="clear" w:color="auto" w:fill="auto"/>
            <w:vAlign w:val="center"/>
          </w:tcPr>
          <w:p w14:paraId="3AA891BE"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Pr>
                <w:rFonts w:cs="Calibri"/>
                <w:i/>
                <w:iCs/>
                <w:color w:val="000000"/>
                <w:sz w:val="16"/>
                <w:szCs w:val="16"/>
              </w:rPr>
              <w:t>-</w:t>
            </w:r>
          </w:p>
        </w:tc>
        <w:tc>
          <w:tcPr>
            <w:tcW w:w="288" w:type="pct"/>
            <w:tcBorders>
              <w:top w:val="nil"/>
              <w:left w:val="nil"/>
              <w:bottom w:val="single" w:sz="8" w:space="0" w:color="788184"/>
              <w:right w:val="single" w:sz="8" w:space="0" w:color="788184"/>
            </w:tcBorders>
            <w:shd w:val="clear" w:color="auto" w:fill="auto"/>
            <w:vAlign w:val="center"/>
          </w:tcPr>
          <w:p w14:paraId="6FEBFEF6"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-1.0</w:t>
            </w:r>
          </w:p>
        </w:tc>
        <w:tc>
          <w:tcPr>
            <w:tcW w:w="288" w:type="pct"/>
            <w:tcBorders>
              <w:top w:val="nil"/>
              <w:left w:val="nil"/>
              <w:bottom w:val="single" w:sz="8" w:space="0" w:color="788184"/>
              <w:right w:val="single" w:sz="8" w:space="0" w:color="788184"/>
            </w:tcBorders>
            <w:shd w:val="clear" w:color="auto" w:fill="auto"/>
            <w:vAlign w:val="center"/>
          </w:tcPr>
          <w:p w14:paraId="4BA11482"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3.0</w:t>
            </w:r>
          </w:p>
        </w:tc>
        <w:tc>
          <w:tcPr>
            <w:tcW w:w="288" w:type="pct"/>
            <w:tcBorders>
              <w:top w:val="nil"/>
              <w:left w:val="nil"/>
              <w:bottom w:val="single" w:sz="8" w:space="0" w:color="788184"/>
              <w:right w:val="single" w:sz="8" w:space="0" w:color="788184"/>
            </w:tcBorders>
            <w:shd w:val="clear" w:color="auto" w:fill="auto"/>
            <w:vAlign w:val="center"/>
          </w:tcPr>
          <w:p w14:paraId="7D9CA3DA"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11.0</w:t>
            </w:r>
          </w:p>
        </w:tc>
        <w:tc>
          <w:tcPr>
            <w:tcW w:w="288" w:type="pct"/>
            <w:tcBorders>
              <w:top w:val="nil"/>
              <w:left w:val="nil"/>
              <w:bottom w:val="single" w:sz="8" w:space="0" w:color="788184"/>
              <w:right w:val="single" w:sz="8" w:space="0" w:color="788184"/>
            </w:tcBorders>
            <w:shd w:val="clear" w:color="auto" w:fill="auto"/>
            <w:vAlign w:val="center"/>
          </w:tcPr>
          <w:p w14:paraId="7D46E039"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19.0</w:t>
            </w:r>
          </w:p>
        </w:tc>
        <w:tc>
          <w:tcPr>
            <w:tcW w:w="288" w:type="pct"/>
            <w:tcBorders>
              <w:top w:val="nil"/>
              <w:left w:val="nil"/>
              <w:bottom w:val="single" w:sz="8" w:space="0" w:color="788184"/>
              <w:right w:val="single" w:sz="8" w:space="0" w:color="788184"/>
            </w:tcBorders>
            <w:shd w:val="clear" w:color="auto" w:fill="auto"/>
            <w:vAlign w:val="center"/>
          </w:tcPr>
          <w:p w14:paraId="2314D8A1"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29.0</w:t>
            </w:r>
          </w:p>
        </w:tc>
        <w:tc>
          <w:tcPr>
            <w:tcW w:w="288" w:type="pct"/>
            <w:tcBorders>
              <w:top w:val="nil"/>
              <w:left w:val="nil"/>
              <w:bottom w:val="single" w:sz="8" w:space="0" w:color="788184"/>
              <w:right w:val="single" w:sz="8" w:space="0" w:color="788184"/>
            </w:tcBorders>
            <w:shd w:val="clear" w:color="auto" w:fill="auto"/>
            <w:vAlign w:val="center"/>
          </w:tcPr>
          <w:p w14:paraId="71C75DF2"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40.0</w:t>
            </w:r>
          </w:p>
        </w:tc>
        <w:tc>
          <w:tcPr>
            <w:tcW w:w="288" w:type="pct"/>
            <w:tcBorders>
              <w:top w:val="nil"/>
              <w:left w:val="nil"/>
              <w:bottom w:val="single" w:sz="8" w:space="0" w:color="788184"/>
              <w:right w:val="single" w:sz="8" w:space="0" w:color="788184"/>
            </w:tcBorders>
            <w:shd w:val="clear" w:color="auto" w:fill="auto"/>
            <w:vAlign w:val="center"/>
          </w:tcPr>
          <w:p w14:paraId="086BF55E"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53.0</w:t>
            </w:r>
          </w:p>
        </w:tc>
        <w:tc>
          <w:tcPr>
            <w:tcW w:w="288" w:type="pct"/>
            <w:tcBorders>
              <w:top w:val="nil"/>
              <w:left w:val="nil"/>
              <w:bottom w:val="single" w:sz="8" w:space="0" w:color="788184"/>
              <w:right w:val="single" w:sz="8" w:space="0" w:color="788184"/>
            </w:tcBorders>
            <w:shd w:val="clear" w:color="auto" w:fill="auto"/>
            <w:vAlign w:val="center"/>
          </w:tcPr>
          <w:p w14:paraId="30B0D2B8"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68.0</w:t>
            </w:r>
          </w:p>
        </w:tc>
        <w:tc>
          <w:tcPr>
            <w:tcW w:w="288" w:type="pct"/>
            <w:tcBorders>
              <w:top w:val="nil"/>
              <w:left w:val="nil"/>
              <w:bottom w:val="single" w:sz="8" w:space="0" w:color="788184"/>
              <w:right w:val="single" w:sz="8" w:space="0" w:color="788184"/>
            </w:tcBorders>
            <w:shd w:val="clear" w:color="auto" w:fill="auto"/>
            <w:vAlign w:val="center"/>
          </w:tcPr>
          <w:p w14:paraId="0A909FD5"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86.0</w:t>
            </w:r>
          </w:p>
        </w:tc>
        <w:tc>
          <w:tcPr>
            <w:tcW w:w="288" w:type="pct"/>
            <w:tcBorders>
              <w:top w:val="nil"/>
              <w:left w:val="nil"/>
              <w:bottom w:val="single" w:sz="8" w:space="0" w:color="788184"/>
              <w:right w:val="single" w:sz="8" w:space="0" w:color="788184"/>
            </w:tcBorders>
            <w:shd w:val="clear" w:color="auto" w:fill="auto"/>
            <w:vAlign w:val="center"/>
          </w:tcPr>
          <w:p w14:paraId="695070B0"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i/>
                <w:iCs/>
                <w:noProof/>
                <w:sz w:val="16"/>
                <w:szCs w:val="16"/>
              </w:rPr>
            </w:pPr>
            <w:r w:rsidRPr="0020094B">
              <w:rPr>
                <w:rFonts w:cs="Calibri"/>
                <w:i/>
                <w:iCs/>
                <w:color w:val="000000"/>
                <w:sz w:val="16"/>
                <w:szCs w:val="16"/>
              </w:rPr>
              <w:t>107.0</w:t>
            </w:r>
          </w:p>
        </w:tc>
        <w:tc>
          <w:tcPr>
            <w:tcW w:w="336" w:type="pct"/>
            <w:tcBorders>
              <w:top w:val="nil"/>
              <w:left w:val="nil"/>
              <w:bottom w:val="single" w:sz="8" w:space="0" w:color="788184"/>
              <w:right w:val="single" w:sz="8" w:space="0" w:color="788184"/>
            </w:tcBorders>
            <w:shd w:val="clear" w:color="auto" w:fill="auto"/>
            <w:vAlign w:val="center"/>
          </w:tcPr>
          <w:p w14:paraId="4E0006A0"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i/>
                <w:iCs/>
                <w:sz w:val="16"/>
                <w:szCs w:val="16"/>
              </w:rPr>
            </w:pPr>
            <w:r w:rsidRPr="0020094B">
              <w:rPr>
                <w:rFonts w:cs="Calibri"/>
                <w:b/>
                <w:bCs/>
                <w:i/>
                <w:iCs/>
                <w:color w:val="000000"/>
                <w:sz w:val="16"/>
                <w:szCs w:val="16"/>
              </w:rPr>
              <w:t>13.0</w:t>
            </w:r>
          </w:p>
        </w:tc>
        <w:tc>
          <w:tcPr>
            <w:tcW w:w="349" w:type="pct"/>
            <w:tcBorders>
              <w:top w:val="nil"/>
              <w:left w:val="nil"/>
              <w:bottom w:val="single" w:sz="8" w:space="0" w:color="788184"/>
              <w:right w:val="single" w:sz="8" w:space="0" w:color="788184"/>
            </w:tcBorders>
            <w:shd w:val="clear" w:color="auto" w:fill="auto"/>
            <w:vAlign w:val="center"/>
          </w:tcPr>
          <w:p w14:paraId="720AF72C" w14:textId="77777777" w:rsidR="0020094B" w:rsidRPr="0020094B" w:rsidRDefault="0020094B" w:rsidP="0020094B">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i/>
                <w:iCs/>
                <w:sz w:val="16"/>
                <w:szCs w:val="16"/>
              </w:rPr>
            </w:pPr>
            <w:r w:rsidRPr="0020094B">
              <w:rPr>
                <w:rFonts w:cs="Calibri"/>
                <w:b/>
                <w:bCs/>
                <w:i/>
                <w:iCs/>
                <w:color w:val="000000"/>
                <w:sz w:val="16"/>
                <w:szCs w:val="16"/>
              </w:rPr>
              <w:t>415.0</w:t>
            </w:r>
          </w:p>
        </w:tc>
      </w:tr>
    </w:tbl>
    <w:p w14:paraId="4399E2B4" w14:textId="77777777" w:rsidR="00C248C9" w:rsidRPr="00395315" w:rsidRDefault="00C248C9" w:rsidP="008B5DF7">
      <w:pPr>
        <w:keepNext/>
        <w:keepLines/>
        <w:spacing w:line="260" w:lineRule="atLeast"/>
        <w:ind w:left="284" w:hanging="284"/>
        <w:rPr>
          <w:sz w:val="16"/>
          <w:szCs w:val="16"/>
        </w:rPr>
      </w:pPr>
      <w:r w:rsidRPr="00395315">
        <w:rPr>
          <w:sz w:val="16"/>
          <w:szCs w:val="16"/>
        </w:rPr>
        <w:t>(a)</w:t>
      </w:r>
      <w:r w:rsidRPr="00395315">
        <w:rPr>
          <w:sz w:val="16"/>
          <w:szCs w:val="16"/>
        </w:rPr>
        <w:tab/>
        <w:t>As this table is presented as a memorandum item, these figures are not reflected in the totals in the table above.  This is consistent with the approach taken in the budget where the budget impact of most measures is presented excluding the impact on PDI.  If the reader would like a complete picture of the total aggregate, then these figures would need to be added to the figures above.  For further information on government borrowing and financing please refer to the PBO’s online budget glossary</w:t>
      </w:r>
      <w:r w:rsidRPr="00395315">
        <w:rPr>
          <w:sz w:val="16"/>
          <w:szCs w:val="16"/>
          <w:vertAlign w:val="superscript"/>
        </w:rPr>
        <w:footnoteReference w:id="2"/>
      </w:r>
      <w:r w:rsidRPr="00395315">
        <w:rPr>
          <w:sz w:val="16"/>
          <w:szCs w:val="16"/>
        </w:rPr>
        <w:t>.</w:t>
      </w:r>
    </w:p>
    <w:p w14:paraId="019ADFF9" w14:textId="77777777" w:rsidR="00C248C9" w:rsidRPr="00395315" w:rsidRDefault="00C248C9" w:rsidP="008B5DF7">
      <w:pPr>
        <w:keepNext/>
        <w:keepLines/>
        <w:spacing w:line="260" w:lineRule="atLeast"/>
        <w:ind w:left="284" w:hanging="284"/>
        <w:rPr>
          <w:sz w:val="16"/>
          <w:szCs w:val="16"/>
        </w:rPr>
      </w:pPr>
      <w:r w:rsidRPr="00395315">
        <w:rPr>
          <w:sz w:val="16"/>
          <w:szCs w:val="16"/>
        </w:rPr>
        <w:t>(b)</w:t>
      </w:r>
      <w:r w:rsidRPr="00395315">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14:paraId="2D8EF8FF" w14:textId="77777777" w:rsidR="00C248C9" w:rsidRPr="005A3310" w:rsidRDefault="00C248C9" w:rsidP="008B5DF7">
      <w:pPr>
        <w:keepNext/>
        <w:keepLines/>
        <w:numPr>
          <w:ilvl w:val="0"/>
          <w:numId w:val="27"/>
        </w:numPr>
        <w:spacing w:line="260" w:lineRule="atLeast"/>
        <w:ind w:left="284" w:hanging="284"/>
        <w:rPr>
          <w:sz w:val="16"/>
          <w:szCs w:val="16"/>
        </w:rPr>
      </w:pPr>
      <w:r w:rsidRPr="00395315">
        <w:rPr>
          <w:sz w:val="16"/>
          <w:szCs w:val="16"/>
        </w:rPr>
        <w:t>Indicates nil.</w:t>
      </w:r>
    </w:p>
    <w:p w14:paraId="60F3288D" w14:textId="77777777" w:rsidR="00824771" w:rsidRPr="00617691" w:rsidRDefault="00824771" w:rsidP="004B52AF">
      <w:pPr>
        <w:spacing w:after="60" w:line="240" w:lineRule="auto"/>
        <w:rPr>
          <w:color w:val="FF0000"/>
        </w:rPr>
      </w:pPr>
    </w:p>
    <w:sectPr w:rsidR="00824771" w:rsidRPr="00617691" w:rsidSect="009F02B9">
      <w:footerReference w:type="default" r:id="rId16"/>
      <w:pgSz w:w="16839" w:h="11907" w:orient="landscape" w:code="9"/>
      <w:pgMar w:top="568" w:right="907" w:bottom="993" w:left="1134" w:header="28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61B4B" w14:textId="77777777" w:rsidR="00EA5EB1" w:rsidRDefault="00EA5EB1" w:rsidP="00A20802">
      <w:r>
        <w:separator/>
      </w:r>
    </w:p>
    <w:p w14:paraId="4041C2CB" w14:textId="77777777" w:rsidR="00EA5EB1" w:rsidRDefault="00EA5EB1"/>
    <w:p w14:paraId="35DAC894" w14:textId="77777777" w:rsidR="00EA5EB1" w:rsidRDefault="00EA5EB1"/>
  </w:endnote>
  <w:endnote w:type="continuationSeparator" w:id="0">
    <w:p w14:paraId="2DF25A87" w14:textId="77777777" w:rsidR="00EA5EB1" w:rsidRDefault="00EA5EB1" w:rsidP="00A20802">
      <w:r>
        <w:continuationSeparator/>
      </w:r>
    </w:p>
    <w:p w14:paraId="4587C1DD" w14:textId="77777777" w:rsidR="00EA5EB1" w:rsidRDefault="00EA5EB1"/>
    <w:p w14:paraId="04250671" w14:textId="77777777" w:rsidR="00EA5EB1" w:rsidRDefault="00EA5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14726" w14:textId="758C716D" w:rsidR="007B21FE" w:rsidRPr="004B52AF" w:rsidRDefault="00EF28A6" w:rsidP="00F91A0D">
    <w:pPr>
      <w:pStyle w:val="Footer"/>
      <w:tabs>
        <w:tab w:val="clear" w:pos="4513"/>
        <w:tab w:val="center" w:pos="4535"/>
        <w:tab w:val="right" w:pos="9071"/>
      </w:tabs>
      <w:rPr>
        <w:b/>
        <w:bCs/>
        <w:sz w:val="22"/>
      </w:rPr>
    </w:pPr>
    <w:r>
      <w:rPr>
        <w:b/>
        <w:bCs/>
        <w:noProof/>
        <w:sz w:val="22"/>
      </w:rPr>
      <mc:AlternateContent>
        <mc:Choice Requires="wps">
          <w:drawing>
            <wp:anchor distT="0" distB="0" distL="114300" distR="114300" simplePos="0" relativeHeight="251705489" behindDoc="0" locked="0" layoutInCell="0" allowOverlap="1" wp14:anchorId="12BB87B6" wp14:editId="772217CE">
              <wp:simplePos x="0" y="0"/>
              <wp:positionH relativeFrom="page">
                <wp:align>center</wp:align>
              </wp:positionH>
              <wp:positionV relativeFrom="page">
                <wp:align>bottom</wp:align>
              </wp:positionV>
              <wp:extent cx="7772400" cy="463550"/>
              <wp:effectExtent l="0" t="0" r="0" b="12700"/>
              <wp:wrapNone/>
              <wp:docPr id="9" name="MSIPCMba144717a3592534b545d49b" descr="{&quot;HashCode&quot;:-41494354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A8E5B" w14:textId="77544D5B" w:rsidR="00EF28A6" w:rsidRPr="00842172" w:rsidRDefault="00842172" w:rsidP="00842172">
                          <w:pPr>
                            <w:spacing w:before="0" w:after="0"/>
                            <w:jc w:val="center"/>
                            <w:rPr>
                              <w:rFonts w:ascii="Calibri" w:hAnsi="Calibri" w:cs="Calibri"/>
                              <w:strike/>
                              <w:color w:val="FF0000"/>
                              <w:sz w:val="20"/>
                            </w:rPr>
                          </w:pPr>
                          <w:r w:rsidRPr="00842172">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BB87B6" id="_x0000_t202" coordsize="21600,21600" o:spt="202" path="m,l,21600r21600,l21600,xe">
              <v:stroke joinstyle="miter"/>
              <v:path gradientshapeok="t" o:connecttype="rect"/>
            </v:shapetype>
            <v:shape id="MSIPCMba144717a3592534b545d49b" o:spid="_x0000_s1027" type="#_x0000_t202" alt="{&quot;HashCode&quot;:-414943542,&quot;Height&quot;:9999999.0,&quot;Width&quot;:9999999.0,&quot;Placement&quot;:&quot;Footer&quot;,&quot;Index&quot;:&quot;Primary&quot;,&quot;Section&quot;:1,&quot;Top&quot;:0.0,&quot;Left&quot;:0.0}" style="position:absolute;margin-left:0;margin-top:0;width:612pt;height:36.5pt;z-index:25170548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Kx41R+vAgAAVwUAAA4AAAAAAAAA&#10;AAAAAAAALgIAAGRycy9lMm9Eb2MueG1sUEsBAi0AFAAGAAgAAAAhAL4fCrfaAAAABQEAAA8AAAAA&#10;AAAAAAAAAAAACQUAAGRycy9kb3ducmV2LnhtbFBLBQYAAAAABAAEAPMAAAAQBgAAAAA=&#10;" o:allowincell="f" filled="f" stroked="f" strokeweight=".5pt">
              <v:textbox inset=",0,,0">
                <w:txbxContent>
                  <w:p w14:paraId="593A8E5B" w14:textId="77544D5B" w:rsidR="00EF28A6" w:rsidRPr="00842172" w:rsidRDefault="00842172" w:rsidP="00842172">
                    <w:pPr>
                      <w:spacing w:before="0" w:after="0"/>
                      <w:jc w:val="center"/>
                      <w:rPr>
                        <w:rFonts w:ascii="Calibri" w:hAnsi="Calibri" w:cs="Calibri"/>
                        <w:strike/>
                        <w:color w:val="FF0000"/>
                        <w:sz w:val="20"/>
                      </w:rPr>
                    </w:pPr>
                    <w:r w:rsidRPr="00842172">
                      <w:rPr>
                        <w:rFonts w:ascii="Calibri" w:hAnsi="Calibri" w:cs="Calibri"/>
                        <w:strike/>
                        <w:color w:val="FF0000"/>
                        <w:sz w:val="20"/>
                      </w:rPr>
                      <w:t>OFFICIAL: Sensitive</w:t>
                    </w:r>
                  </w:p>
                </w:txbxContent>
              </v:textbox>
              <w10:wrap anchorx="page" anchory="page"/>
            </v:shape>
          </w:pict>
        </mc:Fallback>
      </mc:AlternateContent>
    </w:r>
    <w:r w:rsidR="007B21FE">
      <w:rPr>
        <w:b/>
        <w:bCs/>
        <w:noProof/>
        <w:sz w:val="22"/>
      </w:rPr>
      <mc:AlternateContent>
        <mc:Choice Requires="wps">
          <w:drawing>
            <wp:anchor distT="0" distB="0" distL="114300" distR="114300" simplePos="0" relativeHeight="251705928" behindDoc="0" locked="0" layoutInCell="0" allowOverlap="1" wp14:anchorId="47FFF2F8" wp14:editId="1D807380">
              <wp:simplePos x="0" y="0"/>
              <wp:positionH relativeFrom="page">
                <wp:align>center</wp:align>
              </wp:positionH>
              <wp:positionV relativeFrom="page">
                <wp:align>bottom</wp:align>
              </wp:positionV>
              <wp:extent cx="7772400" cy="463550"/>
              <wp:effectExtent l="0" t="0" r="0" b="12700"/>
              <wp:wrapNone/>
              <wp:docPr id="5" name="MSIPCMa9cf48e1a1564822e52769bd" descr="{&quot;HashCode&quot;:-41494354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539B3F" w14:textId="68825602" w:rsidR="007B21FE" w:rsidRPr="00842172" w:rsidRDefault="00842172" w:rsidP="00842172">
                          <w:pPr>
                            <w:spacing w:before="0" w:after="0"/>
                            <w:jc w:val="center"/>
                            <w:rPr>
                              <w:rFonts w:ascii="Calibri" w:hAnsi="Calibri" w:cs="Calibri"/>
                              <w:color w:val="FF0000"/>
                              <w:sz w:val="20"/>
                            </w:rPr>
                          </w:pPr>
                          <w:r w:rsidRPr="00842172">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7FFF2F8" id="MSIPCMa9cf48e1a1564822e52769bd" o:spid="_x0000_s1028" type="#_x0000_t202" alt="{&quot;HashCode&quot;:-414943542,&quot;Height&quot;:9999999.0,&quot;Width&quot;:9999999.0,&quot;Placement&quot;:&quot;Footer&quot;,&quot;Index&quot;:&quot;Primary&quot;,&quot;Section&quot;:2,&quot;Top&quot;:0.0,&quot;Left&quot;:0.0}" style="position:absolute;margin-left:0;margin-top:0;width:612pt;height:36.5pt;z-index:2517059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FAlQAavAgAAVwUAAA4AAAAAAAAA&#10;AAAAAAAALgIAAGRycy9lMm9Eb2MueG1sUEsBAi0AFAAGAAgAAAAhAL4fCrfaAAAABQEAAA8AAAAA&#10;AAAAAAAAAAAACQUAAGRycy9kb3ducmV2LnhtbFBLBQYAAAAABAAEAPMAAAAQBgAAAAA=&#10;" o:allowincell="f" filled="f" stroked="f" strokeweight=".5pt">
              <v:textbox inset=",0,,0">
                <w:txbxContent>
                  <w:p w14:paraId="1D539B3F" w14:textId="68825602" w:rsidR="007B21FE" w:rsidRPr="00842172" w:rsidRDefault="00842172" w:rsidP="00842172">
                    <w:pPr>
                      <w:spacing w:before="0" w:after="0"/>
                      <w:jc w:val="center"/>
                      <w:rPr>
                        <w:rFonts w:ascii="Calibri" w:hAnsi="Calibri" w:cs="Calibri"/>
                        <w:color w:val="FF0000"/>
                        <w:sz w:val="20"/>
                      </w:rPr>
                    </w:pPr>
                    <w:r w:rsidRPr="00842172">
                      <w:rPr>
                        <w:rFonts w:ascii="Calibri" w:hAnsi="Calibri" w:cs="Calibri"/>
                        <w:color w:val="FF0000"/>
                        <w:sz w:val="20"/>
                      </w:rPr>
                      <w:t>OFFICIAL: Sensitive</w:t>
                    </w:r>
                  </w:p>
                </w:txbxContent>
              </v:textbox>
              <w10:wrap anchorx="page" anchory="page"/>
            </v:shape>
          </w:pict>
        </mc:Fallback>
      </mc:AlternateContent>
    </w:r>
    <w:r w:rsidR="007B21FE">
      <w:rPr>
        <w:rStyle w:val="FooterChar"/>
        <w:b/>
        <w:bCs/>
        <w:sz w:val="22"/>
      </w:rPr>
      <w:tab/>
    </w:r>
    <w:r w:rsidR="007B21FE">
      <w:rPr>
        <w:rStyle w:val="FooterChar"/>
        <w:b/>
        <w:bCs/>
        <w:sz w:val="22"/>
      </w:rPr>
      <w:tab/>
    </w:r>
    <w:r w:rsidR="007B21FE" w:rsidRPr="007C4069">
      <w:rPr>
        <w:rStyle w:val="FooterChar"/>
        <w:b/>
        <w:bCs/>
        <w:sz w:val="22"/>
      </w:rPr>
      <w:t xml:space="preserve">Page </w:t>
    </w:r>
    <w:r w:rsidR="007B21FE" w:rsidRPr="007C4069">
      <w:rPr>
        <w:rStyle w:val="FooterChar"/>
        <w:b/>
        <w:bCs/>
        <w:sz w:val="22"/>
      </w:rPr>
      <w:fldChar w:fldCharType="begin"/>
    </w:r>
    <w:r w:rsidR="007B21FE" w:rsidRPr="007C4069">
      <w:rPr>
        <w:rStyle w:val="FooterChar"/>
        <w:b/>
        <w:bCs/>
        <w:sz w:val="22"/>
      </w:rPr>
      <w:instrText xml:space="preserve"> PAGE  \* Arabic  \* MERGEFORMAT </w:instrText>
    </w:r>
    <w:r w:rsidR="007B21FE" w:rsidRPr="007C4069">
      <w:rPr>
        <w:rStyle w:val="FooterChar"/>
        <w:b/>
        <w:bCs/>
        <w:sz w:val="22"/>
      </w:rPr>
      <w:fldChar w:fldCharType="separate"/>
    </w:r>
    <w:r w:rsidR="007B21FE">
      <w:rPr>
        <w:rStyle w:val="FooterChar"/>
        <w:b/>
        <w:bCs/>
        <w:noProof/>
        <w:sz w:val="22"/>
      </w:rPr>
      <w:t>3</w:t>
    </w:r>
    <w:r w:rsidR="007B21FE" w:rsidRPr="007C4069">
      <w:rPr>
        <w:rStyle w:val="FooterChar"/>
        <w:b/>
        <w:bCs/>
        <w:sz w:val="22"/>
      </w:rPr>
      <w:fldChar w:fldCharType="end"/>
    </w:r>
    <w:r w:rsidR="007B21FE" w:rsidRPr="007C4069">
      <w:rPr>
        <w:rStyle w:val="FooterChar"/>
        <w:b/>
        <w:bCs/>
        <w:sz w:val="22"/>
      </w:rPr>
      <w:t xml:space="preserve"> of</w:t>
    </w:r>
    <w:r w:rsidR="007B21FE">
      <w:rPr>
        <w:rStyle w:val="FooterChar"/>
        <w:b/>
        <w:bCs/>
        <w:sz w:val="22"/>
      </w:rPr>
      <w:t xml:space="preserve"> </w:t>
    </w:r>
    <w:r w:rsidR="005A48CB">
      <w:rPr>
        <w:rStyle w:val="FooterChar"/>
        <w:b/>
        <w:bCs/>
        <w:sz w:val="22"/>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D146D" w14:textId="211D7683" w:rsidR="007B21FE" w:rsidRPr="002E1EA9" w:rsidRDefault="0058450D" w:rsidP="00F91A0D">
    <w:pPr>
      <w:pStyle w:val="Footer"/>
      <w:rPr>
        <w:b/>
        <w:color w:val="auto"/>
        <w:sz w:val="20"/>
        <w:szCs w:val="20"/>
      </w:rPr>
    </w:pPr>
    <w:r>
      <w:rPr>
        <w:rFonts w:ascii="Calibri" w:hAnsi="Calibri" w:cs="Arial"/>
        <w:b/>
        <w:noProof/>
        <w:color w:val="auto"/>
        <w:sz w:val="20"/>
        <w:szCs w:val="20"/>
      </w:rPr>
      <mc:AlternateContent>
        <mc:Choice Requires="wps">
          <w:drawing>
            <wp:anchor distT="0" distB="0" distL="114300" distR="114300" simplePos="0" relativeHeight="251694591" behindDoc="0" locked="0" layoutInCell="0" allowOverlap="1" wp14:anchorId="3734B67D" wp14:editId="156E20F1">
              <wp:simplePos x="0" y="0"/>
              <wp:positionH relativeFrom="page">
                <wp:align>center</wp:align>
              </wp:positionH>
              <wp:positionV relativeFrom="page">
                <wp:align>bottom</wp:align>
              </wp:positionV>
              <wp:extent cx="7772400" cy="463550"/>
              <wp:effectExtent l="0" t="0" r="0" b="12700"/>
              <wp:wrapNone/>
              <wp:docPr id="10" name="MSIPCMb0924ff8ac111316325c3247" descr="{&quot;HashCode&quot;:-41494354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4227BC" w14:textId="5E0A46DB" w:rsidR="00EF28A6" w:rsidRPr="00842172" w:rsidRDefault="00842172" w:rsidP="00842172">
                          <w:pPr>
                            <w:spacing w:before="0" w:after="0"/>
                            <w:jc w:val="center"/>
                            <w:rPr>
                              <w:rFonts w:ascii="Calibri" w:hAnsi="Calibri" w:cs="Calibri"/>
                              <w:strike/>
                              <w:color w:val="FF0000"/>
                              <w:sz w:val="20"/>
                            </w:rPr>
                          </w:pPr>
                          <w:r w:rsidRPr="00842172">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34B67D" id="_x0000_t202" coordsize="21600,21600" o:spt="202" path="m,l,21600r21600,l21600,xe">
              <v:stroke joinstyle="miter"/>
              <v:path gradientshapeok="t" o:connecttype="rect"/>
            </v:shapetype>
            <v:shape id="MSIPCMb0924ff8ac111316325c3247" o:spid="_x0000_s1030" type="#_x0000_t202" alt="{&quot;HashCode&quot;:-414943542,&quot;Height&quot;:9999999.0,&quot;Width&quot;:9999999.0,&quot;Placement&quot;:&quot;Footer&quot;,&quot;Index&quot;:&quot;FirstPage&quot;,&quot;Section&quot;:1,&quot;Top&quot;:0.0,&quot;Left&quot;:0.0}" style="position:absolute;margin-left:0;margin-top:0;width:612pt;height:36.5pt;z-index:25169459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3f7SjrECAABaBQAADgAAAAAA&#10;AAAAAAAAAAAuAgAAZHJzL2Uyb0RvYy54bWxQSwECLQAUAAYACAAAACEAvh8Kt9oAAAAFAQAADwAA&#10;AAAAAAAAAAAAAAALBQAAZHJzL2Rvd25yZXYueG1sUEsFBgAAAAAEAAQA8wAAABIGAAAAAA==&#10;" o:allowincell="f" filled="f" stroked="f" strokeweight=".5pt">
              <v:textbox inset=",0,,0">
                <w:txbxContent>
                  <w:p w14:paraId="3A4227BC" w14:textId="5E0A46DB" w:rsidR="00EF28A6" w:rsidRPr="00842172" w:rsidRDefault="00842172" w:rsidP="00842172">
                    <w:pPr>
                      <w:spacing w:before="0" w:after="0"/>
                      <w:jc w:val="center"/>
                      <w:rPr>
                        <w:rFonts w:ascii="Calibri" w:hAnsi="Calibri" w:cs="Calibri"/>
                        <w:strike/>
                        <w:color w:val="FF0000"/>
                        <w:sz w:val="20"/>
                      </w:rPr>
                    </w:pPr>
                    <w:r w:rsidRPr="00842172">
                      <w:rPr>
                        <w:rFonts w:ascii="Calibri" w:hAnsi="Calibri" w:cs="Calibri"/>
                        <w:strike/>
                        <w:color w:val="FF0000"/>
                        <w:sz w:val="20"/>
                      </w:rPr>
                      <w:t>OFFICIAL: Sensitive</w:t>
                    </w:r>
                  </w:p>
                </w:txbxContent>
              </v:textbox>
              <w10:wrap anchorx="page" anchory="page"/>
            </v:shape>
          </w:pict>
        </mc:Fallback>
      </mc:AlternateContent>
    </w:r>
    <w:r>
      <w:rPr>
        <w:rFonts w:ascii="Calibri" w:hAnsi="Calibri" w:cs="Arial"/>
        <w:b/>
        <w:noProof/>
        <w:color w:val="auto"/>
        <w:sz w:val="20"/>
        <w:szCs w:val="20"/>
      </w:rPr>
      <mc:AlternateContent>
        <mc:Choice Requires="wps">
          <w:drawing>
            <wp:anchor distT="0" distB="0" distL="114300" distR="114300" simplePos="0" relativeHeight="251693056" behindDoc="0" locked="0" layoutInCell="0" allowOverlap="1" wp14:anchorId="3312488D" wp14:editId="6AC7890F">
              <wp:simplePos x="0" y="0"/>
              <wp:positionH relativeFrom="margin">
                <wp:align>center</wp:align>
              </wp:positionH>
              <wp:positionV relativeFrom="page">
                <wp:posOffset>10730294</wp:posOffset>
              </wp:positionV>
              <wp:extent cx="7772400" cy="463550"/>
              <wp:effectExtent l="0" t="0" r="0" b="12700"/>
              <wp:wrapNone/>
              <wp:docPr id="2" name="MSIPCM1cf44d9e8a75f52edbc70dcd" descr="{&quot;HashCode&quot;:-414943542,&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ED30B" w14:textId="65E64C96" w:rsidR="007B21FE" w:rsidRPr="00FB6106" w:rsidRDefault="007B21FE" w:rsidP="0058450D">
                          <w:pPr>
                            <w:spacing w:before="0" w:after="0"/>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312488D" id="MSIPCM1cf44d9e8a75f52edbc70dcd" o:spid="_x0000_s1031" type="#_x0000_t202" alt="{&quot;HashCode&quot;:-414943542,&quot;Height&quot;:9999999.0,&quot;Width&quot;:9999999.0,&quot;Placement&quot;:&quot;Footer&quot;,&quot;Index&quot;:&quot;FirstPage&quot;,&quot;Section&quot;:3,&quot;Top&quot;:0.0,&quot;Left&quot;:0.0}" style="position:absolute;margin-left:0;margin-top:844.9pt;width:612pt;height:36.5pt;z-index:251693056;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" o:allowincell="f" filled="f" stroked="f" strokeweight=".5pt">
              <v:textbox inset=",0,,0">
                <w:txbxContent>
                  <w:p w14:paraId="3E7ED30B" w14:textId="65E64C96" w:rsidR="007B21FE" w:rsidRPr="00FB6106" w:rsidRDefault="007B21FE" w:rsidP="0058450D">
                    <w:pPr>
                      <w:spacing w:before="0" w:after="0"/>
                      <w:rPr>
                        <w:rFonts w:ascii="Calibri" w:hAnsi="Calibri" w:cs="Calibri"/>
                        <w:color w:val="FF0000"/>
                        <w:sz w:val="20"/>
                      </w:rPr>
                    </w:pPr>
                  </w:p>
                </w:txbxContent>
              </v:textbox>
              <w10:wrap anchorx="margin" anchory="page"/>
            </v:shape>
          </w:pict>
        </mc:Fallback>
      </mc:AlternateContent>
    </w:r>
    <w:r w:rsidR="007B21FE" w:rsidRPr="002E1EA9">
      <w:rPr>
        <w:rStyle w:val="FooterChar"/>
        <w:rFonts w:ascii="Calibri" w:hAnsi="Calibri" w:cs="Arial"/>
        <w:b/>
        <w:color w:val="auto"/>
        <w:sz w:val="20"/>
        <w:szCs w:val="20"/>
      </w:rPr>
      <w:t>PBO reference PR</w:t>
    </w:r>
    <w:r w:rsidR="007B21FE">
      <w:rPr>
        <w:rStyle w:val="FooterChar"/>
        <w:rFonts w:ascii="Calibri" w:hAnsi="Calibri" w:cs="Arial"/>
        <w:b/>
        <w:color w:val="auto"/>
        <w:sz w:val="20"/>
        <w:szCs w:val="20"/>
      </w:rPr>
      <w:t>-2021-8556</w:t>
    </w:r>
    <w:r w:rsidR="007B21FE" w:rsidRPr="002E1EA9">
      <w:rPr>
        <w:rStyle w:val="FooterChar"/>
        <w:rFonts w:ascii="Calibri" w:hAnsi="Calibri" w:cs="Arial"/>
        <w:b/>
        <w:color w:val="auto"/>
        <w:sz w:val="20"/>
        <w:szCs w:val="20"/>
      </w:rPr>
      <w:tab/>
    </w:r>
    <w:r w:rsidR="007B21FE" w:rsidRPr="002E1EA9">
      <w:rPr>
        <w:rStyle w:val="FooterChar"/>
        <w:rFonts w:ascii="Calibri" w:hAnsi="Calibri" w:cs="Arial"/>
        <w:b/>
        <w:color w:val="auto"/>
        <w:sz w:val="20"/>
        <w:szCs w:val="20"/>
      </w:rPr>
      <w:tab/>
    </w:r>
    <w:r w:rsidR="007B21FE" w:rsidRPr="002E1EA9">
      <w:rPr>
        <w:rStyle w:val="FooterChar"/>
        <w:b/>
        <w:color w:val="auto"/>
        <w:sz w:val="20"/>
        <w:szCs w:val="20"/>
      </w:rPr>
      <w:t xml:space="preserve">Page </w:t>
    </w:r>
    <w:r w:rsidR="007B21FE" w:rsidRPr="002E1EA9">
      <w:rPr>
        <w:rStyle w:val="FooterChar"/>
        <w:b/>
        <w:color w:val="auto"/>
        <w:sz w:val="20"/>
        <w:szCs w:val="20"/>
      </w:rPr>
      <w:fldChar w:fldCharType="begin"/>
    </w:r>
    <w:r w:rsidR="007B21FE" w:rsidRPr="002E1EA9">
      <w:rPr>
        <w:rStyle w:val="FooterChar"/>
        <w:b/>
        <w:color w:val="auto"/>
        <w:sz w:val="20"/>
        <w:szCs w:val="20"/>
      </w:rPr>
      <w:instrText xml:space="preserve"> PAGE  \* Arabic  \* MERGEFORMAT </w:instrText>
    </w:r>
    <w:r w:rsidR="007B21FE" w:rsidRPr="002E1EA9">
      <w:rPr>
        <w:rStyle w:val="FooterChar"/>
        <w:b/>
        <w:color w:val="auto"/>
        <w:sz w:val="20"/>
        <w:szCs w:val="20"/>
      </w:rPr>
      <w:fldChar w:fldCharType="separate"/>
    </w:r>
    <w:r w:rsidR="007B21FE" w:rsidRPr="002E1EA9">
      <w:rPr>
        <w:rStyle w:val="FooterChar"/>
        <w:b/>
        <w:noProof/>
        <w:color w:val="auto"/>
        <w:sz w:val="20"/>
        <w:szCs w:val="20"/>
      </w:rPr>
      <w:t>1</w:t>
    </w:r>
    <w:r w:rsidR="007B21FE" w:rsidRPr="002E1EA9">
      <w:rPr>
        <w:rStyle w:val="FooterChar"/>
        <w:b/>
        <w:color w:val="auto"/>
        <w:sz w:val="20"/>
        <w:szCs w:val="20"/>
      </w:rPr>
      <w:fldChar w:fldCharType="end"/>
    </w:r>
    <w:r w:rsidR="007B21FE" w:rsidRPr="002E1EA9">
      <w:rPr>
        <w:rStyle w:val="FooterChar"/>
        <w:b/>
        <w:color w:val="auto"/>
        <w:sz w:val="20"/>
        <w:szCs w:val="20"/>
      </w:rPr>
      <w:t xml:space="preserve"> of </w:t>
    </w:r>
    <w:r>
      <w:rPr>
        <w:rStyle w:val="FooterChar"/>
        <w:b/>
        <w:bCs/>
        <w:color w:val="auto"/>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1B758" w14:textId="77777777" w:rsidR="007B21FE" w:rsidRPr="004B52AF" w:rsidRDefault="007B21FE" w:rsidP="00F91A0D">
    <w:pPr>
      <w:pStyle w:val="Footer"/>
      <w:tabs>
        <w:tab w:val="clear" w:pos="4513"/>
        <w:tab w:val="center" w:pos="4535"/>
        <w:tab w:val="right" w:pos="9071"/>
      </w:tabs>
      <w:rPr>
        <w:b/>
        <w:bCs/>
        <w:sz w:val="22"/>
      </w:rPr>
    </w:pPr>
    <w:r>
      <w:rPr>
        <w:b/>
        <w:bCs/>
        <w:noProof/>
        <w:sz w:val="22"/>
      </w:rPr>
      <mc:AlternateContent>
        <mc:Choice Requires="wps">
          <w:drawing>
            <wp:anchor distT="0" distB="0" distL="114300" distR="114300" simplePos="0" relativeHeight="251694080" behindDoc="0" locked="0" layoutInCell="0" allowOverlap="1" wp14:anchorId="44CB1D20" wp14:editId="3F2929AB">
              <wp:simplePos x="0" y="0"/>
              <wp:positionH relativeFrom="page">
                <wp:align>center</wp:align>
              </wp:positionH>
              <wp:positionV relativeFrom="page">
                <wp:align>bottom</wp:align>
              </wp:positionV>
              <wp:extent cx="7772400" cy="463550"/>
              <wp:effectExtent l="0" t="0" r="0" b="12700"/>
              <wp:wrapNone/>
              <wp:docPr id="6" name="MSIPCM83474ae2a22da3d97ec56603" descr="{&quot;HashCode&quot;:-414943542,&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BD0EED" w14:textId="77777777" w:rsidR="007B21FE" w:rsidRPr="00FB6106" w:rsidRDefault="007B21FE" w:rsidP="00FB6106">
                          <w:pPr>
                            <w:spacing w:before="0" w:after="0"/>
                            <w:jc w:val="center"/>
                            <w:rPr>
                              <w:rFonts w:ascii="Calibri" w:hAnsi="Calibri" w:cs="Calibri"/>
                              <w:color w:val="FF0000"/>
                              <w:sz w:val="20"/>
                            </w:rPr>
                          </w:pPr>
                          <w:r w:rsidRPr="00FB6106">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CB1D20" id="_x0000_t202" coordsize="21600,21600" o:spt="202" path="m,l,21600r21600,l21600,xe">
              <v:stroke joinstyle="miter"/>
              <v:path gradientshapeok="t" o:connecttype="rect"/>
            </v:shapetype>
            <v:shape id="MSIPCM83474ae2a22da3d97ec56603" o:spid="_x0000_s1033" type="#_x0000_t202" alt="{&quot;HashCode&quot;:-414943542,&quot;Height&quot;:9999999.0,&quot;Width&quot;:9999999.0,&quot;Placement&quot;:&quot;Footer&quot;,&quot;Index&quot;:&quot;Primary&quot;,&quot;Section&quot;:4,&quot;Top&quot;:0.0,&quot;Left&quot;:0.0}" style="position:absolute;margin-left:0;margin-top:0;width:612pt;height:36.5pt;z-index:2516940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JdSf0avAgAAVwUAAA4AAAAAAAAA&#10;AAAAAAAALgIAAGRycy9lMm9Eb2MueG1sUEsBAi0AFAAGAAgAAAAhAL4fCrfaAAAABQEAAA8AAAAA&#10;AAAAAAAAAAAACQUAAGRycy9kb3ducmV2LnhtbFBLBQYAAAAABAAEAPMAAAAQBgAAAAA=&#10;" o:allowincell="f" filled="f" stroked="f" strokeweight=".5pt">
              <v:textbox inset=",0,,0">
                <w:txbxContent>
                  <w:p w14:paraId="04BD0EED" w14:textId="77777777" w:rsidR="007B21FE" w:rsidRPr="00FB6106" w:rsidRDefault="007B21FE" w:rsidP="00FB6106">
                    <w:pPr>
                      <w:spacing w:before="0" w:after="0"/>
                      <w:jc w:val="center"/>
                      <w:rPr>
                        <w:rFonts w:ascii="Calibri" w:hAnsi="Calibri" w:cs="Calibri"/>
                        <w:color w:val="FF0000"/>
                        <w:sz w:val="20"/>
                      </w:rPr>
                    </w:pPr>
                    <w:r w:rsidRPr="00FB6106">
                      <w:rPr>
                        <w:rFonts w:ascii="Calibri" w:hAnsi="Calibri" w:cs="Calibri"/>
                        <w:color w:val="FF0000"/>
                        <w:sz w:val="20"/>
                      </w:rPr>
                      <w:t>OFFICIAL: Sensitive</w:t>
                    </w:r>
                  </w:p>
                </w:txbxContent>
              </v:textbox>
              <w10:wrap anchorx="page" anchory="page"/>
            </v:shape>
          </w:pict>
        </mc:Fallback>
      </mc:AlternateContent>
    </w:r>
    <w:r>
      <w:rPr>
        <w:b/>
        <w:bCs/>
        <w:noProof/>
        <w:sz w:val="22"/>
      </w:rPr>
      <mc:AlternateContent>
        <mc:Choice Requires="wps">
          <w:drawing>
            <wp:anchor distT="0" distB="0" distL="114300" distR="114300" simplePos="0" relativeHeight="251695104" behindDoc="0" locked="0" layoutInCell="0" allowOverlap="1" wp14:anchorId="2930652E" wp14:editId="40A66A4E">
              <wp:simplePos x="0" y="0"/>
              <wp:positionH relativeFrom="page">
                <wp:align>center</wp:align>
              </wp:positionH>
              <wp:positionV relativeFrom="page">
                <wp:align>bottom</wp:align>
              </wp:positionV>
              <wp:extent cx="7772400" cy="463550"/>
              <wp:effectExtent l="0" t="0" r="0" b="12700"/>
              <wp:wrapNone/>
              <wp:docPr id="7" name="MSIPCM82c94bc4ab0b424fa1516b04" descr="{&quot;HashCode&quot;:-414943542,&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1B0C20" w14:textId="77777777" w:rsidR="007B21FE" w:rsidRPr="00C4478E" w:rsidRDefault="002A16EE" w:rsidP="002A16EE">
                          <w:pPr>
                            <w:spacing w:before="0" w:after="0"/>
                            <w:jc w:val="center"/>
                            <w:rPr>
                              <w:rFonts w:ascii="Calibri" w:hAnsi="Calibri" w:cs="Calibri"/>
                              <w:strike/>
                              <w:color w:val="FF0000"/>
                              <w:sz w:val="20"/>
                            </w:rPr>
                          </w:pPr>
                          <w:r w:rsidRPr="00C4478E">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30652E" id="MSIPCM82c94bc4ab0b424fa1516b04" o:spid="_x0000_s1034" type="#_x0000_t202" alt="{&quot;HashCode&quot;:-414943542,&quot;Height&quot;:9999999.0,&quot;Width&quot;:9999999.0,&quot;Placement&quot;:&quot;Footer&quot;,&quot;Index&quot;:&quot;Primary&quot;,&quot;Section&quot;:3,&quot;Top&quot;:0.0,&quot;Left&quot;:0.0}" style="position:absolute;margin-left:0;margin-top:0;width:612pt;height:36.5pt;z-index:2516951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AVqss6sAIAAFcFAAAOAAAAAAAA&#10;AAAAAAAAAC4CAABkcnMvZTJvRG9jLnhtbFBLAQItABQABgAIAAAAIQC+Hwq32gAAAAUBAAAPAAAA&#10;AAAAAAAAAAAAAAoFAABkcnMvZG93bnJldi54bWxQSwUGAAAAAAQABADzAAAAEQYAAAAA&#10;" o:allowincell="f" filled="f" stroked="f" strokeweight=".5pt">
              <v:textbox inset=",0,,0">
                <w:txbxContent>
                  <w:p w14:paraId="621B0C20" w14:textId="77777777" w:rsidR="007B21FE" w:rsidRPr="00C4478E" w:rsidRDefault="002A16EE" w:rsidP="002A16EE">
                    <w:pPr>
                      <w:spacing w:before="0" w:after="0"/>
                      <w:jc w:val="center"/>
                      <w:rPr>
                        <w:rFonts w:ascii="Calibri" w:hAnsi="Calibri" w:cs="Calibri"/>
                        <w:strike/>
                        <w:color w:val="FF0000"/>
                        <w:sz w:val="20"/>
                      </w:rPr>
                    </w:pPr>
                    <w:r w:rsidRPr="00C4478E">
                      <w:rPr>
                        <w:rFonts w:ascii="Calibri" w:hAnsi="Calibri" w:cs="Calibri"/>
                        <w:strike/>
                        <w:color w:val="FF0000"/>
                        <w:sz w:val="20"/>
                      </w:rPr>
                      <w:t>OFFICIAL: Sensitive</w:t>
                    </w:r>
                  </w:p>
                </w:txbxContent>
              </v:textbox>
              <w10:wrap anchorx="page" anchory="page"/>
            </v:shape>
          </w:pict>
        </mc:Fallback>
      </mc:AlternateContent>
    </w:r>
    <w:r>
      <w:rPr>
        <w:rStyle w:val="FooterChar"/>
        <w:b/>
        <w:bCs/>
        <w:sz w:val="22"/>
      </w:rPr>
      <w:tab/>
    </w:r>
    <w:r>
      <w:rPr>
        <w:rStyle w:val="FooterChar"/>
        <w:b/>
        <w:bCs/>
        <w:sz w:val="22"/>
      </w:rPr>
      <w:tab/>
    </w:r>
    <w:r>
      <w:rPr>
        <w:rStyle w:val="FooterChar"/>
        <w:b/>
        <w:bCs/>
        <w:sz w:val="22"/>
      </w:rPr>
      <w:tab/>
    </w:r>
    <w:r>
      <w:rPr>
        <w:rStyle w:val="FooterChar"/>
        <w:b/>
        <w:bCs/>
        <w:sz w:val="22"/>
      </w:rPr>
      <w:tab/>
    </w:r>
    <w:r>
      <w:rPr>
        <w:rStyle w:val="FooterChar"/>
        <w:b/>
        <w:bCs/>
        <w:sz w:val="22"/>
      </w:rPr>
      <w:tab/>
    </w:r>
    <w:r>
      <w:rPr>
        <w:rStyle w:val="FooterChar"/>
        <w:b/>
        <w:bCs/>
        <w:sz w:val="22"/>
      </w:rPr>
      <w:tab/>
    </w:r>
    <w:r>
      <w:rPr>
        <w:rStyle w:val="FooterChar"/>
        <w:b/>
        <w:bCs/>
        <w:sz w:val="22"/>
      </w:rPr>
      <w:tab/>
    </w:r>
    <w:r>
      <w:rPr>
        <w:rStyle w:val="FooterChar"/>
        <w:b/>
        <w:bCs/>
        <w:sz w:val="22"/>
      </w:rPr>
      <w:tab/>
    </w:r>
    <w:r>
      <w:rPr>
        <w:rStyle w:val="FooterChar"/>
        <w:b/>
        <w:bCs/>
        <w:sz w:val="22"/>
      </w:rPr>
      <w:tab/>
    </w:r>
    <w:r>
      <w:rPr>
        <w:rStyle w:val="FooterChar"/>
        <w:b/>
        <w:bCs/>
        <w:sz w:val="22"/>
      </w:rPr>
      <w:tab/>
    </w:r>
    <w:r w:rsidRPr="007C4069">
      <w:rPr>
        <w:rStyle w:val="FooterChar"/>
        <w:b/>
        <w:bCs/>
        <w:sz w:val="22"/>
      </w:rPr>
      <w:t xml:space="preserve">Page </w:t>
    </w:r>
    <w:r w:rsidRPr="007C4069">
      <w:rPr>
        <w:rStyle w:val="FooterChar"/>
        <w:b/>
        <w:bCs/>
        <w:sz w:val="22"/>
      </w:rPr>
      <w:fldChar w:fldCharType="begin"/>
    </w:r>
    <w:r w:rsidRPr="007C4069">
      <w:rPr>
        <w:rStyle w:val="FooterChar"/>
        <w:b/>
        <w:bCs/>
        <w:sz w:val="22"/>
      </w:rPr>
      <w:instrText xml:space="preserve"> PAGE  \* Arabic  \* MERGEFORMAT </w:instrText>
    </w:r>
    <w:r w:rsidRPr="007C4069">
      <w:rPr>
        <w:rStyle w:val="FooterChar"/>
        <w:b/>
        <w:bCs/>
        <w:sz w:val="22"/>
      </w:rPr>
      <w:fldChar w:fldCharType="separate"/>
    </w:r>
    <w:r>
      <w:rPr>
        <w:rStyle w:val="FooterChar"/>
        <w:b/>
        <w:bCs/>
        <w:noProof/>
        <w:sz w:val="22"/>
      </w:rPr>
      <w:t>3</w:t>
    </w:r>
    <w:r w:rsidRPr="007C4069">
      <w:rPr>
        <w:rStyle w:val="FooterChar"/>
        <w:b/>
        <w:bCs/>
        <w:sz w:val="22"/>
      </w:rPr>
      <w:fldChar w:fldCharType="end"/>
    </w:r>
    <w:r w:rsidRPr="007C4069">
      <w:rPr>
        <w:rStyle w:val="FooterChar"/>
        <w:b/>
        <w:bCs/>
        <w:sz w:val="22"/>
      </w:rPr>
      <w:t xml:space="preserve"> of</w:t>
    </w:r>
    <w:r>
      <w:rPr>
        <w:rStyle w:val="FooterChar"/>
        <w:b/>
        <w:bCs/>
        <w:sz w:val="22"/>
      </w:rPr>
      <w:t xml:space="preserve"> </w:t>
    </w:r>
    <w:r w:rsidR="00C4478E">
      <w:rPr>
        <w:rStyle w:val="FooterChar"/>
        <w:b/>
        <w:bCs/>
        <w:sz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A6685" w14:textId="77777777" w:rsidR="00EA5EB1" w:rsidRPr="000557A7" w:rsidRDefault="00EA5EB1" w:rsidP="008D5A11">
      <w:pPr>
        <w:pBdr>
          <w:top w:val="single" w:sz="4" w:space="1" w:color="auto"/>
        </w:pBdr>
        <w:spacing w:before="240" w:line="60" w:lineRule="exact"/>
        <w:rPr>
          <w:sz w:val="16"/>
          <w:szCs w:val="16"/>
        </w:rPr>
      </w:pPr>
    </w:p>
  </w:footnote>
  <w:footnote w:type="continuationSeparator" w:id="0">
    <w:p w14:paraId="13BD45DC" w14:textId="77777777" w:rsidR="00EA5EB1" w:rsidRDefault="00EA5EB1" w:rsidP="00A20802">
      <w:r>
        <w:continuationSeparator/>
      </w:r>
    </w:p>
    <w:p w14:paraId="5F2DBCFF" w14:textId="77777777" w:rsidR="00EA5EB1" w:rsidRDefault="00EA5EB1"/>
    <w:p w14:paraId="78B865B0" w14:textId="77777777" w:rsidR="00EA5EB1" w:rsidRDefault="00EA5EB1"/>
  </w:footnote>
  <w:footnote w:id="1">
    <w:p w14:paraId="4B490EF2" w14:textId="77777777" w:rsidR="007B21FE" w:rsidRPr="001F51B2" w:rsidRDefault="007B21FE" w:rsidP="00E56F1E">
      <w:pPr>
        <w:pStyle w:val="FootnoteText"/>
        <w:rPr>
          <w:sz w:val="16"/>
          <w:szCs w:val="16"/>
        </w:rPr>
      </w:pPr>
      <w:r>
        <w:rPr>
          <w:rStyle w:val="FootnoteReference"/>
        </w:rPr>
        <w:footnoteRef/>
      </w:r>
      <w:r>
        <w:t xml:space="preserve"> </w:t>
      </w:r>
      <w:hyperlink r:id="rId1" w:history="1">
        <w:r w:rsidRPr="0024433E">
          <w:rPr>
            <w:rStyle w:val="Hyperlink"/>
            <w:sz w:val="16"/>
            <w:szCs w:val="16"/>
          </w:rPr>
          <w:t>https://www.aph.gov.au/About_Parliament/Parliamentary_Departments/Parliamentary_Budget_Office/Costings_and_budget_information</w:t>
        </w:r>
      </w:hyperlink>
    </w:p>
  </w:footnote>
  <w:footnote w:id="2">
    <w:p w14:paraId="46ECA329" w14:textId="77777777" w:rsidR="007B21FE" w:rsidRDefault="007B21FE" w:rsidP="00C248C9">
      <w:pPr>
        <w:pStyle w:val="FootnoteText"/>
      </w:pPr>
      <w:r>
        <w:rPr>
          <w:rStyle w:val="FootnoteReference"/>
        </w:rPr>
        <w:footnoteRef/>
      </w:r>
      <w:r>
        <w:t xml:space="preserve"> </w:t>
      </w:r>
      <w:hyperlink r:id="rId2" w:history="1">
        <w:r w:rsidRPr="00497810">
          <w:rPr>
            <w:rStyle w:val="Hyperlink"/>
            <w:sz w:val="14"/>
            <w:szCs w:val="18"/>
          </w:rPr>
          <w:t>Online budget glossary – Parliament of Australia (aph.gov.au)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32CB9" w14:textId="77777777" w:rsidR="00EF28A6" w:rsidRDefault="00EF28A6">
    <w:pPr>
      <w:pStyle w:val="Header"/>
    </w:pPr>
    <w:r>
      <w:rPr>
        <w:noProof/>
      </w:rPr>
      <mc:AlternateContent>
        <mc:Choice Requires="wps">
          <w:drawing>
            <wp:anchor distT="0" distB="0" distL="114300" distR="114300" simplePos="0" relativeHeight="251708416" behindDoc="0" locked="0" layoutInCell="0" allowOverlap="1" wp14:anchorId="0F0A988F" wp14:editId="5C4AD744">
              <wp:simplePos x="0" y="0"/>
              <wp:positionH relativeFrom="page">
                <wp:align>center</wp:align>
              </wp:positionH>
              <wp:positionV relativeFrom="page">
                <wp:align>top</wp:align>
              </wp:positionV>
              <wp:extent cx="7772400" cy="463550"/>
              <wp:effectExtent l="0" t="0" r="0" b="12700"/>
              <wp:wrapNone/>
              <wp:docPr id="11" name="MSIPCMb16542ae8f06c080e6d79512" descr="{&quot;HashCode&quot;:-43908111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C7B17" w14:textId="12149AAD" w:rsidR="00EF28A6" w:rsidRPr="00842172" w:rsidRDefault="00842172" w:rsidP="00842172">
                          <w:pPr>
                            <w:spacing w:before="0" w:after="0"/>
                            <w:jc w:val="center"/>
                            <w:rPr>
                              <w:rFonts w:ascii="Calibri" w:hAnsi="Calibri" w:cs="Calibri"/>
                              <w:strike/>
                              <w:color w:val="FF0000"/>
                              <w:sz w:val="20"/>
                            </w:rPr>
                          </w:pPr>
                          <w:r w:rsidRPr="00842172">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F0A988F" id="_x0000_t202" coordsize="21600,21600" o:spt="202" path="m,l,21600r21600,l21600,xe">
              <v:stroke joinstyle="miter"/>
              <v:path gradientshapeok="t" o:connecttype="rect"/>
            </v:shapetype>
            <v:shape id="MSIPCMb16542ae8f06c080e6d79512" o:spid="_x0000_s1026" type="#_x0000_t202" alt="{&quot;HashCode&quot;:-439081111,&quot;Height&quot;:9999999.0,&quot;Width&quot;:9999999.0,&quot;Placement&quot;:&quot;Header&quot;,&quot;Index&quot;:&quot;Primary&quot;,&quot;Section&quot;:1,&quot;Top&quot;:0.0,&quot;Left&quot;:0.0}" style="position:absolute;margin-left:0;margin-top:0;width:612pt;height:36.5pt;z-index:25170841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Il6L1upAgAAUQUAAA4AAAAAAAAAAAAAAAAA&#10;LgIAAGRycy9lMm9Eb2MueG1sUEsBAi0AFAAGAAgAAAAhAL4fCrfaAAAABQEAAA8AAAAAAAAAAAAA&#10;AAAAAwUAAGRycy9kb3ducmV2LnhtbFBLBQYAAAAABAAEAPMAAAAKBgAAAAA=&#10;" o:allowincell="f" filled="f" stroked="f" strokeweight=".5pt">
              <v:textbox inset=",0,,0">
                <w:txbxContent>
                  <w:p w14:paraId="443C7B17" w14:textId="12149AAD" w:rsidR="00EF28A6" w:rsidRPr="00842172" w:rsidRDefault="00842172" w:rsidP="00842172">
                    <w:pPr>
                      <w:spacing w:before="0" w:after="0"/>
                      <w:jc w:val="center"/>
                      <w:rPr>
                        <w:rFonts w:ascii="Calibri" w:hAnsi="Calibri" w:cs="Calibri"/>
                        <w:strike/>
                        <w:color w:val="FF0000"/>
                        <w:sz w:val="20"/>
                      </w:rPr>
                    </w:pPr>
                    <w:r w:rsidRPr="00842172">
                      <w:rPr>
                        <w:rFonts w:ascii="Calibri" w:hAnsi="Calibri" w:cs="Calibri"/>
                        <w:strike/>
                        <w:color w:val="FF0000"/>
                        <w:sz w:val="2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37CE3" w14:textId="77777777" w:rsidR="007B21FE" w:rsidRPr="00EF28A6" w:rsidRDefault="00EF28A6" w:rsidP="00C975E8">
    <w:pPr>
      <w:spacing w:before="0" w:after="0"/>
      <w:jc w:val="center"/>
      <w:rPr>
        <w:rFonts w:ascii="Calibri" w:hAnsi="Calibri" w:cs="Calibri"/>
        <w:strike/>
        <w:color w:val="FF0000"/>
        <w:sz w:val="20"/>
      </w:rPr>
    </w:pPr>
    <w:r>
      <w:rPr>
        <w:rFonts w:ascii="Calibri" w:hAnsi="Calibri" w:cs="Calibri"/>
        <w:strike/>
        <w:noProof/>
        <w:color w:val="FF0000"/>
        <w:sz w:val="20"/>
      </w:rPr>
      <mc:AlternateContent>
        <mc:Choice Requires="wps">
          <w:drawing>
            <wp:anchor distT="0" distB="0" distL="114300" distR="114300" simplePos="0" relativeHeight="251709440" behindDoc="0" locked="0" layoutInCell="0" allowOverlap="1" wp14:anchorId="74A35909" wp14:editId="10B56C16">
              <wp:simplePos x="0" y="0"/>
              <wp:positionH relativeFrom="page">
                <wp:align>center</wp:align>
              </wp:positionH>
              <wp:positionV relativeFrom="page">
                <wp:align>top</wp:align>
              </wp:positionV>
              <wp:extent cx="7772400" cy="463550"/>
              <wp:effectExtent l="0" t="0" r="0" b="12700"/>
              <wp:wrapNone/>
              <wp:docPr id="12" name="MSIPCM32614320b9b27f3ec74e8d53" descr="{&quot;HashCode&quot;:-43908111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4BDD86" w14:textId="7FB17AD1" w:rsidR="00EF28A6" w:rsidRPr="00842172" w:rsidRDefault="00842172" w:rsidP="00842172">
                          <w:pPr>
                            <w:spacing w:before="0" w:after="0"/>
                            <w:jc w:val="center"/>
                            <w:rPr>
                              <w:rFonts w:ascii="Calibri" w:hAnsi="Calibri" w:cs="Calibri"/>
                              <w:strike/>
                              <w:color w:val="FF0000"/>
                              <w:sz w:val="20"/>
                            </w:rPr>
                          </w:pPr>
                          <w:r w:rsidRPr="00842172">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4A35909" id="_x0000_t202" coordsize="21600,21600" o:spt="202" path="m,l,21600r21600,l21600,xe">
              <v:stroke joinstyle="miter"/>
              <v:path gradientshapeok="t" o:connecttype="rect"/>
            </v:shapetype>
            <v:shape id="MSIPCM32614320b9b27f3ec74e8d53" o:spid="_x0000_s1029" type="#_x0000_t202" alt="{&quot;HashCode&quot;:-439081111,&quot;Height&quot;:9999999.0,&quot;Width&quot;:9999999.0,&quot;Placement&quot;:&quot;Header&quot;,&quot;Index&quot;:&quot;FirstPage&quot;,&quot;Section&quot;:1,&quot;Top&quot;:0.0,&quot;Left&quot;:0.0}" style="position:absolute;left:0;text-align:left;margin-left:0;margin-top:0;width:612pt;height:36.5pt;z-index:2517094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BofNQivAgAAWgUAAA4AAAAAAAAA&#10;AAAAAAAALgIAAGRycy9lMm9Eb2MueG1sUEsBAi0AFAAGAAgAAAAhAL4fCrfaAAAABQEAAA8AAAAA&#10;AAAAAAAAAAAACQUAAGRycy9kb3ducmV2LnhtbFBLBQYAAAAABAAEAPMAAAAQBgAAAAA=&#10;" o:allowincell="f" filled="f" stroked="f" strokeweight=".5pt">
              <v:textbox inset=",0,,0">
                <w:txbxContent>
                  <w:p w14:paraId="244BDD86" w14:textId="7FB17AD1" w:rsidR="00EF28A6" w:rsidRPr="00842172" w:rsidRDefault="00842172" w:rsidP="00842172">
                    <w:pPr>
                      <w:spacing w:before="0" w:after="0"/>
                      <w:jc w:val="center"/>
                      <w:rPr>
                        <w:rFonts w:ascii="Calibri" w:hAnsi="Calibri" w:cs="Calibri"/>
                        <w:strike/>
                        <w:color w:val="FF0000"/>
                        <w:sz w:val="20"/>
                      </w:rPr>
                    </w:pPr>
                    <w:r w:rsidRPr="00842172">
                      <w:rPr>
                        <w:rFonts w:ascii="Calibri" w:hAnsi="Calibri" w:cs="Calibri"/>
                        <w:strike/>
                        <w:color w:val="FF0000"/>
                        <w:sz w:val="20"/>
                      </w:rPr>
                      <w:t>OFFICIAL: Sensitive</w:t>
                    </w:r>
                  </w:p>
                </w:txbxContent>
              </v:textbox>
              <w10:wrap anchorx="page" anchory="page"/>
            </v:shape>
          </w:pict>
        </mc:Fallback>
      </mc:AlternateContent>
    </w:r>
  </w:p>
  <w:p w14:paraId="47BAC3B7" w14:textId="77777777" w:rsidR="007B21FE" w:rsidRDefault="007B21FE" w:rsidP="00F91A0D">
    <w:pPr>
      <w:pStyle w:val="Header"/>
      <w:spacing w:before="400" w:after="680"/>
    </w:pPr>
    <w:r>
      <w:rPr>
        <w:noProof/>
        <w:lang w:eastAsia="en-AU"/>
      </w:rPr>
      <w:drawing>
        <wp:inline distT="0" distB="0" distL="0" distR="0" wp14:anchorId="24338D1F" wp14:editId="68B9B3D4">
          <wp:extent cx="1880382" cy="576000"/>
          <wp:effectExtent l="0" t="0" r="5715" b="0"/>
          <wp:docPr id="14" name="Picture 14"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rliamentary Budget Offi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82" cy="57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37FE"/>
    <w:multiLevelType w:val="multilevel"/>
    <w:tmpl w:val="2CA8A22A"/>
    <w:name w:val="Bullets"/>
    <w:lvl w:ilvl="0">
      <w:start w:val="1"/>
      <w:numFmt w:val="bullet"/>
      <w:lvlText w:val="•"/>
      <w:lvlJc w:val="left"/>
      <w:pPr>
        <w:tabs>
          <w:tab w:val="num" w:pos="454"/>
        </w:tabs>
        <w:ind w:left="454" w:hanging="454"/>
      </w:pPr>
      <w:rPr>
        <w:rFonts w:ascii="Calibri" w:hAnsi="Calibri" w:hint="default"/>
        <w:b w:val="0"/>
        <w:i w:val="0"/>
        <w:color w:val="auto"/>
        <w:position w:val="0"/>
        <w:sz w:val="22"/>
      </w:rPr>
    </w:lvl>
    <w:lvl w:ilvl="1">
      <w:start w:val="1"/>
      <w:numFmt w:val="bullet"/>
      <w:lvlText w:val="–"/>
      <w:lvlJc w:val="left"/>
      <w:pPr>
        <w:tabs>
          <w:tab w:val="num" w:pos="907"/>
        </w:tabs>
        <w:ind w:left="907" w:hanging="453"/>
      </w:pPr>
      <w:rPr>
        <w:rFonts w:ascii="Calibri" w:hAnsi="Calibri" w:hint="default"/>
        <w:b w:val="0"/>
        <w:i w:val="0"/>
        <w:color w:val="auto"/>
        <w:position w:val="0"/>
        <w:sz w:val="22"/>
      </w:rPr>
    </w:lvl>
    <w:lvl w:ilvl="2">
      <w:start w:val="1"/>
      <w:numFmt w:val="bullet"/>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79E7BCB"/>
    <w:multiLevelType w:val="hybridMultilevel"/>
    <w:tmpl w:val="F8E4C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745448"/>
    <w:multiLevelType w:val="multilevel"/>
    <w:tmpl w:val="B9B27878"/>
    <w:name w:val="PBOHeading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none"/>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15:restartNumberingAfterBreak="0">
    <w:nsid w:val="0E645256"/>
    <w:multiLevelType w:val="multilevel"/>
    <w:tmpl w:val="75FCCD40"/>
    <w:styleLink w:val="AttachementsNumbered"/>
    <w:lvl w:ilvl="0">
      <w:start w:val="1"/>
      <w:numFmt w:val="upperLetter"/>
      <w:pStyle w:val="Heading8"/>
      <w:suff w:val="space"/>
      <w:lvlText w:val="Attachment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9778B4" w:themeColor="text2"/>
      </w:rPr>
    </w:lvl>
    <w:lvl w:ilvl="2">
      <w:start w:val="1"/>
      <w:numFmt w:val="bullet"/>
      <w:lvlText w:val="»"/>
      <w:lvlJc w:val="left"/>
      <w:pPr>
        <w:ind w:left="852" w:hanging="284"/>
      </w:pPr>
      <w:rPr>
        <w:rFonts w:ascii="Arial" w:hAnsi="Arial" w:hint="default"/>
        <w:color w:val="9778B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15:restartNumberingAfterBreak="0">
    <w:nsid w:val="15E92E39"/>
    <w:multiLevelType w:val="multilevel"/>
    <w:tmpl w:val="6C6E19E4"/>
    <w:styleLink w:val="NormalNumberedParas"/>
    <w:lvl w:ilvl="0">
      <w:start w:val="1"/>
      <w:numFmt w:val="decimal"/>
      <w:pStyle w:val="NormalNumbered"/>
      <w:lvlText w:val="%1."/>
      <w:lvlJc w:val="left"/>
      <w:pPr>
        <w:ind w:left="567" w:hanging="567"/>
      </w:pPr>
      <w:rPr>
        <w:rFonts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861349"/>
    <w:multiLevelType w:val="hybridMultilevel"/>
    <w:tmpl w:val="1930B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4A695C"/>
    <w:multiLevelType w:val="multilevel"/>
    <w:tmpl w:val="9710D28A"/>
    <w:name w:val="TableBullets"/>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9F1618D"/>
    <w:multiLevelType w:val="multilevel"/>
    <w:tmpl w:val="DB9A36FA"/>
    <w:styleLink w:val="List1Numbered"/>
    <w:lvl w:ilvl="0">
      <w:start w:val="1"/>
      <w:numFmt w:val="decimal"/>
      <w:pStyle w:val="List1Numbered1"/>
      <w:lvlText w:val="%1."/>
      <w:lvlJc w:val="left"/>
      <w:pPr>
        <w:ind w:left="851" w:hanging="284"/>
      </w:pPr>
      <w:rPr>
        <w:rFonts w:hint="default"/>
        <w:b w:val="0"/>
        <w:i w:val="0"/>
        <w:color w:val="auto"/>
      </w:rPr>
    </w:lvl>
    <w:lvl w:ilvl="1">
      <w:start w:val="1"/>
      <w:numFmt w:val="lowerLetter"/>
      <w:pStyle w:val="List1Numbered2"/>
      <w:lvlText w:val="%2."/>
      <w:lvlJc w:val="left"/>
      <w:pPr>
        <w:ind w:left="1135" w:hanging="284"/>
      </w:pPr>
      <w:rPr>
        <w:rFonts w:hint="default"/>
      </w:rPr>
    </w:lvl>
    <w:lvl w:ilvl="2">
      <w:start w:val="1"/>
      <w:numFmt w:val="lowerRoman"/>
      <w:pStyle w:val="List1Numbered3"/>
      <w:lvlText w:val="%3."/>
      <w:lvlJc w:val="left"/>
      <w:pPr>
        <w:ind w:left="1419" w:hanging="284"/>
      </w:pPr>
      <w:rPr>
        <w:rFonts w:hint="default"/>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D514BC"/>
    <w:multiLevelType w:val="hybridMultilevel"/>
    <w:tmpl w:val="C10EEC9C"/>
    <w:lvl w:ilvl="0" w:tplc="71BE18B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0F2CCE"/>
    <w:multiLevelType w:val="multilevel"/>
    <w:tmpl w:val="DB9A36FA"/>
    <w:numStyleLink w:val="List1Numbered"/>
  </w:abstractNum>
  <w:abstractNum w:abstractNumId="14" w15:restartNumberingAfterBreak="0">
    <w:nsid w:val="2C72580B"/>
    <w:multiLevelType w:val="multilevel"/>
    <w:tmpl w:val="A1605A0E"/>
    <w:name w:val="PullOutNumbering"/>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964"/>
        </w:tabs>
        <w:ind w:left="964" w:hanging="340"/>
      </w:pPr>
      <w:rPr>
        <w:rFonts w:hint="default"/>
        <w:color w:val="auto"/>
      </w:rPr>
    </w:lvl>
    <w:lvl w:ilvl="2">
      <w:start w:val="1"/>
      <w:numFmt w:val="lowerRoman"/>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723AD4"/>
    <w:multiLevelType w:val="multilevel"/>
    <w:tmpl w:val="CC2400A2"/>
    <w:name w:val="PullOutBullets"/>
    <w:lvl w:ilvl="0">
      <w:start w:val="1"/>
      <w:numFmt w:val="bullet"/>
      <w:lvlText w:val="•"/>
      <w:lvlJc w:val="left"/>
      <w:pPr>
        <w:tabs>
          <w:tab w:val="num" w:pos="624"/>
        </w:tabs>
        <w:ind w:left="624" w:hanging="340"/>
      </w:pPr>
      <w:rPr>
        <w:rFonts w:ascii="Calibri" w:hAnsi="Calibri" w:hint="default"/>
        <w:color w:val="auto"/>
        <w:sz w:val="22"/>
      </w:rPr>
    </w:lvl>
    <w:lvl w:ilvl="1">
      <w:start w:val="1"/>
      <w:numFmt w:val="bullet"/>
      <w:lvlText w:val="–"/>
      <w:lvlJc w:val="left"/>
      <w:pPr>
        <w:tabs>
          <w:tab w:val="num" w:pos="964"/>
        </w:tabs>
        <w:ind w:left="964" w:hanging="340"/>
      </w:pPr>
      <w:rPr>
        <w:rFonts w:ascii="Calibri" w:hAnsi="Calibri" w:hint="default"/>
        <w:color w:val="auto"/>
        <w:sz w:val="22"/>
      </w:rPr>
    </w:lvl>
    <w:lvl w:ilvl="2">
      <w:start w:val="1"/>
      <w:numFmt w:val="bullet"/>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BE8656F"/>
    <w:multiLevelType w:val="hybridMultilevel"/>
    <w:tmpl w:val="D2BE7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9778B4" w:themeColor="text2"/>
      </w:rPr>
    </w:lvl>
    <w:lvl w:ilvl="3">
      <w:start w:val="1"/>
      <w:numFmt w:val="bullet"/>
      <w:lvlText w:val="»"/>
      <w:lvlJc w:val="left"/>
      <w:pPr>
        <w:ind w:left="794" w:hanging="510"/>
      </w:pPr>
      <w:rPr>
        <w:rFonts w:ascii="Arial" w:hAnsi="Arial" w:hint="default"/>
        <w:color w:val="9778B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3F501A"/>
    <w:multiLevelType w:val="multilevel"/>
    <w:tmpl w:val="75FCCD40"/>
    <w:numStyleLink w:val="AttachementsNumbered"/>
  </w:abstractNum>
  <w:abstractNum w:abstractNumId="21" w15:restartNumberingAfterBreak="0">
    <w:nsid w:val="51265965"/>
    <w:multiLevelType w:val="hybridMultilevel"/>
    <w:tmpl w:val="6486EC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0540A9"/>
    <w:multiLevelType w:val="multilevel"/>
    <w:tmpl w:val="1A6297E2"/>
    <w:lvl w:ilvl="0">
      <w:start w:val="1"/>
      <w:numFmt w:val="upperLetter"/>
      <w:lvlRestart w:val="0"/>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suff w:val="nothing"/>
      <w:lvlText w:val=""/>
      <w:lvlJc w:val="left"/>
      <w:pPr>
        <w:tabs>
          <w:tab w:val="num" w:pos="0"/>
        </w:tabs>
        <w:ind w:left="0" w:firstLine="0"/>
      </w:pPr>
      <w:rPr>
        <w:rFonts w:hint="default"/>
      </w:rPr>
    </w:lvl>
    <w:lvl w:ilvl="3">
      <w:start w:val="1"/>
      <w:numFmt w:val="none"/>
      <w:lvlRestart w:val="2"/>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5" w15:restartNumberingAfterBreak="0">
    <w:nsid w:val="5EAB19D9"/>
    <w:multiLevelType w:val="hybridMultilevel"/>
    <w:tmpl w:val="920C7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293E42"/>
    <w:multiLevelType w:val="hybridMultilevel"/>
    <w:tmpl w:val="9B42B7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474167"/>
    <w:multiLevelType w:val="hybridMultilevel"/>
    <w:tmpl w:val="102CCC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D844A7"/>
    <w:multiLevelType w:val="hybridMultilevel"/>
    <w:tmpl w:val="035E6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262A39"/>
    <w:multiLevelType w:val="hybridMultilevel"/>
    <w:tmpl w:val="8AC2DF44"/>
    <w:lvl w:ilvl="0" w:tplc="F886F750">
      <w:start w:val="1"/>
      <w:numFmt w:val="bullet"/>
      <w:pStyle w:val="Bullet3"/>
      <w:lvlText w:val=""/>
      <w:lvlJc w:val="left"/>
      <w:pPr>
        <w:ind w:left="92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6A300C79"/>
    <w:multiLevelType w:val="hybridMultilevel"/>
    <w:tmpl w:val="604CE1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D1D40AC"/>
    <w:multiLevelType w:val="multilevel"/>
    <w:tmpl w:val="D18C6390"/>
    <w:name w:val="TableNumbering"/>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709"/>
        </w:tabs>
        <w:ind w:left="709" w:hanging="283"/>
      </w:pPr>
      <w:rPr>
        <w:rFonts w:hint="default"/>
      </w:rPr>
    </w:lvl>
    <w:lvl w:ilvl="2">
      <w:start w:val="1"/>
      <w:numFmt w:val="lowerRoman"/>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5796740A"/>
    <w:name w:val="QuoteBullets"/>
    <w:lvl w:ilvl="0">
      <w:start w:val="1"/>
      <w:numFmt w:val="bullet"/>
      <w:lvlText w:val="•"/>
      <w:lvlJc w:val="left"/>
      <w:pPr>
        <w:tabs>
          <w:tab w:val="num" w:pos="567"/>
        </w:tabs>
        <w:ind w:left="567" w:hanging="283"/>
      </w:pPr>
      <w:rPr>
        <w:rFonts w:ascii="Arial" w:hAnsi="Arial" w:hint="default"/>
        <w:color w:val="auto"/>
        <w:sz w:val="18"/>
      </w:rPr>
    </w:lvl>
    <w:lvl w:ilvl="1">
      <w:start w:val="1"/>
      <w:numFmt w:val="bullet"/>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387488E"/>
    <w:multiLevelType w:val="hybridMultilevel"/>
    <w:tmpl w:val="68F28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8A4D83"/>
    <w:multiLevelType w:val="multilevel"/>
    <w:tmpl w:val="B0064A26"/>
    <w:styleLink w:val="DefaultBullets"/>
    <w:lvl w:ilvl="0">
      <w:start w:val="1"/>
      <w:numFmt w:val="bullet"/>
      <w:pStyle w:val="Bullet1"/>
      <w:lvlText w:val=""/>
      <w:lvlJc w:val="left"/>
      <w:pPr>
        <w:ind w:left="851" w:hanging="284"/>
      </w:pPr>
      <w:rPr>
        <w:rFonts w:ascii="Symbol" w:hAnsi="Symbol" w:hint="default"/>
        <w:color w:val="auto"/>
      </w:rPr>
    </w:lvl>
    <w:lvl w:ilvl="1">
      <w:start w:val="1"/>
      <w:numFmt w:val="bullet"/>
      <w:pStyle w:val="Bullet2"/>
      <w:lvlText w:val="–"/>
      <w:lvlJc w:val="left"/>
      <w:pPr>
        <w:ind w:left="1135" w:hanging="284"/>
      </w:pPr>
      <w:rPr>
        <w:rFonts w:ascii="Arial" w:hAnsi="Arial" w:hint="default"/>
        <w:color w:val="auto"/>
      </w:rPr>
    </w:lvl>
    <w:lvl w:ilvl="2">
      <w:start w:val="1"/>
      <w:numFmt w:val="bullet"/>
      <w:lvlText w:val="»"/>
      <w:lvlJc w:val="left"/>
      <w:pPr>
        <w:ind w:left="1419" w:hanging="284"/>
      </w:pPr>
      <w:rPr>
        <w:rFonts w:ascii="Arial" w:hAnsi="Arial" w:hint="default"/>
        <w:color w:val="auto"/>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35" w15:restartNumberingAfterBreak="0">
    <w:nsid w:val="76445C11"/>
    <w:multiLevelType w:val="hybridMultilevel"/>
    <w:tmpl w:val="7BBEA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39021E"/>
    <w:multiLevelType w:val="multilevel"/>
    <w:tmpl w:val="C186E662"/>
    <w:name w:val="ListNumbering"/>
    <w:lvl w:ilvl="0">
      <w:start w:val="1"/>
      <w:numFmt w:val="decimal"/>
      <w:lvlText w:val="%1"/>
      <w:lvlJc w:val="left"/>
      <w:pPr>
        <w:tabs>
          <w:tab w:val="num" w:pos="454"/>
        </w:tabs>
        <w:ind w:left="454" w:hanging="454"/>
      </w:pPr>
      <w:rPr>
        <w:rFonts w:hint="default"/>
        <w:color w:val="auto"/>
        <w:spacing w:val="0"/>
        <w:sz w:val="22"/>
      </w:rPr>
    </w:lvl>
    <w:lvl w:ilvl="1">
      <w:start w:val="1"/>
      <w:numFmt w:val="lowerLetter"/>
      <w:lvlText w:val="%2"/>
      <w:lvlJc w:val="left"/>
      <w:pPr>
        <w:tabs>
          <w:tab w:val="num" w:pos="907"/>
        </w:tabs>
        <w:ind w:left="907" w:hanging="453"/>
      </w:pPr>
      <w:rPr>
        <w:rFonts w:hint="default"/>
        <w:color w:val="auto"/>
        <w:spacing w:val="0"/>
        <w:sz w:val="22"/>
      </w:rPr>
    </w:lvl>
    <w:lvl w:ilvl="2">
      <w:start w:val="1"/>
      <w:numFmt w:val="lowerRoman"/>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EFF4E89"/>
    <w:multiLevelType w:val="hybridMultilevel"/>
    <w:tmpl w:val="6A3CE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3"/>
  </w:num>
  <w:num w:numId="3">
    <w:abstractNumId w:val="18"/>
  </w:num>
  <w:num w:numId="4">
    <w:abstractNumId w:val="34"/>
  </w:num>
  <w:num w:numId="5">
    <w:abstractNumId w:val="9"/>
  </w:num>
  <w:num w:numId="6">
    <w:abstractNumId w:val="6"/>
  </w:num>
  <w:num w:numId="7">
    <w:abstractNumId w:val="23"/>
  </w:num>
  <w:num w:numId="8">
    <w:abstractNumId w:val="22"/>
  </w:num>
  <w:num w:numId="9">
    <w:abstractNumId w:val="18"/>
  </w:num>
  <w:num w:numId="10">
    <w:abstractNumId w:val="34"/>
  </w:num>
  <w:num w:numId="11">
    <w:abstractNumId w:val="10"/>
  </w:num>
  <w:num w:numId="12">
    <w:abstractNumId w:val="20"/>
  </w:num>
  <w:num w:numId="13">
    <w:abstractNumId w:val="24"/>
  </w:num>
  <w:num w:numId="14">
    <w:abstractNumId w:val="4"/>
  </w:num>
  <w:num w:numId="15">
    <w:abstractNumId w:val="13"/>
  </w:num>
  <w:num w:numId="16">
    <w:abstractNumId w:val="6"/>
  </w:num>
  <w:num w:numId="17">
    <w:abstractNumId w:val="23"/>
  </w:num>
  <w:num w:numId="18">
    <w:abstractNumId w:val="15"/>
  </w:num>
  <w:num w:numId="19">
    <w:abstractNumId w:val="12"/>
  </w:num>
  <w:num w:numId="20">
    <w:abstractNumId w:val="29"/>
  </w:num>
  <w:num w:numId="21">
    <w:abstractNumId w:val="5"/>
  </w:num>
  <w:num w:numId="22">
    <w:abstractNumId w:val="7"/>
  </w:num>
  <w:num w:numId="23">
    <w:abstractNumId w:val="33"/>
  </w:num>
  <w:num w:numId="24">
    <w:abstractNumId w:val="25"/>
  </w:num>
  <w:num w:numId="25">
    <w:abstractNumId w:val="26"/>
  </w:num>
  <w:num w:numId="26">
    <w:abstractNumId w:val="17"/>
  </w:num>
  <w:num w:numId="27">
    <w:abstractNumId w:val="11"/>
  </w:num>
  <w:num w:numId="28">
    <w:abstractNumId w:val="35"/>
  </w:num>
  <w:num w:numId="29">
    <w:abstractNumId w:val="30"/>
  </w:num>
  <w:num w:numId="30">
    <w:abstractNumId w:val="28"/>
  </w:num>
  <w:num w:numId="31">
    <w:abstractNumId w:val="21"/>
  </w:num>
  <w:num w:numId="32">
    <w:abstractNumId w:val="37"/>
  </w:num>
  <w:num w:numId="33">
    <w:abstractNumId w:val="1"/>
  </w:num>
  <w:num w:numId="34">
    <w:abstractNumId w:val="27"/>
  </w:num>
  <w:num w:numId="3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5A48CB"/>
    <w:rsid w:val="0000071C"/>
    <w:rsid w:val="0000322C"/>
    <w:rsid w:val="00003CDD"/>
    <w:rsid w:val="00012209"/>
    <w:rsid w:val="00013620"/>
    <w:rsid w:val="0001406F"/>
    <w:rsid w:val="000155D9"/>
    <w:rsid w:val="00015E04"/>
    <w:rsid w:val="000168A7"/>
    <w:rsid w:val="00016D53"/>
    <w:rsid w:val="00020D01"/>
    <w:rsid w:val="000214F2"/>
    <w:rsid w:val="0002159A"/>
    <w:rsid w:val="000278D0"/>
    <w:rsid w:val="00027E62"/>
    <w:rsid w:val="000307C8"/>
    <w:rsid w:val="00030F73"/>
    <w:rsid w:val="00033326"/>
    <w:rsid w:val="00035A1C"/>
    <w:rsid w:val="00035ADE"/>
    <w:rsid w:val="0004224B"/>
    <w:rsid w:val="00046226"/>
    <w:rsid w:val="000505FB"/>
    <w:rsid w:val="0005330D"/>
    <w:rsid w:val="000557A7"/>
    <w:rsid w:val="00055805"/>
    <w:rsid w:val="00056CB3"/>
    <w:rsid w:val="0005793B"/>
    <w:rsid w:val="00061758"/>
    <w:rsid w:val="00063FD4"/>
    <w:rsid w:val="00065125"/>
    <w:rsid w:val="00066D54"/>
    <w:rsid w:val="00067A28"/>
    <w:rsid w:val="00071A14"/>
    <w:rsid w:val="0007260F"/>
    <w:rsid w:val="000739CB"/>
    <w:rsid w:val="00073C89"/>
    <w:rsid w:val="0007488E"/>
    <w:rsid w:val="000805D5"/>
    <w:rsid w:val="0008103B"/>
    <w:rsid w:val="00085F97"/>
    <w:rsid w:val="00087777"/>
    <w:rsid w:val="000879B1"/>
    <w:rsid w:val="00092A33"/>
    <w:rsid w:val="000973F9"/>
    <w:rsid w:val="00097A23"/>
    <w:rsid w:val="000A0848"/>
    <w:rsid w:val="000A2FEC"/>
    <w:rsid w:val="000A348F"/>
    <w:rsid w:val="000A4FEE"/>
    <w:rsid w:val="000B1B0C"/>
    <w:rsid w:val="000B4345"/>
    <w:rsid w:val="000B5900"/>
    <w:rsid w:val="000B60AE"/>
    <w:rsid w:val="000B6942"/>
    <w:rsid w:val="000B6D00"/>
    <w:rsid w:val="000B70EC"/>
    <w:rsid w:val="000C09FA"/>
    <w:rsid w:val="000C1AB0"/>
    <w:rsid w:val="000C37A9"/>
    <w:rsid w:val="000C6728"/>
    <w:rsid w:val="000C702E"/>
    <w:rsid w:val="000D15E9"/>
    <w:rsid w:val="000D2606"/>
    <w:rsid w:val="000D3182"/>
    <w:rsid w:val="000D3228"/>
    <w:rsid w:val="000D45C4"/>
    <w:rsid w:val="000D46B3"/>
    <w:rsid w:val="000E18F3"/>
    <w:rsid w:val="000E19AC"/>
    <w:rsid w:val="000E2197"/>
    <w:rsid w:val="000E266E"/>
    <w:rsid w:val="000E29CD"/>
    <w:rsid w:val="000E4C7B"/>
    <w:rsid w:val="000E5FD9"/>
    <w:rsid w:val="000F1515"/>
    <w:rsid w:val="000F16B5"/>
    <w:rsid w:val="000F616E"/>
    <w:rsid w:val="000F7D50"/>
    <w:rsid w:val="00110D43"/>
    <w:rsid w:val="00114966"/>
    <w:rsid w:val="001159EA"/>
    <w:rsid w:val="00120A75"/>
    <w:rsid w:val="00124F41"/>
    <w:rsid w:val="00125410"/>
    <w:rsid w:val="00130858"/>
    <w:rsid w:val="00131861"/>
    <w:rsid w:val="00136C26"/>
    <w:rsid w:val="0014059F"/>
    <w:rsid w:val="00141551"/>
    <w:rsid w:val="001417CE"/>
    <w:rsid w:val="001420BA"/>
    <w:rsid w:val="0014479F"/>
    <w:rsid w:val="00146851"/>
    <w:rsid w:val="00146B30"/>
    <w:rsid w:val="00146EAD"/>
    <w:rsid w:val="001541BF"/>
    <w:rsid w:val="00154DC5"/>
    <w:rsid w:val="00160C8D"/>
    <w:rsid w:val="001616E8"/>
    <w:rsid w:val="001629C0"/>
    <w:rsid w:val="00165122"/>
    <w:rsid w:val="00165854"/>
    <w:rsid w:val="00166078"/>
    <w:rsid w:val="00166A15"/>
    <w:rsid w:val="00167A05"/>
    <w:rsid w:val="001711BC"/>
    <w:rsid w:val="001738DB"/>
    <w:rsid w:val="001738F5"/>
    <w:rsid w:val="00173DFD"/>
    <w:rsid w:val="00180FF9"/>
    <w:rsid w:val="0019204F"/>
    <w:rsid w:val="00195228"/>
    <w:rsid w:val="00195696"/>
    <w:rsid w:val="00196532"/>
    <w:rsid w:val="001967B2"/>
    <w:rsid w:val="001A1EFC"/>
    <w:rsid w:val="001A48EF"/>
    <w:rsid w:val="001A49CC"/>
    <w:rsid w:val="001A5553"/>
    <w:rsid w:val="001A716E"/>
    <w:rsid w:val="001B18C6"/>
    <w:rsid w:val="001B25FE"/>
    <w:rsid w:val="001B2C65"/>
    <w:rsid w:val="001B3BA2"/>
    <w:rsid w:val="001B4255"/>
    <w:rsid w:val="001B7058"/>
    <w:rsid w:val="001C3A4F"/>
    <w:rsid w:val="001C4121"/>
    <w:rsid w:val="001C48DE"/>
    <w:rsid w:val="001C6881"/>
    <w:rsid w:val="001C7A03"/>
    <w:rsid w:val="001C7F8D"/>
    <w:rsid w:val="001D30C1"/>
    <w:rsid w:val="001D52E3"/>
    <w:rsid w:val="001D576F"/>
    <w:rsid w:val="001D7C29"/>
    <w:rsid w:val="001E0475"/>
    <w:rsid w:val="001E33C2"/>
    <w:rsid w:val="001E55FD"/>
    <w:rsid w:val="001E5BD5"/>
    <w:rsid w:val="001E708A"/>
    <w:rsid w:val="001E7BA4"/>
    <w:rsid w:val="001F2AAD"/>
    <w:rsid w:val="001F3F23"/>
    <w:rsid w:val="001F5C90"/>
    <w:rsid w:val="001F767C"/>
    <w:rsid w:val="001F7B10"/>
    <w:rsid w:val="0020094B"/>
    <w:rsid w:val="00200AAA"/>
    <w:rsid w:val="00201EAE"/>
    <w:rsid w:val="00203A7B"/>
    <w:rsid w:val="002057EF"/>
    <w:rsid w:val="00205C6E"/>
    <w:rsid w:val="00210074"/>
    <w:rsid w:val="00210507"/>
    <w:rsid w:val="00210FCF"/>
    <w:rsid w:val="0021562A"/>
    <w:rsid w:val="002179B6"/>
    <w:rsid w:val="00222350"/>
    <w:rsid w:val="00222EFF"/>
    <w:rsid w:val="002240D5"/>
    <w:rsid w:val="00225CA4"/>
    <w:rsid w:val="002261A7"/>
    <w:rsid w:val="00226AEC"/>
    <w:rsid w:val="0023077A"/>
    <w:rsid w:val="00235C95"/>
    <w:rsid w:val="00246E30"/>
    <w:rsid w:val="00252C2F"/>
    <w:rsid w:val="002545F3"/>
    <w:rsid w:val="002559FB"/>
    <w:rsid w:val="0025726E"/>
    <w:rsid w:val="00260B56"/>
    <w:rsid w:val="0026257E"/>
    <w:rsid w:val="0026344F"/>
    <w:rsid w:val="002636AE"/>
    <w:rsid w:val="002641C3"/>
    <w:rsid w:val="00266A17"/>
    <w:rsid w:val="00270372"/>
    <w:rsid w:val="00270409"/>
    <w:rsid w:val="00275534"/>
    <w:rsid w:val="00277075"/>
    <w:rsid w:val="002775D2"/>
    <w:rsid w:val="00281A7A"/>
    <w:rsid w:val="00281ADD"/>
    <w:rsid w:val="0028563E"/>
    <w:rsid w:val="00287823"/>
    <w:rsid w:val="0028792D"/>
    <w:rsid w:val="00293E0D"/>
    <w:rsid w:val="00293E80"/>
    <w:rsid w:val="002973B0"/>
    <w:rsid w:val="00297C14"/>
    <w:rsid w:val="002A16EE"/>
    <w:rsid w:val="002A220F"/>
    <w:rsid w:val="002A24F1"/>
    <w:rsid w:val="002A33F4"/>
    <w:rsid w:val="002A43A0"/>
    <w:rsid w:val="002A5778"/>
    <w:rsid w:val="002A6E3B"/>
    <w:rsid w:val="002B1C24"/>
    <w:rsid w:val="002B1E84"/>
    <w:rsid w:val="002B2085"/>
    <w:rsid w:val="002B3EC4"/>
    <w:rsid w:val="002C37D5"/>
    <w:rsid w:val="002C4DA6"/>
    <w:rsid w:val="002C56B6"/>
    <w:rsid w:val="002C60A0"/>
    <w:rsid w:val="002D0BAB"/>
    <w:rsid w:val="002D1820"/>
    <w:rsid w:val="002D18E1"/>
    <w:rsid w:val="002D239A"/>
    <w:rsid w:val="002D34DB"/>
    <w:rsid w:val="002D48BE"/>
    <w:rsid w:val="002D4B11"/>
    <w:rsid w:val="002E0CD6"/>
    <w:rsid w:val="002E1EA9"/>
    <w:rsid w:val="002E5633"/>
    <w:rsid w:val="002E5CE6"/>
    <w:rsid w:val="002E6659"/>
    <w:rsid w:val="002E7D20"/>
    <w:rsid w:val="002F1963"/>
    <w:rsid w:val="002F5B6E"/>
    <w:rsid w:val="002F61B5"/>
    <w:rsid w:val="002F7E84"/>
    <w:rsid w:val="00300066"/>
    <w:rsid w:val="0030209B"/>
    <w:rsid w:val="003049B5"/>
    <w:rsid w:val="003116DE"/>
    <w:rsid w:val="00312494"/>
    <w:rsid w:val="003127E4"/>
    <w:rsid w:val="00312C42"/>
    <w:rsid w:val="00313215"/>
    <w:rsid w:val="00313DA1"/>
    <w:rsid w:val="003155E3"/>
    <w:rsid w:val="00317042"/>
    <w:rsid w:val="003174C3"/>
    <w:rsid w:val="003230D5"/>
    <w:rsid w:val="0032557A"/>
    <w:rsid w:val="00326E3E"/>
    <w:rsid w:val="00330622"/>
    <w:rsid w:val="00330F9F"/>
    <w:rsid w:val="003318BA"/>
    <w:rsid w:val="003326F7"/>
    <w:rsid w:val="00340778"/>
    <w:rsid w:val="003407B9"/>
    <w:rsid w:val="00343205"/>
    <w:rsid w:val="00344D2C"/>
    <w:rsid w:val="003458CE"/>
    <w:rsid w:val="00345A57"/>
    <w:rsid w:val="00346D90"/>
    <w:rsid w:val="00351F62"/>
    <w:rsid w:val="0035792C"/>
    <w:rsid w:val="003601F4"/>
    <w:rsid w:val="00361150"/>
    <w:rsid w:val="003671E2"/>
    <w:rsid w:val="00370320"/>
    <w:rsid w:val="00372AE6"/>
    <w:rsid w:val="00374E86"/>
    <w:rsid w:val="00376C3A"/>
    <w:rsid w:val="0038082C"/>
    <w:rsid w:val="003837E1"/>
    <w:rsid w:val="0038542D"/>
    <w:rsid w:val="0038584D"/>
    <w:rsid w:val="003907E3"/>
    <w:rsid w:val="0039257F"/>
    <w:rsid w:val="003931DE"/>
    <w:rsid w:val="00394E9E"/>
    <w:rsid w:val="00397D1A"/>
    <w:rsid w:val="003A163C"/>
    <w:rsid w:val="003A1932"/>
    <w:rsid w:val="003A2B4E"/>
    <w:rsid w:val="003A2FBB"/>
    <w:rsid w:val="003A34E7"/>
    <w:rsid w:val="003A3799"/>
    <w:rsid w:val="003A4913"/>
    <w:rsid w:val="003A54A9"/>
    <w:rsid w:val="003A62A5"/>
    <w:rsid w:val="003A7083"/>
    <w:rsid w:val="003B2CF2"/>
    <w:rsid w:val="003B3103"/>
    <w:rsid w:val="003B38B3"/>
    <w:rsid w:val="003B3A97"/>
    <w:rsid w:val="003B3AAD"/>
    <w:rsid w:val="003B3D44"/>
    <w:rsid w:val="003B47BC"/>
    <w:rsid w:val="003C2540"/>
    <w:rsid w:val="003C6BB5"/>
    <w:rsid w:val="003C7CC2"/>
    <w:rsid w:val="003D3379"/>
    <w:rsid w:val="003D50B6"/>
    <w:rsid w:val="003D5E9D"/>
    <w:rsid w:val="003D7592"/>
    <w:rsid w:val="003E05DF"/>
    <w:rsid w:val="003E1562"/>
    <w:rsid w:val="003E41B2"/>
    <w:rsid w:val="003E6085"/>
    <w:rsid w:val="003E6CA3"/>
    <w:rsid w:val="003F3031"/>
    <w:rsid w:val="003F4C96"/>
    <w:rsid w:val="0040174A"/>
    <w:rsid w:val="00401C49"/>
    <w:rsid w:val="00404CFE"/>
    <w:rsid w:val="00406002"/>
    <w:rsid w:val="00406AD3"/>
    <w:rsid w:val="00410731"/>
    <w:rsid w:val="00412E42"/>
    <w:rsid w:val="00413EC1"/>
    <w:rsid w:val="00414A13"/>
    <w:rsid w:val="00415776"/>
    <w:rsid w:val="0042112A"/>
    <w:rsid w:val="00425534"/>
    <w:rsid w:val="00425C05"/>
    <w:rsid w:val="00426356"/>
    <w:rsid w:val="00426929"/>
    <w:rsid w:val="00433D11"/>
    <w:rsid w:val="00440108"/>
    <w:rsid w:val="00441A6D"/>
    <w:rsid w:val="00442C16"/>
    <w:rsid w:val="00445410"/>
    <w:rsid w:val="00446439"/>
    <w:rsid w:val="00450BDA"/>
    <w:rsid w:val="00453A3E"/>
    <w:rsid w:val="0045452F"/>
    <w:rsid w:val="0045766B"/>
    <w:rsid w:val="00457EA9"/>
    <w:rsid w:val="004618A2"/>
    <w:rsid w:val="0046444F"/>
    <w:rsid w:val="00464FF9"/>
    <w:rsid w:val="004716E3"/>
    <w:rsid w:val="00472502"/>
    <w:rsid w:val="00474BB7"/>
    <w:rsid w:val="00476133"/>
    <w:rsid w:val="00476800"/>
    <w:rsid w:val="004816D7"/>
    <w:rsid w:val="0048215B"/>
    <w:rsid w:val="00482F63"/>
    <w:rsid w:val="0048342E"/>
    <w:rsid w:val="00487478"/>
    <w:rsid w:val="0048782D"/>
    <w:rsid w:val="00490873"/>
    <w:rsid w:val="00491703"/>
    <w:rsid w:val="00494DC1"/>
    <w:rsid w:val="004A3F56"/>
    <w:rsid w:val="004A4BB2"/>
    <w:rsid w:val="004A4F1C"/>
    <w:rsid w:val="004A5E21"/>
    <w:rsid w:val="004A666A"/>
    <w:rsid w:val="004B143F"/>
    <w:rsid w:val="004B2153"/>
    <w:rsid w:val="004B3022"/>
    <w:rsid w:val="004B49A0"/>
    <w:rsid w:val="004B52AF"/>
    <w:rsid w:val="004B6C2D"/>
    <w:rsid w:val="004C3BDA"/>
    <w:rsid w:val="004C6306"/>
    <w:rsid w:val="004C6F5E"/>
    <w:rsid w:val="004C7E94"/>
    <w:rsid w:val="004D4551"/>
    <w:rsid w:val="004D5134"/>
    <w:rsid w:val="004D59B9"/>
    <w:rsid w:val="004D5A64"/>
    <w:rsid w:val="004D7CF8"/>
    <w:rsid w:val="004D7EDA"/>
    <w:rsid w:val="004E0E49"/>
    <w:rsid w:val="004E197A"/>
    <w:rsid w:val="004E22E8"/>
    <w:rsid w:val="004E5154"/>
    <w:rsid w:val="004E5D52"/>
    <w:rsid w:val="004F07D7"/>
    <w:rsid w:val="004F1297"/>
    <w:rsid w:val="004F16DB"/>
    <w:rsid w:val="004F4D7E"/>
    <w:rsid w:val="004F5B16"/>
    <w:rsid w:val="004F5D9D"/>
    <w:rsid w:val="004F5F28"/>
    <w:rsid w:val="004F68E5"/>
    <w:rsid w:val="004F7037"/>
    <w:rsid w:val="004F741B"/>
    <w:rsid w:val="00500F08"/>
    <w:rsid w:val="0050132A"/>
    <w:rsid w:val="00503253"/>
    <w:rsid w:val="00503BB0"/>
    <w:rsid w:val="00503E03"/>
    <w:rsid w:val="00511F0B"/>
    <w:rsid w:val="00512226"/>
    <w:rsid w:val="00512B31"/>
    <w:rsid w:val="005147C6"/>
    <w:rsid w:val="005159B1"/>
    <w:rsid w:val="00522502"/>
    <w:rsid w:val="00522530"/>
    <w:rsid w:val="005255A1"/>
    <w:rsid w:val="00525825"/>
    <w:rsid w:val="0052641C"/>
    <w:rsid w:val="005311C2"/>
    <w:rsid w:val="005319E9"/>
    <w:rsid w:val="0053449C"/>
    <w:rsid w:val="0053795D"/>
    <w:rsid w:val="005444A6"/>
    <w:rsid w:val="00544522"/>
    <w:rsid w:val="00545A5E"/>
    <w:rsid w:val="00545D37"/>
    <w:rsid w:val="005467E2"/>
    <w:rsid w:val="005468AB"/>
    <w:rsid w:val="005501A0"/>
    <w:rsid w:val="0055026B"/>
    <w:rsid w:val="00550831"/>
    <w:rsid w:val="00550A6C"/>
    <w:rsid w:val="005525B0"/>
    <w:rsid w:val="00554273"/>
    <w:rsid w:val="0056001A"/>
    <w:rsid w:val="005642B6"/>
    <w:rsid w:val="00566A97"/>
    <w:rsid w:val="00571D5E"/>
    <w:rsid w:val="005814CA"/>
    <w:rsid w:val="005823D0"/>
    <w:rsid w:val="00582D54"/>
    <w:rsid w:val="00583AAF"/>
    <w:rsid w:val="0058450D"/>
    <w:rsid w:val="00587AF9"/>
    <w:rsid w:val="0059282B"/>
    <w:rsid w:val="0059438F"/>
    <w:rsid w:val="005962D5"/>
    <w:rsid w:val="005979D8"/>
    <w:rsid w:val="005A2748"/>
    <w:rsid w:val="005A443F"/>
    <w:rsid w:val="005A48CB"/>
    <w:rsid w:val="005A5215"/>
    <w:rsid w:val="005A7C26"/>
    <w:rsid w:val="005B0970"/>
    <w:rsid w:val="005B0E43"/>
    <w:rsid w:val="005B54F9"/>
    <w:rsid w:val="005B58D4"/>
    <w:rsid w:val="005B5B58"/>
    <w:rsid w:val="005B7DC9"/>
    <w:rsid w:val="005C07B3"/>
    <w:rsid w:val="005C158E"/>
    <w:rsid w:val="005C284E"/>
    <w:rsid w:val="005C47D4"/>
    <w:rsid w:val="005D2248"/>
    <w:rsid w:val="005D51D0"/>
    <w:rsid w:val="005D6F83"/>
    <w:rsid w:val="005D7877"/>
    <w:rsid w:val="005D7B5B"/>
    <w:rsid w:val="005D7CCF"/>
    <w:rsid w:val="005E04CF"/>
    <w:rsid w:val="005E58C4"/>
    <w:rsid w:val="005E5D8F"/>
    <w:rsid w:val="005F5698"/>
    <w:rsid w:val="005F5A5C"/>
    <w:rsid w:val="005F5CD9"/>
    <w:rsid w:val="00602664"/>
    <w:rsid w:val="00606629"/>
    <w:rsid w:val="0061135C"/>
    <w:rsid w:val="006136DD"/>
    <w:rsid w:val="006149F0"/>
    <w:rsid w:val="00617691"/>
    <w:rsid w:val="006220A5"/>
    <w:rsid w:val="006227BC"/>
    <w:rsid w:val="00622D86"/>
    <w:rsid w:val="00624AC8"/>
    <w:rsid w:val="006262CF"/>
    <w:rsid w:val="006262FE"/>
    <w:rsid w:val="00633812"/>
    <w:rsid w:val="00633C60"/>
    <w:rsid w:val="0063425B"/>
    <w:rsid w:val="0064126D"/>
    <w:rsid w:val="00641D31"/>
    <w:rsid w:val="00643173"/>
    <w:rsid w:val="006451B8"/>
    <w:rsid w:val="00645722"/>
    <w:rsid w:val="006459F7"/>
    <w:rsid w:val="0064672D"/>
    <w:rsid w:val="006509C3"/>
    <w:rsid w:val="00652432"/>
    <w:rsid w:val="00657840"/>
    <w:rsid w:val="0066003C"/>
    <w:rsid w:val="0066041E"/>
    <w:rsid w:val="006619BB"/>
    <w:rsid w:val="00664A16"/>
    <w:rsid w:val="00665596"/>
    <w:rsid w:val="00671672"/>
    <w:rsid w:val="00673005"/>
    <w:rsid w:val="00673CCC"/>
    <w:rsid w:val="00675C98"/>
    <w:rsid w:val="006839BC"/>
    <w:rsid w:val="0069026B"/>
    <w:rsid w:val="006956EA"/>
    <w:rsid w:val="00696DCC"/>
    <w:rsid w:val="006A0D82"/>
    <w:rsid w:val="006A490C"/>
    <w:rsid w:val="006A5881"/>
    <w:rsid w:val="006A766E"/>
    <w:rsid w:val="006B4F7D"/>
    <w:rsid w:val="006B56A7"/>
    <w:rsid w:val="006B63B1"/>
    <w:rsid w:val="006B71E5"/>
    <w:rsid w:val="006C114C"/>
    <w:rsid w:val="006C1B16"/>
    <w:rsid w:val="006C3668"/>
    <w:rsid w:val="006C3864"/>
    <w:rsid w:val="006C5383"/>
    <w:rsid w:val="006C5E72"/>
    <w:rsid w:val="006D07C2"/>
    <w:rsid w:val="006D0FCE"/>
    <w:rsid w:val="006D2AEC"/>
    <w:rsid w:val="006D438F"/>
    <w:rsid w:val="006D4B1C"/>
    <w:rsid w:val="006D4C8E"/>
    <w:rsid w:val="006E19D1"/>
    <w:rsid w:val="006E1CBB"/>
    <w:rsid w:val="006E467C"/>
    <w:rsid w:val="006E4B27"/>
    <w:rsid w:val="006E5E7E"/>
    <w:rsid w:val="006F100B"/>
    <w:rsid w:val="006F239A"/>
    <w:rsid w:val="006F2C9D"/>
    <w:rsid w:val="006F4201"/>
    <w:rsid w:val="006F6B51"/>
    <w:rsid w:val="007048DB"/>
    <w:rsid w:val="00705C64"/>
    <w:rsid w:val="0070637D"/>
    <w:rsid w:val="007071DD"/>
    <w:rsid w:val="0070771F"/>
    <w:rsid w:val="00712A14"/>
    <w:rsid w:val="00713208"/>
    <w:rsid w:val="00716C04"/>
    <w:rsid w:val="00717180"/>
    <w:rsid w:val="007179D2"/>
    <w:rsid w:val="00720750"/>
    <w:rsid w:val="0072549C"/>
    <w:rsid w:val="00725A80"/>
    <w:rsid w:val="00726E61"/>
    <w:rsid w:val="0073102A"/>
    <w:rsid w:val="00733970"/>
    <w:rsid w:val="007375FE"/>
    <w:rsid w:val="0074148C"/>
    <w:rsid w:val="00741D0B"/>
    <w:rsid w:val="00751CB7"/>
    <w:rsid w:val="0075405C"/>
    <w:rsid w:val="00754C58"/>
    <w:rsid w:val="00766334"/>
    <w:rsid w:val="00766EDB"/>
    <w:rsid w:val="0077436E"/>
    <w:rsid w:val="00776E78"/>
    <w:rsid w:val="0078138A"/>
    <w:rsid w:val="00783014"/>
    <w:rsid w:val="007834DC"/>
    <w:rsid w:val="007901A8"/>
    <w:rsid w:val="00790768"/>
    <w:rsid w:val="007959D8"/>
    <w:rsid w:val="0079630F"/>
    <w:rsid w:val="00796D50"/>
    <w:rsid w:val="007A04C2"/>
    <w:rsid w:val="007A4188"/>
    <w:rsid w:val="007A4238"/>
    <w:rsid w:val="007A47D0"/>
    <w:rsid w:val="007B146A"/>
    <w:rsid w:val="007B21FE"/>
    <w:rsid w:val="007B28BE"/>
    <w:rsid w:val="007B57C9"/>
    <w:rsid w:val="007B5DCB"/>
    <w:rsid w:val="007C057E"/>
    <w:rsid w:val="007C0E7C"/>
    <w:rsid w:val="007C0EAA"/>
    <w:rsid w:val="007C179C"/>
    <w:rsid w:val="007C19C3"/>
    <w:rsid w:val="007C4069"/>
    <w:rsid w:val="007C44B2"/>
    <w:rsid w:val="007C54EE"/>
    <w:rsid w:val="007C6496"/>
    <w:rsid w:val="007C745E"/>
    <w:rsid w:val="007D0ABE"/>
    <w:rsid w:val="007D5D19"/>
    <w:rsid w:val="007D78D6"/>
    <w:rsid w:val="007E0E53"/>
    <w:rsid w:val="007E319A"/>
    <w:rsid w:val="007E356F"/>
    <w:rsid w:val="007E3F8C"/>
    <w:rsid w:val="007E4CDC"/>
    <w:rsid w:val="007E5142"/>
    <w:rsid w:val="007F2058"/>
    <w:rsid w:val="007F22BA"/>
    <w:rsid w:val="007F41A3"/>
    <w:rsid w:val="007F7685"/>
    <w:rsid w:val="0080011D"/>
    <w:rsid w:val="00800EA5"/>
    <w:rsid w:val="00801C01"/>
    <w:rsid w:val="008112CC"/>
    <w:rsid w:val="008130BB"/>
    <w:rsid w:val="00813D7D"/>
    <w:rsid w:val="008147C6"/>
    <w:rsid w:val="00816E26"/>
    <w:rsid w:val="00817406"/>
    <w:rsid w:val="008208A7"/>
    <w:rsid w:val="008237FA"/>
    <w:rsid w:val="00824771"/>
    <w:rsid w:val="00825D37"/>
    <w:rsid w:val="00833927"/>
    <w:rsid w:val="008369B0"/>
    <w:rsid w:val="008372D1"/>
    <w:rsid w:val="00837B59"/>
    <w:rsid w:val="00841E8C"/>
    <w:rsid w:val="00842172"/>
    <w:rsid w:val="00845C01"/>
    <w:rsid w:val="00845C1E"/>
    <w:rsid w:val="00850EA0"/>
    <w:rsid w:val="00851579"/>
    <w:rsid w:val="008548D4"/>
    <w:rsid w:val="0085732C"/>
    <w:rsid w:val="00857C91"/>
    <w:rsid w:val="00860B45"/>
    <w:rsid w:val="00861959"/>
    <w:rsid w:val="00861F68"/>
    <w:rsid w:val="00863860"/>
    <w:rsid w:val="008638B5"/>
    <w:rsid w:val="00866B47"/>
    <w:rsid w:val="008734DB"/>
    <w:rsid w:val="0087390B"/>
    <w:rsid w:val="00874035"/>
    <w:rsid w:val="008745A1"/>
    <w:rsid w:val="00875A5E"/>
    <w:rsid w:val="008768E9"/>
    <w:rsid w:val="0087751B"/>
    <w:rsid w:val="00881A32"/>
    <w:rsid w:val="00890995"/>
    <w:rsid w:val="008914FB"/>
    <w:rsid w:val="00892516"/>
    <w:rsid w:val="00892EED"/>
    <w:rsid w:val="0089737A"/>
    <w:rsid w:val="00897E99"/>
    <w:rsid w:val="00897F60"/>
    <w:rsid w:val="008A4829"/>
    <w:rsid w:val="008A4FA6"/>
    <w:rsid w:val="008B2384"/>
    <w:rsid w:val="008B38D6"/>
    <w:rsid w:val="008B4802"/>
    <w:rsid w:val="008B545D"/>
    <w:rsid w:val="008B5CED"/>
    <w:rsid w:val="008B5DF7"/>
    <w:rsid w:val="008B69E3"/>
    <w:rsid w:val="008C1FD1"/>
    <w:rsid w:val="008C24A8"/>
    <w:rsid w:val="008C35EF"/>
    <w:rsid w:val="008C3664"/>
    <w:rsid w:val="008C36B8"/>
    <w:rsid w:val="008C506A"/>
    <w:rsid w:val="008C5996"/>
    <w:rsid w:val="008D4FA9"/>
    <w:rsid w:val="008D5A11"/>
    <w:rsid w:val="008D5E23"/>
    <w:rsid w:val="008D77AF"/>
    <w:rsid w:val="008E6D59"/>
    <w:rsid w:val="008F1513"/>
    <w:rsid w:val="008F30C7"/>
    <w:rsid w:val="008F4527"/>
    <w:rsid w:val="008F5D66"/>
    <w:rsid w:val="008F5FB9"/>
    <w:rsid w:val="00901A31"/>
    <w:rsid w:val="00901D5B"/>
    <w:rsid w:val="009028AA"/>
    <w:rsid w:val="00903E3F"/>
    <w:rsid w:val="009049C3"/>
    <w:rsid w:val="00904AB8"/>
    <w:rsid w:val="009057D9"/>
    <w:rsid w:val="00906BF7"/>
    <w:rsid w:val="0090774A"/>
    <w:rsid w:val="00907C97"/>
    <w:rsid w:val="00910D07"/>
    <w:rsid w:val="00914B2F"/>
    <w:rsid w:val="009150E6"/>
    <w:rsid w:val="00915DCE"/>
    <w:rsid w:val="00916290"/>
    <w:rsid w:val="00916F37"/>
    <w:rsid w:val="00917F89"/>
    <w:rsid w:val="00920EFD"/>
    <w:rsid w:val="009223BE"/>
    <w:rsid w:val="0092499B"/>
    <w:rsid w:val="009255EE"/>
    <w:rsid w:val="00925603"/>
    <w:rsid w:val="00925F76"/>
    <w:rsid w:val="00925FCE"/>
    <w:rsid w:val="00926ABA"/>
    <w:rsid w:val="00930C28"/>
    <w:rsid w:val="00931BC6"/>
    <w:rsid w:val="0093297A"/>
    <w:rsid w:val="00932A61"/>
    <w:rsid w:val="00932E89"/>
    <w:rsid w:val="0093359D"/>
    <w:rsid w:val="00933F2B"/>
    <w:rsid w:val="00935F04"/>
    <w:rsid w:val="00942EEB"/>
    <w:rsid w:val="0094468E"/>
    <w:rsid w:val="00944B6E"/>
    <w:rsid w:val="00945261"/>
    <w:rsid w:val="00947377"/>
    <w:rsid w:val="009506A5"/>
    <w:rsid w:val="00951452"/>
    <w:rsid w:val="009541CC"/>
    <w:rsid w:val="00956564"/>
    <w:rsid w:val="009567A6"/>
    <w:rsid w:val="00956D5A"/>
    <w:rsid w:val="00961B2C"/>
    <w:rsid w:val="00961DBB"/>
    <w:rsid w:val="00963D2B"/>
    <w:rsid w:val="0096618E"/>
    <w:rsid w:val="00970736"/>
    <w:rsid w:val="009758AE"/>
    <w:rsid w:val="00981433"/>
    <w:rsid w:val="0098222F"/>
    <w:rsid w:val="0098244F"/>
    <w:rsid w:val="00983122"/>
    <w:rsid w:val="00983138"/>
    <w:rsid w:val="00985C07"/>
    <w:rsid w:val="00995B4F"/>
    <w:rsid w:val="00995FA3"/>
    <w:rsid w:val="00997582"/>
    <w:rsid w:val="009A22F8"/>
    <w:rsid w:val="009A2C21"/>
    <w:rsid w:val="009A3E58"/>
    <w:rsid w:val="009A5F02"/>
    <w:rsid w:val="009A662F"/>
    <w:rsid w:val="009A7AB1"/>
    <w:rsid w:val="009B2F9B"/>
    <w:rsid w:val="009B33D1"/>
    <w:rsid w:val="009B424D"/>
    <w:rsid w:val="009B6408"/>
    <w:rsid w:val="009B70E6"/>
    <w:rsid w:val="009B7B7E"/>
    <w:rsid w:val="009C6DAA"/>
    <w:rsid w:val="009D0E74"/>
    <w:rsid w:val="009D1A96"/>
    <w:rsid w:val="009D370B"/>
    <w:rsid w:val="009D7EE0"/>
    <w:rsid w:val="009E2087"/>
    <w:rsid w:val="009E252B"/>
    <w:rsid w:val="009E3265"/>
    <w:rsid w:val="009E3353"/>
    <w:rsid w:val="009E446D"/>
    <w:rsid w:val="009E7C09"/>
    <w:rsid w:val="009F02B9"/>
    <w:rsid w:val="009F146D"/>
    <w:rsid w:val="009F17E1"/>
    <w:rsid w:val="009F4F1E"/>
    <w:rsid w:val="009F5D6A"/>
    <w:rsid w:val="00A015E4"/>
    <w:rsid w:val="00A0452C"/>
    <w:rsid w:val="00A075BC"/>
    <w:rsid w:val="00A11222"/>
    <w:rsid w:val="00A12C39"/>
    <w:rsid w:val="00A134FB"/>
    <w:rsid w:val="00A162FE"/>
    <w:rsid w:val="00A1741B"/>
    <w:rsid w:val="00A20802"/>
    <w:rsid w:val="00A221F4"/>
    <w:rsid w:val="00A25B4F"/>
    <w:rsid w:val="00A261B3"/>
    <w:rsid w:val="00A27035"/>
    <w:rsid w:val="00A27E8B"/>
    <w:rsid w:val="00A30697"/>
    <w:rsid w:val="00A311CF"/>
    <w:rsid w:val="00A404CF"/>
    <w:rsid w:val="00A41C99"/>
    <w:rsid w:val="00A42E40"/>
    <w:rsid w:val="00A43A05"/>
    <w:rsid w:val="00A44089"/>
    <w:rsid w:val="00A442BF"/>
    <w:rsid w:val="00A47CF9"/>
    <w:rsid w:val="00A50BC1"/>
    <w:rsid w:val="00A517D0"/>
    <w:rsid w:val="00A51B96"/>
    <w:rsid w:val="00A53716"/>
    <w:rsid w:val="00A5629E"/>
    <w:rsid w:val="00A64832"/>
    <w:rsid w:val="00A669E2"/>
    <w:rsid w:val="00A732DB"/>
    <w:rsid w:val="00A75338"/>
    <w:rsid w:val="00A82926"/>
    <w:rsid w:val="00A83071"/>
    <w:rsid w:val="00A838D2"/>
    <w:rsid w:val="00A86F04"/>
    <w:rsid w:val="00A92C08"/>
    <w:rsid w:val="00A946C4"/>
    <w:rsid w:val="00AA4175"/>
    <w:rsid w:val="00AA478E"/>
    <w:rsid w:val="00AB137D"/>
    <w:rsid w:val="00AB2DAD"/>
    <w:rsid w:val="00AC01F8"/>
    <w:rsid w:val="00AC059A"/>
    <w:rsid w:val="00AC2E15"/>
    <w:rsid w:val="00AC3BE3"/>
    <w:rsid w:val="00AC41CF"/>
    <w:rsid w:val="00AC6EBE"/>
    <w:rsid w:val="00AD0308"/>
    <w:rsid w:val="00AD2F14"/>
    <w:rsid w:val="00AD377A"/>
    <w:rsid w:val="00AD67BB"/>
    <w:rsid w:val="00AE1CC1"/>
    <w:rsid w:val="00AE3EA4"/>
    <w:rsid w:val="00AE51FE"/>
    <w:rsid w:val="00AF1B02"/>
    <w:rsid w:val="00AF2F63"/>
    <w:rsid w:val="00AF37D6"/>
    <w:rsid w:val="00AF41E4"/>
    <w:rsid w:val="00AF568A"/>
    <w:rsid w:val="00AF60C1"/>
    <w:rsid w:val="00B0378F"/>
    <w:rsid w:val="00B05262"/>
    <w:rsid w:val="00B06A75"/>
    <w:rsid w:val="00B06BC3"/>
    <w:rsid w:val="00B15A0F"/>
    <w:rsid w:val="00B17FB2"/>
    <w:rsid w:val="00B20236"/>
    <w:rsid w:val="00B20937"/>
    <w:rsid w:val="00B220A0"/>
    <w:rsid w:val="00B22B64"/>
    <w:rsid w:val="00B22D72"/>
    <w:rsid w:val="00B22FEA"/>
    <w:rsid w:val="00B24321"/>
    <w:rsid w:val="00B30FEB"/>
    <w:rsid w:val="00B311BA"/>
    <w:rsid w:val="00B35B47"/>
    <w:rsid w:val="00B40AA3"/>
    <w:rsid w:val="00B43AF9"/>
    <w:rsid w:val="00B44478"/>
    <w:rsid w:val="00B4609C"/>
    <w:rsid w:val="00B508DA"/>
    <w:rsid w:val="00B538BA"/>
    <w:rsid w:val="00B565DA"/>
    <w:rsid w:val="00B6002C"/>
    <w:rsid w:val="00B620EE"/>
    <w:rsid w:val="00B67DE1"/>
    <w:rsid w:val="00B67FEB"/>
    <w:rsid w:val="00B717FF"/>
    <w:rsid w:val="00B80FB4"/>
    <w:rsid w:val="00B85366"/>
    <w:rsid w:val="00B87F60"/>
    <w:rsid w:val="00B9079B"/>
    <w:rsid w:val="00B93B5E"/>
    <w:rsid w:val="00B93D3D"/>
    <w:rsid w:val="00B95780"/>
    <w:rsid w:val="00B96341"/>
    <w:rsid w:val="00BA169A"/>
    <w:rsid w:val="00BA471F"/>
    <w:rsid w:val="00BB0B01"/>
    <w:rsid w:val="00BB4B74"/>
    <w:rsid w:val="00BB5013"/>
    <w:rsid w:val="00BB528E"/>
    <w:rsid w:val="00BB615A"/>
    <w:rsid w:val="00BB78CD"/>
    <w:rsid w:val="00BC108D"/>
    <w:rsid w:val="00BC11EC"/>
    <w:rsid w:val="00BC2600"/>
    <w:rsid w:val="00BC36F0"/>
    <w:rsid w:val="00BC3E99"/>
    <w:rsid w:val="00BC4FA7"/>
    <w:rsid w:val="00BC5E30"/>
    <w:rsid w:val="00BC7D47"/>
    <w:rsid w:val="00BD00ED"/>
    <w:rsid w:val="00BD02C5"/>
    <w:rsid w:val="00BD068D"/>
    <w:rsid w:val="00BE0D9A"/>
    <w:rsid w:val="00BE1A50"/>
    <w:rsid w:val="00BE1A63"/>
    <w:rsid w:val="00BE2F0D"/>
    <w:rsid w:val="00BE3E9E"/>
    <w:rsid w:val="00BE5E2E"/>
    <w:rsid w:val="00BF0BD5"/>
    <w:rsid w:val="00BF0D35"/>
    <w:rsid w:val="00BF55F8"/>
    <w:rsid w:val="00C000C6"/>
    <w:rsid w:val="00C03742"/>
    <w:rsid w:val="00C051FD"/>
    <w:rsid w:val="00C05830"/>
    <w:rsid w:val="00C11E38"/>
    <w:rsid w:val="00C15FD2"/>
    <w:rsid w:val="00C1744F"/>
    <w:rsid w:val="00C20C7D"/>
    <w:rsid w:val="00C20DEF"/>
    <w:rsid w:val="00C248C9"/>
    <w:rsid w:val="00C24B25"/>
    <w:rsid w:val="00C24CC2"/>
    <w:rsid w:val="00C24E89"/>
    <w:rsid w:val="00C32C2F"/>
    <w:rsid w:val="00C3738A"/>
    <w:rsid w:val="00C40859"/>
    <w:rsid w:val="00C429B5"/>
    <w:rsid w:val="00C4315A"/>
    <w:rsid w:val="00C43F5E"/>
    <w:rsid w:val="00C44074"/>
    <w:rsid w:val="00C4478E"/>
    <w:rsid w:val="00C44D85"/>
    <w:rsid w:val="00C4651F"/>
    <w:rsid w:val="00C5104A"/>
    <w:rsid w:val="00C51D0B"/>
    <w:rsid w:val="00C52207"/>
    <w:rsid w:val="00C52A50"/>
    <w:rsid w:val="00C556E8"/>
    <w:rsid w:val="00C61628"/>
    <w:rsid w:val="00C642D4"/>
    <w:rsid w:val="00C66AF6"/>
    <w:rsid w:val="00C730F4"/>
    <w:rsid w:val="00C74311"/>
    <w:rsid w:val="00C75BF3"/>
    <w:rsid w:val="00C80200"/>
    <w:rsid w:val="00C80E0A"/>
    <w:rsid w:val="00C8270B"/>
    <w:rsid w:val="00C841A9"/>
    <w:rsid w:val="00C8728F"/>
    <w:rsid w:val="00C91D48"/>
    <w:rsid w:val="00C975E8"/>
    <w:rsid w:val="00C97FBC"/>
    <w:rsid w:val="00CA06C8"/>
    <w:rsid w:val="00CA0B7E"/>
    <w:rsid w:val="00CA37B6"/>
    <w:rsid w:val="00CA4C28"/>
    <w:rsid w:val="00CA4E33"/>
    <w:rsid w:val="00CA5598"/>
    <w:rsid w:val="00CA5EF8"/>
    <w:rsid w:val="00CA7E91"/>
    <w:rsid w:val="00CB28A3"/>
    <w:rsid w:val="00CB3134"/>
    <w:rsid w:val="00CB59B4"/>
    <w:rsid w:val="00CB73EC"/>
    <w:rsid w:val="00CC00A0"/>
    <w:rsid w:val="00CC0FED"/>
    <w:rsid w:val="00CC3C34"/>
    <w:rsid w:val="00CC3F9F"/>
    <w:rsid w:val="00CC4FEB"/>
    <w:rsid w:val="00CC5455"/>
    <w:rsid w:val="00CC6C06"/>
    <w:rsid w:val="00CD1526"/>
    <w:rsid w:val="00CD1546"/>
    <w:rsid w:val="00CD2807"/>
    <w:rsid w:val="00CD5509"/>
    <w:rsid w:val="00CE0215"/>
    <w:rsid w:val="00CE1EB0"/>
    <w:rsid w:val="00CE3333"/>
    <w:rsid w:val="00CE3DF2"/>
    <w:rsid w:val="00CF04D5"/>
    <w:rsid w:val="00CF09A6"/>
    <w:rsid w:val="00CF0C0F"/>
    <w:rsid w:val="00CF1690"/>
    <w:rsid w:val="00CF1F2A"/>
    <w:rsid w:val="00CF5CE3"/>
    <w:rsid w:val="00CF6489"/>
    <w:rsid w:val="00CF7412"/>
    <w:rsid w:val="00D014E1"/>
    <w:rsid w:val="00D02B1E"/>
    <w:rsid w:val="00D030F8"/>
    <w:rsid w:val="00D077B7"/>
    <w:rsid w:val="00D20297"/>
    <w:rsid w:val="00D21E43"/>
    <w:rsid w:val="00D21E6B"/>
    <w:rsid w:val="00D2336A"/>
    <w:rsid w:val="00D23634"/>
    <w:rsid w:val="00D34551"/>
    <w:rsid w:val="00D36D27"/>
    <w:rsid w:val="00D41664"/>
    <w:rsid w:val="00D4569D"/>
    <w:rsid w:val="00D457D6"/>
    <w:rsid w:val="00D55013"/>
    <w:rsid w:val="00D64CE2"/>
    <w:rsid w:val="00D661D4"/>
    <w:rsid w:val="00D674A5"/>
    <w:rsid w:val="00D702E1"/>
    <w:rsid w:val="00D719B9"/>
    <w:rsid w:val="00D7270F"/>
    <w:rsid w:val="00D7596A"/>
    <w:rsid w:val="00D7751B"/>
    <w:rsid w:val="00D815DC"/>
    <w:rsid w:val="00D822B5"/>
    <w:rsid w:val="00D836B8"/>
    <w:rsid w:val="00D83D3C"/>
    <w:rsid w:val="00D84451"/>
    <w:rsid w:val="00D85C95"/>
    <w:rsid w:val="00D867AE"/>
    <w:rsid w:val="00D87BBB"/>
    <w:rsid w:val="00D87C87"/>
    <w:rsid w:val="00D921C4"/>
    <w:rsid w:val="00D9296A"/>
    <w:rsid w:val="00D93C23"/>
    <w:rsid w:val="00D95638"/>
    <w:rsid w:val="00D9584C"/>
    <w:rsid w:val="00D97180"/>
    <w:rsid w:val="00D97957"/>
    <w:rsid w:val="00D97C79"/>
    <w:rsid w:val="00DA14D9"/>
    <w:rsid w:val="00DA7588"/>
    <w:rsid w:val="00DB13AD"/>
    <w:rsid w:val="00DB23F9"/>
    <w:rsid w:val="00DB2819"/>
    <w:rsid w:val="00DB58BE"/>
    <w:rsid w:val="00DB602E"/>
    <w:rsid w:val="00DB6176"/>
    <w:rsid w:val="00DB6A08"/>
    <w:rsid w:val="00DB6AA0"/>
    <w:rsid w:val="00DB7C3A"/>
    <w:rsid w:val="00DD14EE"/>
    <w:rsid w:val="00DD32AB"/>
    <w:rsid w:val="00DD5BF6"/>
    <w:rsid w:val="00DD64DC"/>
    <w:rsid w:val="00DE1865"/>
    <w:rsid w:val="00DE5B7F"/>
    <w:rsid w:val="00DE6CEF"/>
    <w:rsid w:val="00DF11C2"/>
    <w:rsid w:val="00DF2134"/>
    <w:rsid w:val="00DF4593"/>
    <w:rsid w:val="00DF64E0"/>
    <w:rsid w:val="00DF65BA"/>
    <w:rsid w:val="00E10D05"/>
    <w:rsid w:val="00E143C4"/>
    <w:rsid w:val="00E2223E"/>
    <w:rsid w:val="00E22D98"/>
    <w:rsid w:val="00E24623"/>
    <w:rsid w:val="00E252E3"/>
    <w:rsid w:val="00E25B1B"/>
    <w:rsid w:val="00E345A3"/>
    <w:rsid w:val="00E34F78"/>
    <w:rsid w:val="00E378A9"/>
    <w:rsid w:val="00E40505"/>
    <w:rsid w:val="00E42A41"/>
    <w:rsid w:val="00E45766"/>
    <w:rsid w:val="00E45AC5"/>
    <w:rsid w:val="00E5625E"/>
    <w:rsid w:val="00E567E5"/>
    <w:rsid w:val="00E56F1E"/>
    <w:rsid w:val="00E64480"/>
    <w:rsid w:val="00E65807"/>
    <w:rsid w:val="00E66103"/>
    <w:rsid w:val="00E6708B"/>
    <w:rsid w:val="00E73A8C"/>
    <w:rsid w:val="00E74270"/>
    <w:rsid w:val="00E75050"/>
    <w:rsid w:val="00E75D5E"/>
    <w:rsid w:val="00E76F42"/>
    <w:rsid w:val="00E77D6D"/>
    <w:rsid w:val="00E915E6"/>
    <w:rsid w:val="00E92E40"/>
    <w:rsid w:val="00E92EEE"/>
    <w:rsid w:val="00EA1AD9"/>
    <w:rsid w:val="00EA2763"/>
    <w:rsid w:val="00EA2D06"/>
    <w:rsid w:val="00EA2F5C"/>
    <w:rsid w:val="00EA3E11"/>
    <w:rsid w:val="00EA5EB1"/>
    <w:rsid w:val="00EA622C"/>
    <w:rsid w:val="00EA6EB3"/>
    <w:rsid w:val="00EB4A8E"/>
    <w:rsid w:val="00EB5EF3"/>
    <w:rsid w:val="00EB62F7"/>
    <w:rsid w:val="00EB664D"/>
    <w:rsid w:val="00EB695D"/>
    <w:rsid w:val="00EB6D60"/>
    <w:rsid w:val="00EB7763"/>
    <w:rsid w:val="00EB7C6D"/>
    <w:rsid w:val="00EC38F3"/>
    <w:rsid w:val="00EC4241"/>
    <w:rsid w:val="00ED0404"/>
    <w:rsid w:val="00ED1407"/>
    <w:rsid w:val="00ED39CE"/>
    <w:rsid w:val="00ED4134"/>
    <w:rsid w:val="00ED7A9F"/>
    <w:rsid w:val="00EE05F1"/>
    <w:rsid w:val="00EE1050"/>
    <w:rsid w:val="00EE1B0F"/>
    <w:rsid w:val="00EE3226"/>
    <w:rsid w:val="00EE471A"/>
    <w:rsid w:val="00EE5492"/>
    <w:rsid w:val="00EE583A"/>
    <w:rsid w:val="00EE69D2"/>
    <w:rsid w:val="00EF0A00"/>
    <w:rsid w:val="00EF28A6"/>
    <w:rsid w:val="00EF3F91"/>
    <w:rsid w:val="00EF7395"/>
    <w:rsid w:val="00F0183C"/>
    <w:rsid w:val="00F0379D"/>
    <w:rsid w:val="00F03C79"/>
    <w:rsid w:val="00F077A8"/>
    <w:rsid w:val="00F07BD5"/>
    <w:rsid w:val="00F122D6"/>
    <w:rsid w:val="00F147EA"/>
    <w:rsid w:val="00F15BF4"/>
    <w:rsid w:val="00F1713B"/>
    <w:rsid w:val="00F171E0"/>
    <w:rsid w:val="00F17940"/>
    <w:rsid w:val="00F17DC0"/>
    <w:rsid w:val="00F2046C"/>
    <w:rsid w:val="00F20647"/>
    <w:rsid w:val="00F207FC"/>
    <w:rsid w:val="00F274DB"/>
    <w:rsid w:val="00F31392"/>
    <w:rsid w:val="00F348B5"/>
    <w:rsid w:val="00F3652B"/>
    <w:rsid w:val="00F36D95"/>
    <w:rsid w:val="00F377B9"/>
    <w:rsid w:val="00F45442"/>
    <w:rsid w:val="00F5145E"/>
    <w:rsid w:val="00F554DB"/>
    <w:rsid w:val="00F558EA"/>
    <w:rsid w:val="00F5681C"/>
    <w:rsid w:val="00F57CA2"/>
    <w:rsid w:val="00F6045D"/>
    <w:rsid w:val="00F613CB"/>
    <w:rsid w:val="00F61F79"/>
    <w:rsid w:val="00F651DD"/>
    <w:rsid w:val="00F656A4"/>
    <w:rsid w:val="00F6665E"/>
    <w:rsid w:val="00F7075F"/>
    <w:rsid w:val="00F71D76"/>
    <w:rsid w:val="00F7586D"/>
    <w:rsid w:val="00F77FEA"/>
    <w:rsid w:val="00F80108"/>
    <w:rsid w:val="00F8349F"/>
    <w:rsid w:val="00F83FB7"/>
    <w:rsid w:val="00F85935"/>
    <w:rsid w:val="00F85D29"/>
    <w:rsid w:val="00F91A0D"/>
    <w:rsid w:val="00F969D3"/>
    <w:rsid w:val="00F9789E"/>
    <w:rsid w:val="00FA190E"/>
    <w:rsid w:val="00FA54D8"/>
    <w:rsid w:val="00FB460E"/>
    <w:rsid w:val="00FB51F2"/>
    <w:rsid w:val="00FB6106"/>
    <w:rsid w:val="00FC4FB7"/>
    <w:rsid w:val="00FC5E1B"/>
    <w:rsid w:val="00FC65E5"/>
    <w:rsid w:val="00FC6998"/>
    <w:rsid w:val="00FD1EE0"/>
    <w:rsid w:val="00FD357B"/>
    <w:rsid w:val="00FD38FC"/>
    <w:rsid w:val="00FD6119"/>
    <w:rsid w:val="00FD688E"/>
    <w:rsid w:val="00FD7C0C"/>
    <w:rsid w:val="00FE045C"/>
    <w:rsid w:val="00FE0C52"/>
    <w:rsid w:val="00FE1212"/>
    <w:rsid w:val="00FE1692"/>
    <w:rsid w:val="00FE3069"/>
    <w:rsid w:val="00FE3B13"/>
    <w:rsid w:val="00FF0566"/>
    <w:rsid w:val="00FF15F5"/>
    <w:rsid w:val="00FF1E2C"/>
    <w:rsid w:val="00FF6218"/>
    <w:rsid w:val="00FF7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FBFCB"/>
  <w15:docId w15:val="{89071ED5-2293-4834-AF65-087C75C1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qFormat="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qFormat="1"/>
    <w:lsdException w:name="Intense Reference" w:semiHidden="1" w:qFormat="1"/>
    <w:lsdException w:name="Book Title" w:semiHidden="1"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C6"/>
    <w:pPr>
      <w:spacing w:after="120" w:line="300" w:lineRule="atLeast"/>
    </w:pPr>
    <w:rPr>
      <w:spacing w:val="-1"/>
    </w:rPr>
  </w:style>
  <w:style w:type="paragraph" w:styleId="Heading1">
    <w:name w:val="heading 1"/>
    <w:basedOn w:val="Normal"/>
    <w:next w:val="Normal"/>
    <w:link w:val="Heading1Char"/>
    <w:uiPriority w:val="9"/>
    <w:qFormat/>
    <w:rsid w:val="009B33D1"/>
    <w:pPr>
      <w:keepNext/>
      <w:keepLines/>
      <w:spacing w:before="360" w:after="180"/>
      <w:outlineLvl w:val="0"/>
    </w:pPr>
    <w:rPr>
      <w:rFonts w:asciiTheme="majorHAnsi" w:eastAsiaTheme="majorEastAsia" w:hAnsiTheme="majorHAnsi" w:cstheme="majorBidi"/>
      <w:color w:val="3D4D7D" w:themeColor="background2"/>
      <w:sz w:val="32"/>
      <w:szCs w:val="32"/>
    </w:rPr>
  </w:style>
  <w:style w:type="paragraph" w:styleId="Heading2">
    <w:name w:val="heading 2"/>
    <w:basedOn w:val="Normal"/>
    <w:next w:val="Normal"/>
    <w:link w:val="Heading2Char"/>
    <w:uiPriority w:val="9"/>
    <w:qFormat/>
    <w:rsid w:val="009B33D1"/>
    <w:pPr>
      <w:keepNext/>
      <w:keepLines/>
      <w:spacing w:before="300"/>
      <w:outlineLvl w:val="1"/>
    </w:pPr>
    <w:rPr>
      <w:rFonts w:asciiTheme="majorHAnsi" w:eastAsiaTheme="majorEastAsia" w:hAnsiTheme="majorHAnsi" w:cstheme="majorBidi"/>
      <w:color w:val="3D4D7D" w:themeColor="background2"/>
      <w:sz w:val="30"/>
      <w:szCs w:val="26"/>
    </w:rPr>
  </w:style>
  <w:style w:type="paragraph" w:styleId="Heading3">
    <w:name w:val="heading 3"/>
    <w:basedOn w:val="Normal"/>
    <w:next w:val="Normal"/>
    <w:link w:val="Heading3Char"/>
    <w:uiPriority w:val="9"/>
    <w:qFormat/>
    <w:rsid w:val="009B33D1"/>
    <w:pPr>
      <w:keepNext/>
      <w:keepLines/>
      <w:spacing w:before="240"/>
      <w:outlineLvl w:val="2"/>
    </w:pPr>
    <w:rPr>
      <w:rFonts w:asciiTheme="majorHAnsi" w:eastAsiaTheme="majorEastAsia" w:hAnsiTheme="majorHAnsi" w:cstheme="majorBidi"/>
      <w:b/>
      <w:color w:val="3D4D7D" w:themeColor="background2"/>
      <w:sz w:val="24"/>
      <w:szCs w:val="24"/>
    </w:rPr>
  </w:style>
  <w:style w:type="paragraph" w:styleId="Heading4">
    <w:name w:val="heading 4"/>
    <w:basedOn w:val="Normal"/>
    <w:next w:val="Normal"/>
    <w:link w:val="Heading4Char"/>
    <w:uiPriority w:val="9"/>
    <w:unhideWhenUsed/>
    <w:qFormat/>
    <w:rsid w:val="00D674A5"/>
    <w:pPr>
      <w:keepNext/>
      <w:keepLines/>
      <w:spacing w:before="240"/>
      <w:outlineLvl w:val="3"/>
    </w:pPr>
    <w:rPr>
      <w:rFonts w:eastAsiaTheme="majorEastAsia" w:cstheme="majorBidi"/>
      <w:b/>
      <w:iCs/>
      <w:color w:val="auto"/>
    </w:rPr>
  </w:style>
  <w:style w:type="paragraph" w:styleId="Heading5">
    <w:name w:val="heading 5"/>
    <w:basedOn w:val="Normal"/>
    <w:next w:val="Normal"/>
    <w:link w:val="Heading5Char"/>
    <w:uiPriority w:val="9"/>
    <w:semiHidden/>
    <w:rsid w:val="00D674A5"/>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semiHidden/>
    <w:rsid w:val="00D674A5"/>
    <w:pPr>
      <w:keepNext/>
      <w:keepLines/>
      <w:outlineLvl w:val="5"/>
    </w:pPr>
    <w:rPr>
      <w:rFonts w:eastAsiaTheme="majorEastAsia" w:cstheme="majorBidi"/>
      <w:b/>
      <w:i/>
    </w:rPr>
  </w:style>
  <w:style w:type="paragraph" w:styleId="Heading7">
    <w:name w:val="heading 7"/>
    <w:basedOn w:val="Normal"/>
    <w:next w:val="Normal"/>
    <w:link w:val="Heading7Char"/>
    <w:uiPriority w:val="9"/>
    <w:semiHidden/>
    <w:rsid w:val="00D674A5"/>
    <w:pPr>
      <w:keepNext/>
      <w:keepLines/>
      <w:outlineLvl w:val="6"/>
    </w:pPr>
    <w:rPr>
      <w:rFonts w:eastAsiaTheme="majorEastAsia" w:cstheme="majorBidi"/>
      <w:i/>
      <w:iCs/>
    </w:rPr>
  </w:style>
  <w:style w:type="paragraph" w:styleId="Heading8">
    <w:name w:val="heading 8"/>
    <w:aliases w:val="Attachment Title"/>
    <w:basedOn w:val="Heading1"/>
    <w:next w:val="Normal"/>
    <w:link w:val="Heading8Char"/>
    <w:uiPriority w:val="9"/>
    <w:unhideWhenUsed/>
    <w:rsid w:val="009B33D1"/>
    <w:pPr>
      <w:numPr>
        <w:numId w:val="12"/>
      </w:numPr>
      <w:tabs>
        <w:tab w:val="left" w:pos="4536"/>
      </w:tabs>
      <w:spacing w:before="480" w:after="340"/>
      <w:outlineLvl w:val="7"/>
    </w:pPr>
    <w:rPr>
      <w:sz w:val="30"/>
    </w:rPr>
  </w:style>
  <w:style w:type="paragraph" w:styleId="Heading9">
    <w:name w:val="heading 9"/>
    <w:basedOn w:val="Normal"/>
    <w:next w:val="Normal"/>
    <w:link w:val="Heading9Char"/>
    <w:uiPriority w:val="9"/>
    <w:semiHidden/>
    <w:rsid w:val="00D674A5"/>
    <w:pPr>
      <w:keepNext/>
      <w:keepLines/>
      <w:numPr>
        <w:ilvl w:val="1"/>
        <w:numId w:val="13"/>
      </w:numPr>
      <w:tabs>
        <w:tab w:val="left" w:pos="1559"/>
        <w:tab w:val="left" w:pos="1843"/>
        <w:tab w:val="left" w:pos="2126"/>
        <w:tab w:val="left" w:pos="2410"/>
      </w:tabs>
      <w:spacing w:before="470" w:after="227"/>
      <w:outlineLvl w:val="8"/>
    </w:pPr>
    <w:rPr>
      <w:rFonts w:asciiTheme="majorHAnsi" w:hAnsiTheme="majorHAnsi"/>
      <w:color w:val="9778B4"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D674A5"/>
    <w:pPr>
      <w:spacing w:before="60"/>
    </w:pPr>
    <w:rPr>
      <w:sz w:val="18"/>
    </w:rPr>
  </w:style>
  <w:style w:type="character" w:customStyle="1" w:styleId="FootnoteTextChar">
    <w:name w:val="Footnote Text Char"/>
    <w:basedOn w:val="DefaultParagraphFont"/>
    <w:link w:val="FootnoteText"/>
    <w:uiPriority w:val="13"/>
    <w:rsid w:val="00D674A5"/>
    <w:rPr>
      <w:spacing w:val="-1"/>
      <w:sz w:val="18"/>
    </w:rPr>
  </w:style>
  <w:style w:type="character" w:styleId="FootnoteReference">
    <w:name w:val="footnote reference"/>
    <w:basedOn w:val="DefaultParagraphFont"/>
    <w:uiPriority w:val="39"/>
    <w:rsid w:val="00D674A5"/>
    <w:rPr>
      <w:vertAlign w:val="superscript"/>
    </w:rPr>
  </w:style>
  <w:style w:type="paragraph" w:customStyle="1" w:styleId="AppendixNumbered">
    <w:name w:val="Appendix Numbered"/>
    <w:basedOn w:val="Heading2"/>
    <w:uiPriority w:val="11"/>
    <w:qFormat/>
    <w:rsid w:val="00D674A5"/>
    <w:pPr>
      <w:numPr>
        <w:numId w:val="8"/>
      </w:numPr>
    </w:pPr>
  </w:style>
  <w:style w:type="character" w:customStyle="1" w:styleId="Heading1Char">
    <w:name w:val="Heading 1 Char"/>
    <w:basedOn w:val="DefaultParagraphFont"/>
    <w:link w:val="Heading1"/>
    <w:uiPriority w:val="9"/>
    <w:rsid w:val="009B33D1"/>
    <w:rPr>
      <w:rFonts w:asciiTheme="majorHAnsi" w:eastAsiaTheme="majorEastAsia" w:hAnsiTheme="majorHAnsi" w:cstheme="majorBidi"/>
      <w:color w:val="3D4D7D" w:themeColor="background2"/>
      <w:spacing w:val="-1"/>
      <w:sz w:val="32"/>
      <w:szCs w:val="32"/>
    </w:rPr>
  </w:style>
  <w:style w:type="character" w:customStyle="1" w:styleId="Heading2Char">
    <w:name w:val="Heading 2 Char"/>
    <w:basedOn w:val="DefaultParagraphFont"/>
    <w:link w:val="Heading2"/>
    <w:uiPriority w:val="9"/>
    <w:rsid w:val="009B33D1"/>
    <w:rPr>
      <w:rFonts w:asciiTheme="majorHAnsi" w:eastAsiaTheme="majorEastAsia" w:hAnsiTheme="majorHAnsi" w:cstheme="majorBidi"/>
      <w:color w:val="3D4D7D" w:themeColor="background2"/>
      <w:spacing w:val="-1"/>
      <w:sz w:val="30"/>
      <w:szCs w:val="26"/>
    </w:rPr>
  </w:style>
  <w:style w:type="character" w:customStyle="1" w:styleId="Heading3Char">
    <w:name w:val="Heading 3 Char"/>
    <w:basedOn w:val="DefaultParagraphFont"/>
    <w:link w:val="Heading3"/>
    <w:uiPriority w:val="9"/>
    <w:rsid w:val="009B33D1"/>
    <w:rPr>
      <w:rFonts w:asciiTheme="majorHAnsi" w:eastAsiaTheme="majorEastAsia" w:hAnsiTheme="majorHAnsi" w:cstheme="majorBidi"/>
      <w:b/>
      <w:color w:val="3D4D7D" w:themeColor="background2"/>
      <w:spacing w:val="-1"/>
      <w:sz w:val="24"/>
      <w:szCs w:val="24"/>
    </w:rPr>
  </w:style>
  <w:style w:type="character" w:customStyle="1" w:styleId="Heading4Char">
    <w:name w:val="Heading 4 Char"/>
    <w:basedOn w:val="DefaultParagraphFont"/>
    <w:link w:val="Heading4"/>
    <w:uiPriority w:val="9"/>
    <w:rsid w:val="00D674A5"/>
    <w:rPr>
      <w:rFonts w:eastAsiaTheme="majorEastAsia" w:cstheme="majorBidi"/>
      <w:b/>
      <w:iCs/>
      <w:color w:val="auto"/>
      <w:spacing w:val="-1"/>
    </w:rPr>
  </w:style>
  <w:style w:type="character" w:customStyle="1" w:styleId="Heading5Char">
    <w:name w:val="Heading 5 Char"/>
    <w:basedOn w:val="DefaultParagraphFont"/>
    <w:link w:val="Heading5"/>
    <w:uiPriority w:val="9"/>
    <w:semiHidden/>
    <w:rsid w:val="00D674A5"/>
    <w:rPr>
      <w:rFonts w:eastAsiaTheme="majorEastAsia" w:cstheme="majorBidi"/>
      <w:b/>
      <w:i/>
      <w:color w:val="auto"/>
      <w:spacing w:val="-1"/>
    </w:rPr>
  </w:style>
  <w:style w:type="character" w:customStyle="1" w:styleId="Heading6Char">
    <w:name w:val="Heading 6 Char"/>
    <w:basedOn w:val="DefaultParagraphFont"/>
    <w:link w:val="Heading6"/>
    <w:uiPriority w:val="9"/>
    <w:semiHidden/>
    <w:rsid w:val="00D674A5"/>
    <w:rPr>
      <w:rFonts w:eastAsiaTheme="majorEastAsia" w:cstheme="majorBidi"/>
      <w:b/>
      <w:i/>
      <w:spacing w:val="-1"/>
    </w:rPr>
  </w:style>
  <w:style w:type="character" w:customStyle="1" w:styleId="Heading7Char">
    <w:name w:val="Heading 7 Char"/>
    <w:basedOn w:val="DefaultParagraphFont"/>
    <w:link w:val="Heading7"/>
    <w:uiPriority w:val="9"/>
    <w:semiHidden/>
    <w:rsid w:val="00D674A5"/>
    <w:rPr>
      <w:rFonts w:eastAsiaTheme="majorEastAsia" w:cstheme="majorBidi"/>
      <w:i/>
      <w:iCs/>
      <w:spacing w:val="-1"/>
    </w:rPr>
  </w:style>
  <w:style w:type="character" w:customStyle="1" w:styleId="Heading8Char">
    <w:name w:val="Heading 8 Char"/>
    <w:aliases w:val="Attachment Title Char"/>
    <w:basedOn w:val="DefaultParagraphFont"/>
    <w:link w:val="Heading8"/>
    <w:uiPriority w:val="9"/>
    <w:rsid w:val="009B33D1"/>
    <w:rPr>
      <w:rFonts w:asciiTheme="majorHAnsi" w:eastAsiaTheme="majorEastAsia" w:hAnsiTheme="majorHAnsi" w:cstheme="majorBidi"/>
      <w:color w:val="3D4D7D" w:themeColor="background2"/>
      <w:spacing w:val="-1"/>
      <w:sz w:val="30"/>
      <w:szCs w:val="32"/>
    </w:rPr>
  </w:style>
  <w:style w:type="character" w:customStyle="1" w:styleId="Heading9Char">
    <w:name w:val="Heading 9 Char"/>
    <w:basedOn w:val="DefaultParagraphFont"/>
    <w:link w:val="Heading9"/>
    <w:uiPriority w:val="9"/>
    <w:semiHidden/>
    <w:rsid w:val="00D674A5"/>
    <w:rPr>
      <w:rFonts w:asciiTheme="majorHAnsi" w:hAnsiTheme="majorHAnsi"/>
      <w:color w:val="9778B4" w:themeColor="text2"/>
      <w:spacing w:val="-1"/>
      <w:sz w:val="32"/>
    </w:rPr>
  </w:style>
  <w:style w:type="numbering" w:customStyle="1" w:styleId="AppendixNumbers">
    <w:name w:val="Appendix Numbers"/>
    <w:uiPriority w:val="99"/>
    <w:rsid w:val="00D674A5"/>
    <w:pPr>
      <w:numPr>
        <w:numId w:val="1"/>
      </w:numPr>
    </w:pPr>
  </w:style>
  <w:style w:type="numbering" w:customStyle="1" w:styleId="AttachementsNumbered">
    <w:name w:val="Attachements Numbered"/>
    <w:uiPriority w:val="99"/>
    <w:rsid w:val="00D674A5"/>
    <w:pPr>
      <w:numPr>
        <w:numId w:val="2"/>
      </w:numPr>
    </w:pPr>
  </w:style>
  <w:style w:type="paragraph" w:customStyle="1" w:styleId="Box1Text">
    <w:name w:val="Box 1 Text"/>
    <w:basedOn w:val="Normal"/>
    <w:uiPriority w:val="13"/>
    <w:rsid w:val="00D674A5"/>
    <w:pPr>
      <w:pBdr>
        <w:top w:val="single" w:sz="4" w:space="14" w:color="D3D8E9" w:themeColor="background2" w:themeTint="33"/>
        <w:left w:val="single" w:sz="4" w:space="14" w:color="D3D8E9" w:themeColor="background2" w:themeTint="33"/>
        <w:bottom w:val="single" w:sz="4" w:space="14" w:color="D3D8E9" w:themeColor="background2" w:themeTint="33"/>
        <w:right w:val="single" w:sz="4" w:space="14" w:color="D3D8E9" w:themeColor="background2" w:themeTint="33"/>
      </w:pBdr>
      <w:shd w:val="clear" w:color="auto" w:fill="D3D8E9" w:themeFill="background2" w:themeFillTint="33"/>
      <w:ind w:left="284" w:right="284"/>
    </w:pPr>
  </w:style>
  <w:style w:type="paragraph" w:customStyle="1" w:styleId="Box1Bullet">
    <w:name w:val="Box 1 Bullet"/>
    <w:basedOn w:val="Box1Text"/>
    <w:uiPriority w:val="14"/>
    <w:rsid w:val="00D674A5"/>
    <w:pPr>
      <w:numPr>
        <w:numId w:val="9"/>
      </w:numPr>
    </w:pPr>
  </w:style>
  <w:style w:type="paragraph" w:styleId="Caption">
    <w:name w:val="caption"/>
    <w:basedOn w:val="Normal"/>
    <w:next w:val="Normal"/>
    <w:uiPriority w:val="13"/>
    <w:qFormat/>
    <w:rsid w:val="00D674A5"/>
    <w:pPr>
      <w:keepNext/>
      <w:keepLines/>
      <w:spacing w:before="360"/>
    </w:pPr>
    <w:rPr>
      <w:b/>
      <w:iCs/>
      <w:color w:val="3D4D7D" w:themeColor="background2"/>
      <w:szCs w:val="18"/>
    </w:rPr>
  </w:style>
  <w:style w:type="paragraph" w:styleId="Footer">
    <w:name w:val="footer"/>
    <w:basedOn w:val="Normal"/>
    <w:link w:val="FooterChar"/>
    <w:uiPriority w:val="99"/>
    <w:rsid w:val="00D674A5"/>
    <w:pPr>
      <w:tabs>
        <w:tab w:val="center" w:pos="4513"/>
        <w:tab w:val="right" w:pos="9026"/>
      </w:tabs>
      <w:spacing w:before="0"/>
    </w:pPr>
    <w:rPr>
      <w:sz w:val="16"/>
    </w:rPr>
  </w:style>
  <w:style w:type="character" w:customStyle="1" w:styleId="FooterChar">
    <w:name w:val="Footer Char"/>
    <w:basedOn w:val="DefaultParagraphFont"/>
    <w:link w:val="Footer"/>
    <w:uiPriority w:val="99"/>
    <w:rsid w:val="00D674A5"/>
    <w:rPr>
      <w:spacing w:val="-1"/>
      <w:sz w:val="16"/>
    </w:rPr>
  </w:style>
  <w:style w:type="paragraph" w:customStyle="1" w:styleId="Box1Heading">
    <w:name w:val="Box 1 Heading"/>
    <w:basedOn w:val="Box1Text"/>
    <w:uiPriority w:val="13"/>
    <w:rsid w:val="00D674A5"/>
    <w:rPr>
      <w:b/>
      <w:bCs/>
      <w:sz w:val="24"/>
      <w:szCs w:val="24"/>
    </w:rPr>
  </w:style>
  <w:style w:type="paragraph" w:customStyle="1" w:styleId="Box2Text">
    <w:name w:val="Box 2 Text"/>
    <w:basedOn w:val="Normal"/>
    <w:uiPriority w:val="14"/>
    <w:rsid w:val="00D674A5"/>
    <w:pPr>
      <w:pBdr>
        <w:top w:val="single" w:sz="4" w:space="14" w:color="3D4D7D" w:themeColor="background2"/>
        <w:left w:val="single" w:sz="4" w:space="14" w:color="3D4D7D" w:themeColor="background2"/>
        <w:bottom w:val="single" w:sz="4" w:space="14" w:color="3D4D7D" w:themeColor="background2"/>
        <w:right w:val="single" w:sz="4" w:space="14" w:color="3D4D7D" w:themeColor="background2"/>
      </w:pBdr>
      <w:ind w:left="284" w:right="284"/>
    </w:pPr>
  </w:style>
  <w:style w:type="paragraph" w:customStyle="1" w:styleId="Box2Bullet">
    <w:name w:val="Box 2 Bullet"/>
    <w:basedOn w:val="Box2Text"/>
    <w:uiPriority w:val="15"/>
    <w:rsid w:val="00D674A5"/>
    <w:pPr>
      <w:numPr>
        <w:ilvl w:val="1"/>
        <w:numId w:val="9"/>
      </w:numPr>
    </w:pPr>
  </w:style>
  <w:style w:type="paragraph" w:customStyle="1" w:styleId="Box2Heading">
    <w:name w:val="Box 2 Heading"/>
    <w:basedOn w:val="Box2Text"/>
    <w:uiPriority w:val="14"/>
    <w:rsid w:val="00D674A5"/>
    <w:rPr>
      <w:b/>
      <w:bCs/>
      <w:sz w:val="24"/>
      <w:szCs w:val="24"/>
    </w:rPr>
  </w:style>
  <w:style w:type="numbering" w:customStyle="1" w:styleId="BoxedBullets">
    <w:name w:val="Boxed Bullets"/>
    <w:uiPriority w:val="99"/>
    <w:rsid w:val="00D674A5"/>
    <w:pPr>
      <w:numPr>
        <w:numId w:val="3"/>
      </w:numPr>
    </w:pPr>
  </w:style>
  <w:style w:type="paragraph" w:styleId="Header">
    <w:name w:val="header"/>
    <w:basedOn w:val="Normal"/>
    <w:link w:val="HeaderChar"/>
    <w:uiPriority w:val="99"/>
    <w:rsid w:val="00D674A5"/>
    <w:pPr>
      <w:tabs>
        <w:tab w:val="center" w:pos="4513"/>
        <w:tab w:val="right" w:pos="9026"/>
      </w:tabs>
      <w:spacing w:before="0"/>
    </w:pPr>
    <w:rPr>
      <w:rFonts w:asciiTheme="majorHAnsi" w:hAnsiTheme="majorHAnsi"/>
      <w:sz w:val="16"/>
    </w:rPr>
  </w:style>
  <w:style w:type="character" w:customStyle="1" w:styleId="HeaderChar">
    <w:name w:val="Header Char"/>
    <w:basedOn w:val="DefaultParagraphFont"/>
    <w:link w:val="Header"/>
    <w:uiPriority w:val="99"/>
    <w:rsid w:val="00D674A5"/>
    <w:rPr>
      <w:rFonts w:asciiTheme="majorHAnsi" w:hAnsiTheme="majorHAnsi"/>
      <w:spacing w:val="-1"/>
      <w:sz w:val="16"/>
    </w:rPr>
  </w:style>
  <w:style w:type="paragraph" w:customStyle="1" w:styleId="Bullet1">
    <w:name w:val="Bullet 1"/>
    <w:basedOn w:val="Normal"/>
    <w:uiPriority w:val="2"/>
    <w:qFormat/>
    <w:rsid w:val="00AF37D6"/>
    <w:pPr>
      <w:numPr>
        <w:numId w:val="10"/>
      </w:numPr>
      <w:ind w:left="284"/>
    </w:pPr>
  </w:style>
  <w:style w:type="paragraph" w:customStyle="1" w:styleId="Bullet2">
    <w:name w:val="Bullet 2"/>
    <w:basedOn w:val="Normal"/>
    <w:uiPriority w:val="2"/>
    <w:qFormat/>
    <w:rsid w:val="00673005"/>
    <w:pPr>
      <w:numPr>
        <w:ilvl w:val="1"/>
        <w:numId w:val="10"/>
      </w:numPr>
      <w:ind w:left="568"/>
    </w:pPr>
  </w:style>
  <w:style w:type="paragraph" w:customStyle="1" w:styleId="Bullet3">
    <w:name w:val="Bullet 3"/>
    <w:basedOn w:val="Normal"/>
    <w:uiPriority w:val="2"/>
    <w:qFormat/>
    <w:rsid w:val="00201EAE"/>
    <w:pPr>
      <w:numPr>
        <w:numId w:val="20"/>
      </w:numPr>
      <w:spacing w:before="70"/>
      <w:ind w:left="851" w:hanging="284"/>
    </w:pPr>
  </w:style>
  <w:style w:type="paragraph" w:styleId="ListContinue">
    <w:name w:val="List Continue"/>
    <w:basedOn w:val="Normal"/>
    <w:uiPriority w:val="99"/>
    <w:semiHidden/>
    <w:qFormat/>
    <w:rsid w:val="00D674A5"/>
    <w:pPr>
      <w:spacing w:before="220" w:after="220"/>
      <w:ind w:left="340"/>
    </w:pPr>
  </w:style>
  <w:style w:type="paragraph" w:styleId="ListContinue2">
    <w:name w:val="List Continue 2"/>
    <w:basedOn w:val="Normal"/>
    <w:uiPriority w:val="99"/>
    <w:semiHidden/>
    <w:qFormat/>
    <w:rsid w:val="00D674A5"/>
    <w:pPr>
      <w:spacing w:before="220" w:after="220"/>
      <w:ind w:left="680"/>
    </w:pPr>
  </w:style>
  <w:style w:type="numbering" w:customStyle="1" w:styleId="DefaultBullets">
    <w:name w:val="Default Bullets"/>
    <w:uiPriority w:val="99"/>
    <w:rsid w:val="00D674A5"/>
    <w:pPr>
      <w:numPr>
        <w:numId w:val="4"/>
      </w:numPr>
    </w:pPr>
  </w:style>
  <w:style w:type="character" w:styleId="Emphasis">
    <w:name w:val="Emphasis"/>
    <w:basedOn w:val="DefaultParagraphFont"/>
    <w:uiPriority w:val="33"/>
    <w:semiHidden/>
    <w:rsid w:val="00D674A5"/>
    <w:rPr>
      <w:i/>
      <w:iCs/>
    </w:rPr>
  </w:style>
  <w:style w:type="table" w:styleId="GridTable5Dark-Accent1">
    <w:name w:val="Grid Table 5 Dark Accent 1"/>
    <w:basedOn w:val="TableNormal"/>
    <w:uiPriority w:val="50"/>
    <w:rsid w:val="00D674A5"/>
    <w:pPr>
      <w:spacing w:after="0"/>
    </w:pPr>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paragraph" w:customStyle="1" w:styleId="Heading1Numbered">
    <w:name w:val="Heading 1 Numbered"/>
    <w:basedOn w:val="Heading1"/>
    <w:uiPriority w:val="10"/>
    <w:qFormat/>
    <w:rsid w:val="00D674A5"/>
    <w:pPr>
      <w:numPr>
        <w:numId w:val="17"/>
      </w:numPr>
    </w:pPr>
  </w:style>
  <w:style w:type="paragraph" w:styleId="NoSpacing">
    <w:name w:val="No Spacing"/>
    <w:uiPriority w:val="4"/>
    <w:rsid w:val="00D674A5"/>
    <w:pPr>
      <w:spacing w:after="120"/>
      <w:contextualSpacing/>
    </w:pPr>
    <w:rPr>
      <w:sz w:val="20"/>
      <w:szCs w:val="20"/>
    </w:rPr>
  </w:style>
  <w:style w:type="paragraph" w:customStyle="1" w:styleId="Heading2Numbered">
    <w:name w:val="Heading 2 Numbered"/>
    <w:basedOn w:val="Heading2"/>
    <w:uiPriority w:val="10"/>
    <w:qFormat/>
    <w:rsid w:val="00D674A5"/>
    <w:pPr>
      <w:numPr>
        <w:ilvl w:val="1"/>
        <w:numId w:val="17"/>
      </w:numPr>
    </w:pPr>
  </w:style>
  <w:style w:type="paragraph" w:customStyle="1" w:styleId="Heading3Numbered">
    <w:name w:val="Heading 3 Numbered"/>
    <w:basedOn w:val="Heading3"/>
    <w:uiPriority w:val="10"/>
    <w:qFormat/>
    <w:rsid w:val="00D674A5"/>
    <w:pPr>
      <w:numPr>
        <w:ilvl w:val="2"/>
        <w:numId w:val="17"/>
      </w:numPr>
    </w:pPr>
  </w:style>
  <w:style w:type="character" w:styleId="IntenseEmphasis">
    <w:name w:val="Intense Emphasis"/>
    <w:basedOn w:val="DefaultParagraphFont"/>
    <w:uiPriority w:val="33"/>
    <w:semiHidden/>
    <w:rsid w:val="00D674A5"/>
    <w:rPr>
      <w:b/>
      <w:i/>
      <w:iCs/>
      <w:color w:val="000000" w:themeColor="text1"/>
    </w:rPr>
  </w:style>
  <w:style w:type="character" w:styleId="PageNumber">
    <w:name w:val="page number"/>
    <w:basedOn w:val="DefaultParagraphFont"/>
    <w:uiPriority w:val="99"/>
    <w:semiHidden/>
    <w:rsid w:val="00D674A5"/>
    <w:rPr>
      <w:rFonts w:ascii="Arial" w:hAnsi="Arial"/>
      <w:b/>
      <w:color w:val="auto"/>
      <w:sz w:val="16"/>
    </w:rPr>
  </w:style>
  <w:style w:type="paragraph" w:customStyle="1" w:styleId="IntroPara">
    <w:name w:val="Intro Para"/>
    <w:basedOn w:val="Normal"/>
    <w:uiPriority w:val="1"/>
    <w:qFormat/>
    <w:rsid w:val="00D674A5"/>
    <w:pPr>
      <w:spacing w:before="240" w:after="240" w:line="400" w:lineRule="atLeast"/>
      <w:contextualSpacing/>
    </w:pPr>
    <w:rPr>
      <w:rFonts w:asciiTheme="majorHAnsi" w:hAnsiTheme="majorHAnsi"/>
      <w:color w:val="8D487F" w:themeColor="accent1"/>
      <w:sz w:val="28"/>
    </w:rPr>
  </w:style>
  <w:style w:type="table" w:styleId="LightList-Accent1">
    <w:name w:val="Light List Accent 1"/>
    <w:basedOn w:val="TableNormal"/>
    <w:uiPriority w:val="61"/>
    <w:rsid w:val="00D674A5"/>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character" w:styleId="PlaceholderText">
    <w:name w:val="Placeholder Text"/>
    <w:basedOn w:val="DefaultParagraphFont"/>
    <w:uiPriority w:val="99"/>
    <w:rsid w:val="00D674A5"/>
    <w:rPr>
      <w:color w:val="808080"/>
    </w:rPr>
  </w:style>
  <w:style w:type="numbering" w:customStyle="1" w:styleId="List1Numbered">
    <w:name w:val="List 1 Numbered"/>
    <w:uiPriority w:val="99"/>
    <w:rsid w:val="00D674A5"/>
    <w:pPr>
      <w:numPr>
        <w:numId w:val="5"/>
      </w:numPr>
    </w:pPr>
  </w:style>
  <w:style w:type="paragraph" w:customStyle="1" w:styleId="List1Numbered1">
    <w:name w:val="List 1 Numbered 1"/>
    <w:basedOn w:val="Normal"/>
    <w:uiPriority w:val="2"/>
    <w:qFormat/>
    <w:rsid w:val="00D674A5"/>
    <w:pPr>
      <w:numPr>
        <w:numId w:val="15"/>
      </w:numPr>
      <w:spacing w:before="60"/>
    </w:pPr>
  </w:style>
  <w:style w:type="paragraph" w:customStyle="1" w:styleId="List1Numbered2">
    <w:name w:val="List 1 Numbered 2"/>
    <w:basedOn w:val="Normal"/>
    <w:uiPriority w:val="2"/>
    <w:qFormat/>
    <w:rsid w:val="00D674A5"/>
    <w:pPr>
      <w:numPr>
        <w:ilvl w:val="1"/>
        <w:numId w:val="15"/>
      </w:numPr>
      <w:spacing w:before="60"/>
    </w:pPr>
  </w:style>
  <w:style w:type="paragraph" w:customStyle="1" w:styleId="List1Numbered3">
    <w:name w:val="List 1 Numbered 3"/>
    <w:basedOn w:val="Normal"/>
    <w:uiPriority w:val="2"/>
    <w:qFormat/>
    <w:rsid w:val="00D674A5"/>
    <w:pPr>
      <w:numPr>
        <w:ilvl w:val="2"/>
        <w:numId w:val="15"/>
      </w:numPr>
      <w:spacing w:before="60"/>
    </w:pPr>
  </w:style>
  <w:style w:type="paragraph" w:customStyle="1" w:styleId="NameofProposal">
    <w:name w:val="Name of Proposal"/>
    <w:basedOn w:val="Normal"/>
    <w:uiPriority w:val="12"/>
    <w:qFormat/>
    <w:rsid w:val="00D674A5"/>
    <w:rPr>
      <w:b/>
      <w:bCs/>
    </w:rPr>
  </w:style>
  <w:style w:type="paragraph" w:styleId="NormalWeb">
    <w:name w:val="Normal (Web)"/>
    <w:basedOn w:val="Normal"/>
    <w:uiPriority w:val="99"/>
    <w:semiHidden/>
    <w:unhideWhenUsed/>
    <w:rsid w:val="00D674A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rmalIndent10mm">
    <w:name w:val="Normal Indent 10mm"/>
    <w:basedOn w:val="Normal"/>
    <w:uiPriority w:val="1"/>
    <w:rsid w:val="00D674A5"/>
    <w:pPr>
      <w:ind w:left="567"/>
    </w:pPr>
  </w:style>
  <w:style w:type="paragraph" w:customStyle="1" w:styleId="NormalNumbered">
    <w:name w:val="Normal Numbered"/>
    <w:basedOn w:val="Normal"/>
    <w:qFormat/>
    <w:rsid w:val="00D674A5"/>
    <w:pPr>
      <w:numPr>
        <w:numId w:val="16"/>
      </w:numPr>
    </w:pPr>
  </w:style>
  <w:style w:type="paragraph" w:styleId="Quote">
    <w:name w:val="Quote"/>
    <w:basedOn w:val="Normal"/>
    <w:link w:val="QuoteChar"/>
    <w:uiPriority w:val="99"/>
    <w:semiHidden/>
    <w:rsid w:val="00D674A5"/>
    <w:pPr>
      <w:tabs>
        <w:tab w:val="left" w:pos="1134"/>
      </w:tabs>
      <w:spacing w:before="240" w:after="240"/>
      <w:ind w:left="284"/>
    </w:pPr>
    <w:rPr>
      <w:i/>
      <w:iCs/>
    </w:rPr>
  </w:style>
  <w:style w:type="character" w:customStyle="1" w:styleId="QuoteChar">
    <w:name w:val="Quote Char"/>
    <w:basedOn w:val="DefaultParagraphFont"/>
    <w:link w:val="Quote"/>
    <w:uiPriority w:val="99"/>
    <w:semiHidden/>
    <w:rsid w:val="00D674A5"/>
    <w:rPr>
      <w:i/>
      <w:iCs/>
      <w:spacing w:val="-1"/>
    </w:rPr>
  </w:style>
  <w:style w:type="numbering" w:customStyle="1" w:styleId="NormalNumberedParas">
    <w:name w:val="Normal Numbered Paras"/>
    <w:uiPriority w:val="99"/>
    <w:rsid w:val="00D674A5"/>
    <w:pPr>
      <w:numPr>
        <w:numId w:val="6"/>
      </w:numPr>
    </w:pPr>
  </w:style>
  <w:style w:type="numbering" w:customStyle="1" w:styleId="NumberedHeadings">
    <w:name w:val="Numbered Headings"/>
    <w:uiPriority w:val="99"/>
    <w:rsid w:val="00D674A5"/>
    <w:pPr>
      <w:numPr>
        <w:numId w:val="7"/>
      </w:numPr>
    </w:pPr>
  </w:style>
  <w:style w:type="paragraph" w:styleId="Subtitle">
    <w:name w:val="Subtitle"/>
    <w:basedOn w:val="Normal"/>
    <w:next w:val="Normal"/>
    <w:link w:val="SubtitleChar"/>
    <w:uiPriority w:val="23"/>
    <w:qFormat/>
    <w:rsid w:val="00D674A5"/>
    <w:pPr>
      <w:keepLines/>
      <w:numPr>
        <w:ilvl w:val="1"/>
      </w:numPr>
      <w:spacing w:before="0"/>
      <w:contextualSpacing/>
    </w:pPr>
    <w:rPr>
      <w:rFonts w:eastAsiaTheme="minorEastAsia"/>
      <w:b/>
      <w:color w:val="3D4D7D" w:themeColor="background2"/>
      <w:sz w:val="30"/>
    </w:rPr>
  </w:style>
  <w:style w:type="character" w:customStyle="1" w:styleId="SubtitleChar">
    <w:name w:val="Subtitle Char"/>
    <w:basedOn w:val="DefaultParagraphFont"/>
    <w:link w:val="Subtitle"/>
    <w:uiPriority w:val="23"/>
    <w:rsid w:val="00D674A5"/>
    <w:rPr>
      <w:rFonts w:eastAsiaTheme="minorEastAsia"/>
      <w:b/>
      <w:color w:val="3D4D7D" w:themeColor="background2"/>
      <w:spacing w:val="-1"/>
      <w:sz w:val="30"/>
    </w:rPr>
  </w:style>
  <w:style w:type="paragraph" w:customStyle="1" w:styleId="SourceNotes">
    <w:name w:val="Source Notes"/>
    <w:basedOn w:val="Normal"/>
    <w:uiPriority w:val="21"/>
    <w:qFormat/>
    <w:rsid w:val="001B25FE"/>
    <w:pPr>
      <w:spacing w:before="0" w:line="260" w:lineRule="atLeast"/>
      <w:ind w:left="341" w:hanging="284"/>
    </w:pPr>
    <w:rPr>
      <w:sz w:val="20"/>
    </w:rPr>
  </w:style>
  <w:style w:type="paragraph" w:customStyle="1" w:styleId="SourceNotesHeading">
    <w:name w:val="Source Notes Heading"/>
    <w:basedOn w:val="SourceNotes"/>
    <w:uiPriority w:val="20"/>
    <w:qFormat/>
    <w:rsid w:val="00D674A5"/>
    <w:rPr>
      <w:rFonts w:asciiTheme="majorHAnsi" w:hAnsiTheme="majorHAnsi"/>
      <w:b/>
    </w:rPr>
  </w:style>
  <w:style w:type="paragraph" w:customStyle="1" w:styleId="SourceNotesNumbered">
    <w:name w:val="Source Notes Numbered"/>
    <w:basedOn w:val="SourceNotes"/>
    <w:uiPriority w:val="21"/>
    <w:qFormat/>
    <w:rsid w:val="00D674A5"/>
    <w:pPr>
      <w:numPr>
        <w:numId w:val="18"/>
      </w:numPr>
    </w:pPr>
  </w:style>
  <w:style w:type="table" w:styleId="TableGrid">
    <w:name w:val="Table Grid"/>
    <w:basedOn w:val="TableNormal"/>
    <w:uiPriority w:val="39"/>
    <w:rsid w:val="00D674A5"/>
    <w:pPr>
      <w:spacing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33"/>
    <w:semiHidden/>
    <w:rsid w:val="00D674A5"/>
    <w:rPr>
      <w:b/>
      <w:bCs/>
    </w:rPr>
  </w:style>
  <w:style w:type="table" w:styleId="TableGridLight">
    <w:name w:val="Grid Table Light"/>
    <w:basedOn w:val="TableNormal"/>
    <w:uiPriority w:val="40"/>
    <w:rsid w:val="00D674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9">
    <w:name w:val="toc 9"/>
    <w:basedOn w:val="Normal"/>
    <w:next w:val="Normal"/>
    <w:uiPriority w:val="39"/>
    <w:semiHidden/>
    <w:rsid w:val="00D674A5"/>
    <w:pPr>
      <w:spacing w:after="100"/>
      <w:ind w:left="1600"/>
    </w:pPr>
  </w:style>
  <w:style w:type="paragraph" w:styleId="Title">
    <w:name w:val="Title"/>
    <w:basedOn w:val="Normal"/>
    <w:next w:val="Normal"/>
    <w:link w:val="TitleChar"/>
    <w:uiPriority w:val="22"/>
    <w:qFormat/>
    <w:rsid w:val="00D674A5"/>
    <w:pPr>
      <w:keepLines/>
      <w:spacing w:before="0"/>
      <w:contextualSpacing/>
      <w:outlineLvl w:val="0"/>
    </w:pPr>
    <w:rPr>
      <w:rFonts w:asciiTheme="majorHAnsi" w:eastAsiaTheme="majorEastAsia" w:hAnsiTheme="majorHAnsi" w:cstheme="majorBidi"/>
      <w:color w:val="3D4D7D" w:themeColor="background2"/>
      <w:kern w:val="28"/>
      <w:sz w:val="52"/>
      <w:szCs w:val="56"/>
    </w:rPr>
  </w:style>
  <w:style w:type="character" w:customStyle="1" w:styleId="TitleChar">
    <w:name w:val="Title Char"/>
    <w:basedOn w:val="DefaultParagraphFont"/>
    <w:link w:val="Title"/>
    <w:uiPriority w:val="22"/>
    <w:rsid w:val="00D674A5"/>
    <w:rPr>
      <w:rFonts w:asciiTheme="majorHAnsi" w:eastAsiaTheme="majorEastAsia" w:hAnsiTheme="majorHAnsi" w:cstheme="majorBidi"/>
      <w:color w:val="3D4D7D" w:themeColor="background2"/>
      <w:spacing w:val="-1"/>
      <w:kern w:val="28"/>
      <w:sz w:val="52"/>
      <w:szCs w:val="56"/>
    </w:rPr>
  </w:style>
  <w:style w:type="paragraph" w:styleId="TOC1">
    <w:name w:val="toc 1"/>
    <w:basedOn w:val="Normal"/>
    <w:next w:val="Normal"/>
    <w:uiPriority w:val="39"/>
    <w:semiHidden/>
    <w:rsid w:val="00D674A5"/>
    <w:pPr>
      <w:keepNext/>
      <w:tabs>
        <w:tab w:val="right" w:pos="9628"/>
      </w:tabs>
      <w:spacing w:line="340" w:lineRule="atLeast"/>
    </w:pPr>
    <w:rPr>
      <w:b/>
      <w:sz w:val="24"/>
      <w:u w:color="9778B4" w:themeColor="text2"/>
    </w:rPr>
  </w:style>
  <w:style w:type="paragraph" w:styleId="TOC2">
    <w:name w:val="toc 2"/>
    <w:basedOn w:val="Normal"/>
    <w:next w:val="Normal"/>
    <w:uiPriority w:val="39"/>
    <w:semiHidden/>
    <w:rsid w:val="00D674A5"/>
    <w:pPr>
      <w:tabs>
        <w:tab w:val="right" w:pos="9628"/>
      </w:tabs>
      <w:ind w:left="567" w:hanging="567"/>
    </w:pPr>
    <w:rPr>
      <w:rFonts w:asciiTheme="majorHAnsi" w:hAnsiTheme="majorHAnsi"/>
    </w:rPr>
  </w:style>
  <w:style w:type="paragraph" w:styleId="TOC3">
    <w:name w:val="toc 3"/>
    <w:basedOn w:val="Normal"/>
    <w:next w:val="Normal"/>
    <w:uiPriority w:val="39"/>
    <w:semiHidden/>
    <w:rsid w:val="00D674A5"/>
    <w:pPr>
      <w:tabs>
        <w:tab w:val="right" w:pos="9628"/>
      </w:tabs>
      <w:spacing w:before="60"/>
      <w:ind w:left="284"/>
    </w:pPr>
  </w:style>
  <w:style w:type="paragraph" w:styleId="TOC4">
    <w:name w:val="toc 4"/>
    <w:basedOn w:val="Normal"/>
    <w:next w:val="Normal"/>
    <w:uiPriority w:val="39"/>
    <w:semiHidden/>
    <w:rsid w:val="00D674A5"/>
    <w:pPr>
      <w:tabs>
        <w:tab w:val="right" w:pos="9628"/>
      </w:tabs>
      <w:spacing w:before="60"/>
      <w:ind w:left="1135" w:hanging="851"/>
    </w:pPr>
  </w:style>
  <w:style w:type="paragraph" w:styleId="TOC5">
    <w:name w:val="toc 5"/>
    <w:basedOn w:val="Normal"/>
    <w:next w:val="Normal"/>
    <w:uiPriority w:val="39"/>
    <w:semiHidden/>
    <w:rsid w:val="00D674A5"/>
    <w:pPr>
      <w:tabs>
        <w:tab w:val="right" w:leader="underscore" w:pos="8165"/>
      </w:tabs>
      <w:spacing w:after="227"/>
      <w:ind w:right="851"/>
    </w:pPr>
    <w:rPr>
      <w:b/>
      <w:color w:val="9778B4" w:themeColor="text2"/>
    </w:rPr>
  </w:style>
  <w:style w:type="paragraph" w:styleId="TOC6">
    <w:name w:val="toc 6"/>
    <w:basedOn w:val="Normal"/>
    <w:next w:val="Normal"/>
    <w:uiPriority w:val="39"/>
    <w:semiHidden/>
    <w:rsid w:val="00D674A5"/>
    <w:pPr>
      <w:spacing w:after="100"/>
      <w:ind w:left="1000"/>
    </w:pPr>
  </w:style>
  <w:style w:type="paragraph" w:styleId="TOC7">
    <w:name w:val="toc 7"/>
    <w:basedOn w:val="Normal"/>
    <w:next w:val="Normal"/>
    <w:uiPriority w:val="39"/>
    <w:semiHidden/>
    <w:rsid w:val="00D674A5"/>
    <w:pPr>
      <w:spacing w:after="100"/>
      <w:ind w:left="1200"/>
    </w:pPr>
  </w:style>
  <w:style w:type="paragraph" w:styleId="TOC8">
    <w:name w:val="toc 8"/>
    <w:basedOn w:val="Normal"/>
    <w:next w:val="Normal"/>
    <w:uiPriority w:val="39"/>
    <w:semiHidden/>
    <w:rsid w:val="00D674A5"/>
    <w:pPr>
      <w:tabs>
        <w:tab w:val="right" w:leader="dot" w:pos="9582"/>
      </w:tabs>
      <w:spacing w:after="227"/>
      <w:ind w:right="907"/>
    </w:pPr>
    <w:rPr>
      <w:color w:val="9778B4" w:themeColor="text2"/>
    </w:rPr>
  </w:style>
  <w:style w:type="paragraph" w:styleId="TOCHeading">
    <w:name w:val="TOC Heading"/>
    <w:basedOn w:val="Heading1"/>
    <w:next w:val="Normal"/>
    <w:uiPriority w:val="39"/>
    <w:semiHidden/>
    <w:rsid w:val="00D674A5"/>
    <w:pPr>
      <w:outlineLvl w:val="9"/>
    </w:pPr>
  </w:style>
  <w:style w:type="character" w:styleId="Hyperlink">
    <w:name w:val="Hyperlink"/>
    <w:basedOn w:val="DefaultParagraphFont"/>
    <w:uiPriority w:val="99"/>
    <w:rsid w:val="00D674A5"/>
    <w:rPr>
      <w:color w:val="0070C0"/>
      <w:u w:val="single"/>
    </w:rPr>
  </w:style>
  <w:style w:type="paragraph" w:styleId="BalloonText">
    <w:name w:val="Balloon Text"/>
    <w:basedOn w:val="Normal"/>
    <w:link w:val="BalloonTextChar"/>
    <w:uiPriority w:val="99"/>
    <w:semiHidden/>
    <w:unhideWhenUsed/>
    <w:rsid w:val="00D674A5"/>
    <w:rPr>
      <w:rFonts w:ascii="Tahoma" w:hAnsi="Tahoma" w:cs="Tahoma"/>
      <w:sz w:val="16"/>
      <w:szCs w:val="16"/>
    </w:rPr>
  </w:style>
  <w:style w:type="character" w:customStyle="1" w:styleId="BalloonTextChar">
    <w:name w:val="Balloon Text Char"/>
    <w:basedOn w:val="DefaultParagraphFont"/>
    <w:link w:val="BalloonText"/>
    <w:uiPriority w:val="99"/>
    <w:semiHidden/>
    <w:rsid w:val="00D674A5"/>
    <w:rPr>
      <w:rFonts w:ascii="Tahoma" w:hAnsi="Tahoma" w:cs="Tahoma"/>
      <w:spacing w:val="-1"/>
      <w:sz w:val="16"/>
      <w:szCs w:val="16"/>
    </w:rPr>
  </w:style>
  <w:style w:type="paragraph" w:styleId="TableofFigures">
    <w:name w:val="table of figures"/>
    <w:basedOn w:val="Normal"/>
    <w:next w:val="Normal"/>
    <w:uiPriority w:val="99"/>
    <w:semiHidden/>
    <w:rsid w:val="00D674A5"/>
    <w:pPr>
      <w:tabs>
        <w:tab w:val="right" w:leader="underscore" w:pos="8165"/>
      </w:tabs>
      <w:spacing w:after="80"/>
      <w:ind w:right="851"/>
    </w:pPr>
  </w:style>
  <w:style w:type="table" w:styleId="LightGrid-Accent6">
    <w:name w:val="Light Grid Accent 6"/>
    <w:basedOn w:val="TableNormal"/>
    <w:uiPriority w:val="62"/>
    <w:unhideWhenUsed/>
    <w:rsid w:val="00D674A5"/>
    <w:pPr>
      <w:spacing w:before="0" w:after="0"/>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character" w:styleId="FollowedHyperlink">
    <w:name w:val="FollowedHyperlink"/>
    <w:basedOn w:val="DefaultParagraphFont"/>
    <w:uiPriority w:val="99"/>
    <w:semiHidden/>
    <w:rsid w:val="00D674A5"/>
    <w:rPr>
      <w:color w:val="0070C0"/>
      <w:u w:val="single"/>
    </w:rPr>
  </w:style>
  <w:style w:type="paragraph" w:styleId="Bibliography">
    <w:name w:val="Bibliography"/>
    <w:basedOn w:val="Normal"/>
    <w:next w:val="Normal"/>
    <w:uiPriority w:val="39"/>
    <w:unhideWhenUsed/>
    <w:rsid w:val="00DF2134"/>
  </w:style>
  <w:style w:type="character" w:styleId="CommentReference">
    <w:name w:val="annotation reference"/>
    <w:basedOn w:val="DefaultParagraphFont"/>
    <w:uiPriority w:val="99"/>
    <w:semiHidden/>
    <w:unhideWhenUsed/>
    <w:rsid w:val="00D674A5"/>
    <w:rPr>
      <w:sz w:val="16"/>
      <w:szCs w:val="16"/>
    </w:rPr>
  </w:style>
  <w:style w:type="paragraph" w:styleId="CommentText">
    <w:name w:val="annotation text"/>
    <w:basedOn w:val="Normal"/>
    <w:link w:val="CommentTextChar"/>
    <w:uiPriority w:val="99"/>
    <w:semiHidden/>
    <w:unhideWhenUsed/>
    <w:rsid w:val="00D674A5"/>
    <w:pPr>
      <w:spacing w:after="114"/>
    </w:pPr>
    <w:rPr>
      <w:sz w:val="20"/>
      <w:szCs w:val="20"/>
    </w:rPr>
  </w:style>
  <w:style w:type="character" w:customStyle="1" w:styleId="CommentTextChar">
    <w:name w:val="Comment Text Char"/>
    <w:basedOn w:val="DefaultParagraphFont"/>
    <w:link w:val="CommentText"/>
    <w:uiPriority w:val="99"/>
    <w:semiHidden/>
    <w:rsid w:val="00D674A5"/>
    <w:rPr>
      <w:spacing w:val="-1"/>
      <w:sz w:val="20"/>
      <w:szCs w:val="20"/>
    </w:rPr>
  </w:style>
  <w:style w:type="paragraph" w:styleId="CommentSubject">
    <w:name w:val="annotation subject"/>
    <w:basedOn w:val="CommentText"/>
    <w:next w:val="CommentText"/>
    <w:link w:val="CommentSubjectChar"/>
    <w:uiPriority w:val="99"/>
    <w:semiHidden/>
    <w:unhideWhenUsed/>
    <w:rsid w:val="009758AE"/>
    <w:rPr>
      <w:b/>
      <w:bCs/>
    </w:rPr>
  </w:style>
  <w:style w:type="character" w:customStyle="1" w:styleId="CommentSubjectChar">
    <w:name w:val="Comment Subject Char"/>
    <w:basedOn w:val="CommentTextChar"/>
    <w:link w:val="CommentSubject"/>
    <w:uiPriority w:val="99"/>
    <w:semiHidden/>
    <w:rsid w:val="004B6C2D"/>
    <w:rPr>
      <w:b/>
      <w:bCs/>
      <w:spacing w:val="-1"/>
      <w:sz w:val="20"/>
      <w:szCs w:val="20"/>
    </w:rPr>
  </w:style>
  <w:style w:type="paragraph" w:styleId="Revision">
    <w:name w:val="Revision"/>
    <w:hidden/>
    <w:uiPriority w:val="99"/>
    <w:semiHidden/>
    <w:rsid w:val="00EE3226"/>
  </w:style>
  <w:style w:type="character" w:customStyle="1" w:styleId="SecurityClassification">
    <w:name w:val="Security Classification"/>
    <w:basedOn w:val="DefaultParagraphFont"/>
    <w:uiPriority w:val="99"/>
    <w:semiHidden/>
    <w:qFormat/>
    <w:rsid w:val="00D674A5"/>
    <w:rPr>
      <w:rFonts w:ascii="Calibri" w:hAnsi="Calibri"/>
      <w:b/>
      <w:caps w:val="0"/>
      <w:smallCaps w:val="0"/>
      <w:color w:val="FF0000"/>
      <w:sz w:val="36"/>
      <w:szCs w:val="36"/>
    </w:rPr>
  </w:style>
  <w:style w:type="numbering" w:customStyle="1" w:styleId="FigureNumbers">
    <w:name w:val="Figure Numbers"/>
    <w:uiPriority w:val="99"/>
    <w:rsid w:val="00D674A5"/>
    <w:pPr>
      <w:numPr>
        <w:numId w:val="11"/>
      </w:numPr>
    </w:pPr>
  </w:style>
  <w:style w:type="numbering" w:customStyle="1" w:styleId="KCBullets">
    <w:name w:val="KC Bullets"/>
    <w:uiPriority w:val="99"/>
    <w:rsid w:val="00D674A5"/>
    <w:pPr>
      <w:numPr>
        <w:numId w:val="14"/>
      </w:numPr>
    </w:pPr>
  </w:style>
  <w:style w:type="table" w:customStyle="1" w:styleId="PBOTable3-Financials">
    <w:name w:val="PBO Table 3 - Financials"/>
    <w:basedOn w:val="TableNormal"/>
    <w:uiPriority w:val="99"/>
    <w:rsid w:val="00851579"/>
    <w:pPr>
      <w:spacing w:before="70" w:after="70" w:line="260" w:lineRule="atLeast"/>
    </w:p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sz w:val="16"/>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PBOTable1-9pt">
    <w:name w:val="PBO Table 1 - 9pt"/>
    <w:basedOn w:val="PBOTable3-Financials"/>
    <w:uiPriority w:val="99"/>
    <w:rsid w:val="00BB0B01"/>
    <w:pPr>
      <w:spacing w:before="0" w:after="0"/>
    </w:pPr>
    <w:rPr>
      <w:sz w:val="18"/>
    </w:rPr>
    <w:tblPr>
      <w:tblBorders>
        <w:top w:val="single" w:sz="8" w:space="0" w:color="7C8CBF" w:themeColor="background2" w:themeTint="99"/>
        <w:left w:val="single" w:sz="8" w:space="0" w:color="7C8CBF" w:themeColor="background2" w:themeTint="99"/>
        <w:bottom w:val="single" w:sz="8" w:space="0" w:color="7C8CBF" w:themeColor="background2" w:themeTint="99"/>
        <w:right w:val="single" w:sz="8" w:space="0" w:color="7C8CBF" w:themeColor="background2" w:themeTint="99"/>
        <w:insideH w:val="single" w:sz="8" w:space="0" w:color="7C8CBF" w:themeColor="background2" w:themeTint="99"/>
        <w:insideV w:val="single" w:sz="8" w:space="0" w:color="7C8CBF" w:themeColor="background2" w:themeTint="99"/>
      </w:tblBorders>
      <w:tblCellMar>
        <w:top w:w="57" w:type="dxa"/>
        <w:left w:w="113" w:type="dxa"/>
        <w:bottom w:w="57" w:type="dxa"/>
        <w:right w:w="113" w:type="dxa"/>
      </w:tblCellMar>
    </w:tblPr>
    <w:tblStylePr w:type="firstRow">
      <w:pPr>
        <w:jc w:val="left"/>
      </w:pPr>
      <w:rPr>
        <w:b/>
        <w:color w:val="FFFFFF" w:themeColor="background1"/>
        <w:sz w:val="18"/>
      </w:rPr>
      <w:tblPr/>
      <w:tcPr>
        <w:shd w:val="clear" w:color="auto" w:fill="3D4D7D" w:themeFill="background2"/>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1Vert">
      <w:tblPr/>
      <w:tcPr>
        <w:shd w:val="clear" w:color="auto" w:fill="FFFFFF" w:themeFill="background1"/>
      </w:tcPr>
    </w:tblStylePr>
    <w:tblStylePr w:type="band2Vert">
      <w:tblPr/>
      <w:tcPr>
        <w:shd w:val="clear" w:color="auto" w:fill="D3D8E9" w:themeFill="background2" w:themeFillTint="33"/>
      </w:tcPr>
    </w:tblStylePr>
    <w:tblStylePr w:type="band1Horz">
      <w:tblPr/>
      <w:tcPr>
        <w:shd w:val="clear" w:color="auto" w:fill="FFFFFF" w:themeFill="background1"/>
      </w:tcPr>
    </w:tblStylePr>
    <w:tblStylePr w:type="band2Horz">
      <w:tblPr/>
      <w:tcPr>
        <w:shd w:val="clear" w:color="auto" w:fill="D3D8E9" w:themeFill="background2" w:themeFillTint="33"/>
      </w:tcPr>
    </w:tblStylePr>
  </w:style>
  <w:style w:type="table" w:customStyle="1" w:styleId="PBOTable2-11pt">
    <w:name w:val="PBO Table 2 - 11pt"/>
    <w:basedOn w:val="PBOTable3-Financials"/>
    <w:uiPriority w:val="99"/>
    <w:rsid w:val="002559FB"/>
    <w:tblPr/>
    <w:tblStylePr w:type="firstRow">
      <w:pPr>
        <w:jc w:val="left"/>
      </w:pPr>
      <w:rPr>
        <w:sz w:val="22"/>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PullOut">
    <w:name w:val="Pull Out"/>
    <w:basedOn w:val="Normal"/>
    <w:uiPriority w:val="22"/>
    <w:qFormat/>
    <w:rsid w:val="00D674A5"/>
    <w:pPr>
      <w:spacing w:line="340" w:lineRule="atLeast"/>
    </w:pPr>
    <w:rPr>
      <w:color w:val="9778B4" w:themeColor="text2"/>
      <w:spacing w:val="0"/>
      <w:sz w:val="24"/>
      <w:szCs w:val="20"/>
    </w:rPr>
  </w:style>
  <w:style w:type="numbering" w:customStyle="1" w:styleId="TableNumbers">
    <w:name w:val="Table Numbers"/>
    <w:uiPriority w:val="99"/>
    <w:rsid w:val="00D674A5"/>
    <w:pPr>
      <w:numPr>
        <w:numId w:val="19"/>
      </w:numPr>
    </w:pPr>
  </w:style>
  <w:style w:type="paragraph" w:customStyle="1" w:styleId="PBOheader">
    <w:name w:val="PBO header"/>
    <w:basedOn w:val="Header"/>
    <w:uiPriority w:val="39"/>
    <w:rsid w:val="00935F04"/>
    <w:pPr>
      <w:tabs>
        <w:tab w:val="clear" w:pos="4513"/>
        <w:tab w:val="clear" w:pos="9026"/>
      </w:tabs>
      <w:spacing w:before="1320" w:after="114" w:line="240" w:lineRule="auto"/>
      <w:ind w:left="6521"/>
    </w:pPr>
    <w:rPr>
      <w:rFonts w:ascii="Arial" w:hAnsi="Arial" w:cs="Arial"/>
      <w:b/>
      <w:color w:val="auto"/>
      <w:spacing w:val="0"/>
      <w:sz w:val="18"/>
      <w:szCs w:val="18"/>
    </w:rPr>
  </w:style>
  <w:style w:type="paragraph" w:customStyle="1" w:styleId="Lettertext">
    <w:name w:val="Letter text"/>
    <w:basedOn w:val="BodyText"/>
    <w:qFormat/>
    <w:rsid w:val="00935F04"/>
    <w:pPr>
      <w:spacing w:before="240" w:after="0"/>
    </w:pPr>
    <w:rPr>
      <w:rFonts w:ascii="Calibri" w:hAnsi="Calibri" w:cs="Times New Roman"/>
      <w:color w:val="auto"/>
      <w:spacing w:val="0"/>
    </w:rPr>
  </w:style>
  <w:style w:type="paragraph" w:styleId="BodyText">
    <w:name w:val="Body Text"/>
    <w:basedOn w:val="Normal"/>
    <w:link w:val="BodyTextChar"/>
    <w:uiPriority w:val="5"/>
    <w:unhideWhenUsed/>
    <w:qFormat/>
    <w:rsid w:val="00935F04"/>
  </w:style>
  <w:style w:type="character" w:customStyle="1" w:styleId="BodyTextChar">
    <w:name w:val="Body Text Char"/>
    <w:basedOn w:val="DefaultParagraphFont"/>
    <w:link w:val="BodyText"/>
    <w:uiPriority w:val="5"/>
    <w:rsid w:val="00935F04"/>
    <w:rPr>
      <w:spacing w:val="-1"/>
    </w:rPr>
  </w:style>
  <w:style w:type="paragraph" w:customStyle="1" w:styleId="TableFootnotes">
    <w:name w:val="Table Footnotes"/>
    <w:basedOn w:val="Normal"/>
    <w:uiPriority w:val="22"/>
    <w:qFormat/>
    <w:rsid w:val="00C000C6"/>
    <w:pPr>
      <w:keepLines/>
      <w:numPr>
        <w:numId w:val="21"/>
      </w:numPr>
      <w:spacing w:before="0" w:line="260" w:lineRule="atLeast"/>
    </w:pPr>
    <w:rPr>
      <w:color w:val="auto"/>
      <w:spacing w:val="0"/>
      <w:sz w:val="20"/>
    </w:rPr>
  </w:style>
  <w:style w:type="paragraph" w:customStyle="1" w:styleId="TableHeading">
    <w:name w:val="Table Heading"/>
    <w:basedOn w:val="Normal"/>
    <w:uiPriority w:val="14"/>
    <w:qFormat/>
    <w:rsid w:val="00C000C6"/>
    <w:pPr>
      <w:keepNext/>
      <w:keepLines/>
      <w:spacing w:before="70" w:after="70" w:line="260" w:lineRule="atLeast"/>
      <w:ind w:left="57" w:right="57"/>
    </w:pPr>
    <w:rPr>
      <w:rFonts w:ascii="Calibri" w:hAnsi="Calibri" w:cs="Times New Roman"/>
      <w:b/>
      <w:color w:val="auto"/>
      <w:spacing w:val="0"/>
      <w:sz w:val="20"/>
    </w:rPr>
  </w:style>
  <w:style w:type="paragraph" w:customStyle="1" w:styleId="TableHeadingRight">
    <w:name w:val="Table Heading Right"/>
    <w:basedOn w:val="TableHeading"/>
    <w:uiPriority w:val="16"/>
    <w:qFormat/>
    <w:rsid w:val="00C000C6"/>
    <w:pPr>
      <w:jc w:val="right"/>
    </w:pPr>
  </w:style>
  <w:style w:type="paragraph" w:customStyle="1" w:styleId="TableTextRight">
    <w:name w:val="Table Text Right"/>
    <w:basedOn w:val="Normal"/>
    <w:uiPriority w:val="19"/>
    <w:qFormat/>
    <w:rsid w:val="00C000C6"/>
    <w:pPr>
      <w:spacing w:before="70" w:after="70" w:line="260" w:lineRule="atLeast"/>
      <w:ind w:left="57" w:right="57"/>
      <w:jc w:val="right"/>
    </w:pPr>
    <w:rPr>
      <w:rFonts w:ascii="Calibri" w:hAnsi="Calibri" w:cs="Times New Roman"/>
      <w:color w:val="auto"/>
      <w:spacing w:val="0"/>
      <w:sz w:val="20"/>
    </w:rPr>
  </w:style>
  <w:style w:type="paragraph" w:customStyle="1" w:styleId="TableTextRightBold">
    <w:name w:val="Table Text Right Bold"/>
    <w:basedOn w:val="TableTextRight"/>
    <w:uiPriority w:val="20"/>
    <w:qFormat/>
    <w:rsid w:val="00C000C6"/>
    <w:rPr>
      <w:b/>
    </w:rPr>
  </w:style>
  <w:style w:type="paragraph" w:styleId="ListParagraph">
    <w:name w:val="List Paragraph"/>
    <w:basedOn w:val="Normal"/>
    <w:uiPriority w:val="39"/>
    <w:semiHidden/>
    <w:rsid w:val="00C000C6"/>
    <w:pPr>
      <w:ind w:left="720"/>
      <w:contextualSpacing/>
    </w:pPr>
  </w:style>
  <w:style w:type="paragraph" w:customStyle="1" w:styleId="TableText">
    <w:name w:val="Table Text"/>
    <w:basedOn w:val="Normal"/>
    <w:uiPriority w:val="17"/>
    <w:qFormat/>
    <w:rsid w:val="000B70EC"/>
    <w:pPr>
      <w:spacing w:before="70" w:after="70" w:line="260" w:lineRule="atLeast"/>
      <w:ind w:left="57" w:right="57"/>
    </w:pPr>
    <w:rPr>
      <w:rFonts w:ascii="Calibri" w:hAnsi="Calibri" w:cs="Times New Roman"/>
      <w:color w:val="auto"/>
      <w:spacing w:val="0"/>
      <w:sz w:val="20"/>
    </w:rPr>
  </w:style>
  <w:style w:type="paragraph" w:customStyle="1" w:styleId="TableTextRightItalic">
    <w:name w:val="Table Text Right Italic"/>
    <w:basedOn w:val="TableTextRight"/>
    <w:uiPriority w:val="21"/>
    <w:qFormat/>
    <w:rsid w:val="000B70EC"/>
    <w:rPr>
      <w:i/>
    </w:rPr>
  </w:style>
  <w:style w:type="paragraph" w:customStyle="1" w:styleId="PRRfootnote1">
    <w:name w:val="PRR footnote 1"/>
    <w:basedOn w:val="Normal"/>
    <w:link w:val="PRRfootnote1Char"/>
    <w:qFormat/>
    <w:rsid w:val="003049B5"/>
    <w:pPr>
      <w:keepNext/>
      <w:keepLines/>
      <w:spacing w:before="0" w:after="0" w:line="240" w:lineRule="auto"/>
      <w:ind w:left="284" w:hanging="284"/>
    </w:pPr>
    <w:rPr>
      <w:sz w:val="20"/>
      <w:szCs w:val="20"/>
    </w:rPr>
  </w:style>
  <w:style w:type="character" w:customStyle="1" w:styleId="PRRfootnote1Char">
    <w:name w:val="PRR footnote 1 Char"/>
    <w:basedOn w:val="DefaultParagraphFont"/>
    <w:link w:val="PRRfootnote1"/>
    <w:rsid w:val="003049B5"/>
    <w:rPr>
      <w:spacing w:val="-1"/>
      <w:sz w:val="20"/>
      <w:szCs w:val="20"/>
    </w:rPr>
  </w:style>
  <w:style w:type="paragraph" w:customStyle="1" w:styleId="PRRfootnote2">
    <w:name w:val="PRR footnote 2"/>
    <w:basedOn w:val="PRRfootnote1"/>
    <w:link w:val="PRRfootnote2Char"/>
    <w:qFormat/>
    <w:rsid w:val="003049B5"/>
    <w:pPr>
      <w:spacing w:line="260" w:lineRule="atLeast"/>
    </w:pPr>
    <w:rPr>
      <w:sz w:val="16"/>
      <w:szCs w:val="16"/>
    </w:rPr>
  </w:style>
  <w:style w:type="character" w:customStyle="1" w:styleId="PRRfootnote2Char">
    <w:name w:val="PRR footnote 2 Char"/>
    <w:basedOn w:val="PRRfootnote1Char"/>
    <w:link w:val="PRRfootnote2"/>
    <w:rsid w:val="003049B5"/>
    <w:rPr>
      <w:spacing w:val="-1"/>
      <w:sz w:val="16"/>
      <w:szCs w:val="16"/>
    </w:rPr>
  </w:style>
  <w:style w:type="table" w:customStyle="1" w:styleId="TableAsPlaceholder">
    <w:name w:val="Table As Placeholder"/>
    <w:basedOn w:val="TableNormal"/>
    <w:uiPriority w:val="99"/>
    <w:qFormat/>
    <w:rsid w:val="002E1EA9"/>
    <w:pPr>
      <w:spacing w:before="0" w:after="0" w:line="300" w:lineRule="atLeast"/>
    </w:pPr>
    <w:rPr>
      <w:rFonts w:eastAsia="Times New Roman" w:cs="Arial"/>
      <w:color w:val="auto"/>
      <w:lang w:eastAsia="en-AU"/>
    </w:rPr>
    <w:tblPr>
      <w:tblCellMar>
        <w:left w:w="0" w:type="dxa"/>
        <w:right w:w="0" w:type="dxa"/>
      </w:tblCellMar>
    </w:tblPr>
  </w:style>
  <w:style w:type="table" w:customStyle="1" w:styleId="LightGrid-Accent61">
    <w:name w:val="Light Grid - Accent 61"/>
    <w:basedOn w:val="TableNormal"/>
    <w:next w:val="LightGrid-Accent6"/>
    <w:uiPriority w:val="62"/>
    <w:unhideWhenUsed/>
    <w:rsid w:val="00C248C9"/>
    <w:pPr>
      <w:spacing w:before="0" w:after="0"/>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paragraph" w:customStyle="1" w:styleId="TableTextBullet">
    <w:name w:val="Table Text Bullet"/>
    <w:basedOn w:val="TableText"/>
    <w:uiPriority w:val="39"/>
    <w:rsid w:val="00A82926"/>
    <w:pPr>
      <w:tabs>
        <w:tab w:val="num" w:pos="284"/>
      </w:tabs>
      <w:ind w:left="284" w:hanging="171"/>
    </w:pPr>
  </w:style>
  <w:style w:type="paragraph" w:customStyle="1" w:styleId="TableTextBullet2">
    <w:name w:val="Table Text Bullet 2"/>
    <w:basedOn w:val="TableTextBullet"/>
    <w:uiPriority w:val="39"/>
    <w:rsid w:val="00A82926"/>
    <w:pPr>
      <w:tabs>
        <w:tab w:val="clear" w:pos="284"/>
        <w:tab w:val="num" w:pos="454"/>
      </w:tabs>
      <w:ind w:left="454" w:hanging="170"/>
    </w:pPr>
    <w:rPr>
      <w:bCs/>
    </w:rPr>
  </w:style>
  <w:style w:type="paragraph" w:customStyle="1" w:styleId="TableTextBullet3">
    <w:name w:val="Table Text Bullet 3"/>
    <w:basedOn w:val="TableTextBullet2"/>
    <w:uiPriority w:val="39"/>
    <w:rsid w:val="00A82926"/>
    <w:pPr>
      <w:tabs>
        <w:tab w:val="clear" w:pos="454"/>
        <w:tab w:val="num" w:pos="624"/>
      </w:tabs>
      <w:ind w:left="624"/>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About_Parliament/Parliamentary_Departments/Parliamentary_Budget_Office/Online_Budget_Glossary" TargetMode="External"/><Relationship Id="rId1" Type="http://schemas.openxmlformats.org/officeDocument/2006/relationships/hyperlink" Target="https://www.aph.gov.au/About_Parliament/Parliamentary_Departments/Parliamentary_Budget_Office/Costings_and_budget_inform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ATN\OneDrive%20-%20Parliamentary%20Budget%20Office\Desktop\PR-2021-8556\Public%20Release\De-classified%20-%20PR-2021-8556-Ending%20Corporate%20Tax%20Avoidance%20-%20PR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1328474D9249B9BAC13919A1D876D1"/>
        <w:category>
          <w:name w:val="General"/>
          <w:gallery w:val="placeholder"/>
        </w:category>
        <w:types>
          <w:type w:val="bbPlcHdr"/>
        </w:types>
        <w:behaviors>
          <w:behavior w:val="content"/>
        </w:behaviors>
        <w:guid w:val="{8024DD05-B8B5-4350-AB06-05A9CCD04A57}"/>
      </w:docPartPr>
      <w:docPartBody>
        <w:p w:rsidR="00864F71" w:rsidRDefault="00864F71">
          <w:pPr>
            <w:pStyle w:val="F11328474D9249B9BAC13919A1D876D1"/>
          </w:pPr>
          <w:r w:rsidRPr="004F5F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71"/>
    <w:rsid w:val="00590EF5"/>
    <w:rsid w:val="00864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F11328474D9249B9BAC13919A1D876D1">
    <w:name w:val="F11328474D9249B9BAC13919A1D87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PBO 2021">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5AFF"/>
      </a:hlink>
      <a:folHlink>
        <a:srgbClr val="005AFF"/>
      </a:folHlink>
    </a:clrScheme>
    <a:fontScheme name="PBO 202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97EF8788234EB4FBF69E4EFE23F3008" ma:contentTypeVersion="22" ma:contentTypeDescription="Create a new document." ma:contentTypeScope="" ma:versionID="a4e14e8473e0afe8d53a7d9b611b1e0e">
  <xsd:schema xmlns:xsd="http://www.w3.org/2001/XMLSchema" xmlns:xs="http://www.w3.org/2001/XMLSchema" xmlns:p="http://schemas.microsoft.com/office/2006/metadata/properties" xmlns:ns1="http://schemas.microsoft.com/sharepoint/v3" xmlns:ns2="f7b95f71-6aa4-45b1-8ae9-1bf61e349db3" xmlns:ns3="04d8a8d9-2482-437b-a157-c17eb9e3bcc6" xmlns:ns4="http://schemas.microsoft.com/sharepoint/v4" targetNamespace="http://schemas.microsoft.com/office/2006/metadata/properties" ma:root="true" ma:fieldsID="1667d5d71292a7faa6570192b657f486" ns1:_="" ns2:_="" ns3:_="" ns4:_="">
    <xsd:import namespace="http://schemas.microsoft.com/sharepoint/v3"/>
    <xsd:import namespace="f7b95f71-6aa4-45b1-8ae9-1bf61e349db3"/>
    <xsd:import namespace="04d8a8d9-2482-437b-a157-c17eb9e3bcc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2:Critical_x0020_Response_x0020_Date" minOccurs="0"/>
                <xsd:element ref="ns2:Request_x0020_ID" minOccurs="0"/>
                <xsd:element ref="ns2:Contact_x0020_Officer_x0027_s_x0020_Name" minOccurs="0"/>
                <xsd:element ref="ns2:Parliamentarian_x0020_Name" minOccurs="0"/>
                <xsd:element ref="ns2:Is_x0020_this_x0020_Request_x0020_Confidential_x003f_" minOccurs="0"/>
                <xsd:element ref="ns2:d1908460155c4cdb9ee9704e8dfbb083" minOccurs="0"/>
                <xsd:element ref="ns2:TaxCatchAll" minOccurs="0"/>
                <xsd:element ref="ns3:DateF" minOccurs="0"/>
                <xsd:element ref="ns3:HPRM_Sens" minOccurs="0"/>
                <xsd:element ref="ns3:HPRM_Num" minOccurs="0"/>
                <xsd:element ref="ns3:Creator_Author" minOccurs="0"/>
                <xsd:element ref="ns3:MediaServiceAutoTags" minOccurs="0"/>
                <xsd:element ref="ns3:MediaServiceOCR" minOccurs="0"/>
                <xsd:element ref="ns3:MediaServiceGenerationTime" minOccurs="0"/>
                <xsd:element ref="ns3:MediaServiceEventHashCode" minOccurs="0"/>
                <xsd:element ref="ns4:IconOverlay" minOccurs="0"/>
                <xsd:element ref="ns2:SharedWithUsers" minOccurs="0"/>
                <xsd:element ref="ns2:SharedWithDetails" minOccurs="0"/>
                <xsd:element ref="ns3:_Flow_SignoffStatus" minOccurs="0"/>
                <xsd:element ref="ns3:E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95f71-6aa4-45b1-8ae9-1bf61e349d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ritical_x0020_Response_x0020_Date" ma:index="16" nillable="true" ma:displayName="Critical Response Date" ma:format="DateOnly" ma:internalName="Critical_x0020_Response_x0020_Date">
      <xsd:simpleType>
        <xsd:restriction base="dms:DateTime"/>
      </xsd:simpleType>
    </xsd:element>
    <xsd:element name="Request_x0020_ID" ma:index="17" nillable="true" ma:displayName="Request ID" ma:internalName="Request_x0020_ID">
      <xsd:simpleType>
        <xsd:restriction base="dms:Text">
          <xsd:maxLength value="255"/>
        </xsd:restriction>
      </xsd:simpleType>
    </xsd:element>
    <xsd:element name="Contact_x0020_Officer_x0027_s_x0020_Name" ma:index="18" nillable="true" ma:displayName="Contact Officer's Name" ma:internalName="Contact_x0020_Officer_x0027_s_x0020_Name">
      <xsd:simpleType>
        <xsd:restriction base="dms:Text">
          <xsd:maxLength value="255"/>
        </xsd:restriction>
      </xsd:simpleType>
    </xsd:element>
    <xsd:element name="Parliamentarian_x0020_Name" ma:index="19" nillable="true" ma:displayName="Parliamentarian Name" ma:internalName="Parliamentarian_x0020_Name">
      <xsd:simpleType>
        <xsd:restriction base="dms:Text">
          <xsd:maxLength value="255"/>
        </xsd:restriction>
      </xsd:simpleType>
    </xsd:element>
    <xsd:element name="Is_x0020_this_x0020_Request_x0020_Confidential_x003f_" ma:index="20" nillable="true" ma:displayName="Is this Request Confidential?" ma:default="1" ma:internalName="Is_x0020_this_x0020_Request_x0020_Confidential_x003f_">
      <xsd:simpleType>
        <xsd:restriction base="dms:Boolean"/>
      </xsd:simpleType>
    </xsd:element>
    <xsd:element name="d1908460155c4cdb9ee9704e8dfbb083" ma:index="22" ma:taxonomy="true" ma:internalName="d1908460155c4cdb9ee9704e8dfbb083" ma:taxonomyFieldName="Doc_Type_PRQ" ma:displayName="DocType" ma:default="1;#Other|a82e5e6b-4124-495e-bcdc-32042f6b6fbc" ma:fieldId="{d1908460-155c-4cdb-9ee9-704e8dfbb083}" ma:sspId="8511bdff-a9c3-4342-ad56-d9f2319b2060" ma:termSetId="a18ff4e3-1268-49c1-bbce-f08b63b82ba6"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8e8b1106-2348-4358-8a84-5e5c652eb3da}" ma:internalName="TaxCatchAll" ma:showField="CatchAllData" ma:web="f7b95f71-6aa4-45b1-8ae9-1bf61e349db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8a8d9-2482-437b-a157-c17eb9e3bc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F" ma:index="24" nillable="true" ma:displayName="Date Finalised" ma:internalName="DateF">
      <xsd:simpleType>
        <xsd:restriction base="dms:DateTime"/>
      </xsd:simpleType>
    </xsd:element>
    <xsd:element name="HPRM_Sens" ma:index="25" nillable="true" ma:displayName="HPRM Sensitivity" ma:internalName="HPRM_Sens">
      <xsd:simpleType>
        <xsd:restriction base="dms:Text"/>
      </xsd:simpleType>
    </xsd:element>
    <xsd:element name="HPRM_Num" ma:index="26" nillable="true" ma:displayName="HPRM Number" ma:internalName="HPRM_Num">
      <xsd:simpleType>
        <xsd:restriction base="dms:Text"/>
      </xsd:simpleType>
    </xsd:element>
    <xsd:element name="Creator_Author" ma:index="27" nillable="true" ma:displayName="Creator Author" ma:internalName="Creator_Author">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_Flow_SignoffStatus" ma:index="35" nillable="true" ma:displayName="Status" ma:format="Dropdown" ma:internalName="Sign_x002d_off_x0020_status">
      <xsd:simpleType>
        <xsd:restriction base="dms:Choice">
          <xsd:enumeration value="Signed off by PBOr"/>
        </xsd:restriction>
      </xsd:simpleType>
    </xsd:element>
    <xsd:element name="ECR" ma:index="36" nillable="true" ma:displayName="ECR" ma:format="Dropdown" ma:internalName="ECR">
      <xsd:simpleType>
        <xsd:restriction base="dms:Choice">
          <xsd:enumeration value="ECR costing spreadsheet"/>
          <xsd:enumeration value="Need update after sign-off"/>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7b95f71-6aa4-45b1-8ae9-1bf61e349db3">PRQ-2044707780-19078</_dlc_DocId>
    <_dlc_DocIdUrl xmlns="f7b95f71-6aa4-45b1-8ae9-1bf61e349db3">
      <Url>https://pboprotected.sharepoint.com/sites/PRQ-46thParliament/_layouts/15/DocIdRedir.aspx?ID=PRQ-2044707780-19078</Url>
      <Description>PRQ-2044707780-19078</Description>
    </_dlc_DocIdUrl>
    <HPRM_Num xmlns="04d8a8d9-2482-437b-a157-c17eb9e3bcc6" xsi:nil="true"/>
    <Request_x0020_ID xmlns="f7b95f71-6aa4-45b1-8ae9-1bf61e349db3">PR-2021-8556</Request_x0020_ID>
    <Contact_x0020_Officer_x0027_s_x0020_Name xmlns="f7b95f71-6aa4-45b1-8ae9-1bf61e349db3">Jay Tilley</Contact_x0020_Officer_x0027_s_x0020_Name>
    <Creator_Author xmlns="04d8a8d9-2482-437b-a157-c17eb9e3bcc6" xsi:nil="true"/>
    <HPRM_Sens xmlns="04d8a8d9-2482-437b-a157-c17eb9e3bcc6" xsi:nil="true"/>
    <IconOverlay xmlns="http://schemas.microsoft.com/sharepoint/v4" xsi:nil="true"/>
    <ECR xmlns="04d8a8d9-2482-437b-a157-c17eb9e3bcc6" xsi:nil="true"/>
    <DocumentSetDescription xmlns="http://schemas.microsoft.com/sharepoint/v3" xsi:nil="true"/>
    <Parliamentarian_x0020_Name xmlns="f7b95f71-6aa4-45b1-8ae9-1bf61e349db3">Adam Bandt MP</Parliamentarian_x0020_Name>
    <d1908460155c4cdb9ee9704e8dfbb083 xmlns="f7b95f71-6aa4-45b1-8ae9-1bf61e349db3">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a82e5e6b-4124-495e-bcdc-32042f6b6fbc</TermId>
        </TermInfo>
      </Terms>
    </d1908460155c4cdb9ee9704e8dfbb083>
    <TaxCatchAll xmlns="f7b95f71-6aa4-45b1-8ae9-1bf61e349db3">
      <Value>1</Value>
    </TaxCatchAll>
    <Is_x0020_this_x0020_Request_x0020_Confidential_x003f_ xmlns="f7b95f71-6aa4-45b1-8ae9-1bf61e349db3">true</Is_x0020_this_x0020_Request_x0020_Confidential_x003f_>
    <Critical_x0020_Response_x0020_Date xmlns="f7b95f71-6aa4-45b1-8ae9-1bf61e349db3">2021-11-04T13:00:00+00:00</Critical_x0020_Response_x0020_Date>
    <DateF xmlns="04d8a8d9-2482-437b-a157-c17eb9e3bcc6" xsi:nil="true"/>
    <_Flow_SignoffStatus xmlns="04d8a8d9-2482-437b-a157-c17eb9e3bcc6"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CEB69-F64D-4D3A-80B2-72212ED8F621}">
  <ds:schemaRefs>
    <ds:schemaRef ds:uri="http://schemas.microsoft.com/sharepoint/events"/>
  </ds:schemaRefs>
</ds:datastoreItem>
</file>

<file path=customXml/itemProps2.xml><?xml version="1.0" encoding="utf-8"?>
<ds:datastoreItem xmlns:ds="http://schemas.openxmlformats.org/officeDocument/2006/customXml" ds:itemID="{EAC08513-16F6-4E77-BD6B-62AF0B7F7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b95f71-6aa4-45b1-8ae9-1bf61e349db3"/>
    <ds:schemaRef ds:uri="04d8a8d9-2482-437b-a157-c17eb9e3bc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A9F88-472E-4085-8E7D-0F31E3B67651}">
  <ds:schemaRefs>
    <ds:schemaRef ds:uri="http://schemas.microsoft.com/office/2006/metadata/properties"/>
    <ds:schemaRef ds:uri="http://schemas.microsoft.com/office/infopath/2007/PartnerControls"/>
    <ds:schemaRef ds:uri="f7b95f71-6aa4-45b1-8ae9-1bf61e349db3"/>
    <ds:schemaRef ds:uri="04d8a8d9-2482-437b-a157-c17eb9e3bcc6"/>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6956DAC7-282D-4C21-8A5D-077A867C5E5B}">
  <ds:schemaRefs>
    <ds:schemaRef ds:uri="http://schemas.openxmlformats.org/officeDocument/2006/bibliography"/>
  </ds:schemaRefs>
</ds:datastoreItem>
</file>

<file path=customXml/itemProps5.xml><?xml version="1.0" encoding="utf-8"?>
<ds:datastoreItem xmlns:ds="http://schemas.openxmlformats.org/officeDocument/2006/customXml" ds:itemID="{59FEEE22-F233-45E8-A772-BD6284AB6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De-classified - PR-2021-8556-Ending Corporate Tax Avoidance - PRR</Template>
  <TotalTime>8</TotalTime>
  <Pages>8</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PR-2021-8556-Ending Corporate Tax Avoidance - PRR.dotx</vt:lpstr>
    </vt:vector>
  </TitlesOfParts>
  <Company>Parliament of Australia</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Ending Corporate Tax Avoidance</dc:title>
  <dc:creator>Parliamentary Budget Office (PBO)</dc:creator>
  <cp:lastPrinted>2021-11-17T03:15:00Z</cp:lastPrinted>
  <dcterms:created xsi:type="dcterms:W3CDTF">2021-11-15T22:57:00Z</dcterms:created>
  <dcterms:modified xsi:type="dcterms:W3CDTF">2021-11-17T03:15:00Z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ContentTypeId">
    <vt:lpwstr>0x010100197EF8788234EB4FBF69E4EFE23F3008</vt:lpwstr>
  </property>
  <property fmtid="{D5CDD505-2E9C-101B-9397-08002B2CF9AE}" pid="13" name="_dlc_DocIdItemGuid">
    <vt:lpwstr>ac801240-3075-4560-bb29-6eb06fb5eed3</vt:lpwstr>
  </property>
  <property fmtid="{D5CDD505-2E9C-101B-9397-08002B2CF9AE}" pid="14" name="Doc_Type_PRQ">
    <vt:lpwstr>1;#Other|a82e5e6b-4124-495e-bcdc-32042f6b6fbc</vt:lpwstr>
  </property>
  <property fmtid="{D5CDD505-2E9C-101B-9397-08002B2CF9AE}" pid="15" name="_docset_NoMedatataSyncRequired">
    <vt:lpwstr>False</vt:lpwstr>
  </property>
  <property fmtid="{D5CDD505-2E9C-101B-9397-08002B2CF9AE}" pid="16" name="MSIP_Label_02081b7c-3c5d-4266-a0e9-2dfd3c6da554_Enabled">
    <vt:lpwstr>true</vt:lpwstr>
  </property>
  <property fmtid="{D5CDD505-2E9C-101B-9397-08002B2CF9AE}" pid="17" name="MSIP_Label_02081b7c-3c5d-4266-a0e9-2dfd3c6da554_SetDate">
    <vt:lpwstr>2021-11-17T03:14:55Z</vt:lpwstr>
  </property>
  <property fmtid="{D5CDD505-2E9C-101B-9397-08002B2CF9AE}" pid="18" name="MSIP_Label_02081b7c-3c5d-4266-a0e9-2dfd3c6da554_Method">
    <vt:lpwstr>Privileged</vt:lpwstr>
  </property>
  <property fmtid="{D5CDD505-2E9C-101B-9397-08002B2CF9AE}" pid="19" name="MSIP_Label_02081b7c-3c5d-4266-a0e9-2dfd3c6da554_Name">
    <vt:lpwstr>OFFICIAL Sensitive</vt:lpwstr>
  </property>
  <property fmtid="{D5CDD505-2E9C-101B-9397-08002B2CF9AE}" pid="20" name="MSIP_Label_02081b7c-3c5d-4266-a0e9-2dfd3c6da554_SiteId">
    <vt:lpwstr>dc2a6fc4-3a5c-4009-8148-25a15ab44bf4</vt:lpwstr>
  </property>
  <property fmtid="{D5CDD505-2E9C-101B-9397-08002B2CF9AE}" pid="21" name="MSIP_Label_02081b7c-3c5d-4266-a0e9-2dfd3c6da554_ActionId">
    <vt:lpwstr>0c6c656a-e9ea-4371-b135-09e0ff9bf68e</vt:lpwstr>
  </property>
  <property fmtid="{D5CDD505-2E9C-101B-9397-08002B2CF9AE}" pid="22" name="MSIP_Label_02081b7c-3c5d-4266-a0e9-2dfd3c6da554_ContentBits">
    <vt:lpwstr>3</vt:lpwstr>
  </property>
</Properties>
</file>