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6490" w14:textId="77777777" w:rsidR="00AA478E" w:rsidRDefault="00AA478E" w:rsidP="00AA478E">
      <w:pPr>
        <w:pStyle w:val="Heading1spacebefore"/>
        <w:tabs>
          <w:tab w:val="left" w:pos="2694"/>
        </w:tabs>
        <w:spacing w:before="480" w:after="240"/>
        <w:rPr>
          <w:sz w:val="32"/>
        </w:rPr>
      </w:pPr>
      <w:bookmarkStart w:id="0" w:name="_GoBack"/>
      <w:bookmarkEnd w:id="0"/>
      <w:r w:rsidRPr="008D4FA9">
        <w:rPr>
          <w:sz w:val="32"/>
        </w:rPr>
        <w:t xml:space="preserve">Policy costing </w:t>
      </w:r>
    </w:p>
    <w:tbl>
      <w:tblPr>
        <w:tblStyle w:val="LightGrid-Accent6"/>
        <w:tblW w:w="4992" w:type="pct"/>
        <w:tblLook w:val="0600" w:firstRow="0" w:lastRow="0" w:firstColumn="0" w:lastColumn="0" w:noHBand="1" w:noVBand="1"/>
      </w:tblPr>
      <w:tblGrid>
        <w:gridCol w:w="3537"/>
        <w:gridCol w:w="2763"/>
        <w:gridCol w:w="2736"/>
      </w:tblGrid>
      <w:tr w:rsidR="00AA478E" w:rsidRPr="008D77AF" w14:paraId="7678E8B2" w14:textId="77777777" w:rsidTr="00313385">
        <w:tc>
          <w:tcPr>
            <w:tcW w:w="5000" w:type="pct"/>
            <w:gridSpan w:val="3"/>
            <w:shd w:val="clear" w:color="auto" w:fill="A7B2D4" w:themeFill="background2" w:themeFillTint="66"/>
          </w:tcPr>
          <w:p w14:paraId="4133ACCC" w14:textId="51039D64" w:rsidR="00AA478E" w:rsidRPr="008D77AF" w:rsidRDefault="00030EAA" w:rsidP="00013620">
            <w:pPr>
              <w:pStyle w:val="Nameofproposal"/>
            </w:pPr>
            <w:r w:rsidRPr="001614FE">
              <w:t>Billionaire’s tax</w:t>
            </w:r>
          </w:p>
        </w:tc>
      </w:tr>
      <w:tr w:rsidR="00AA478E" w:rsidRPr="008D77AF" w14:paraId="4E03BD60" w14:textId="77777777" w:rsidTr="00313385">
        <w:tc>
          <w:tcPr>
            <w:tcW w:w="1957" w:type="pct"/>
          </w:tcPr>
          <w:p w14:paraId="1783E5A9" w14:textId="77777777" w:rsidR="00AA478E" w:rsidRPr="008D77AF" w:rsidRDefault="00AA478E" w:rsidP="00696DCC">
            <w:pPr>
              <w:pStyle w:val="BodyText"/>
            </w:pPr>
            <w:r w:rsidRPr="008D77AF">
              <w:t>Person/party requesting the costing:</w:t>
            </w:r>
          </w:p>
        </w:tc>
        <w:tc>
          <w:tcPr>
            <w:tcW w:w="3043" w:type="pct"/>
            <w:gridSpan w:val="2"/>
            <w:tcBorders>
              <w:bottom w:val="single" w:sz="8" w:space="0" w:color="788183" w:themeColor="accent6"/>
            </w:tcBorders>
          </w:tcPr>
          <w:p w14:paraId="3A0E3493" w14:textId="28A5353D" w:rsidR="00AA478E" w:rsidRPr="008D77AF" w:rsidRDefault="00315F54" w:rsidP="00696DCC">
            <w:pPr>
              <w:pStyle w:val="BodyText"/>
            </w:pPr>
            <w:sdt>
              <w:sdtPr>
                <w:alias w:val="Requestor"/>
                <w:tag w:val="Requestor"/>
                <w:id w:val="39022088"/>
                <w:placeholder>
                  <w:docPart w:val="8D27A57A2DCD44609FEBCB9C1BC854F1"/>
                </w:placeholder>
                <w:dropDownList>
                  <w:listItem w:value="Choose an item."/>
                  <w:listItem w:displayText="Mr Adam Bandt MP, Australian Greens" w:value="Mr Adam Bandt MP, Australian Greens"/>
                  <w:listItem w:displayText="Dr Jim Chalmers MP, Australian Labor Party" w:value="Dr Jim Chalmers MP, Australian Labor Party"/>
                  <w:listItem w:displayText="Mr Stephen Jones MP, Australian Labor Party" w:value="Mr Stephen Jones MP, Australian Labor Party"/>
                  <w:listItem w:displayText="Senator Katy Gallagher, Australian Labor Party" w:value="Senator Katy Gallagher, Australian Labor Party"/>
                  <w:listItem w:displayText="The Hon Tanya Plibersek MP, Australian Labor Party" w:value="The Hon Tanya Plibersek MP, Australian Labor Party"/>
                  <w:listItem w:displayText="The Hon Linda Burney MP, Australian Labor Party" w:value="The Hon Linda Burney MP, Australian Labor Party"/>
                  <w:listItem w:displayText="Senator Jacqui Lambie, Jacqui Lambie Network" w:value="Senator Jacqui Lambie, Jacqui Lambie Network"/>
                  <w:listItem w:displayText="Mr Bert van Manen MP, Member for Forde" w:value="Mr Bert van Manen MP, Member for Forde"/>
                  <w:listItem w:displayText="Ms Rebekha Sharkie MP, Member for Mayo" w:value="Ms Rebekha Sharkie MP, Member for Mayo"/>
                  <w:listItem w:displayText="Senator Kimberley Kitching, Senator for Victoria" w:value="Senator Kimberley Kitching, Senator for Victoria"/>
                </w:dropDownList>
              </w:sdtPr>
              <w:sdtEndPr/>
              <w:sdtContent>
                <w:r w:rsidR="00003B18">
                  <w:t>Mr Adam Bandt MP, Australian Greens</w:t>
                </w:r>
              </w:sdtContent>
            </w:sdt>
          </w:p>
        </w:tc>
      </w:tr>
      <w:tr w:rsidR="00AA478E" w:rsidRPr="008D77AF" w14:paraId="6E25A085" w14:textId="77777777" w:rsidTr="00313385">
        <w:tc>
          <w:tcPr>
            <w:tcW w:w="1957" w:type="pct"/>
          </w:tcPr>
          <w:p w14:paraId="0084DAC7" w14:textId="77777777" w:rsidR="00AA478E" w:rsidRPr="008D77AF" w:rsidRDefault="00AA478E" w:rsidP="00696DCC">
            <w:pPr>
              <w:pStyle w:val="BodyText"/>
            </w:pPr>
            <w:r w:rsidRPr="008D77AF">
              <w:t>Date costing completed:</w:t>
            </w:r>
          </w:p>
        </w:tc>
        <w:tc>
          <w:tcPr>
            <w:tcW w:w="3043" w:type="pct"/>
            <w:gridSpan w:val="2"/>
          </w:tcPr>
          <w:p w14:paraId="03C9C20A" w14:textId="7F5EE5C4" w:rsidR="00AA478E" w:rsidRPr="008D77AF" w:rsidRDefault="00F12878" w:rsidP="00D626EF">
            <w:pPr>
              <w:pStyle w:val="BodyText"/>
            </w:pPr>
            <w:r>
              <w:t>2</w:t>
            </w:r>
            <w:r w:rsidR="00D626EF">
              <w:t>5</w:t>
            </w:r>
            <w:r w:rsidRPr="001614FE">
              <w:t xml:space="preserve"> </w:t>
            </w:r>
            <w:r w:rsidR="00030EAA" w:rsidRPr="001614FE">
              <w:t>March 2021</w:t>
            </w:r>
          </w:p>
        </w:tc>
      </w:tr>
      <w:tr w:rsidR="00AA478E" w:rsidRPr="008D77AF" w14:paraId="587BD8A4" w14:textId="77777777" w:rsidTr="00313385">
        <w:tc>
          <w:tcPr>
            <w:tcW w:w="1957" w:type="pct"/>
          </w:tcPr>
          <w:p w14:paraId="348BFE11" w14:textId="77777777" w:rsidR="00AA478E" w:rsidRPr="008D77AF" w:rsidRDefault="00AA478E" w:rsidP="00696DCC">
            <w:pPr>
              <w:pStyle w:val="BodyText"/>
            </w:pPr>
            <w:r w:rsidRPr="008D77AF">
              <w:t>Expiry date of the costing:</w:t>
            </w:r>
          </w:p>
        </w:tc>
        <w:tc>
          <w:tcPr>
            <w:tcW w:w="3043" w:type="pct"/>
            <w:gridSpan w:val="2"/>
          </w:tcPr>
          <w:p w14:paraId="799EB467" w14:textId="77777777" w:rsidR="00AA478E" w:rsidRPr="008D77AF" w:rsidRDefault="00AA478E" w:rsidP="00696DCC">
            <w:pPr>
              <w:pStyle w:val="BodyText"/>
            </w:pPr>
            <w:r w:rsidRPr="008D77AF">
              <w:t>Release of the next economic and fiscal outlook report.</w:t>
            </w:r>
          </w:p>
        </w:tc>
      </w:tr>
      <w:tr w:rsidR="00AA478E" w14:paraId="677F6712" w14:textId="77777777" w:rsidTr="00313385">
        <w:tc>
          <w:tcPr>
            <w:tcW w:w="1957" w:type="pct"/>
            <w:vMerge w:val="restart"/>
          </w:tcPr>
          <w:p w14:paraId="2232E3EC" w14:textId="77777777" w:rsidR="00AA478E" w:rsidRDefault="00AA478E" w:rsidP="00696DCC">
            <w:pPr>
              <w:pStyle w:val="BodyText"/>
            </w:pPr>
            <w:r>
              <w:t>Status at time of request</w:t>
            </w:r>
            <w:r w:rsidRPr="008D77AF">
              <w:t>:</w:t>
            </w:r>
          </w:p>
        </w:tc>
        <w:tc>
          <w:tcPr>
            <w:tcW w:w="3043" w:type="pct"/>
            <w:gridSpan w:val="2"/>
            <w:tcBorders>
              <w:bottom w:val="nil"/>
              <w:right w:val="single" w:sz="8" w:space="0" w:color="788183" w:themeColor="accent6"/>
            </w:tcBorders>
          </w:tcPr>
          <w:p w14:paraId="155E8E22" w14:textId="77777777" w:rsidR="00AA478E" w:rsidRDefault="00AA478E" w:rsidP="00696DCC">
            <w:pPr>
              <w:pStyle w:val="BodyText"/>
            </w:pPr>
            <w:r>
              <w:t>Submitted outside the caretaker period</w:t>
            </w:r>
          </w:p>
        </w:tc>
      </w:tr>
      <w:tr w:rsidR="00AA478E" w:rsidRPr="008D77AF" w14:paraId="342A5CC2" w14:textId="77777777" w:rsidTr="00313385">
        <w:tc>
          <w:tcPr>
            <w:tcW w:w="1957" w:type="pct"/>
            <w:vMerge/>
          </w:tcPr>
          <w:p w14:paraId="1DA20AA3" w14:textId="77777777" w:rsidR="00AA478E" w:rsidRPr="008D77AF" w:rsidRDefault="00AA478E" w:rsidP="00013620">
            <w:pPr>
              <w:pStyle w:val="PullOutBoxBodyText"/>
              <w:ind w:left="0" w:right="0"/>
            </w:pPr>
          </w:p>
        </w:tc>
        <w:tc>
          <w:tcPr>
            <w:tcW w:w="1529" w:type="pct"/>
            <w:tcBorders>
              <w:top w:val="nil"/>
              <w:right w:val="nil"/>
            </w:tcBorders>
          </w:tcPr>
          <w:p w14:paraId="6C7ED4AC" w14:textId="6E8B57BF" w:rsidR="00AA478E" w:rsidRPr="008D77AF" w:rsidRDefault="00315F54" w:rsidP="00696DCC">
            <w:pPr>
              <w:pStyle w:val="BodyText"/>
            </w:pPr>
            <w:sdt>
              <w:sdtPr>
                <w:id w:val="-901915855"/>
                <w14:checkbox>
                  <w14:checked w14:val="1"/>
                  <w14:checkedState w14:val="2612" w14:font="MS Gothic"/>
                  <w14:uncheckedState w14:val="2610" w14:font="MS Gothic"/>
                </w14:checkbox>
              </w:sdtPr>
              <w:sdtEndPr/>
              <w:sdtContent>
                <w:r w:rsidR="00003B18">
                  <w:rPr>
                    <w:rFonts w:ascii="MS Gothic" w:eastAsia="MS Gothic" w:hAnsi="MS Gothic" w:hint="eastAsia"/>
                  </w:rPr>
                  <w:t>☒</w:t>
                </w:r>
              </w:sdtContent>
            </w:sdt>
            <w:r w:rsidR="00AA478E" w:rsidRPr="008D77AF">
              <w:t xml:space="preserve"> </w:t>
            </w:r>
            <w:r w:rsidR="00AA478E">
              <w:t>Confidential</w:t>
            </w:r>
          </w:p>
        </w:tc>
        <w:tc>
          <w:tcPr>
            <w:tcW w:w="1514" w:type="pct"/>
            <w:tcBorders>
              <w:top w:val="nil"/>
              <w:left w:val="nil"/>
              <w:right w:val="single" w:sz="8" w:space="0" w:color="788183" w:themeColor="accent6"/>
            </w:tcBorders>
          </w:tcPr>
          <w:p w14:paraId="58B1B2EF" w14:textId="6AF32D66" w:rsidR="00AA478E" w:rsidRPr="008D77AF" w:rsidRDefault="00315F54" w:rsidP="00696DCC">
            <w:pPr>
              <w:pStyle w:val="BodyText"/>
            </w:pPr>
            <w:sdt>
              <w:sdtPr>
                <w:id w:val="1635065970"/>
                <w14:checkbox>
                  <w14:checked w14:val="0"/>
                  <w14:checkedState w14:val="2612" w14:font="MS Gothic"/>
                  <w14:uncheckedState w14:val="2610" w14:font="MS Gothic"/>
                </w14:checkbox>
              </w:sdtPr>
              <w:sdtEndPr/>
              <w:sdtContent>
                <w:r w:rsidR="00AA478E" w:rsidRPr="008D77AF">
                  <w:rPr>
                    <w:rFonts w:ascii="MS Gothic" w:eastAsia="MS Gothic" w:hAnsi="MS Gothic" w:hint="eastAsia"/>
                  </w:rPr>
                  <w:t>☐</w:t>
                </w:r>
              </w:sdtContent>
            </w:sdt>
            <w:r w:rsidR="00AA478E" w:rsidRPr="008D77AF">
              <w:t xml:space="preserve"> No</w:t>
            </w:r>
            <w:r w:rsidR="00AA478E">
              <w:t>t confidential</w:t>
            </w:r>
          </w:p>
        </w:tc>
      </w:tr>
      <w:tr w:rsidR="00AA478E" w:rsidRPr="008D77AF" w14:paraId="31F7AB33" w14:textId="77777777" w:rsidTr="00313385">
        <w:tc>
          <w:tcPr>
            <w:tcW w:w="5000" w:type="pct"/>
            <w:gridSpan w:val="3"/>
          </w:tcPr>
          <w:p w14:paraId="58354176" w14:textId="6CDBB7A5" w:rsidR="00AA478E" w:rsidRPr="00E75D5E" w:rsidRDefault="00AA478E" w:rsidP="00696DCC">
            <w:pPr>
              <w:pStyle w:val="BodyText"/>
            </w:pPr>
            <w:r w:rsidRPr="00E75D5E">
              <w:t>Summary of proposal:</w:t>
            </w:r>
          </w:p>
          <w:p w14:paraId="426757B1" w14:textId="5BE40E54" w:rsidR="00030EAA" w:rsidRPr="006F6496" w:rsidRDefault="00030EAA" w:rsidP="00030EAA">
            <w:pPr>
              <w:pStyle w:val="BodyText"/>
            </w:pPr>
            <w:r w:rsidRPr="001614FE">
              <w:t xml:space="preserve">The proposal would introduce an annual tax levied on the net </w:t>
            </w:r>
            <w:r>
              <w:t>wealth</w:t>
            </w:r>
            <w:r w:rsidRPr="001614FE">
              <w:t xml:space="preserve"> </w:t>
            </w:r>
            <w:r>
              <w:t>of</w:t>
            </w:r>
            <w:r w:rsidRPr="001614FE">
              <w:t xml:space="preserve"> Australian </w:t>
            </w:r>
            <w:r w:rsidRPr="006F6496">
              <w:t>residents</w:t>
            </w:r>
            <w:r>
              <w:t>,</w:t>
            </w:r>
            <w:r w:rsidRPr="006F6496">
              <w:t xml:space="preserve"> regardless of where their assets are held</w:t>
            </w:r>
            <w:r>
              <w:t>,</w:t>
            </w:r>
            <w:r w:rsidRPr="006F6496">
              <w:t xml:space="preserve"> and the net wealth of non-residents who hold Aust</w:t>
            </w:r>
            <w:r w:rsidR="00EF4CF5">
              <w:t xml:space="preserve">ralian assets from 1 July 2022.  </w:t>
            </w:r>
          </w:p>
          <w:p w14:paraId="119C02C9" w14:textId="77777777" w:rsidR="00030EAA" w:rsidRPr="007471A5" w:rsidRDefault="00030EAA" w:rsidP="00030EAA">
            <w:pPr>
              <w:pStyle w:val="ListBullet"/>
              <w:ind w:left="284" w:hanging="284"/>
            </w:pPr>
            <w:r w:rsidRPr="007F3BF6">
              <w:t>Australian adult residents’</w:t>
            </w:r>
            <w:r w:rsidRPr="0092561E">
              <w:t xml:space="preserve"> net wealth would be equal to the value of all assets minus all</w:t>
            </w:r>
            <w:r w:rsidRPr="007471A5">
              <w:t xml:space="preserve"> liabilities</w:t>
            </w:r>
            <w:r>
              <w:t>.</w:t>
            </w:r>
          </w:p>
          <w:p w14:paraId="2923988F" w14:textId="77777777" w:rsidR="00030EAA" w:rsidRPr="007471A5" w:rsidRDefault="00030EAA" w:rsidP="00030EAA">
            <w:pPr>
              <w:pStyle w:val="ListBullet"/>
              <w:ind w:left="284" w:hanging="284"/>
            </w:pPr>
            <w:r w:rsidRPr="007471A5">
              <w:t>Non-residents</w:t>
            </w:r>
            <w:r>
              <w:t>’ net wealth would be equal to the value of their Australian assets minus Australian liabilities.</w:t>
            </w:r>
          </w:p>
          <w:p w14:paraId="55A080FC" w14:textId="77777777" w:rsidR="00030EAA" w:rsidRPr="006F6496" w:rsidRDefault="00030EAA" w:rsidP="00030EAA">
            <w:pPr>
              <w:pStyle w:val="BodyText"/>
            </w:pPr>
            <w:r w:rsidRPr="006F6496">
              <w:t>The following features of the tax would apply to both residents and non-residents</w:t>
            </w:r>
            <w:r>
              <w:t>.</w:t>
            </w:r>
          </w:p>
          <w:p w14:paraId="322ECDC8" w14:textId="7B437394" w:rsidR="00D626EF" w:rsidRDefault="00D626EF" w:rsidP="00030EAA">
            <w:pPr>
              <w:pStyle w:val="ListBullet"/>
              <w:ind w:left="284" w:hanging="284"/>
            </w:pPr>
            <w:r w:rsidRPr="003E43D5">
              <w:t xml:space="preserve">The tax would be levied at 6 per cent </w:t>
            </w:r>
            <w:r>
              <w:t>of each individual’s net wealth amount</w:t>
            </w:r>
            <w:r w:rsidRPr="003E43D5">
              <w:t xml:space="preserve"> above $1 billion.</w:t>
            </w:r>
          </w:p>
          <w:p w14:paraId="3D4DA2BA" w14:textId="48993B9C" w:rsidR="00030EAA" w:rsidRDefault="00030EAA" w:rsidP="00030EAA">
            <w:pPr>
              <w:pStyle w:val="ListBullet"/>
              <w:ind w:left="284" w:hanging="284"/>
            </w:pPr>
            <w:r>
              <w:t>The assessable net wealth would be calculated as at 30 June of each financial year.</w:t>
            </w:r>
          </w:p>
          <w:p w14:paraId="66688DCA" w14:textId="77777777" w:rsidR="00030EAA" w:rsidRPr="006F6496" w:rsidRDefault="00030EAA" w:rsidP="00030EAA">
            <w:pPr>
              <w:pStyle w:val="ListBullet"/>
              <w:ind w:left="284" w:hanging="284"/>
            </w:pPr>
            <w:r>
              <w:t>The net wealth of adults would include any taxable assets held by their children.</w:t>
            </w:r>
          </w:p>
          <w:p w14:paraId="54145E84" w14:textId="77777777" w:rsidR="00030EAA" w:rsidRPr="006F6496" w:rsidRDefault="00030EAA" w:rsidP="00030EAA">
            <w:pPr>
              <w:pStyle w:val="ListBullet"/>
              <w:ind w:left="284" w:hanging="284"/>
            </w:pPr>
            <w:r>
              <w:t>A</w:t>
            </w:r>
            <w:r w:rsidRPr="006F6496">
              <w:t>ssets, both financial and non-financial, over the value of $50,000 would be included in taxable wealth.</w:t>
            </w:r>
          </w:p>
          <w:p w14:paraId="2C7AC984" w14:textId="77777777" w:rsidR="00030EAA" w:rsidRPr="0092561E" w:rsidRDefault="00030EAA" w:rsidP="00030EAA">
            <w:pPr>
              <w:pStyle w:val="ListBullet"/>
              <w:ind w:left="284" w:hanging="284"/>
            </w:pPr>
            <w:r w:rsidRPr="007F3BF6">
              <w:t xml:space="preserve">Initial net wealth valuations would be determined as at the date of policy announcement.  </w:t>
            </w:r>
          </w:p>
          <w:p w14:paraId="7D91A571" w14:textId="77777777" w:rsidR="00030EAA" w:rsidRDefault="00030EAA" w:rsidP="00030EAA">
            <w:pPr>
              <w:pStyle w:val="ListBullet"/>
              <w:numPr>
                <w:ilvl w:val="0"/>
                <w:numId w:val="46"/>
              </w:numPr>
              <w:tabs>
                <w:tab w:val="clear" w:pos="454"/>
                <w:tab w:val="num" w:pos="591"/>
              </w:tabs>
              <w:ind w:left="568" w:hanging="284"/>
            </w:pPr>
            <w:r w:rsidRPr="007471A5">
              <w:t>For non-residents</w:t>
            </w:r>
            <w:r>
              <w:t>,</w:t>
            </w:r>
            <w:r w:rsidRPr="007471A5">
              <w:t xml:space="preserve"> </w:t>
            </w:r>
            <w:r>
              <w:t xml:space="preserve">up to </w:t>
            </w:r>
            <w:r w:rsidRPr="007471A5">
              <w:t>10 per cent of the initial wealth value would be exempt from</w:t>
            </w:r>
            <w:r>
              <w:t xml:space="preserve"> the</w:t>
            </w:r>
            <w:r w:rsidRPr="007471A5">
              <w:t xml:space="preserve"> </w:t>
            </w:r>
            <w:r>
              <w:t>taxable wealth calculation</w:t>
            </w:r>
            <w:r w:rsidRPr="007471A5">
              <w:t xml:space="preserve"> each year if the wealth is moved offshore.  This means that in the first year</w:t>
            </w:r>
            <w:r>
              <w:t>,</w:t>
            </w:r>
            <w:r w:rsidRPr="007471A5">
              <w:t xml:space="preserve"> the remaining 90 per cent of the initial value would be tax</w:t>
            </w:r>
            <w:r>
              <w:t>able</w:t>
            </w:r>
            <w:r w:rsidRPr="007471A5">
              <w:t xml:space="preserve">, even if more than 10 per cent is moved offshore.  In the second year another 10 per cent of the initial wealth value would be exempt from tax if it is moved offshore and </w:t>
            </w:r>
            <w:r>
              <w:t>8</w:t>
            </w:r>
            <w:r w:rsidRPr="007471A5">
              <w:t xml:space="preserve">0 per cent </w:t>
            </w:r>
            <w:r>
              <w:t xml:space="preserve">of the initial wealth value </w:t>
            </w:r>
            <w:r w:rsidRPr="007471A5">
              <w:t>would be tax</w:t>
            </w:r>
            <w:r>
              <w:t>able</w:t>
            </w:r>
            <w:r w:rsidRPr="007471A5">
              <w:t xml:space="preserve">.  This pattern would continue each year so long </w:t>
            </w:r>
            <w:r>
              <w:t xml:space="preserve">as </w:t>
            </w:r>
            <w:r w:rsidRPr="007471A5">
              <w:t xml:space="preserve">funds continue to be moved offshore.   </w:t>
            </w:r>
          </w:p>
          <w:p w14:paraId="5784CDBF" w14:textId="77777777" w:rsidR="00030EAA" w:rsidRPr="006F6496" w:rsidRDefault="00030EAA" w:rsidP="00030EAA">
            <w:pPr>
              <w:pStyle w:val="ListBullet"/>
              <w:numPr>
                <w:ilvl w:val="0"/>
                <w:numId w:val="46"/>
              </w:numPr>
              <w:tabs>
                <w:tab w:val="clear" w:pos="454"/>
                <w:tab w:val="num" w:pos="591"/>
              </w:tabs>
              <w:ind w:left="568" w:hanging="284"/>
            </w:pPr>
            <w:r w:rsidRPr="007471A5">
              <w:t>Resident taxpayers would remain subject to tax on their global net wealth.</w:t>
            </w:r>
          </w:p>
          <w:p w14:paraId="64AB6A5B" w14:textId="77777777" w:rsidR="00D626EF" w:rsidRDefault="00030EAA" w:rsidP="00030EAA">
            <w:pPr>
              <w:pStyle w:val="ListBullet"/>
              <w:ind w:left="284" w:hanging="284"/>
            </w:pPr>
            <w:r w:rsidRPr="006F6496">
              <w:t xml:space="preserve">Each year the amount of tax that </w:t>
            </w:r>
            <w:r w:rsidR="00D626EF">
              <w:t>arises</w:t>
            </w:r>
            <w:r w:rsidRPr="006F6496">
              <w:t xml:space="preserve"> from </w:t>
            </w:r>
            <w:r w:rsidR="00D626EF">
              <w:t xml:space="preserve">a single </w:t>
            </w:r>
            <w:r w:rsidRPr="006F6496">
              <w:t xml:space="preserve">real estate holding </w:t>
            </w:r>
            <w:r>
              <w:t>c</w:t>
            </w:r>
            <w:r w:rsidRPr="0092561E">
              <w:t xml:space="preserve">ould </w:t>
            </w:r>
            <w:r w:rsidRPr="007471A5">
              <w:t xml:space="preserve">be deferred – and secured against the title of the property – </w:t>
            </w:r>
            <w:r>
              <w:t>up to an amount equal to</w:t>
            </w:r>
            <w:r w:rsidRPr="0092561E">
              <w:t xml:space="preserve"> </w:t>
            </w:r>
            <w:r w:rsidRPr="007471A5">
              <w:t>80 per cent of the value of the property.  Once 80 per cent is reached</w:t>
            </w:r>
            <w:r>
              <w:t>,</w:t>
            </w:r>
            <w:r w:rsidRPr="007471A5">
              <w:t xml:space="preserve"> all additional tax derived from real estate would be payable when each year’s tax is due.  </w:t>
            </w:r>
          </w:p>
          <w:p w14:paraId="1CD5EF3B" w14:textId="1F1C1C46" w:rsidR="00030EAA" w:rsidRPr="007471A5" w:rsidRDefault="00030EAA" w:rsidP="00D626EF">
            <w:pPr>
              <w:pStyle w:val="ListBullet"/>
              <w:numPr>
                <w:ilvl w:val="0"/>
                <w:numId w:val="46"/>
              </w:numPr>
              <w:tabs>
                <w:tab w:val="clear" w:pos="454"/>
                <w:tab w:val="num" w:pos="591"/>
              </w:tabs>
              <w:ind w:left="568" w:hanging="284"/>
            </w:pPr>
            <w:r w:rsidRPr="007471A5">
              <w:lastRenderedPageBreak/>
              <w:t xml:space="preserve">The deferred tax liability would be </w:t>
            </w:r>
            <w:r w:rsidRPr="003E43D5">
              <w:t xml:space="preserve">limited to </w:t>
            </w:r>
            <w:r w:rsidR="00EF4CF5" w:rsidRPr="003E43D5">
              <w:t>a</w:t>
            </w:r>
            <w:r w:rsidRPr="003E43D5">
              <w:t xml:space="preserve"> single property (or single group of properties for agricultural holdings)</w:t>
            </w:r>
            <w:r w:rsidR="00EF4CF5" w:rsidRPr="003E43D5">
              <w:t xml:space="preserve"> for each individual</w:t>
            </w:r>
            <w:r w:rsidRPr="007471A5">
              <w:t xml:space="preserve">.  </w:t>
            </w:r>
          </w:p>
          <w:p w14:paraId="564771EA" w14:textId="311B888C" w:rsidR="00030EAA" w:rsidRPr="007471A5" w:rsidRDefault="00030EAA" w:rsidP="00030EAA">
            <w:pPr>
              <w:pStyle w:val="ListBullet"/>
              <w:ind w:left="284" w:hanging="284"/>
            </w:pPr>
            <w:r w:rsidRPr="007471A5">
              <w:t xml:space="preserve">Real estate would be considered first in the calculation of net wealth for tax purposes.  This means </w:t>
            </w:r>
            <w:r>
              <w:t xml:space="preserve">that </w:t>
            </w:r>
            <w:r w:rsidRPr="0092561E">
              <w:t>up to $</w:t>
            </w:r>
            <w:r w:rsidR="00EF4CF5">
              <w:t>1</w:t>
            </w:r>
            <w:r w:rsidRPr="0092561E">
              <w:t xml:space="preserve"> </w:t>
            </w:r>
            <w:r w:rsidR="00EF4CF5">
              <w:t>b</w:t>
            </w:r>
            <w:r w:rsidRPr="0092561E">
              <w:t xml:space="preserve">illion of real estate would be exempt from </w:t>
            </w:r>
            <w:r>
              <w:t xml:space="preserve">the </w:t>
            </w:r>
            <w:r w:rsidRPr="0092561E">
              <w:t>tax due to t</w:t>
            </w:r>
            <w:r w:rsidR="006D4057">
              <w:t>he $</w:t>
            </w:r>
            <w:r w:rsidR="00EF4CF5">
              <w:t>1 b</w:t>
            </w:r>
            <w:r w:rsidRPr="0092561E">
              <w:t>illion tax</w:t>
            </w:r>
            <w:r w:rsidRPr="0092561E">
              <w:noBreakHyphen/>
              <w:t>free</w:t>
            </w:r>
            <w:r w:rsidRPr="0092561E">
              <w:noBreakHyphen/>
              <w:t xml:space="preserve">threshold and </w:t>
            </w:r>
            <w:r w:rsidRPr="007471A5">
              <w:t>would not be deferred as outlined in the previous point.</w:t>
            </w:r>
          </w:p>
          <w:p w14:paraId="56E5338E" w14:textId="420A6799" w:rsidR="00AA478E" w:rsidRPr="008D77AF" w:rsidRDefault="00030EAA" w:rsidP="00EC107D">
            <w:pPr>
              <w:pStyle w:val="BodyText"/>
            </w:pPr>
            <w:r w:rsidRPr="006F6496">
              <w:t>The A</w:t>
            </w:r>
            <w:r w:rsidR="006D4057">
              <w:t xml:space="preserve">ustralian </w:t>
            </w:r>
            <w:r w:rsidRPr="006F6496">
              <w:t>T</w:t>
            </w:r>
            <w:r w:rsidR="006D4057">
              <w:t xml:space="preserve">ax </w:t>
            </w:r>
            <w:r w:rsidRPr="006F6496">
              <w:t>O</w:t>
            </w:r>
            <w:r w:rsidR="006D4057">
              <w:t>ffice (ATO)</w:t>
            </w:r>
            <w:r w:rsidRPr="006F6496">
              <w:t xml:space="preserve"> would publish each individual’s aggregate net wealth figure and tax paid each financial year on a National Wealth Register.</w:t>
            </w:r>
          </w:p>
        </w:tc>
      </w:tr>
    </w:tbl>
    <w:p w14:paraId="056F8A7D" w14:textId="77777777" w:rsidR="00AA478E" w:rsidRPr="00D014E1" w:rsidRDefault="00AA478E" w:rsidP="00AA478E">
      <w:pPr>
        <w:pStyle w:val="Heading1"/>
      </w:pPr>
      <w:r w:rsidRPr="00D014E1">
        <w:lastRenderedPageBreak/>
        <w:t>Costing overview</w:t>
      </w:r>
    </w:p>
    <w:p w14:paraId="300B83C5" w14:textId="0D84224D" w:rsidR="00030EAA" w:rsidRPr="001614FE" w:rsidRDefault="00EF4CF5" w:rsidP="00030EAA">
      <w:pPr>
        <w:pStyle w:val="BodyText"/>
      </w:pPr>
      <w:r>
        <w:t>Th</w:t>
      </w:r>
      <w:r w:rsidR="00D626EF">
        <w:t>is</w:t>
      </w:r>
      <w:r>
        <w:t xml:space="preserve"> proposal</w:t>
      </w:r>
      <w:r w:rsidR="00030EAA" w:rsidRPr="001614FE">
        <w:t xml:space="preserve"> would be expected to increase the fiscal balance by </w:t>
      </w:r>
      <w:r w:rsidR="00030EAA" w:rsidRPr="00AA0EDF">
        <w:t>$</w:t>
      </w:r>
      <w:r w:rsidR="007546FE">
        <w:t>11,260</w:t>
      </w:r>
      <w:r w:rsidR="00030EAA" w:rsidRPr="00AA0EDF">
        <w:t xml:space="preserve"> million</w:t>
      </w:r>
      <w:r w:rsidR="00030EAA" w:rsidRPr="001614FE">
        <w:t xml:space="preserve"> and the underlying cash balance by </w:t>
      </w:r>
      <w:r w:rsidR="00030EAA" w:rsidRPr="00AA0EDF">
        <w:t>$</w:t>
      </w:r>
      <w:r w:rsidR="007546FE">
        <w:t>9,870</w:t>
      </w:r>
      <w:r w:rsidR="00030EAA" w:rsidRPr="00AA0EDF">
        <w:t xml:space="preserve"> million</w:t>
      </w:r>
      <w:r w:rsidR="00030EAA" w:rsidRPr="001614FE">
        <w:t xml:space="preserve"> over the 2020</w:t>
      </w:r>
      <w:r w:rsidR="00030EAA" w:rsidRPr="001614FE">
        <w:noBreakHyphen/>
        <w:t xml:space="preserve">21 Budget forward estimates period.  On a fiscal balance basis this impact reflects an increase in revenue of </w:t>
      </w:r>
      <w:r w:rsidR="00030EAA" w:rsidRPr="00AA0EDF">
        <w:t>$</w:t>
      </w:r>
      <w:r w:rsidR="007546FE">
        <w:t>11,370</w:t>
      </w:r>
      <w:r w:rsidR="00030EAA" w:rsidRPr="00AA0EDF">
        <w:t xml:space="preserve"> million</w:t>
      </w:r>
      <w:r w:rsidR="00030EAA" w:rsidRPr="001614FE">
        <w:t xml:space="preserve"> from the billionaire’s tax, partially offset by an increase in </w:t>
      </w:r>
      <w:r w:rsidR="006D4057">
        <w:t>ATO</w:t>
      </w:r>
      <w:r w:rsidR="00030EAA" w:rsidRPr="001614FE">
        <w:t xml:space="preserve"> departmental expenses of $110 million.</w:t>
      </w:r>
    </w:p>
    <w:p w14:paraId="362E4A0E" w14:textId="77777777" w:rsidR="00030EAA" w:rsidRPr="001614FE" w:rsidRDefault="00030EAA" w:rsidP="00030EAA">
      <w:pPr>
        <w:pStyle w:val="BodyText"/>
      </w:pPr>
      <w:r w:rsidRPr="001614FE">
        <w:t>The proposal would be expected to have an ongoing impact that extends beyond the 2020</w:t>
      </w:r>
      <w:r w:rsidRPr="001614FE">
        <w:noBreakHyphen/>
        <w:t xml:space="preserve">21 Budget forward estimates period.  A breakdown of the financial implications over the period to 2030-31 is at </w:t>
      </w:r>
      <w:r w:rsidRPr="001614FE">
        <w:rPr>
          <w:u w:val="single"/>
        </w:rPr>
        <w:t>Attachment A</w:t>
      </w:r>
      <w:r w:rsidRPr="001614FE">
        <w:t xml:space="preserve">.  </w:t>
      </w:r>
    </w:p>
    <w:p w14:paraId="28DBBD79" w14:textId="77777777" w:rsidR="00030EAA" w:rsidRPr="001614FE" w:rsidRDefault="00030EAA" w:rsidP="00030EAA">
      <w:pPr>
        <w:pStyle w:val="BodyText"/>
      </w:pPr>
      <w:r w:rsidRPr="001614FE">
        <w:t>ATO departmental costs to collect and ensure compliance with the billionaire’s tax are estimated to be $3</w:t>
      </w:r>
      <w:r>
        <w:t>5</w:t>
      </w:r>
      <w:r w:rsidRPr="001614FE">
        <w:t> million per year with an additional set</w:t>
      </w:r>
      <w:r>
        <w:t>-</w:t>
      </w:r>
      <w:r w:rsidRPr="001614FE">
        <w:t>up cost of $40 million in the first year of the proposal.</w:t>
      </w:r>
      <w:r w:rsidRPr="006D48FC">
        <w:t xml:space="preserve">  The departmental costs include the costs of establishing and maintaining </w:t>
      </w:r>
      <w:r w:rsidRPr="001614FE">
        <w:t>a National Wealth Register.</w:t>
      </w:r>
    </w:p>
    <w:p w14:paraId="1100A240" w14:textId="77777777" w:rsidR="00030EAA" w:rsidRDefault="00030EAA" w:rsidP="00030EAA">
      <w:pPr>
        <w:pStyle w:val="BodyText"/>
        <w:rPr>
          <w:spacing w:val="-2"/>
        </w:rPr>
      </w:pPr>
      <w:r w:rsidRPr="001614FE">
        <w:rPr>
          <w:spacing w:val="-2"/>
        </w:rPr>
        <w:t>The fiscal balance and underlying cash balance impacts are different due to differences between the timing of when individuals become liable for the billionaire’s tax and when it is paid.</w:t>
      </w:r>
    </w:p>
    <w:p w14:paraId="605D3C2D" w14:textId="77777777" w:rsidR="00030EAA" w:rsidRPr="001614FE" w:rsidRDefault="00030EAA" w:rsidP="00030EAA">
      <w:pPr>
        <w:pStyle w:val="Heading3"/>
      </w:pPr>
      <w:r w:rsidRPr="001614FE">
        <w:t>Uncertainty</w:t>
      </w:r>
    </w:p>
    <w:p w14:paraId="73DA7CC3" w14:textId="77777777" w:rsidR="00030EAA" w:rsidRPr="001614FE" w:rsidRDefault="00030EAA" w:rsidP="00030EAA">
      <w:pPr>
        <w:pStyle w:val="BodyText"/>
      </w:pPr>
      <w:r w:rsidRPr="001614FE">
        <w:t xml:space="preserve">There is a </w:t>
      </w:r>
      <w:r w:rsidRPr="002B458A">
        <w:rPr>
          <w:b/>
        </w:rPr>
        <w:t>very high degree of uncertainty</w:t>
      </w:r>
      <w:r w:rsidRPr="001614FE">
        <w:t xml:space="preserve"> associated with this costing.</w:t>
      </w:r>
    </w:p>
    <w:p w14:paraId="5B32B1A4" w14:textId="19E6E0B8" w:rsidR="00913B51" w:rsidRPr="007C1C80" w:rsidRDefault="00030EAA" w:rsidP="00AF0BF0">
      <w:pPr>
        <w:pStyle w:val="BodyText"/>
      </w:pPr>
      <w:r w:rsidRPr="001614FE">
        <w:t xml:space="preserve">There </w:t>
      </w:r>
      <w:r>
        <w:t xml:space="preserve">is significant </w:t>
      </w:r>
      <w:r w:rsidRPr="001614FE">
        <w:t>uncertainty a</w:t>
      </w:r>
      <w:r>
        <w:t>bout</w:t>
      </w:r>
      <w:r w:rsidRPr="001614FE">
        <w:t xml:space="preserve"> </w:t>
      </w:r>
      <w:r>
        <w:t>the extent to which i</w:t>
      </w:r>
      <w:r w:rsidRPr="001614FE">
        <w:t xml:space="preserve">ndividuals </w:t>
      </w:r>
      <w:r>
        <w:t xml:space="preserve">would comply with the tax, particularly given that it would impose taxes on assets that </w:t>
      </w:r>
      <w:r w:rsidR="00700F43">
        <w:t xml:space="preserve">could </w:t>
      </w:r>
      <w:r>
        <w:t>be many times greater than the taxes imposed under the income tax regime on the earnings from those assets.</w:t>
      </w:r>
      <w:r w:rsidRPr="001614FE">
        <w:t xml:space="preserve">  It is likely that high wealth individuals would employ strategies to avoid or minimise the</w:t>
      </w:r>
      <w:r w:rsidRPr="00611B07">
        <w:t>ir wealth</w:t>
      </w:r>
      <w:r w:rsidRPr="001614FE">
        <w:t xml:space="preserve"> tax</w:t>
      </w:r>
      <w:r w:rsidRPr="00611B07">
        <w:t xml:space="preserve"> </w:t>
      </w:r>
      <w:r w:rsidRPr="001614FE">
        <w:t>liability, which would significantly reduce the revenue raised by the tax.</w:t>
      </w:r>
      <w:r w:rsidRPr="001614FE">
        <w:rPr>
          <w:rStyle w:val="FootnoteReference"/>
        </w:rPr>
        <w:footnoteReference w:id="1"/>
      </w:r>
      <w:r w:rsidRPr="001614FE">
        <w:t xml:space="preserve">  </w:t>
      </w:r>
      <w:r>
        <w:t>For example, c</w:t>
      </w:r>
      <w:r w:rsidRPr="001614FE">
        <w:t xml:space="preserve">ertain forms of wealth are easier to hide or </w:t>
      </w:r>
      <w:r w:rsidRPr="007C1C80">
        <w:t>export than others, such as artwork, jewellery or fungible assets like bank balances.</w:t>
      </w:r>
      <w:r w:rsidR="00F17B27" w:rsidRPr="007C1C80">
        <w:t xml:space="preserve"> </w:t>
      </w:r>
      <w:r w:rsidRPr="007C1C80">
        <w:t xml:space="preserve"> </w:t>
      </w:r>
    </w:p>
    <w:p w14:paraId="3F750370" w14:textId="0A058DD1" w:rsidR="00AF0BF0" w:rsidRPr="007C1C80" w:rsidRDefault="00AF0BF0" w:rsidP="00016880">
      <w:pPr>
        <w:pStyle w:val="ListBullet"/>
        <w:ind w:left="284" w:hanging="284"/>
      </w:pPr>
      <w:r w:rsidRPr="007C1C80">
        <w:t>T</w:t>
      </w:r>
      <w:r w:rsidR="00C54EEE" w:rsidRPr="007C1C80">
        <w:t>o account for this, t</w:t>
      </w:r>
      <w:r w:rsidR="00030EAA" w:rsidRPr="007C1C80">
        <w:t xml:space="preserve">he Parliamentary Budget Office (PBO) has made a high-level adjustment for the potential impact of the behavioural response (see </w:t>
      </w:r>
      <w:r w:rsidR="00030EAA" w:rsidRPr="007C1C80">
        <w:rPr>
          <w:i/>
        </w:rPr>
        <w:t>Key assumptions</w:t>
      </w:r>
      <w:r w:rsidR="00030EAA" w:rsidRPr="007C1C80">
        <w:t>)</w:t>
      </w:r>
      <w:r w:rsidR="00C54EEE" w:rsidRPr="007C1C80">
        <w:t xml:space="preserve">.  </w:t>
      </w:r>
      <w:r w:rsidR="00913B51" w:rsidRPr="007C1C80">
        <w:t>T</w:t>
      </w:r>
      <w:r w:rsidR="00C54EEE" w:rsidRPr="007C1C80">
        <w:t>he</w:t>
      </w:r>
      <w:r w:rsidR="00913B51" w:rsidRPr="007C1C80">
        <w:t xml:space="preserve"> overall</w:t>
      </w:r>
      <w:r w:rsidR="00C54EEE" w:rsidRPr="007C1C80">
        <w:t xml:space="preserve"> magnitude </w:t>
      </w:r>
      <w:r w:rsidR="006B6262" w:rsidRPr="007C1C80">
        <w:t xml:space="preserve">of the estimated response </w:t>
      </w:r>
      <w:r w:rsidR="00C54EEE" w:rsidRPr="007C1C80">
        <w:t xml:space="preserve">is highly uncertain </w:t>
      </w:r>
      <w:r w:rsidR="00913B51" w:rsidRPr="007C1C80">
        <w:t>as is the</w:t>
      </w:r>
      <w:r w:rsidR="00C54EEE" w:rsidRPr="007C1C80">
        <w:t xml:space="preserve"> uncertainty around how it </w:t>
      </w:r>
      <w:r w:rsidR="00913B51" w:rsidRPr="007C1C80">
        <w:t>may vary</w:t>
      </w:r>
      <w:r w:rsidR="00C54EEE" w:rsidRPr="007C1C80">
        <w:t xml:space="preserve"> across different individuals</w:t>
      </w:r>
      <w:r w:rsidR="00913B51" w:rsidRPr="007C1C80">
        <w:t xml:space="preserve">.  </w:t>
      </w:r>
      <w:r w:rsidR="006B6262" w:rsidRPr="007C1C80">
        <w:t xml:space="preserve">For example, </w:t>
      </w:r>
      <w:r w:rsidR="00C54EEE" w:rsidRPr="007C1C80">
        <w:t xml:space="preserve">the behavioural response </w:t>
      </w:r>
      <w:r w:rsidR="00883B02" w:rsidRPr="007C1C80">
        <w:t>of</w:t>
      </w:r>
      <w:r w:rsidR="00C54EEE" w:rsidRPr="007C1C80">
        <w:t xml:space="preserve"> </w:t>
      </w:r>
      <w:r w:rsidR="006B6262" w:rsidRPr="007C1C80">
        <w:t>those with the highest amounts of</w:t>
      </w:r>
      <w:r w:rsidR="00C54EEE" w:rsidRPr="007C1C80">
        <w:t xml:space="preserve"> wealth (who </w:t>
      </w:r>
      <w:r w:rsidR="00F17B27" w:rsidRPr="007C1C80">
        <w:t xml:space="preserve">would be liable for more </w:t>
      </w:r>
      <w:r w:rsidR="00C54EEE" w:rsidRPr="007C1C80">
        <w:t xml:space="preserve">tax) </w:t>
      </w:r>
      <w:r w:rsidR="00883B02" w:rsidRPr="007C1C80">
        <w:t>could be larger than the average of individuals affected by the tax</w:t>
      </w:r>
      <w:r w:rsidR="00C54EEE" w:rsidRPr="007C1C80">
        <w:t xml:space="preserve">.  </w:t>
      </w:r>
    </w:p>
    <w:p w14:paraId="7924E718" w14:textId="04C5F869" w:rsidR="00050ED2" w:rsidRPr="007C1C80" w:rsidRDefault="006B6262" w:rsidP="000630B7">
      <w:pPr>
        <w:pStyle w:val="BodyText"/>
      </w:pPr>
      <w:r w:rsidRPr="007C1C80">
        <w:t xml:space="preserve">The annual net wealth of high wealth individuals is very sensitive to international and domestic economic and social conditions.  </w:t>
      </w:r>
      <w:r w:rsidR="00050ED2" w:rsidRPr="007C1C80">
        <w:t xml:space="preserve">The value of assets such as shares can fluctuate greatly with movements in the stock market on a daily basis.  Since assets are valued at a point in time under the </w:t>
      </w:r>
      <w:r w:rsidR="00050ED2" w:rsidRPr="007C1C80">
        <w:lastRenderedPageBreak/>
        <w:t xml:space="preserve">proposal (30 June of each financial year), any short-term fluctuations around that day may </w:t>
      </w:r>
      <w:r w:rsidR="00883B02" w:rsidRPr="007C1C80">
        <w:t xml:space="preserve">affect </w:t>
      </w:r>
      <w:r w:rsidR="00050ED2" w:rsidRPr="007C1C80">
        <w:t xml:space="preserve">the </w:t>
      </w:r>
      <w:r w:rsidR="00883B02" w:rsidRPr="007C1C80">
        <w:t>annual</w:t>
      </w:r>
      <w:r w:rsidR="00050ED2" w:rsidRPr="007C1C80">
        <w:t xml:space="preserve"> estimate of net wealth.  This could have significant implications on the amount of tax payable</w:t>
      </w:r>
      <w:r w:rsidR="00883B02" w:rsidRPr="007C1C80">
        <w:t xml:space="preserve"> from year to year</w:t>
      </w:r>
      <w:r w:rsidR="00050ED2" w:rsidRPr="007C1C80">
        <w:t>.</w:t>
      </w:r>
    </w:p>
    <w:p w14:paraId="05E530CD" w14:textId="17C288DC" w:rsidR="00913B51" w:rsidRPr="007C1C80" w:rsidRDefault="006B6262" w:rsidP="000630B7">
      <w:pPr>
        <w:pStyle w:val="BodyText"/>
      </w:pPr>
      <w:r w:rsidRPr="007C1C80">
        <w:t>In addition, t</w:t>
      </w:r>
      <w:r w:rsidR="00C54EEE" w:rsidRPr="007C1C80">
        <w:t>here are inherent uncertainties associated with projecting the stock of net wealth for</w:t>
      </w:r>
      <w:r w:rsidR="0046371B" w:rsidRPr="007C1C80">
        <w:t xml:space="preserve"> high wealth</w:t>
      </w:r>
      <w:r w:rsidR="00C54EEE" w:rsidRPr="007C1C80">
        <w:t xml:space="preserve"> individuals</w:t>
      </w:r>
      <w:r w:rsidR="00CB0C35" w:rsidRPr="007C1C80">
        <w:t xml:space="preserve"> in future years</w:t>
      </w:r>
      <w:r w:rsidR="009F604D" w:rsidRPr="007C1C80">
        <w:t xml:space="preserve">, especially given the uncertainty </w:t>
      </w:r>
      <w:r w:rsidRPr="007C1C80">
        <w:t xml:space="preserve">about </w:t>
      </w:r>
      <w:r w:rsidR="009F604D" w:rsidRPr="007C1C80">
        <w:t>growth in different industries</w:t>
      </w:r>
      <w:r w:rsidR="00C54EEE" w:rsidRPr="007C1C80">
        <w:t xml:space="preserve">. </w:t>
      </w:r>
      <w:r w:rsidR="009F604D" w:rsidRPr="007C1C80">
        <w:t xml:space="preserve"> For example</w:t>
      </w:r>
      <w:r w:rsidRPr="007C1C80">
        <w:t>,</w:t>
      </w:r>
      <w:r w:rsidR="009F604D" w:rsidRPr="007C1C80">
        <w:t xml:space="preserve"> </w:t>
      </w:r>
      <w:r w:rsidR="000630B7" w:rsidRPr="007C1C80">
        <w:t xml:space="preserve">the recent increases in iron ore prices have </w:t>
      </w:r>
      <w:r w:rsidR="009F604D" w:rsidRPr="007C1C80">
        <w:t>resulted in a</w:t>
      </w:r>
      <w:r w:rsidR="000630B7" w:rsidRPr="007C1C80">
        <w:t xml:space="preserve"> </w:t>
      </w:r>
      <w:r w:rsidR="009F604D" w:rsidRPr="007C1C80">
        <w:t xml:space="preserve">significant increase in </w:t>
      </w:r>
      <w:r w:rsidR="000630B7" w:rsidRPr="007C1C80">
        <w:t>net wealth</w:t>
      </w:r>
      <w:r w:rsidR="00F17B27" w:rsidRPr="007C1C80">
        <w:t xml:space="preserve"> for</w:t>
      </w:r>
      <w:r w:rsidR="000630B7" w:rsidRPr="007C1C80">
        <w:t xml:space="preserve"> </w:t>
      </w:r>
      <w:r w:rsidR="009F604D" w:rsidRPr="007C1C80">
        <w:t xml:space="preserve">a small group of </w:t>
      </w:r>
      <w:r w:rsidR="000630B7" w:rsidRPr="007C1C80">
        <w:t>iron ore</w:t>
      </w:r>
      <w:r w:rsidR="00CB0C35" w:rsidRPr="007C1C80">
        <w:t xml:space="preserve"> mine owners</w:t>
      </w:r>
      <w:r w:rsidR="000630B7" w:rsidRPr="007C1C80">
        <w:t xml:space="preserve">.  </w:t>
      </w:r>
    </w:p>
    <w:p w14:paraId="6A303479" w14:textId="47E305D3" w:rsidR="000630B7" w:rsidRPr="007C1C80" w:rsidRDefault="000630B7" w:rsidP="00016880">
      <w:pPr>
        <w:pStyle w:val="ListBullet"/>
        <w:ind w:left="284" w:hanging="284"/>
      </w:pPr>
      <w:r w:rsidRPr="007C1C80">
        <w:t xml:space="preserve">The PBO has grown </w:t>
      </w:r>
      <w:r w:rsidR="00F17B27" w:rsidRPr="007C1C80">
        <w:t>the</w:t>
      </w:r>
      <w:r w:rsidR="00052839" w:rsidRPr="007C1C80">
        <w:t xml:space="preserve"> estimated baseline amount of</w:t>
      </w:r>
      <w:r w:rsidR="00F17B27" w:rsidRPr="007C1C80">
        <w:t xml:space="preserve"> </w:t>
      </w:r>
      <w:r w:rsidRPr="007C1C80">
        <w:t>net wealth</w:t>
      </w:r>
      <w:r w:rsidR="00F17B27" w:rsidRPr="007C1C80">
        <w:t xml:space="preserve"> </w:t>
      </w:r>
      <w:r w:rsidRPr="007C1C80">
        <w:t>by projected changes in nominal Gross Domestic Product (GDP) over the period to 2030-31</w:t>
      </w:r>
      <w:r w:rsidR="0046371B" w:rsidRPr="007C1C80">
        <w:t xml:space="preserve"> </w:t>
      </w:r>
      <w:r w:rsidR="00913B51" w:rsidRPr="007C1C80">
        <w:t xml:space="preserve">rather than </w:t>
      </w:r>
      <w:r w:rsidR="006B6262" w:rsidRPr="007C1C80">
        <w:t xml:space="preserve">by </w:t>
      </w:r>
      <w:r w:rsidR="00913B51" w:rsidRPr="007C1C80">
        <w:t>industry</w:t>
      </w:r>
      <w:r w:rsidR="00913B51" w:rsidRPr="007C1C80">
        <w:noBreakHyphen/>
      </w:r>
      <w:r w:rsidR="0046371B" w:rsidRPr="007C1C80">
        <w:t>specific growth</w:t>
      </w:r>
      <w:r w:rsidR="00913B51" w:rsidRPr="007C1C80">
        <w:t xml:space="preserve"> rates</w:t>
      </w:r>
      <w:r w:rsidRPr="007C1C80">
        <w:t>.  Uncertainty about the implications of COVID</w:t>
      </w:r>
      <w:r w:rsidR="0046371B" w:rsidRPr="007C1C80">
        <w:noBreakHyphen/>
      </w:r>
      <w:r w:rsidRPr="007C1C80">
        <w:t xml:space="preserve">19 on </w:t>
      </w:r>
      <w:r w:rsidR="00CB0C35" w:rsidRPr="007C1C80">
        <w:t>industry</w:t>
      </w:r>
      <w:r w:rsidR="00052839" w:rsidRPr="007C1C80">
        <w:noBreakHyphen/>
      </w:r>
      <w:r w:rsidR="00CB0C35" w:rsidRPr="007C1C80">
        <w:t xml:space="preserve">specific growth, as well as </w:t>
      </w:r>
      <w:r w:rsidRPr="007C1C80">
        <w:t>economic growth</w:t>
      </w:r>
      <w:r w:rsidR="00CB0C35" w:rsidRPr="007C1C80">
        <w:t xml:space="preserve"> overall,</w:t>
      </w:r>
      <w:r w:rsidRPr="007C1C80">
        <w:t xml:space="preserve"> is likely to persist for some time</w:t>
      </w:r>
      <w:r w:rsidR="00052839" w:rsidRPr="007C1C80">
        <w:t>.</w:t>
      </w:r>
      <w:r w:rsidRPr="007C1C80">
        <w:t xml:space="preserve"> </w:t>
      </w:r>
      <w:r w:rsidR="00913B51" w:rsidRPr="007C1C80">
        <w:t xml:space="preserve"> A</w:t>
      </w:r>
      <w:r w:rsidRPr="007C1C80">
        <w:t>ny significant deviations from current nominal GDP projections would affect the net wealth</w:t>
      </w:r>
      <w:r w:rsidR="00052839" w:rsidRPr="007C1C80">
        <w:t xml:space="preserve"> estimates</w:t>
      </w:r>
      <w:r w:rsidRPr="007C1C80">
        <w:t xml:space="preserve">.  </w:t>
      </w:r>
    </w:p>
    <w:p w14:paraId="565A0050" w14:textId="21248ACA" w:rsidR="000630B7" w:rsidRDefault="000630B7" w:rsidP="000630B7">
      <w:pPr>
        <w:pStyle w:val="BodyText"/>
      </w:pPr>
      <w:r w:rsidRPr="007C1C80">
        <w:t>The</w:t>
      </w:r>
      <w:r w:rsidR="0046371B" w:rsidRPr="007C1C80">
        <w:t xml:space="preserve">re are also uncertainties about the valuation methods </w:t>
      </w:r>
      <w:r w:rsidR="00913B51" w:rsidRPr="007C1C80">
        <w:t xml:space="preserve">that </w:t>
      </w:r>
      <w:r w:rsidR="0046371B" w:rsidRPr="007C1C80">
        <w:t>the ATO would apply to different assets under the proposal, as well as their</w:t>
      </w:r>
      <w:r w:rsidRPr="007C1C80">
        <w:t xml:space="preserve"> ability to accurately value all asset types</w:t>
      </w:r>
      <w:r w:rsidR="00050ED2" w:rsidRPr="007C1C80">
        <w:t xml:space="preserve">. </w:t>
      </w:r>
      <w:r w:rsidR="00D626EF">
        <w:t xml:space="preserve"> </w:t>
      </w:r>
      <w:r w:rsidR="00050ED2" w:rsidRPr="007C1C80">
        <w:t xml:space="preserve">There would be </w:t>
      </w:r>
      <w:r w:rsidRPr="007C1C80">
        <w:t>practical challenges associated with valuing assets, especially those held in trusts or where the sale of the asset does not take place to allow an independent market value.</w:t>
      </w:r>
      <w:r w:rsidRPr="007C1C80">
        <w:rPr>
          <w:rStyle w:val="FootnoteReference"/>
        </w:rPr>
        <w:footnoteReference w:id="2"/>
      </w:r>
      <w:r w:rsidRPr="007C1C80">
        <w:t xml:space="preserve">  Individuals may restructure their asset portfolios to take advantage of these</w:t>
      </w:r>
      <w:r w:rsidRPr="001614FE">
        <w:t xml:space="preserve"> challenges, which would impact the revenue collected.  </w:t>
      </w:r>
    </w:p>
    <w:p w14:paraId="0A2879E2" w14:textId="67B89942" w:rsidR="00877916" w:rsidRDefault="00877916" w:rsidP="00030EAA">
      <w:pPr>
        <w:pStyle w:val="BodyText"/>
      </w:pPr>
      <w:r>
        <w:t xml:space="preserve">Individuals affected by the billionaire’s tax may also respond with legal action, which could significantly </w:t>
      </w:r>
      <w:r w:rsidR="00350D49">
        <w:t xml:space="preserve">delay when </w:t>
      </w:r>
      <w:r>
        <w:t>revenue</w:t>
      </w:r>
      <w:r w:rsidR="00350D49">
        <w:t xml:space="preserve"> would be </w:t>
      </w:r>
      <w:r>
        <w:t xml:space="preserve">collected </w:t>
      </w:r>
      <w:r w:rsidR="00350D49">
        <w:t xml:space="preserve">and could also mean that less revenue would be collected.  </w:t>
      </w:r>
      <w:r w:rsidR="001B17CC" w:rsidRPr="001614FE">
        <w:t xml:space="preserve">In addition, </w:t>
      </w:r>
      <w:r w:rsidR="00913B51">
        <w:t xml:space="preserve">there is a risk that </w:t>
      </w:r>
      <w:r w:rsidR="001B17CC" w:rsidRPr="001614FE">
        <w:t>high wealth individuals who are liable for large amounts of the tax</w:t>
      </w:r>
      <w:r w:rsidR="00913B51">
        <w:t>,</w:t>
      </w:r>
      <w:r w:rsidR="001B17CC" w:rsidRPr="001614FE">
        <w:t xml:space="preserve"> but hold illiquid assets</w:t>
      </w:r>
      <w:r w:rsidR="00913B51">
        <w:t>,</w:t>
      </w:r>
      <w:r w:rsidR="001B17CC" w:rsidRPr="001614FE">
        <w:t xml:space="preserve"> may have difficulties in paying the amount of tax owed</w:t>
      </w:r>
      <w:r w:rsidR="001B17CC">
        <w:t xml:space="preserve">.  </w:t>
      </w:r>
      <w:r>
        <w:t>The PBO has not included any assumptions about the potential</w:t>
      </w:r>
      <w:r w:rsidR="00913B51">
        <w:t xml:space="preserve"> for</w:t>
      </w:r>
      <w:r>
        <w:t xml:space="preserve"> legal action </w:t>
      </w:r>
      <w:r w:rsidR="00350D49">
        <w:t>or liquidity issues that may arise.</w:t>
      </w:r>
    </w:p>
    <w:p w14:paraId="024C52DA" w14:textId="68891E2E" w:rsidR="00030EAA" w:rsidRDefault="00030EAA" w:rsidP="00030EAA">
      <w:pPr>
        <w:pStyle w:val="BodyText"/>
      </w:pPr>
      <w:r>
        <w:t xml:space="preserve">There are also uncertainties around the estimated tax base.  It is expected that tax minimisation strategies are already being used to avoid income tax liabilities which means the baseline data used to undertake this analysis may not fully capture the total amount of wealth that would become liable for the billionaire’s tax.  Moreover, the baseline data would not capture those who currently do not submit an income tax return (either because they are not a resident for tax purposes or </w:t>
      </w:r>
      <w:r w:rsidR="00D22C36">
        <w:t xml:space="preserve">because </w:t>
      </w:r>
      <w:r>
        <w:t>they do</w:t>
      </w:r>
      <w:r w:rsidR="00D22C36">
        <w:t xml:space="preserve"> not</w:t>
      </w:r>
      <w:r>
        <w:t xml:space="preserve"> have reportable income) but own Australian assets and may be eligible for the tax.</w:t>
      </w:r>
    </w:p>
    <w:p w14:paraId="125C662B" w14:textId="77777777" w:rsidR="00030EAA" w:rsidRDefault="00030EAA" w:rsidP="00030EAA">
      <w:pPr>
        <w:pStyle w:val="BodyText"/>
      </w:pPr>
      <w:r w:rsidRPr="001614FE">
        <w:t>It is unclear how the billionaire’s tax would interact</w:t>
      </w:r>
      <w:r>
        <w:t xml:space="preserve">, in practice, </w:t>
      </w:r>
      <w:r w:rsidRPr="001614FE">
        <w:t>with existing taxes such as capital gains tax, personal income tax and luxury car tax.  For example, capital gains tax may increase if high wealth individuals choose</w:t>
      </w:r>
      <w:r>
        <w:t xml:space="preserve"> to restructure their assets as a response to the </w:t>
      </w:r>
      <w:r w:rsidRPr="001614FE">
        <w:t>billionaire’s tax.  On the other hand, revenue from the personal income and luxury car taxes could decrease due to individuals claiming more deductions on costs of completing their tax affairs and holding fewer luxury cars to avoid double taxation.  The PBO has not quantified</w:t>
      </w:r>
      <w:r>
        <w:t xml:space="preserve"> any of</w:t>
      </w:r>
      <w:r w:rsidRPr="001614FE">
        <w:t xml:space="preserve"> these potential interactions. </w:t>
      </w:r>
      <w:r>
        <w:t xml:space="preserve"> </w:t>
      </w:r>
    </w:p>
    <w:p w14:paraId="0E705F35" w14:textId="77777777" w:rsidR="00537A57" w:rsidRDefault="00537A57" w:rsidP="00030EAA">
      <w:pPr>
        <w:pStyle w:val="BodyText"/>
      </w:pPr>
    </w:p>
    <w:p w14:paraId="08012928" w14:textId="77777777" w:rsidR="00537A57" w:rsidRDefault="00537A57" w:rsidP="00030EAA">
      <w:pPr>
        <w:pStyle w:val="BodyText"/>
      </w:pPr>
    </w:p>
    <w:p w14:paraId="7DC82AA0" w14:textId="6A03B315" w:rsidR="00030EAA" w:rsidRPr="001614FE" w:rsidRDefault="00030EAA" w:rsidP="00030EAA">
      <w:pPr>
        <w:pStyle w:val="BodyText"/>
      </w:pPr>
      <w:r>
        <w:lastRenderedPageBreak/>
        <w:t>The proposal could also significantly reduce the amount of Australian investment undertaken by high wealth individuals with implications for the level of new capital investment and economic growth.  It is unclear whether other investors who are not subject to the tax (eg institutional investors such as pension funds, sovereign wealth funds, corporations) would make up for the loss of investment by high wealth individuals.</w:t>
      </w:r>
    </w:p>
    <w:p w14:paraId="0318465F" w14:textId="77777777" w:rsidR="00030EAA" w:rsidRDefault="00030EAA" w:rsidP="00030EAA">
      <w:pPr>
        <w:pStyle w:val="Caption"/>
        <w:rPr>
          <w:vertAlign w:val="superscript"/>
        </w:rPr>
      </w:pPr>
      <w:r w:rsidRPr="00162934">
        <w:t xml:space="preserve">Table </w:t>
      </w:r>
      <w:r w:rsidRPr="009018F2">
        <w:rPr>
          <w:noProof/>
        </w:rPr>
        <w:fldChar w:fldCharType="begin"/>
      </w:r>
      <w:r w:rsidRPr="001614FE">
        <w:rPr>
          <w:noProof/>
        </w:rPr>
        <w:instrText xml:space="preserve"> SEQ AppendixTable\s 8 </w:instrText>
      </w:r>
      <w:r w:rsidRPr="009018F2">
        <w:rPr>
          <w:noProof/>
        </w:rPr>
        <w:fldChar w:fldCharType="separate"/>
      </w:r>
      <w:r w:rsidR="00C10611">
        <w:rPr>
          <w:noProof/>
        </w:rPr>
        <w:t>1</w:t>
      </w:r>
      <w:r w:rsidRPr="009018F2">
        <w:rPr>
          <w:noProof/>
        </w:rPr>
        <w:fldChar w:fldCharType="end"/>
      </w:r>
      <w:r w:rsidRPr="00162934">
        <w:t xml:space="preserve">: </w:t>
      </w:r>
      <w:r w:rsidRPr="009018F2">
        <w:rPr>
          <w:noProof/>
        </w:rPr>
        <w:fldChar w:fldCharType="begin"/>
      </w:r>
      <w:r w:rsidRPr="001614FE">
        <w:rPr>
          <w:noProof/>
        </w:rPr>
        <w:instrText xml:space="preserve"> STYLEREF  "Name of proposal"  \* MERGEFORMAT </w:instrText>
      </w:r>
      <w:r w:rsidRPr="009018F2">
        <w:rPr>
          <w:noProof/>
        </w:rPr>
        <w:fldChar w:fldCharType="separate"/>
      </w:r>
      <w:r w:rsidR="00C10611">
        <w:rPr>
          <w:noProof/>
        </w:rPr>
        <w:t>Billionaire’s tax</w:t>
      </w:r>
      <w:r w:rsidRPr="009018F2">
        <w:rPr>
          <w:noProof/>
        </w:rPr>
        <w:fldChar w:fldCharType="end"/>
      </w:r>
      <w:r w:rsidRPr="001614FE">
        <w:t xml:space="preserve"> – Financial implications ($m</w:t>
      </w:r>
      <w:r w:rsidRPr="00162934">
        <w:t>)</w:t>
      </w:r>
      <w:r w:rsidRPr="00162934">
        <w:rPr>
          <w:vertAlign w:val="superscript"/>
        </w:rPr>
        <w:t>(a)(b)</w:t>
      </w:r>
    </w:p>
    <w:tbl>
      <w:tblPr>
        <w:tblStyle w:val="LightGrid-Accent6"/>
        <w:tblW w:w="5000" w:type="pct"/>
        <w:tblLook w:val="0680" w:firstRow="0" w:lastRow="0" w:firstColumn="1" w:lastColumn="0" w:noHBand="1" w:noVBand="1"/>
      </w:tblPr>
      <w:tblGrid>
        <w:gridCol w:w="2672"/>
        <w:gridCol w:w="1276"/>
        <w:gridCol w:w="1276"/>
        <w:gridCol w:w="1276"/>
        <w:gridCol w:w="1276"/>
        <w:gridCol w:w="1274"/>
      </w:tblGrid>
      <w:tr w:rsidR="00030EAA" w:rsidRPr="00316BD0" w14:paraId="6BB6966D" w14:textId="77777777" w:rsidTr="00D22C36">
        <w:trPr>
          <w:cantSplit/>
          <w:tblHeader/>
        </w:trPr>
        <w:tc>
          <w:tcPr>
            <w:cnfStyle w:val="001000000000" w:firstRow="0" w:lastRow="0" w:firstColumn="1" w:lastColumn="0" w:oddVBand="0" w:evenVBand="0" w:oddHBand="0" w:evenHBand="0" w:firstRowFirstColumn="0" w:firstRowLastColumn="0" w:lastRowFirstColumn="0" w:lastRowLastColumn="0"/>
            <w:tcW w:w="1476" w:type="pct"/>
            <w:shd w:val="clear" w:color="auto" w:fill="A7B2D4" w:themeFill="background2" w:themeFillTint="66"/>
            <w:vAlign w:val="center"/>
          </w:tcPr>
          <w:p w14:paraId="555062EF" w14:textId="77777777" w:rsidR="00030EAA" w:rsidRPr="001F5937" w:rsidRDefault="00030EAA" w:rsidP="00D22C36">
            <w:pPr>
              <w:pStyle w:val="TableHeading"/>
              <w:keepLines w:val="0"/>
              <w:widowControl w:val="0"/>
              <w:spacing w:before="60" w:after="60" w:line="240" w:lineRule="auto"/>
              <w:rPr>
                <w:b w:val="0"/>
                <w:sz w:val="22"/>
              </w:rPr>
            </w:pPr>
          </w:p>
        </w:tc>
        <w:tc>
          <w:tcPr>
            <w:tcW w:w="705" w:type="pct"/>
            <w:shd w:val="clear" w:color="auto" w:fill="A7B2D4" w:themeFill="background2" w:themeFillTint="66"/>
            <w:vAlign w:val="center"/>
          </w:tcPr>
          <w:p w14:paraId="07F03C0D" w14:textId="77777777" w:rsidR="00030EAA" w:rsidRPr="00FB51F2" w:rsidRDefault="00030EAA" w:rsidP="00D22C36">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2020–21</w:t>
            </w:r>
          </w:p>
        </w:tc>
        <w:tc>
          <w:tcPr>
            <w:tcW w:w="705" w:type="pct"/>
            <w:shd w:val="clear" w:color="auto" w:fill="A7B2D4" w:themeFill="background2" w:themeFillTint="66"/>
            <w:vAlign w:val="center"/>
          </w:tcPr>
          <w:p w14:paraId="263C854F" w14:textId="77777777" w:rsidR="00030EAA" w:rsidRPr="00FB51F2" w:rsidRDefault="00030EAA" w:rsidP="00D22C36">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2021–22</w:t>
            </w:r>
          </w:p>
        </w:tc>
        <w:tc>
          <w:tcPr>
            <w:tcW w:w="705" w:type="pct"/>
            <w:shd w:val="clear" w:color="auto" w:fill="A7B2D4" w:themeFill="background2" w:themeFillTint="66"/>
            <w:vAlign w:val="center"/>
          </w:tcPr>
          <w:p w14:paraId="7AD2DF38" w14:textId="77777777" w:rsidR="00030EAA" w:rsidRPr="00FB51F2" w:rsidRDefault="00030EAA" w:rsidP="00D22C36">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2022–23</w:t>
            </w:r>
          </w:p>
        </w:tc>
        <w:tc>
          <w:tcPr>
            <w:tcW w:w="705" w:type="pct"/>
            <w:shd w:val="clear" w:color="auto" w:fill="A7B2D4" w:themeFill="background2" w:themeFillTint="66"/>
            <w:vAlign w:val="center"/>
          </w:tcPr>
          <w:p w14:paraId="06CA580A" w14:textId="77777777" w:rsidR="00030EAA" w:rsidRPr="00FB51F2" w:rsidRDefault="00030EAA" w:rsidP="00D22C36">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b w:val="0"/>
                <w:sz w:val="22"/>
              </w:rPr>
            </w:pPr>
            <w:r w:rsidRPr="00FB51F2">
              <w:rPr>
                <w:b w:val="0"/>
                <w:sz w:val="22"/>
              </w:rPr>
              <w:t>202</w:t>
            </w:r>
            <w:r>
              <w:rPr>
                <w:b w:val="0"/>
                <w:sz w:val="22"/>
              </w:rPr>
              <w:t>3</w:t>
            </w:r>
            <w:r w:rsidRPr="00FB51F2">
              <w:rPr>
                <w:b w:val="0"/>
                <w:sz w:val="22"/>
              </w:rPr>
              <w:t>–2</w:t>
            </w:r>
            <w:r>
              <w:rPr>
                <w:b w:val="0"/>
                <w:sz w:val="22"/>
              </w:rPr>
              <w:t>4</w:t>
            </w:r>
          </w:p>
        </w:tc>
        <w:tc>
          <w:tcPr>
            <w:tcW w:w="704" w:type="pct"/>
            <w:shd w:val="clear" w:color="auto" w:fill="A7B2D4" w:themeFill="background2" w:themeFillTint="66"/>
            <w:vAlign w:val="center"/>
          </w:tcPr>
          <w:p w14:paraId="1BA0324E" w14:textId="77777777" w:rsidR="00030EAA" w:rsidRPr="00FB51F2" w:rsidRDefault="00030EAA" w:rsidP="00D22C36">
            <w:pPr>
              <w:pStyle w:val="TableHeadingRight"/>
              <w:keepLines w:val="0"/>
              <w:widowControl w:val="0"/>
              <w:cnfStyle w:val="000000000000" w:firstRow="0" w:lastRow="0" w:firstColumn="0" w:lastColumn="0" w:oddVBand="0" w:evenVBand="0" w:oddHBand="0" w:evenHBand="0" w:firstRowFirstColumn="0" w:firstRowLastColumn="0" w:lastRowFirstColumn="0" w:lastRowLastColumn="0"/>
              <w:rPr>
                <w:sz w:val="22"/>
              </w:rPr>
            </w:pPr>
            <w:r w:rsidRPr="00FB51F2">
              <w:rPr>
                <w:sz w:val="22"/>
              </w:rPr>
              <w:t>Total to 202</w:t>
            </w:r>
            <w:r>
              <w:rPr>
                <w:sz w:val="22"/>
              </w:rPr>
              <w:t>3</w:t>
            </w:r>
            <w:r w:rsidRPr="00FB51F2">
              <w:rPr>
                <w:sz w:val="22"/>
              </w:rPr>
              <w:t>–2</w:t>
            </w:r>
            <w:r>
              <w:rPr>
                <w:sz w:val="22"/>
              </w:rPr>
              <w:t>4</w:t>
            </w:r>
          </w:p>
        </w:tc>
      </w:tr>
      <w:tr w:rsidR="007546FE" w:rsidRPr="009B70E6" w14:paraId="55319AD5" w14:textId="77777777" w:rsidTr="00D22C36">
        <w:trPr>
          <w:cantSplit/>
        </w:trPr>
        <w:tc>
          <w:tcPr>
            <w:cnfStyle w:val="001000000000" w:firstRow="0" w:lastRow="0" w:firstColumn="1" w:lastColumn="0" w:oddVBand="0" w:evenVBand="0" w:oddHBand="0" w:evenHBand="0" w:firstRowFirstColumn="0" w:firstRowLastColumn="0" w:lastRowFirstColumn="0" w:lastRowLastColumn="0"/>
            <w:tcW w:w="1476" w:type="pct"/>
            <w:vAlign w:val="center"/>
          </w:tcPr>
          <w:p w14:paraId="2D4367DA" w14:textId="77777777" w:rsidR="007546FE" w:rsidRPr="001F5937" w:rsidRDefault="007546FE" w:rsidP="007546FE">
            <w:pPr>
              <w:pStyle w:val="TableHeading"/>
              <w:keepLines w:val="0"/>
              <w:widowControl w:val="0"/>
              <w:spacing w:before="60" w:after="60" w:line="240" w:lineRule="auto"/>
              <w:rPr>
                <w:rFonts w:asciiTheme="minorHAnsi" w:hAnsiTheme="minorHAnsi"/>
                <w:b w:val="0"/>
                <w:sz w:val="22"/>
              </w:rPr>
            </w:pPr>
            <w:r w:rsidRPr="001F5937">
              <w:rPr>
                <w:rFonts w:asciiTheme="minorHAnsi" w:hAnsiTheme="minorHAnsi"/>
                <w:b w:val="0"/>
                <w:sz w:val="22"/>
              </w:rPr>
              <w:t>Fiscal balance</w:t>
            </w:r>
          </w:p>
        </w:tc>
        <w:tc>
          <w:tcPr>
            <w:tcW w:w="705" w:type="pct"/>
            <w:vAlign w:val="center"/>
          </w:tcPr>
          <w:p w14:paraId="0DF3EED7" w14:textId="7BF39F32" w:rsidR="007546FE" w:rsidRPr="0039241E" w:rsidRDefault="007546FE" w:rsidP="007546FE">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w:t>
            </w:r>
          </w:p>
        </w:tc>
        <w:tc>
          <w:tcPr>
            <w:tcW w:w="705" w:type="pct"/>
            <w:vAlign w:val="center"/>
          </w:tcPr>
          <w:p w14:paraId="621E5D02" w14:textId="4C2F4D0E" w:rsidR="007546FE" w:rsidRPr="0039241E" w:rsidRDefault="007546FE" w:rsidP="007546FE">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w:t>
            </w:r>
          </w:p>
        </w:tc>
        <w:tc>
          <w:tcPr>
            <w:tcW w:w="705" w:type="pct"/>
            <w:vAlign w:val="center"/>
          </w:tcPr>
          <w:p w14:paraId="41E30AB1" w14:textId="4DABF0B8" w:rsidR="007546FE" w:rsidRPr="0039241E" w:rsidRDefault="007546FE" w:rsidP="007546FE">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5,755.0</w:t>
            </w:r>
          </w:p>
        </w:tc>
        <w:tc>
          <w:tcPr>
            <w:tcW w:w="705" w:type="pct"/>
            <w:vAlign w:val="center"/>
          </w:tcPr>
          <w:p w14:paraId="3E1DF088" w14:textId="583EAC7E" w:rsidR="007546FE" w:rsidRPr="0039241E" w:rsidRDefault="007546FE" w:rsidP="007546FE">
            <w:pPr>
              <w:pStyle w:val="TableTextRight"/>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5,505.0</w:t>
            </w:r>
          </w:p>
        </w:tc>
        <w:tc>
          <w:tcPr>
            <w:tcW w:w="704" w:type="pct"/>
            <w:vAlign w:val="center"/>
          </w:tcPr>
          <w:p w14:paraId="1DA16F25" w14:textId="776C3BF5" w:rsidR="007546FE" w:rsidRPr="007546FE" w:rsidRDefault="007546FE" w:rsidP="007546FE">
            <w:pPr>
              <w:pStyle w:val="TableTextRightBold"/>
              <w:keepNex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7546FE">
              <w:rPr>
                <w:bCs/>
                <w:color w:val="000000"/>
                <w:sz w:val="22"/>
              </w:rPr>
              <w:t>11,260.0</w:t>
            </w:r>
          </w:p>
        </w:tc>
      </w:tr>
      <w:tr w:rsidR="007546FE" w:rsidRPr="009B70E6" w14:paraId="1FD4EC68" w14:textId="77777777" w:rsidTr="00D22C36">
        <w:trPr>
          <w:cantSplit/>
        </w:trPr>
        <w:tc>
          <w:tcPr>
            <w:cnfStyle w:val="001000000000" w:firstRow="0" w:lastRow="0" w:firstColumn="1" w:lastColumn="0" w:oddVBand="0" w:evenVBand="0" w:oddHBand="0" w:evenHBand="0" w:firstRowFirstColumn="0" w:firstRowLastColumn="0" w:lastRowFirstColumn="0" w:lastRowLastColumn="0"/>
            <w:tcW w:w="1476" w:type="pct"/>
            <w:vAlign w:val="center"/>
          </w:tcPr>
          <w:p w14:paraId="6B0DC6A7" w14:textId="77777777" w:rsidR="007546FE" w:rsidRPr="001F5937" w:rsidRDefault="007546FE" w:rsidP="007546FE">
            <w:pPr>
              <w:pStyle w:val="TableHeading"/>
              <w:keepNext w:val="0"/>
              <w:keepLines w:val="0"/>
              <w:widowControl w:val="0"/>
              <w:spacing w:before="60" w:after="60" w:line="240" w:lineRule="auto"/>
              <w:rPr>
                <w:rFonts w:asciiTheme="minorHAnsi" w:hAnsiTheme="minorHAnsi"/>
                <w:b w:val="0"/>
                <w:sz w:val="22"/>
              </w:rPr>
            </w:pPr>
            <w:r w:rsidRPr="001F5937">
              <w:rPr>
                <w:rFonts w:asciiTheme="minorHAnsi" w:hAnsiTheme="minorHAnsi"/>
                <w:b w:val="0"/>
                <w:sz w:val="22"/>
              </w:rPr>
              <w:t>Underlying cash balance</w:t>
            </w:r>
          </w:p>
        </w:tc>
        <w:tc>
          <w:tcPr>
            <w:tcW w:w="705" w:type="pct"/>
            <w:vAlign w:val="center"/>
          </w:tcPr>
          <w:p w14:paraId="0A8AD661" w14:textId="0E450C36" w:rsidR="007546FE" w:rsidRPr="0039241E" w:rsidRDefault="007546FE" w:rsidP="007546FE">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w:t>
            </w:r>
          </w:p>
        </w:tc>
        <w:tc>
          <w:tcPr>
            <w:tcW w:w="705" w:type="pct"/>
            <w:vAlign w:val="center"/>
          </w:tcPr>
          <w:p w14:paraId="0B4EF553" w14:textId="09F21DCE" w:rsidR="007546FE" w:rsidRPr="0039241E" w:rsidRDefault="007546FE" w:rsidP="007546FE">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w:t>
            </w:r>
          </w:p>
        </w:tc>
        <w:tc>
          <w:tcPr>
            <w:tcW w:w="705" w:type="pct"/>
            <w:vAlign w:val="center"/>
          </w:tcPr>
          <w:p w14:paraId="6F261976" w14:textId="286E256E" w:rsidR="007546FE" w:rsidRPr="0039241E" w:rsidRDefault="007546FE" w:rsidP="007546FE">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4,295.0</w:t>
            </w:r>
          </w:p>
        </w:tc>
        <w:tc>
          <w:tcPr>
            <w:tcW w:w="705" w:type="pct"/>
            <w:vAlign w:val="center"/>
          </w:tcPr>
          <w:p w14:paraId="23ABB96F" w14:textId="249EAC47" w:rsidR="007546FE" w:rsidRPr="0039241E" w:rsidRDefault="007546FE" w:rsidP="007546FE">
            <w:pPr>
              <w:pStyle w:val="TableTextRight"/>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Pr>
                <w:color w:val="000000"/>
                <w:sz w:val="22"/>
              </w:rPr>
              <w:t>5,575.0</w:t>
            </w:r>
          </w:p>
        </w:tc>
        <w:tc>
          <w:tcPr>
            <w:tcW w:w="704" w:type="pct"/>
            <w:vAlign w:val="center"/>
          </w:tcPr>
          <w:p w14:paraId="0DF58AA7" w14:textId="7643E5EC" w:rsidR="007546FE" w:rsidRPr="007546FE" w:rsidRDefault="007546FE" w:rsidP="007546FE">
            <w:pPr>
              <w:pStyle w:val="TableTextRightBold"/>
              <w:widowControl w:val="0"/>
              <w:spacing w:before="60" w:after="60"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7546FE">
              <w:rPr>
                <w:bCs/>
                <w:color w:val="000000"/>
                <w:sz w:val="22"/>
              </w:rPr>
              <w:t>9,870.0</w:t>
            </w:r>
          </w:p>
        </w:tc>
      </w:tr>
    </w:tbl>
    <w:p w14:paraId="161BB1B4" w14:textId="77777777" w:rsidR="00030EAA" w:rsidRPr="001614FE" w:rsidRDefault="00030EAA" w:rsidP="00030EAA">
      <w:pPr>
        <w:keepNext/>
        <w:widowControl w:val="0"/>
        <w:spacing w:line="260" w:lineRule="atLeast"/>
        <w:ind w:left="284" w:hanging="284"/>
        <w:rPr>
          <w:sz w:val="20"/>
          <w:szCs w:val="20"/>
        </w:rPr>
      </w:pPr>
      <w:r w:rsidRPr="001614FE">
        <w:rPr>
          <w:sz w:val="20"/>
          <w:szCs w:val="20"/>
        </w:rPr>
        <w:t>(a)</w:t>
      </w:r>
      <w:r w:rsidRPr="001614FE">
        <w:rPr>
          <w:sz w:val="20"/>
          <w:szCs w:val="20"/>
        </w:rPr>
        <w:tab/>
        <w:t>A positive number represents an increase in the relevant budget balance; a negative number represents a decrease.</w:t>
      </w:r>
    </w:p>
    <w:p w14:paraId="3F7D148B" w14:textId="77777777" w:rsidR="00030EAA" w:rsidRPr="001614FE" w:rsidRDefault="00030EAA" w:rsidP="00030EAA">
      <w:pPr>
        <w:keepNext/>
        <w:widowControl w:val="0"/>
        <w:spacing w:line="260" w:lineRule="atLeast"/>
        <w:ind w:left="284" w:hanging="284"/>
        <w:rPr>
          <w:sz w:val="20"/>
          <w:szCs w:val="20"/>
        </w:rPr>
      </w:pPr>
      <w:r w:rsidRPr="001614FE">
        <w:rPr>
          <w:sz w:val="20"/>
          <w:szCs w:val="20"/>
        </w:rPr>
        <w:t>(b)</w:t>
      </w:r>
      <w:r w:rsidRPr="001614FE">
        <w:rPr>
          <w:sz w:val="20"/>
          <w:szCs w:val="20"/>
        </w:rPr>
        <w:tab/>
        <w:t>Figures may not sum to totals due to rounding.</w:t>
      </w:r>
    </w:p>
    <w:p w14:paraId="3C89E8C8" w14:textId="77777777" w:rsidR="00030EAA" w:rsidRPr="001614FE" w:rsidRDefault="00030EAA" w:rsidP="00030EAA">
      <w:pPr>
        <w:pStyle w:val="ListParagraph"/>
        <w:keepLines/>
        <w:numPr>
          <w:ilvl w:val="0"/>
          <w:numId w:val="40"/>
        </w:numPr>
        <w:spacing w:line="260" w:lineRule="atLeast"/>
        <w:ind w:left="284" w:hanging="284"/>
        <w:contextualSpacing w:val="0"/>
        <w:rPr>
          <w:sz w:val="20"/>
          <w:szCs w:val="20"/>
        </w:rPr>
      </w:pPr>
      <w:r w:rsidRPr="001614FE">
        <w:rPr>
          <w:sz w:val="20"/>
          <w:szCs w:val="20"/>
        </w:rPr>
        <w:t>Indicates nil.</w:t>
      </w:r>
    </w:p>
    <w:p w14:paraId="11B41F5E" w14:textId="77777777" w:rsidR="00030EAA" w:rsidRPr="001614FE" w:rsidRDefault="00030EAA" w:rsidP="00030EAA">
      <w:pPr>
        <w:pStyle w:val="Heading1"/>
      </w:pPr>
      <w:r w:rsidRPr="001614FE">
        <w:t>Key assumptions</w:t>
      </w:r>
    </w:p>
    <w:p w14:paraId="46242367" w14:textId="77777777" w:rsidR="00030EAA" w:rsidRPr="001614FE" w:rsidRDefault="00030EAA" w:rsidP="00030EAA">
      <w:pPr>
        <w:pStyle w:val="BodyText"/>
      </w:pPr>
      <w:r w:rsidRPr="001614FE">
        <w:t>The PBO has made the following assumptions in costing this proposal.</w:t>
      </w:r>
    </w:p>
    <w:p w14:paraId="736F007B" w14:textId="77777777" w:rsidR="00030EAA" w:rsidRPr="001614FE" w:rsidRDefault="00030EAA" w:rsidP="00030EAA">
      <w:pPr>
        <w:pStyle w:val="ListBullet"/>
        <w:ind w:left="284" w:hanging="284"/>
      </w:pPr>
      <w:r w:rsidRPr="001614FE">
        <w:t xml:space="preserve">The average rate of return on income-generating assets would be </w:t>
      </w:r>
      <w:r>
        <w:t>7.84</w:t>
      </w:r>
      <w:r w:rsidRPr="001614FE">
        <w:t xml:space="preserve"> per cent per annum.</w:t>
      </w:r>
    </w:p>
    <w:p w14:paraId="04725544" w14:textId="77777777" w:rsidR="00030EAA" w:rsidRPr="003E43D5" w:rsidRDefault="00030EAA" w:rsidP="00030EAA">
      <w:pPr>
        <w:pStyle w:val="ListBullet2"/>
        <w:tabs>
          <w:tab w:val="clear" w:pos="907"/>
          <w:tab w:val="num" w:pos="567"/>
        </w:tabs>
        <w:ind w:left="568" w:hanging="284"/>
      </w:pPr>
      <w:r w:rsidRPr="00134B8F">
        <w:t xml:space="preserve">This is </w:t>
      </w:r>
      <w:r w:rsidRPr="003E43D5">
        <w:t>based on the average annualised returns for the Australian Stock Exchange All Ordinary Index over the 10-year period from 2011 to 2020.</w:t>
      </w:r>
    </w:p>
    <w:p w14:paraId="27D99D5F" w14:textId="31404185" w:rsidR="00030EAA" w:rsidRPr="003E43D5" w:rsidRDefault="00030EAA" w:rsidP="003E43D5">
      <w:pPr>
        <w:pStyle w:val="ListBullet"/>
        <w:ind w:left="284" w:hanging="284"/>
      </w:pPr>
      <w:r w:rsidRPr="003E43D5">
        <w:t>For individuals with net wealth above $</w:t>
      </w:r>
      <w:r w:rsidR="00EF4CF5" w:rsidRPr="003E43D5">
        <w:t>1 b</w:t>
      </w:r>
      <w:r w:rsidRPr="003E43D5">
        <w:t>illion</w:t>
      </w:r>
      <w:r w:rsidR="00EF4CF5" w:rsidRPr="003E43D5">
        <w:t xml:space="preserve">, </w:t>
      </w:r>
      <w:r w:rsidRPr="003E43D5">
        <w:t>income-generating assets make up 25 per cent of total net wealth</w:t>
      </w:r>
      <w:r w:rsidR="00EF4CF5" w:rsidRPr="003E43D5">
        <w:t>.</w:t>
      </w:r>
      <w:r w:rsidRPr="003E43D5">
        <w:t xml:space="preserve"> </w:t>
      </w:r>
    </w:p>
    <w:p w14:paraId="0AAAC308" w14:textId="78307358" w:rsidR="00030EAA" w:rsidRPr="003E43D5" w:rsidRDefault="00030EAA" w:rsidP="00D626EF">
      <w:pPr>
        <w:pStyle w:val="ListBullet2"/>
        <w:tabs>
          <w:tab w:val="clear" w:pos="907"/>
          <w:tab w:val="num" w:pos="567"/>
        </w:tabs>
        <w:ind w:left="568" w:hanging="284"/>
      </w:pPr>
      <w:r w:rsidRPr="003E43D5">
        <w:t>Th</w:t>
      </w:r>
      <w:r w:rsidR="00EF4CF5" w:rsidRPr="003E43D5">
        <w:t>is proportion is</w:t>
      </w:r>
      <w:r w:rsidRPr="003E43D5">
        <w:t xml:space="preserve"> informed by 2017-18 </w:t>
      </w:r>
      <w:r w:rsidRPr="00D626EF">
        <w:t>Survey of Income and Housing</w:t>
      </w:r>
      <w:r w:rsidRPr="003E43D5">
        <w:t xml:space="preserve"> data on the asset portfolios of high wealth individuals.</w:t>
      </w:r>
    </w:p>
    <w:p w14:paraId="1071B754" w14:textId="77777777" w:rsidR="00030EAA" w:rsidRPr="001614FE" w:rsidRDefault="00030EAA" w:rsidP="00030EAA">
      <w:pPr>
        <w:pStyle w:val="ListBullet"/>
        <w:ind w:left="284" w:hanging="284"/>
      </w:pPr>
      <w:r w:rsidRPr="003E43D5">
        <w:t>Net wealth subject to the billionaire’s tax would grow in line with nominal GDP, based on growth projections from the 2020-21 Mid-Year Economic and Fiscal Outlook</w:t>
      </w:r>
      <w:r w:rsidRPr="001614FE">
        <w:t xml:space="preserve"> (MYEFO).</w:t>
      </w:r>
    </w:p>
    <w:p w14:paraId="7592DC97" w14:textId="6601AE57" w:rsidR="00030EAA" w:rsidRPr="001614FE" w:rsidRDefault="00030EAA" w:rsidP="00030EAA">
      <w:pPr>
        <w:pStyle w:val="ListBullet"/>
        <w:ind w:left="284" w:hanging="284"/>
      </w:pPr>
      <w:r w:rsidRPr="001614FE">
        <w:t xml:space="preserve">High wealth individuals affected by the proposal </w:t>
      </w:r>
      <w:r>
        <w:t xml:space="preserve">may </w:t>
      </w:r>
      <w:r w:rsidRPr="001614FE">
        <w:t xml:space="preserve">respond in various ways to minimise their tax payable. </w:t>
      </w:r>
      <w:r>
        <w:t xml:space="preserve"> </w:t>
      </w:r>
      <w:r w:rsidRPr="001614FE">
        <w:t>In the first year of the proposal</w:t>
      </w:r>
      <w:r>
        <w:t xml:space="preserve"> it was assumed that </w:t>
      </w:r>
      <w:r w:rsidRPr="001614FE">
        <w:t xml:space="preserve">50 per cent of the tax would be lost due to tax avoidance or evasion.  </w:t>
      </w:r>
      <w:r w:rsidRPr="0026199E">
        <w:t xml:space="preserve">This proportion was assumed to increase to </w:t>
      </w:r>
      <w:r w:rsidR="0026199E" w:rsidRPr="0026199E">
        <w:t>8</w:t>
      </w:r>
      <w:r w:rsidRPr="0026199E">
        <w:t xml:space="preserve">0 per cent after five years as </w:t>
      </w:r>
      <w:r w:rsidR="00D22C36" w:rsidRPr="0026199E">
        <w:t>individuals take further steps to minimise</w:t>
      </w:r>
      <w:r w:rsidRPr="0026199E">
        <w:t xml:space="preserve"> their tax.</w:t>
      </w:r>
      <w:r w:rsidRPr="001A0B93">
        <w:t xml:space="preserve"> </w:t>
      </w:r>
    </w:p>
    <w:p w14:paraId="1E258D36" w14:textId="2BE29C05" w:rsidR="00030EAA" w:rsidRPr="001614FE" w:rsidRDefault="00030EAA" w:rsidP="00030EAA">
      <w:pPr>
        <w:pStyle w:val="ListBullet2"/>
        <w:tabs>
          <w:tab w:val="clear" w:pos="907"/>
          <w:tab w:val="num" w:pos="567"/>
        </w:tabs>
        <w:ind w:left="568" w:hanging="284"/>
      </w:pPr>
      <w:r w:rsidRPr="001614FE">
        <w:t xml:space="preserve">This is a high-level adjustment informed by academic studies </w:t>
      </w:r>
      <w:r>
        <w:t xml:space="preserve">which </w:t>
      </w:r>
      <w:r w:rsidRPr="001614FE">
        <w:t>suggest</w:t>
      </w:r>
      <w:r>
        <w:t xml:space="preserve"> that </w:t>
      </w:r>
      <w:r w:rsidRPr="001614FE">
        <w:t xml:space="preserve">high degrees of tax avoidance </w:t>
      </w:r>
      <w:r w:rsidR="00D22C36">
        <w:t>are</w:t>
      </w:r>
      <w:r>
        <w:t xml:space="preserve"> undertaken </w:t>
      </w:r>
      <w:r w:rsidRPr="001614FE">
        <w:t xml:space="preserve">by the ultra-wealthy.  </w:t>
      </w:r>
      <w:r>
        <w:t xml:space="preserve">For example, a </w:t>
      </w:r>
      <w:r w:rsidRPr="001614FE">
        <w:t xml:space="preserve">paper published by the Wealth Tax Commission in the United Kingdom estimated that </w:t>
      </w:r>
      <w:r>
        <w:t xml:space="preserve">the imposition of </w:t>
      </w:r>
      <w:r w:rsidRPr="001614FE">
        <w:t>a 1 per cent wealth tax could reduce the tax base by 7</w:t>
      </w:r>
      <w:r>
        <w:t> </w:t>
      </w:r>
      <w:r w:rsidRPr="001614FE">
        <w:t>to 17</w:t>
      </w:r>
      <w:r>
        <w:t> </w:t>
      </w:r>
      <w:r w:rsidRPr="001614FE">
        <w:t xml:space="preserve">per cent.  Since this proposal sets </w:t>
      </w:r>
      <w:r w:rsidR="00D93130">
        <w:t>a tax rate</w:t>
      </w:r>
      <w:r>
        <w:t xml:space="preserve"> for wealth</w:t>
      </w:r>
      <w:r w:rsidRPr="001614FE">
        <w:t xml:space="preserve"> </w:t>
      </w:r>
      <w:r w:rsidR="00D93130">
        <w:t>at 6</w:t>
      </w:r>
      <w:r>
        <w:t> </w:t>
      </w:r>
      <w:r w:rsidRPr="001614FE">
        <w:t>per</w:t>
      </w:r>
      <w:r>
        <w:t> </w:t>
      </w:r>
      <w:r w:rsidRPr="001614FE">
        <w:t xml:space="preserve">cent, we have assumed a very </w:t>
      </w:r>
      <w:r>
        <w:t>significant</w:t>
      </w:r>
      <w:r w:rsidRPr="001614FE">
        <w:t xml:space="preserve"> behavioural response.</w:t>
      </w:r>
    </w:p>
    <w:p w14:paraId="21A709F1" w14:textId="437EA735" w:rsidR="00030EAA" w:rsidRPr="001614FE" w:rsidRDefault="00030EAA" w:rsidP="006D4057">
      <w:pPr>
        <w:pStyle w:val="ListBullet2"/>
        <w:tabs>
          <w:tab w:val="clear" w:pos="907"/>
          <w:tab w:val="num" w:pos="567"/>
        </w:tabs>
        <w:ind w:left="568" w:hanging="284"/>
      </w:pPr>
      <w:r w:rsidRPr="001614FE">
        <w:t>Th</w:t>
      </w:r>
      <w:r>
        <w:t xml:space="preserve">ese assumptions reflect </w:t>
      </w:r>
      <w:r w:rsidRPr="001614FE">
        <w:t xml:space="preserve">the relative </w:t>
      </w:r>
      <w:r w:rsidR="00F17B27">
        <w:t>capacity</w:t>
      </w:r>
      <w:r w:rsidR="00F17B27" w:rsidRPr="001614FE">
        <w:t xml:space="preserve"> </w:t>
      </w:r>
      <w:r w:rsidRPr="001614FE">
        <w:t xml:space="preserve">of high wealth individuals and their accountants </w:t>
      </w:r>
      <w:r w:rsidR="00F17B27">
        <w:t>to</w:t>
      </w:r>
      <w:r w:rsidR="00F17B27" w:rsidRPr="001614FE">
        <w:t xml:space="preserve"> </w:t>
      </w:r>
      <w:r w:rsidRPr="001614FE">
        <w:t>manag</w:t>
      </w:r>
      <w:r w:rsidR="00F17B27">
        <w:t>e</w:t>
      </w:r>
      <w:r w:rsidRPr="001614FE">
        <w:t xml:space="preserve"> their tax affairs and the available options to avoid or minimise the tax burden, including but not limited to:</w:t>
      </w:r>
    </w:p>
    <w:p w14:paraId="196ED48C" w14:textId="77777777" w:rsidR="00883B02" w:rsidRPr="001614FE" w:rsidRDefault="00883B02" w:rsidP="00883B02">
      <w:pPr>
        <w:pStyle w:val="ListBullet3"/>
      </w:pPr>
      <w:r w:rsidRPr="001614FE">
        <w:t>exploiting valuation challenges in complex structures such as trusts and partnerships</w:t>
      </w:r>
    </w:p>
    <w:p w14:paraId="2035144E" w14:textId="77777777" w:rsidR="00030EAA" w:rsidRPr="001614FE" w:rsidRDefault="00030EAA" w:rsidP="00030EAA">
      <w:pPr>
        <w:pStyle w:val="ListBullet3"/>
      </w:pPr>
      <w:r w:rsidRPr="001614FE">
        <w:t>moving overseas for tax purposes</w:t>
      </w:r>
    </w:p>
    <w:p w14:paraId="2F58BF31" w14:textId="77777777" w:rsidR="00030EAA" w:rsidRPr="00C10611" w:rsidRDefault="00030EAA" w:rsidP="00030EAA">
      <w:pPr>
        <w:pStyle w:val="ListBullet3"/>
      </w:pPr>
      <w:r w:rsidRPr="00C10611">
        <w:lastRenderedPageBreak/>
        <w:t>hiding assets in offshore accounts</w:t>
      </w:r>
      <w:r w:rsidRPr="00C10611">
        <w:rPr>
          <w:rStyle w:val="FootnoteReference"/>
        </w:rPr>
        <w:footnoteReference w:id="3"/>
      </w:r>
    </w:p>
    <w:p w14:paraId="7AAB7FE2" w14:textId="77777777" w:rsidR="00030EAA" w:rsidRPr="00C10611" w:rsidRDefault="00030EAA" w:rsidP="00030EAA">
      <w:pPr>
        <w:pStyle w:val="ListBullet3"/>
      </w:pPr>
      <w:r w:rsidRPr="00C10611">
        <w:t>non-disclosure and underreporting of assets</w:t>
      </w:r>
      <w:r w:rsidRPr="00C10611">
        <w:rPr>
          <w:rStyle w:val="FootnoteReference"/>
        </w:rPr>
        <w:footnoteReference w:id="4"/>
      </w:r>
    </w:p>
    <w:p w14:paraId="2055ED13" w14:textId="3F908498" w:rsidR="00030EAA" w:rsidRPr="00C10611" w:rsidRDefault="00030EAA" w:rsidP="00030EAA">
      <w:pPr>
        <w:pStyle w:val="ListBullet3"/>
      </w:pPr>
      <w:r w:rsidRPr="00C10611">
        <w:t xml:space="preserve">restructuring assets </w:t>
      </w:r>
    </w:p>
    <w:p w14:paraId="1B74C201" w14:textId="77777777" w:rsidR="00030EAA" w:rsidRPr="00C10611" w:rsidRDefault="00030EAA" w:rsidP="00030EAA">
      <w:pPr>
        <w:pStyle w:val="ListBullet3"/>
      </w:pPr>
      <w:r w:rsidRPr="00C10611">
        <w:t>‘gifting’ assets to non-immediate family members</w:t>
      </w:r>
    </w:p>
    <w:p w14:paraId="57F40544" w14:textId="133A1A45" w:rsidR="00030EAA" w:rsidRPr="00C10611" w:rsidRDefault="00030EAA" w:rsidP="00030EAA">
      <w:pPr>
        <w:pStyle w:val="ListBullet3"/>
      </w:pPr>
      <w:r w:rsidRPr="00C10611">
        <w:t xml:space="preserve">‘gaming’ the date </w:t>
      </w:r>
      <w:r w:rsidR="005C1A09" w:rsidRPr="00C10611">
        <w:t>for</w:t>
      </w:r>
      <w:r w:rsidRPr="00C10611">
        <w:t xml:space="preserve"> which net wealth would be calculated by adjusting their asset holdings around that time. </w:t>
      </w:r>
    </w:p>
    <w:p w14:paraId="6B4A2C0F" w14:textId="3A3E0241" w:rsidR="00517E47" w:rsidRPr="00C10611" w:rsidRDefault="00517E47" w:rsidP="00762371">
      <w:pPr>
        <w:pStyle w:val="ListBullet"/>
        <w:tabs>
          <w:tab w:val="clear" w:pos="454"/>
          <w:tab w:val="num" w:pos="284"/>
        </w:tabs>
        <w:ind w:left="284" w:hanging="284"/>
      </w:pPr>
      <w:r w:rsidRPr="00C10611">
        <w:t xml:space="preserve">The billionaire’s tax attributable to a single property, or single group of properties for agricultural holdings, which can be deferred under the proposal </w:t>
      </w:r>
      <w:r w:rsidR="00D626EF">
        <w:t xml:space="preserve">is expected to be immaterial </w:t>
      </w:r>
      <w:r w:rsidRPr="00C10611">
        <w:t>based on the limited number of properties that would exceed the $1 billion tax-free threshold.</w:t>
      </w:r>
    </w:p>
    <w:p w14:paraId="126E07D4" w14:textId="77777777" w:rsidR="00913B51" w:rsidRPr="001614FE" w:rsidRDefault="00913B51" w:rsidP="00913B51">
      <w:pPr>
        <w:pStyle w:val="ListBullet"/>
        <w:ind w:left="284" w:hanging="284"/>
      </w:pPr>
      <w:r w:rsidRPr="00C10611">
        <w:t>The assessable net wealth for the purposes of the billionaire’s tax would be calculated based on a combination of self-reporting and information provided by third parties (eg banks, insurance providers, superannuation</w:t>
      </w:r>
      <w:r w:rsidRPr="001614FE">
        <w:t xml:space="preserve"> funds, state-based land titles offices).  The ATO would also under</w:t>
      </w:r>
      <w:r>
        <w:t>take</w:t>
      </w:r>
      <w:r w:rsidRPr="001614FE">
        <w:t xml:space="preserve"> regular auditing and compliance checks similar to the</w:t>
      </w:r>
      <w:r>
        <w:t xml:space="preserve">ir </w:t>
      </w:r>
      <w:r w:rsidRPr="001614FE">
        <w:t>existing processes.</w:t>
      </w:r>
    </w:p>
    <w:p w14:paraId="477AEBF4" w14:textId="77777777" w:rsidR="00030EAA" w:rsidRPr="001614FE" w:rsidRDefault="00030EAA" w:rsidP="00030EAA">
      <w:pPr>
        <w:pStyle w:val="ListBullet"/>
        <w:ind w:left="284" w:hanging="284"/>
      </w:pPr>
      <w:r w:rsidRPr="001614FE">
        <w:t>The billionaire’s tax would be collected on a quarterly basis.</w:t>
      </w:r>
    </w:p>
    <w:p w14:paraId="51BAB8D8" w14:textId="77777777" w:rsidR="00030EAA" w:rsidRPr="001614FE" w:rsidRDefault="00030EAA" w:rsidP="00030EAA">
      <w:pPr>
        <w:pStyle w:val="ListBullet"/>
        <w:ind w:left="284" w:hanging="284"/>
      </w:pPr>
      <w:r w:rsidRPr="001614FE">
        <w:t xml:space="preserve">The ATO would </w:t>
      </w:r>
      <w:r>
        <w:t xml:space="preserve">employ an additional 200 </w:t>
      </w:r>
      <w:r w:rsidRPr="001614FE">
        <w:t>full-time-equivalent staff</w:t>
      </w:r>
      <w:r>
        <w:t xml:space="preserve"> to </w:t>
      </w:r>
      <w:r w:rsidRPr="001614FE">
        <w:t>administer the new tax</w:t>
      </w:r>
      <w:r>
        <w:t xml:space="preserve">, undertake </w:t>
      </w:r>
      <w:r w:rsidRPr="001614FE">
        <w:t>compliance and audit checks</w:t>
      </w:r>
      <w:r>
        <w:t xml:space="preserve"> as well as establishing and managing the</w:t>
      </w:r>
      <w:r w:rsidRPr="002D3697">
        <w:t xml:space="preserve"> National Wealth Register.</w:t>
      </w:r>
    </w:p>
    <w:p w14:paraId="03522212" w14:textId="77777777" w:rsidR="00030EAA" w:rsidRPr="001614FE" w:rsidRDefault="00030EAA" w:rsidP="00030EAA">
      <w:pPr>
        <w:pStyle w:val="ListBullet2"/>
        <w:tabs>
          <w:tab w:val="clear" w:pos="907"/>
          <w:tab w:val="num" w:pos="567"/>
        </w:tabs>
        <w:ind w:left="568" w:hanging="284"/>
      </w:pPr>
      <w:r w:rsidRPr="001614FE">
        <w:t xml:space="preserve">This figure was based on the current staffing profiles of business areas responsible for high wealth individuals and compliance work as reported in the ATO’s 2018-19 annual report. </w:t>
      </w:r>
    </w:p>
    <w:p w14:paraId="00F1B9BA" w14:textId="77777777" w:rsidR="00030EAA" w:rsidRPr="001614FE" w:rsidRDefault="00030EAA" w:rsidP="00030EAA">
      <w:pPr>
        <w:pStyle w:val="Heading1"/>
      </w:pPr>
      <w:r w:rsidRPr="001614FE">
        <w:t>Methodology</w:t>
      </w:r>
    </w:p>
    <w:p w14:paraId="546EB5FD" w14:textId="77777777" w:rsidR="00030EAA" w:rsidRPr="001614FE" w:rsidRDefault="00030EAA" w:rsidP="00030EAA">
      <w:pPr>
        <w:pStyle w:val="BodyText"/>
      </w:pPr>
      <w:r w:rsidRPr="001614FE">
        <w:t xml:space="preserve">The tax revenue implications were estimated based on </w:t>
      </w:r>
      <w:r>
        <w:t xml:space="preserve">an </w:t>
      </w:r>
      <w:r w:rsidRPr="001614FE">
        <w:t xml:space="preserve">analysis of </w:t>
      </w:r>
      <w:r>
        <w:t xml:space="preserve">ATO </w:t>
      </w:r>
      <w:r w:rsidRPr="001614FE">
        <w:t>personal income tax file</w:t>
      </w:r>
      <w:r>
        <w:t xml:space="preserve"> data</w:t>
      </w:r>
      <w:r w:rsidRPr="001614FE">
        <w:t>, in conjunction with publicly available information on the net wealth of high</w:t>
      </w:r>
      <w:r w:rsidRPr="001614FE">
        <w:noBreakHyphen/>
        <w:t xml:space="preserve">wealth individuals.  The net wealth of these individuals was estimated by </w:t>
      </w:r>
      <w:r>
        <w:t xml:space="preserve">grossing up income declared for income tax purposes using assumptions on the </w:t>
      </w:r>
      <w:r w:rsidRPr="001614FE">
        <w:t xml:space="preserve">rate of return on assets and the proportion of assets that would generate income.  </w:t>
      </w:r>
    </w:p>
    <w:p w14:paraId="36489C32" w14:textId="4B15627E" w:rsidR="00030EAA" w:rsidRPr="001614FE" w:rsidRDefault="00030EAA" w:rsidP="00030EAA">
      <w:pPr>
        <w:pStyle w:val="BodyText"/>
        <w:rPr>
          <w:i/>
        </w:rPr>
      </w:pPr>
      <w:r>
        <w:t xml:space="preserve">Each individual’s estimated </w:t>
      </w:r>
      <w:r w:rsidRPr="001614FE">
        <w:t>annual net wealth was projected over the period to 2030-31 by indexing it in line with annual nominal GDP growth.  The PBO then estimate</w:t>
      </w:r>
      <w:r>
        <w:t>d</w:t>
      </w:r>
      <w:r w:rsidRPr="001614FE">
        <w:t xml:space="preserve"> the amount of billionaire’s tax that could be collected according to the specified </w:t>
      </w:r>
      <w:r w:rsidR="00537A57">
        <w:t>tax rate</w:t>
      </w:r>
      <w:r w:rsidRPr="001614FE">
        <w:t xml:space="preserve"> and taking into account the amount of tax relating to real estate assets which could be deferred under the proposal.  Finally, the estimates were adjusted to account for the expected behavioural response by individuals to minimise their tax payable</w:t>
      </w:r>
      <w:r w:rsidRPr="001614FE">
        <w:rPr>
          <w:i/>
        </w:rPr>
        <w:t>.</w:t>
      </w:r>
    </w:p>
    <w:p w14:paraId="1A9D097A" w14:textId="77777777" w:rsidR="00030EAA" w:rsidRPr="001614FE" w:rsidRDefault="00030EAA" w:rsidP="00030EAA">
      <w:pPr>
        <w:pStyle w:val="BodyText"/>
      </w:pPr>
      <w:r w:rsidRPr="001614FE">
        <w:t>The PBO estimated an initial set-up cost of around $40 million for the ATO in the first year of the proposal.  </w:t>
      </w:r>
      <w:r>
        <w:t>O</w:t>
      </w:r>
      <w:r w:rsidRPr="001614FE">
        <w:t>ngoing costs of administering the billionaire’s tax</w:t>
      </w:r>
      <w:r>
        <w:t xml:space="preserve">, undertaking </w:t>
      </w:r>
      <w:r w:rsidRPr="001614FE">
        <w:t xml:space="preserve">compliance checks </w:t>
      </w:r>
      <w:r>
        <w:t xml:space="preserve">and maintaining </w:t>
      </w:r>
      <w:r w:rsidRPr="002D3697">
        <w:t xml:space="preserve">a national wealth register </w:t>
      </w:r>
      <w:r>
        <w:t>were estimated to</w:t>
      </w:r>
      <w:r w:rsidRPr="001614FE">
        <w:t xml:space="preserve"> be $3</w:t>
      </w:r>
      <w:r>
        <w:t>5</w:t>
      </w:r>
      <w:r w:rsidRPr="001614FE">
        <w:t xml:space="preserve"> million per year.  This was based on </w:t>
      </w:r>
      <w:r w:rsidRPr="001614FE">
        <w:lastRenderedPageBreak/>
        <w:t xml:space="preserve">an assessment of staffing levels required in the relevant business areas as outlined in </w:t>
      </w:r>
      <w:r w:rsidRPr="001614FE">
        <w:rPr>
          <w:i/>
        </w:rPr>
        <w:t>Key assumptions</w:t>
      </w:r>
      <w:r w:rsidRPr="001614FE">
        <w:t>.</w:t>
      </w:r>
    </w:p>
    <w:p w14:paraId="1AE4A0AE" w14:textId="27080E1B" w:rsidR="00030EAA" w:rsidRPr="001614FE" w:rsidRDefault="00030EAA" w:rsidP="00030EAA">
      <w:pPr>
        <w:pStyle w:val="BodyText"/>
      </w:pPr>
      <w:r w:rsidRPr="001614FE">
        <w:t xml:space="preserve">Revenue estimates for the billionaire’s tax </w:t>
      </w:r>
      <w:r w:rsidRPr="0026199E">
        <w:t>have been round</w:t>
      </w:r>
      <w:r w:rsidR="00537A57">
        <w:t xml:space="preserve">ed to the nearest $10 million.  </w:t>
      </w:r>
      <w:r w:rsidRPr="001614FE">
        <w:t xml:space="preserve">Departmental expense estimates have been rounded to the nearest $1 million.   </w:t>
      </w:r>
    </w:p>
    <w:p w14:paraId="775CB0B2" w14:textId="77777777" w:rsidR="00FE3B13" w:rsidRPr="00D014E1" w:rsidRDefault="00FE3B13" w:rsidP="00FE3B13">
      <w:pPr>
        <w:pStyle w:val="Heading1"/>
      </w:pPr>
      <w:r w:rsidRPr="00D014E1">
        <w:t>Data sources</w:t>
      </w:r>
    </w:p>
    <w:p w14:paraId="3EB82FB0" w14:textId="77777777" w:rsidR="00030EAA" w:rsidRPr="001614FE" w:rsidRDefault="00030EAA" w:rsidP="00030EAA">
      <w:pPr>
        <w:pStyle w:val="BodyText"/>
      </w:pPr>
      <w:r w:rsidRPr="001614FE">
        <w:t>The ATO provided personal income tax files for the 2017-18 financial year.</w:t>
      </w:r>
    </w:p>
    <w:p w14:paraId="3B0A4A28" w14:textId="77777777" w:rsidR="00030EAA" w:rsidRPr="001614FE" w:rsidRDefault="00030EAA" w:rsidP="00030EAA">
      <w:pPr>
        <w:pStyle w:val="BodyText"/>
      </w:pPr>
      <w:r w:rsidRPr="001614FE">
        <w:t>The Treasury provided economic forecasts as at the 2020-21 MYEFO.</w:t>
      </w:r>
    </w:p>
    <w:p w14:paraId="14CBA47F" w14:textId="77777777" w:rsidR="00030EAA" w:rsidRPr="001614FE" w:rsidRDefault="00030EAA" w:rsidP="00030EAA">
      <w:pPr>
        <w:pStyle w:val="BodyText"/>
      </w:pPr>
      <w:r w:rsidRPr="001614FE">
        <w:t xml:space="preserve">Advani, A. and Tarrant, H., 2020. </w:t>
      </w:r>
      <w:r w:rsidRPr="001614FE">
        <w:rPr>
          <w:i/>
        </w:rPr>
        <w:t xml:space="preserve">Behavioural responses to a wealth tax, Wealth Tax Commission Evidence Paper no. 5. </w:t>
      </w:r>
      <w:r w:rsidRPr="001614FE">
        <w:t>London: Wealth Tax Commission.</w:t>
      </w:r>
    </w:p>
    <w:p w14:paraId="637245F2" w14:textId="3D04E5E0" w:rsidR="00030EAA" w:rsidRPr="001614FE" w:rsidRDefault="00030EAA" w:rsidP="00030EAA">
      <w:pPr>
        <w:pStyle w:val="BodyText"/>
      </w:pPr>
      <w:r w:rsidRPr="001614FE">
        <w:t xml:space="preserve">Alstadsaeter, A., Johannesen, N., Zucman, G., 2019. </w:t>
      </w:r>
      <w:r w:rsidRPr="001614FE">
        <w:rPr>
          <w:i/>
        </w:rPr>
        <w:t xml:space="preserve">Tax Evasion and Inequality. </w:t>
      </w:r>
      <w:r w:rsidRPr="001614FE">
        <w:t xml:space="preserve">American Economic Review, Vol. 109, No. 6. </w:t>
      </w:r>
      <w:r>
        <w:t xml:space="preserve">[Online] </w:t>
      </w:r>
      <w:r w:rsidRPr="001614FE">
        <w:t>Available at</w:t>
      </w:r>
      <w:r>
        <w:t>:</w:t>
      </w:r>
      <w:r w:rsidRPr="001614FE">
        <w:t xml:space="preserve"> </w:t>
      </w:r>
      <w:hyperlink r:id="rId8" w:history="1">
        <w:r w:rsidRPr="00030EAA">
          <w:rPr>
            <w:rStyle w:val="Hyperlink"/>
            <w:u w:val="none"/>
          </w:rPr>
          <w:t>https://www.aeaweb.org/articles?id=10.1257/aer.20172043</w:t>
        </w:r>
      </w:hyperlink>
      <w:r>
        <w:t xml:space="preserve"> [Accessed 05.03.2021]</w:t>
      </w:r>
      <w:r w:rsidRPr="001614FE">
        <w:t xml:space="preserve">. </w:t>
      </w:r>
    </w:p>
    <w:p w14:paraId="31F23C64" w14:textId="42088158" w:rsidR="00030EAA" w:rsidRPr="001614FE" w:rsidRDefault="00030EAA" w:rsidP="00030EAA">
      <w:pPr>
        <w:pStyle w:val="BodyText"/>
      </w:pPr>
      <w:r w:rsidRPr="001614FE">
        <w:t xml:space="preserve">Australian Bureau of Statistics, 2018. </w:t>
      </w:r>
      <w:r w:rsidRPr="001614FE">
        <w:rPr>
          <w:i/>
        </w:rPr>
        <w:t xml:space="preserve">Household Income and Wealth, Australia. </w:t>
      </w:r>
      <w:r w:rsidRPr="00030EAA">
        <w:t>[</w:t>
      </w:r>
      <w:r>
        <w:t>Online</w:t>
      </w:r>
      <w:r w:rsidRPr="00030EAA">
        <w:t>]</w:t>
      </w:r>
      <w:r>
        <w:t xml:space="preserve"> </w:t>
      </w:r>
      <w:r w:rsidRPr="001614FE">
        <w:t>Available at</w:t>
      </w:r>
      <w:r>
        <w:t>:</w:t>
      </w:r>
      <w:r w:rsidRPr="001614FE">
        <w:t xml:space="preserve"> </w:t>
      </w:r>
      <w:hyperlink r:id="rId9" w:history="1">
        <w:r w:rsidRPr="00030EAA">
          <w:rPr>
            <w:rStyle w:val="Hyperlink"/>
            <w:u w:val="none"/>
          </w:rPr>
          <w:t>https://www.abs.gov.au/statistics/economy/finance/household-income-and-wealth-australia/2017</w:t>
        </w:r>
        <w:r w:rsidRPr="00030EAA">
          <w:rPr>
            <w:rStyle w:val="Hyperlink"/>
            <w:u w:val="none"/>
          </w:rPr>
          <w:noBreakHyphen/>
          <w:t>18</w:t>
        </w:r>
      </w:hyperlink>
      <w:r>
        <w:t xml:space="preserve"> [</w:t>
      </w:r>
      <w:r w:rsidRPr="001614FE">
        <w:t xml:space="preserve">Accessed </w:t>
      </w:r>
      <w:r>
        <w:t>05.03.2021]</w:t>
      </w:r>
      <w:r w:rsidRPr="001614FE">
        <w:t xml:space="preserve">. </w:t>
      </w:r>
    </w:p>
    <w:p w14:paraId="554F69EC" w14:textId="1D06E6F1" w:rsidR="00652C11" w:rsidRPr="00652C11" w:rsidRDefault="00652C11" w:rsidP="00030EAA">
      <w:pPr>
        <w:pStyle w:val="BodyText"/>
      </w:pPr>
      <w:r>
        <w:t xml:space="preserve">Australian Financial Review, 2020. </w:t>
      </w:r>
      <w:r>
        <w:rPr>
          <w:i/>
        </w:rPr>
        <w:t xml:space="preserve">2020 Rich List. </w:t>
      </w:r>
      <w:r>
        <w:t xml:space="preserve">[Online] Available at: </w:t>
      </w:r>
      <w:hyperlink r:id="rId10" w:history="1">
        <w:r w:rsidRPr="00652C11">
          <w:rPr>
            <w:rStyle w:val="Hyperlink"/>
            <w:u w:val="none"/>
          </w:rPr>
          <w:t>https://www.afr.com/rich-list</w:t>
        </w:r>
      </w:hyperlink>
      <w:r>
        <w:t xml:space="preserve"> [Accessed 05.03.2021].</w:t>
      </w:r>
    </w:p>
    <w:p w14:paraId="35039C40" w14:textId="77777777" w:rsidR="00030EAA" w:rsidRPr="001614FE" w:rsidRDefault="00030EAA" w:rsidP="00030EAA">
      <w:pPr>
        <w:pStyle w:val="BodyText"/>
      </w:pPr>
      <w:r w:rsidRPr="001614FE">
        <w:t xml:space="preserve">Australian Tax Office, 2019. </w:t>
      </w:r>
      <w:r w:rsidRPr="001614FE">
        <w:rPr>
          <w:i/>
        </w:rPr>
        <w:t>Commissioner of Taxation annual report 2018-19</w:t>
      </w:r>
      <w:r w:rsidRPr="001614FE">
        <w:t>, Canberra: Australian Taxation Office.</w:t>
      </w:r>
    </w:p>
    <w:p w14:paraId="668E0782" w14:textId="77777777" w:rsidR="00030EAA" w:rsidRPr="001614FE" w:rsidRDefault="00030EAA" w:rsidP="00030EAA">
      <w:pPr>
        <w:pStyle w:val="BodyText"/>
      </w:pPr>
      <w:r w:rsidRPr="001614FE">
        <w:t xml:space="preserve">Chatalova, N. and Evans, C., 2013. </w:t>
      </w:r>
      <w:r w:rsidRPr="001614FE">
        <w:rPr>
          <w:i/>
        </w:rPr>
        <w:t>Too rich to rein in? The under-utilised wealth tax base, eJournal of Tax Research Vol 11, No.3</w:t>
      </w:r>
      <w:r w:rsidRPr="001614FE">
        <w:t>. Sydney: School of Taxation and Business Law, University of New South Wales.</w:t>
      </w:r>
    </w:p>
    <w:p w14:paraId="71C2F245" w14:textId="0865E979" w:rsidR="00030EAA" w:rsidRPr="001614FE" w:rsidRDefault="00030EAA" w:rsidP="00030EAA">
      <w:pPr>
        <w:pStyle w:val="BodyText"/>
      </w:pPr>
      <w:r w:rsidRPr="001614FE">
        <w:t xml:space="preserve">CoreLogic, 2019. </w:t>
      </w:r>
      <w:r w:rsidRPr="001614FE">
        <w:rPr>
          <w:i/>
        </w:rPr>
        <w:t xml:space="preserve">Length Of Home Ownership Continues To Rise. </w:t>
      </w:r>
      <w:r w:rsidRPr="00030EAA">
        <w:t>[</w:t>
      </w:r>
      <w:r>
        <w:t>Online</w:t>
      </w:r>
      <w:r w:rsidRPr="00030EAA">
        <w:t>]</w:t>
      </w:r>
      <w:r>
        <w:t xml:space="preserve"> </w:t>
      </w:r>
      <w:r w:rsidRPr="001614FE">
        <w:t xml:space="preserve">Available at </w:t>
      </w:r>
      <w:hyperlink r:id="rId11" w:history="1">
        <w:r w:rsidRPr="00030EAA">
          <w:rPr>
            <w:rStyle w:val="Hyperlink"/>
            <w:u w:val="none"/>
          </w:rPr>
          <w:t>https://www.corelogic.com.au/news/length-home-ownership-continues-rise</w:t>
        </w:r>
      </w:hyperlink>
      <w:r>
        <w:t xml:space="preserve"> [</w:t>
      </w:r>
      <w:r w:rsidRPr="001614FE">
        <w:t xml:space="preserve">Accessed </w:t>
      </w:r>
      <w:r>
        <w:t>05.03.2021]</w:t>
      </w:r>
      <w:r w:rsidRPr="001614FE">
        <w:t>.</w:t>
      </w:r>
    </w:p>
    <w:p w14:paraId="5ED53E6B" w14:textId="77777777" w:rsidR="00030EAA" w:rsidRPr="001614FE" w:rsidRDefault="00030EAA" w:rsidP="00030EAA">
      <w:pPr>
        <w:pStyle w:val="BodyText"/>
      </w:pPr>
      <w:r w:rsidRPr="001614FE">
        <w:t xml:space="preserve">Ingles, D., 2016. </w:t>
      </w:r>
      <w:r w:rsidRPr="001614FE">
        <w:rPr>
          <w:i/>
        </w:rPr>
        <w:t>Does Australia need an annual wealth tax? (And why do we now apply on only to pensioners), Tax and Transfer Policy Institute Working Paper 3/2016</w:t>
      </w:r>
      <w:r w:rsidRPr="001614FE">
        <w:t>.  Canberra: Crawford School of Public Policy, Australian National University.</w:t>
      </w:r>
    </w:p>
    <w:p w14:paraId="35C88ABA" w14:textId="77777777" w:rsidR="00030EAA" w:rsidRPr="001614FE" w:rsidRDefault="00030EAA" w:rsidP="00030EAA">
      <w:pPr>
        <w:pStyle w:val="BodyText"/>
      </w:pPr>
      <w:r w:rsidRPr="001614FE">
        <w:t xml:space="preserve">OECD, 2018. </w:t>
      </w:r>
      <w:r w:rsidRPr="001614FE">
        <w:rPr>
          <w:i/>
        </w:rPr>
        <w:t>The Role and Design of Net Wealth Taxes in the OECD, OECD Tax Policy Studies, No.26</w:t>
      </w:r>
      <w:r w:rsidRPr="001614FE">
        <w:t>. Paris: OECD Publishing.</w:t>
      </w:r>
    </w:p>
    <w:p w14:paraId="697EE513" w14:textId="7F888D98" w:rsidR="00030EAA" w:rsidRPr="00134B8F" w:rsidRDefault="00030EAA" w:rsidP="00030EAA">
      <w:pPr>
        <w:pStyle w:val="BodyText"/>
      </w:pPr>
      <w:r>
        <w:t xml:space="preserve">Standard and Poors Dow Jones Indices, 2020. </w:t>
      </w:r>
      <w:r>
        <w:rPr>
          <w:i/>
        </w:rPr>
        <w:t xml:space="preserve">All Ordinaries Factsheet. </w:t>
      </w:r>
      <w:r w:rsidRPr="00030EAA">
        <w:t>[</w:t>
      </w:r>
      <w:r>
        <w:t>Online</w:t>
      </w:r>
      <w:r w:rsidRPr="00030EAA">
        <w:t>]</w:t>
      </w:r>
      <w:r>
        <w:rPr>
          <w:i/>
        </w:rPr>
        <w:t xml:space="preserve"> </w:t>
      </w:r>
      <w:r>
        <w:t xml:space="preserve">Available at </w:t>
      </w:r>
      <w:hyperlink r:id="rId12" w:anchor="overview" w:history="1">
        <w:r w:rsidRPr="00030EAA">
          <w:rPr>
            <w:rStyle w:val="Hyperlink"/>
            <w:u w:val="none"/>
          </w:rPr>
          <w:t>https://www.spglobal.com/spdji/en/indices/equity/all-ordinaries/#overview</w:t>
        </w:r>
      </w:hyperlink>
      <w:r>
        <w:t xml:space="preserve"> [Accessed 09.03.2021].</w:t>
      </w:r>
    </w:p>
    <w:p w14:paraId="4426EC22" w14:textId="49FC1528" w:rsidR="00030EAA" w:rsidRDefault="00030EAA" w:rsidP="00030EAA">
      <w:pPr>
        <w:pStyle w:val="BodyText"/>
      </w:pPr>
      <w:r w:rsidRPr="001614FE">
        <w:t xml:space="preserve">Seim, D., 2017. </w:t>
      </w:r>
      <w:r w:rsidRPr="001614FE">
        <w:rPr>
          <w:i/>
        </w:rPr>
        <w:t xml:space="preserve">Behavioural Responses to Wealth Taxes: Evidence from Sweden. </w:t>
      </w:r>
      <w:r w:rsidRPr="001614FE">
        <w:t xml:space="preserve">American economic Journal: Economic Policy Vol. 9, No. 4. </w:t>
      </w:r>
      <w:r>
        <w:t xml:space="preserve">[Online] </w:t>
      </w:r>
      <w:r w:rsidRPr="001614FE">
        <w:t xml:space="preserve">Available at </w:t>
      </w:r>
      <w:hyperlink r:id="rId13" w:history="1">
        <w:r w:rsidRPr="00030EAA">
          <w:rPr>
            <w:rStyle w:val="Hyperlink"/>
            <w:u w:val="none"/>
          </w:rPr>
          <w:t>https://www.aeaweb.org/articles?id=10.1257/pol.20150290</w:t>
        </w:r>
      </w:hyperlink>
      <w:r>
        <w:t xml:space="preserve"> [Accessed 09.03.2021]</w:t>
      </w:r>
      <w:r w:rsidRPr="001614FE">
        <w:t xml:space="preserve">. </w:t>
      </w:r>
    </w:p>
    <w:p w14:paraId="2CD65F41" w14:textId="3C5566B8" w:rsidR="00652C11" w:rsidRPr="00652C11" w:rsidRDefault="00652C11" w:rsidP="00030EAA">
      <w:pPr>
        <w:pStyle w:val="BodyText"/>
      </w:pPr>
      <w:r>
        <w:t xml:space="preserve">The Australian, 2021. </w:t>
      </w:r>
      <w:r>
        <w:rPr>
          <w:i/>
        </w:rPr>
        <w:t xml:space="preserve">The List: Australia’s Richest 250. </w:t>
      </w:r>
      <w:r>
        <w:t xml:space="preserve">Sydney: </w:t>
      </w:r>
      <w:r w:rsidR="00A81EFC">
        <w:t>The Australian.</w:t>
      </w:r>
    </w:p>
    <w:p w14:paraId="243DB336" w14:textId="77777777" w:rsidR="00030EAA" w:rsidRDefault="00030EAA" w:rsidP="00030EAA">
      <w:pPr>
        <w:pStyle w:val="BodyText"/>
      </w:pPr>
      <w:r w:rsidRPr="001614FE">
        <w:t xml:space="preserve">Zucman, G., 2015. </w:t>
      </w:r>
      <w:r w:rsidRPr="001614FE">
        <w:rPr>
          <w:i/>
        </w:rPr>
        <w:t xml:space="preserve">The Hidden Wealth of Nations. </w:t>
      </w:r>
      <w:r w:rsidRPr="001614FE">
        <w:t xml:space="preserve">Chicago: University of Chicago Press. </w:t>
      </w:r>
    </w:p>
    <w:p w14:paraId="6E10F6CE" w14:textId="77777777" w:rsidR="00030EAA" w:rsidRDefault="00030EAA" w:rsidP="00030EAA">
      <w:pPr>
        <w:rPr>
          <w:rFonts w:cs="Times New Roman"/>
          <w:spacing w:val="-1"/>
        </w:rPr>
      </w:pPr>
      <w:r>
        <w:br w:type="page"/>
      </w:r>
    </w:p>
    <w:p w14:paraId="4F703460" w14:textId="77777777" w:rsidR="0046444F" w:rsidRDefault="0046444F" w:rsidP="00B311BA">
      <w:pPr>
        <w:pStyle w:val="BodyText"/>
        <w:sectPr w:rsidR="0046444F" w:rsidSect="005512BC">
          <w:headerReference w:type="default" r:id="rId14"/>
          <w:footerReference w:type="default" r:id="rId15"/>
          <w:headerReference w:type="first" r:id="rId16"/>
          <w:footerReference w:type="first" r:id="rId17"/>
          <w:pgSz w:w="11906" w:h="16838" w:code="9"/>
          <w:pgMar w:top="1134" w:right="1418" w:bottom="1134" w:left="1418" w:header="284" w:footer="454" w:gutter="0"/>
          <w:pgNumType w:start="1"/>
          <w:cols w:space="708"/>
          <w:formProt w:val="0"/>
          <w:titlePg/>
          <w:docGrid w:linePitch="360"/>
        </w:sectPr>
      </w:pPr>
    </w:p>
    <w:p w14:paraId="1E962E0E" w14:textId="173A8715" w:rsidR="00016D53" w:rsidRPr="00D014E1" w:rsidRDefault="00016D53" w:rsidP="00B538BA">
      <w:pPr>
        <w:pStyle w:val="Heading8"/>
        <w:spacing w:before="240" w:after="120"/>
      </w:pPr>
      <w:r w:rsidRPr="00D014E1">
        <w:lastRenderedPageBreak/>
        <w:t xml:space="preserve">– </w:t>
      </w:r>
      <w:r w:rsidR="00030EAA">
        <w:rPr>
          <w:noProof/>
        </w:rPr>
        <w:t>Billionaire’s</w:t>
      </w:r>
      <w:r w:rsidR="00657783">
        <w:rPr>
          <w:noProof/>
        </w:rPr>
        <w:t xml:space="preserve"> tax</w:t>
      </w:r>
      <w:r w:rsidR="00326E3E" w:rsidRPr="00D014E1">
        <w:t xml:space="preserve"> – </w:t>
      </w:r>
      <w:r w:rsidRPr="00D014E1">
        <w:t>financial implications</w:t>
      </w:r>
    </w:p>
    <w:p w14:paraId="5F9ACF13" w14:textId="77E94AB5" w:rsidR="00030EAA" w:rsidRPr="001614FE" w:rsidRDefault="00030EAA" w:rsidP="00030EAA">
      <w:pPr>
        <w:pStyle w:val="Caption"/>
        <w:widowControl w:val="0"/>
        <w:tabs>
          <w:tab w:val="left" w:pos="9356"/>
        </w:tabs>
        <w:rPr>
          <w:vertAlign w:val="superscript"/>
        </w:rPr>
      </w:pPr>
      <w:r w:rsidRPr="001614FE">
        <w:t xml:space="preserve">Table </w:t>
      </w:r>
      <w:r w:rsidRPr="009018F2">
        <w:rPr>
          <w:noProof/>
        </w:rPr>
        <w:fldChar w:fldCharType="begin"/>
      </w:r>
      <w:r w:rsidRPr="001614FE">
        <w:rPr>
          <w:noProof/>
        </w:rPr>
        <w:instrText xml:space="preserve"> STYLEREF 8 \s </w:instrText>
      </w:r>
      <w:r w:rsidRPr="009018F2">
        <w:rPr>
          <w:noProof/>
        </w:rPr>
        <w:fldChar w:fldCharType="separate"/>
      </w:r>
      <w:r w:rsidR="00C10611">
        <w:rPr>
          <w:noProof/>
        </w:rPr>
        <w:t>A</w:t>
      </w:r>
      <w:r w:rsidRPr="009018F2">
        <w:rPr>
          <w:noProof/>
        </w:rPr>
        <w:fldChar w:fldCharType="end"/>
      </w:r>
      <w:r w:rsidRPr="009018F2">
        <w:rPr>
          <w:noProof/>
        </w:rPr>
        <w:fldChar w:fldCharType="begin"/>
      </w:r>
      <w:r w:rsidRPr="001614FE">
        <w:rPr>
          <w:noProof/>
        </w:rPr>
        <w:instrText xml:space="preserve"> SEQ AppendixTable\s 8 </w:instrText>
      </w:r>
      <w:r w:rsidRPr="009018F2">
        <w:rPr>
          <w:noProof/>
        </w:rPr>
        <w:fldChar w:fldCharType="separate"/>
      </w:r>
      <w:r w:rsidR="00C10611">
        <w:rPr>
          <w:noProof/>
        </w:rPr>
        <w:t>1</w:t>
      </w:r>
      <w:r w:rsidRPr="009018F2">
        <w:rPr>
          <w:noProof/>
        </w:rPr>
        <w:fldChar w:fldCharType="end"/>
      </w:r>
      <w:r w:rsidRPr="001614FE">
        <w:t xml:space="preserve">: </w:t>
      </w:r>
      <w:r w:rsidRPr="009018F2">
        <w:rPr>
          <w:noProof/>
        </w:rPr>
        <w:fldChar w:fldCharType="begin"/>
      </w:r>
      <w:r w:rsidRPr="001614FE">
        <w:rPr>
          <w:noProof/>
        </w:rPr>
        <w:instrText xml:space="preserve"> STYLEREF  "Name of proposal"  \* MERGEFORMAT </w:instrText>
      </w:r>
      <w:r w:rsidRPr="009018F2">
        <w:rPr>
          <w:noProof/>
        </w:rPr>
        <w:fldChar w:fldCharType="separate"/>
      </w:r>
      <w:r w:rsidR="00C10611">
        <w:rPr>
          <w:noProof/>
        </w:rPr>
        <w:t>Billionaire’s tax</w:t>
      </w:r>
      <w:r w:rsidRPr="009018F2">
        <w:rPr>
          <w:noProof/>
        </w:rPr>
        <w:fldChar w:fldCharType="end"/>
      </w:r>
      <w:r w:rsidR="00D626EF">
        <w:rPr>
          <w:noProof/>
        </w:rPr>
        <w:t xml:space="preserve"> </w:t>
      </w:r>
      <w:r w:rsidRPr="001614FE">
        <w:t>– Fiscal balance ($m)</w:t>
      </w:r>
      <w:r w:rsidRPr="001614FE">
        <w:rPr>
          <w:vertAlign w:val="superscript"/>
        </w:rPr>
        <w:t>(a)(b)</w:t>
      </w:r>
    </w:p>
    <w:tbl>
      <w:tblPr>
        <w:tblStyle w:val="LightGrid-Accent6"/>
        <w:tblW w:w="4965" w:type="pct"/>
        <w:tblLayout w:type="fixed"/>
        <w:tblLook w:val="0680" w:firstRow="0" w:lastRow="0" w:firstColumn="1" w:lastColumn="0" w:noHBand="1" w:noVBand="1"/>
      </w:tblPr>
      <w:tblGrid>
        <w:gridCol w:w="2279"/>
        <w:gridCol w:w="560"/>
        <w:gridCol w:w="560"/>
        <w:gridCol w:w="560"/>
        <w:gridCol w:w="560"/>
        <w:gridCol w:w="561"/>
        <w:gridCol w:w="561"/>
        <w:gridCol w:w="561"/>
        <w:gridCol w:w="561"/>
        <w:gridCol w:w="561"/>
        <w:gridCol w:w="561"/>
        <w:gridCol w:w="561"/>
        <w:gridCol w:w="692"/>
        <w:gridCol w:w="696"/>
      </w:tblGrid>
      <w:tr w:rsidR="0039241E" w:rsidRPr="001614FE" w14:paraId="17A5CC31" w14:textId="77777777" w:rsidTr="00D22C36">
        <w:tc>
          <w:tcPr>
            <w:cnfStyle w:val="001000000000" w:firstRow="0" w:lastRow="0" w:firstColumn="1" w:lastColumn="0" w:oddVBand="0" w:evenVBand="0" w:oddHBand="0" w:evenHBand="0" w:firstRowFirstColumn="0" w:firstRowLastColumn="0" w:lastRowFirstColumn="0" w:lastRowLastColumn="0"/>
            <w:tcW w:w="1159" w:type="pct"/>
            <w:shd w:val="clear" w:color="auto" w:fill="A7B2D4" w:themeFill="background2" w:themeFillTint="66"/>
            <w:vAlign w:val="center"/>
          </w:tcPr>
          <w:p w14:paraId="5106FDB8" w14:textId="77777777" w:rsidR="00030EAA" w:rsidRPr="001614FE" w:rsidRDefault="00030EAA" w:rsidP="00D22C36">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5" w:type="pct"/>
            <w:shd w:val="clear" w:color="auto" w:fill="A7B2D4" w:themeFill="background2" w:themeFillTint="66"/>
            <w:vAlign w:val="center"/>
          </w:tcPr>
          <w:p w14:paraId="14405250"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2020–</w:t>
            </w:r>
          </w:p>
          <w:p w14:paraId="02A29212"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21</w:t>
            </w:r>
          </w:p>
        </w:tc>
        <w:tc>
          <w:tcPr>
            <w:tcW w:w="285" w:type="pct"/>
            <w:shd w:val="clear" w:color="auto" w:fill="A7B2D4" w:themeFill="background2" w:themeFillTint="66"/>
            <w:vAlign w:val="center"/>
          </w:tcPr>
          <w:p w14:paraId="31CA6933"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2021–</w:t>
            </w:r>
          </w:p>
          <w:p w14:paraId="3D3286E5"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22</w:t>
            </w:r>
          </w:p>
        </w:tc>
        <w:tc>
          <w:tcPr>
            <w:tcW w:w="285" w:type="pct"/>
            <w:shd w:val="clear" w:color="auto" w:fill="A7B2D4" w:themeFill="background2" w:themeFillTint="66"/>
            <w:vAlign w:val="center"/>
          </w:tcPr>
          <w:p w14:paraId="566DE6F7"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2022–</w:t>
            </w:r>
          </w:p>
          <w:p w14:paraId="51428186"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23</w:t>
            </w:r>
          </w:p>
        </w:tc>
        <w:tc>
          <w:tcPr>
            <w:tcW w:w="285" w:type="pct"/>
            <w:shd w:val="clear" w:color="auto" w:fill="A7B2D4" w:themeFill="background2" w:themeFillTint="66"/>
            <w:vAlign w:val="center"/>
          </w:tcPr>
          <w:p w14:paraId="7F6FCBD1"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2023–</w:t>
            </w:r>
          </w:p>
          <w:p w14:paraId="7EEAFE78"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24</w:t>
            </w:r>
          </w:p>
        </w:tc>
        <w:tc>
          <w:tcPr>
            <w:tcW w:w="285" w:type="pct"/>
            <w:shd w:val="clear" w:color="auto" w:fill="A7B2D4" w:themeFill="background2" w:themeFillTint="66"/>
            <w:vAlign w:val="center"/>
          </w:tcPr>
          <w:p w14:paraId="18313104"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2024–</w:t>
            </w:r>
          </w:p>
          <w:p w14:paraId="32321DD4"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25</w:t>
            </w:r>
          </w:p>
        </w:tc>
        <w:tc>
          <w:tcPr>
            <w:tcW w:w="285" w:type="pct"/>
            <w:shd w:val="clear" w:color="auto" w:fill="A7B2D4" w:themeFill="background2" w:themeFillTint="66"/>
            <w:vAlign w:val="center"/>
          </w:tcPr>
          <w:p w14:paraId="47AF0A68"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2025–</w:t>
            </w:r>
          </w:p>
          <w:p w14:paraId="212F210F"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26</w:t>
            </w:r>
          </w:p>
        </w:tc>
        <w:tc>
          <w:tcPr>
            <w:tcW w:w="285" w:type="pct"/>
            <w:shd w:val="clear" w:color="auto" w:fill="A7B2D4" w:themeFill="background2" w:themeFillTint="66"/>
            <w:vAlign w:val="center"/>
          </w:tcPr>
          <w:p w14:paraId="2813F7CB"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2026–</w:t>
            </w:r>
          </w:p>
          <w:p w14:paraId="2115FB3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27</w:t>
            </w:r>
          </w:p>
        </w:tc>
        <w:tc>
          <w:tcPr>
            <w:tcW w:w="285" w:type="pct"/>
            <w:shd w:val="clear" w:color="auto" w:fill="A7B2D4" w:themeFill="background2" w:themeFillTint="66"/>
            <w:vAlign w:val="center"/>
          </w:tcPr>
          <w:p w14:paraId="63525579"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2027–</w:t>
            </w:r>
          </w:p>
          <w:p w14:paraId="68A5F884"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28</w:t>
            </w:r>
          </w:p>
        </w:tc>
        <w:tc>
          <w:tcPr>
            <w:tcW w:w="285" w:type="pct"/>
            <w:shd w:val="clear" w:color="auto" w:fill="A7B2D4" w:themeFill="background2" w:themeFillTint="66"/>
            <w:vAlign w:val="center"/>
          </w:tcPr>
          <w:p w14:paraId="423BDFEE"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2028–</w:t>
            </w:r>
          </w:p>
          <w:p w14:paraId="0E0A9098"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29</w:t>
            </w:r>
          </w:p>
        </w:tc>
        <w:tc>
          <w:tcPr>
            <w:tcW w:w="285" w:type="pct"/>
            <w:shd w:val="clear" w:color="auto" w:fill="A7B2D4" w:themeFill="background2" w:themeFillTint="66"/>
            <w:vAlign w:val="center"/>
          </w:tcPr>
          <w:p w14:paraId="4659D69C"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2029–</w:t>
            </w:r>
          </w:p>
          <w:p w14:paraId="7F8AEBC5"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30</w:t>
            </w:r>
          </w:p>
        </w:tc>
        <w:tc>
          <w:tcPr>
            <w:tcW w:w="285" w:type="pct"/>
            <w:shd w:val="clear" w:color="auto" w:fill="A7B2D4" w:themeFill="background2" w:themeFillTint="66"/>
            <w:vAlign w:val="center"/>
          </w:tcPr>
          <w:p w14:paraId="0F83E140"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2030–</w:t>
            </w:r>
          </w:p>
          <w:p w14:paraId="5165115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31</w:t>
            </w:r>
          </w:p>
        </w:tc>
        <w:tc>
          <w:tcPr>
            <w:tcW w:w="352" w:type="pct"/>
            <w:shd w:val="clear" w:color="auto" w:fill="A7B2D4" w:themeFill="background2" w:themeFillTint="66"/>
            <w:vAlign w:val="center"/>
          </w:tcPr>
          <w:p w14:paraId="2D562BB1" w14:textId="77777777" w:rsidR="00030EAA" w:rsidRPr="001614FE" w:rsidRDefault="00030EAA" w:rsidP="00D22C36">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sz w:val="16"/>
                <w:szCs w:val="16"/>
              </w:rPr>
              <w:t>Total to 2023–24</w:t>
            </w:r>
          </w:p>
        </w:tc>
        <w:tc>
          <w:tcPr>
            <w:tcW w:w="354" w:type="pct"/>
            <w:shd w:val="clear" w:color="auto" w:fill="A7B2D4" w:themeFill="background2" w:themeFillTint="66"/>
            <w:vAlign w:val="center"/>
          </w:tcPr>
          <w:p w14:paraId="5DD6E1EB" w14:textId="77777777" w:rsidR="00030EAA" w:rsidRPr="001614FE" w:rsidRDefault="00030EAA" w:rsidP="00D22C36">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614FE">
              <w:rPr>
                <w:rFonts w:asciiTheme="minorHAnsi" w:hAnsiTheme="minorHAnsi"/>
                <w:sz w:val="16"/>
                <w:szCs w:val="16"/>
              </w:rPr>
              <w:t>Total to 2030–31</w:t>
            </w:r>
          </w:p>
        </w:tc>
      </w:tr>
      <w:tr w:rsidR="0039241E" w:rsidRPr="001614FE" w14:paraId="7C346F47" w14:textId="77777777" w:rsidTr="00D22C36">
        <w:tc>
          <w:tcPr>
            <w:cnfStyle w:val="001000000000" w:firstRow="0" w:lastRow="0" w:firstColumn="1" w:lastColumn="0" w:oddVBand="0" w:evenVBand="0" w:oddHBand="0" w:evenHBand="0" w:firstRowFirstColumn="0" w:firstRowLastColumn="0" w:lastRowFirstColumn="0" w:lastRowLastColumn="0"/>
            <w:tcW w:w="1159" w:type="pct"/>
            <w:tcBorders>
              <w:right w:val="nil"/>
            </w:tcBorders>
            <w:shd w:val="clear" w:color="auto" w:fill="D3D8E9" w:themeFill="background2" w:themeFillTint="33"/>
            <w:vAlign w:val="center"/>
          </w:tcPr>
          <w:p w14:paraId="4E9722C8"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Revenue</w:t>
            </w:r>
          </w:p>
        </w:tc>
        <w:tc>
          <w:tcPr>
            <w:tcW w:w="285" w:type="pct"/>
            <w:tcBorders>
              <w:left w:val="nil"/>
              <w:right w:val="nil"/>
            </w:tcBorders>
            <w:shd w:val="clear" w:color="auto" w:fill="D3D8E9" w:themeFill="background2" w:themeFillTint="33"/>
            <w:vAlign w:val="center"/>
          </w:tcPr>
          <w:p w14:paraId="171E283A"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AF9FD2D"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372ABD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1367686"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16DC759"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B8584E9"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C48C7D8"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F278434"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5A07BDD1"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609EFBC"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763F0651"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14:paraId="6AE2378D"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54" w:type="pct"/>
            <w:tcBorders>
              <w:left w:val="nil"/>
            </w:tcBorders>
            <w:shd w:val="clear" w:color="auto" w:fill="D3D8E9" w:themeFill="background2" w:themeFillTint="33"/>
            <w:vAlign w:val="center"/>
          </w:tcPr>
          <w:p w14:paraId="037A0C3F"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6D7A5C" w:rsidRPr="001614FE" w14:paraId="09F5325E" w14:textId="77777777" w:rsidTr="00D22C36">
        <w:tc>
          <w:tcPr>
            <w:cnfStyle w:val="001000000000" w:firstRow="0" w:lastRow="0" w:firstColumn="1" w:lastColumn="0" w:oddVBand="0" w:evenVBand="0" w:oddHBand="0" w:evenHBand="0" w:firstRowFirstColumn="0" w:firstRowLastColumn="0" w:lastRowFirstColumn="0" w:lastRowLastColumn="0"/>
            <w:tcW w:w="1159" w:type="pct"/>
            <w:vAlign w:val="center"/>
          </w:tcPr>
          <w:p w14:paraId="029DDEF3" w14:textId="77777777" w:rsidR="006D7A5C" w:rsidRPr="001614FE" w:rsidRDefault="006D7A5C" w:rsidP="006D7A5C">
            <w:pPr>
              <w:pStyle w:val="TableText"/>
              <w:keepNext/>
              <w:widowControl w:val="0"/>
              <w:tabs>
                <w:tab w:val="left" w:pos="9356"/>
              </w:tabs>
              <w:spacing w:line="240" w:lineRule="auto"/>
              <w:ind w:left="-57" w:right="-57"/>
              <w:rPr>
                <w:rFonts w:asciiTheme="minorHAnsi" w:hAnsiTheme="minorHAnsi"/>
                <w:i/>
                <w:noProof/>
                <w:sz w:val="16"/>
                <w:szCs w:val="16"/>
              </w:rPr>
            </w:pPr>
            <w:r w:rsidRPr="001614FE">
              <w:rPr>
                <w:rFonts w:asciiTheme="minorHAnsi" w:hAnsiTheme="minorHAnsi"/>
                <w:i/>
                <w:sz w:val="16"/>
                <w:szCs w:val="16"/>
              </w:rPr>
              <w:t>Billionaire’s tax</w:t>
            </w:r>
          </w:p>
        </w:tc>
        <w:tc>
          <w:tcPr>
            <w:tcW w:w="285" w:type="pct"/>
            <w:vAlign w:val="center"/>
          </w:tcPr>
          <w:p w14:paraId="7D7EAFF8" w14:textId="3800FB3B"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w:t>
            </w:r>
          </w:p>
        </w:tc>
        <w:tc>
          <w:tcPr>
            <w:tcW w:w="285" w:type="pct"/>
            <w:vAlign w:val="center"/>
          </w:tcPr>
          <w:p w14:paraId="0031B6EF" w14:textId="1EF14A85"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w:t>
            </w:r>
          </w:p>
        </w:tc>
        <w:tc>
          <w:tcPr>
            <w:tcW w:w="285" w:type="pct"/>
            <w:vAlign w:val="center"/>
          </w:tcPr>
          <w:p w14:paraId="0E43A05B" w14:textId="7761E1FA"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5,830</w:t>
            </w:r>
          </w:p>
        </w:tc>
        <w:tc>
          <w:tcPr>
            <w:tcW w:w="285" w:type="pct"/>
            <w:vAlign w:val="center"/>
          </w:tcPr>
          <w:p w14:paraId="536B7902" w14:textId="588D95B8"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5,540</w:t>
            </w:r>
          </w:p>
        </w:tc>
        <w:tc>
          <w:tcPr>
            <w:tcW w:w="285" w:type="pct"/>
            <w:vAlign w:val="center"/>
          </w:tcPr>
          <w:p w14:paraId="5D0E218A" w14:textId="321D6ECE"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5,180</w:t>
            </w:r>
          </w:p>
        </w:tc>
        <w:tc>
          <w:tcPr>
            <w:tcW w:w="285" w:type="pct"/>
            <w:vAlign w:val="center"/>
          </w:tcPr>
          <w:p w14:paraId="0229990F" w14:textId="1CD232B6"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4,730</w:t>
            </w:r>
          </w:p>
        </w:tc>
        <w:tc>
          <w:tcPr>
            <w:tcW w:w="285" w:type="pct"/>
            <w:vAlign w:val="center"/>
          </w:tcPr>
          <w:p w14:paraId="10E17379" w14:textId="085B2FD2"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4,170</w:t>
            </w:r>
          </w:p>
        </w:tc>
        <w:tc>
          <w:tcPr>
            <w:tcW w:w="285" w:type="pct"/>
            <w:vAlign w:val="center"/>
          </w:tcPr>
          <w:p w14:paraId="3417A414" w14:textId="7CE25FDA"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3,490</w:t>
            </w:r>
          </w:p>
        </w:tc>
        <w:tc>
          <w:tcPr>
            <w:tcW w:w="285" w:type="pct"/>
            <w:vAlign w:val="center"/>
          </w:tcPr>
          <w:p w14:paraId="09FE69D0" w14:textId="50315998"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3,800</w:t>
            </w:r>
          </w:p>
        </w:tc>
        <w:tc>
          <w:tcPr>
            <w:tcW w:w="285" w:type="pct"/>
            <w:vAlign w:val="center"/>
          </w:tcPr>
          <w:p w14:paraId="002DFC2D" w14:textId="1014EFB3"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4,140</w:t>
            </w:r>
          </w:p>
        </w:tc>
        <w:tc>
          <w:tcPr>
            <w:tcW w:w="285" w:type="pct"/>
            <w:vAlign w:val="center"/>
          </w:tcPr>
          <w:p w14:paraId="7F2FF2E1" w14:textId="3B98E32A"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4,510</w:t>
            </w:r>
          </w:p>
        </w:tc>
        <w:tc>
          <w:tcPr>
            <w:tcW w:w="352" w:type="pct"/>
            <w:vAlign w:val="center"/>
          </w:tcPr>
          <w:p w14:paraId="6D85AC34" w14:textId="52044728" w:rsidR="006D7A5C" w:rsidRPr="006D7A5C"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6D7A5C">
              <w:rPr>
                <w:rFonts w:ascii="Calibri" w:hAnsi="Calibri"/>
                <w:b/>
                <w:i/>
                <w:iCs/>
                <w:color w:val="000000"/>
                <w:sz w:val="16"/>
                <w:szCs w:val="16"/>
              </w:rPr>
              <w:t>11,370</w:t>
            </w:r>
          </w:p>
        </w:tc>
        <w:tc>
          <w:tcPr>
            <w:tcW w:w="354" w:type="pct"/>
            <w:vAlign w:val="center"/>
          </w:tcPr>
          <w:p w14:paraId="3C2C48E4" w14:textId="441501D2" w:rsidR="006D7A5C" w:rsidRPr="006D7A5C"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6D7A5C">
              <w:rPr>
                <w:rFonts w:ascii="Calibri" w:hAnsi="Calibri"/>
                <w:b/>
                <w:i/>
                <w:iCs/>
                <w:color w:val="000000"/>
                <w:sz w:val="16"/>
                <w:szCs w:val="16"/>
              </w:rPr>
              <w:t>41,390</w:t>
            </w:r>
          </w:p>
        </w:tc>
      </w:tr>
      <w:tr w:rsidR="0039241E" w:rsidRPr="001614FE" w14:paraId="385D6A50" w14:textId="77777777" w:rsidTr="00D22C36">
        <w:tc>
          <w:tcPr>
            <w:cnfStyle w:val="001000000000" w:firstRow="0" w:lastRow="0" w:firstColumn="1" w:lastColumn="0" w:oddVBand="0" w:evenVBand="0" w:oddHBand="0" w:evenHBand="0" w:firstRowFirstColumn="0" w:firstRowLastColumn="0" w:lastRowFirstColumn="0" w:lastRowLastColumn="0"/>
            <w:tcW w:w="1159" w:type="pct"/>
            <w:tcBorders>
              <w:bottom w:val="single" w:sz="8" w:space="0" w:color="788183" w:themeColor="accent6"/>
              <w:right w:val="nil"/>
            </w:tcBorders>
            <w:shd w:val="clear" w:color="auto" w:fill="D3D8E9" w:themeFill="background2" w:themeFillTint="33"/>
            <w:vAlign w:val="center"/>
          </w:tcPr>
          <w:p w14:paraId="1E99E3F7"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Expenses</w:t>
            </w:r>
          </w:p>
        </w:tc>
        <w:tc>
          <w:tcPr>
            <w:tcW w:w="285" w:type="pct"/>
            <w:tcBorders>
              <w:left w:val="nil"/>
              <w:bottom w:val="single" w:sz="8" w:space="0" w:color="788183" w:themeColor="accent6"/>
              <w:right w:val="nil"/>
            </w:tcBorders>
            <w:shd w:val="clear" w:color="auto" w:fill="D3D8E9" w:themeFill="background2" w:themeFillTint="33"/>
            <w:vAlign w:val="center"/>
          </w:tcPr>
          <w:p w14:paraId="10CB4DD4"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2758259"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1168359"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7B9C033"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C0F60AF"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4FCF297"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6F35C9B"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134604E"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15F5A71"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21D6D2E"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DF2462C"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14:paraId="227AABE6"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54" w:type="pct"/>
            <w:tcBorders>
              <w:left w:val="nil"/>
            </w:tcBorders>
            <w:shd w:val="clear" w:color="auto" w:fill="D3D8E9" w:themeFill="background2" w:themeFillTint="33"/>
            <w:vAlign w:val="center"/>
          </w:tcPr>
          <w:p w14:paraId="57216CF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030EAA" w:rsidRPr="001614FE" w14:paraId="712BEC3E" w14:textId="77777777" w:rsidTr="00D22C36">
        <w:tc>
          <w:tcPr>
            <w:cnfStyle w:val="001000000000" w:firstRow="0" w:lastRow="0" w:firstColumn="1" w:lastColumn="0" w:oddVBand="0" w:evenVBand="0" w:oddHBand="0" w:evenHBand="0" w:firstRowFirstColumn="0" w:firstRowLastColumn="0" w:lastRowFirstColumn="0" w:lastRowLastColumn="0"/>
            <w:tcW w:w="5000" w:type="pct"/>
            <w:gridSpan w:val="14"/>
            <w:vAlign w:val="center"/>
          </w:tcPr>
          <w:p w14:paraId="72C45634" w14:textId="77777777" w:rsidR="00030EAA" w:rsidRPr="001614FE" w:rsidRDefault="00030EAA" w:rsidP="00D22C36">
            <w:pPr>
              <w:spacing w:before="70" w:after="70"/>
              <w:ind w:left="-57" w:right="-57"/>
              <w:rPr>
                <w:rFonts w:ascii="Calibri" w:hAnsi="Calibri"/>
                <w:i/>
                <w:iCs/>
                <w:color w:val="000000"/>
                <w:sz w:val="16"/>
                <w:szCs w:val="16"/>
              </w:rPr>
            </w:pPr>
            <w:r w:rsidRPr="001614FE">
              <w:rPr>
                <w:rFonts w:ascii="Calibri" w:hAnsi="Calibri"/>
                <w:i/>
                <w:iCs/>
                <w:color w:val="000000"/>
                <w:sz w:val="16"/>
                <w:szCs w:val="16"/>
              </w:rPr>
              <w:t xml:space="preserve">Departmental </w:t>
            </w:r>
          </w:p>
        </w:tc>
      </w:tr>
      <w:tr w:rsidR="00030EAA" w:rsidRPr="001614FE" w14:paraId="163B3930" w14:textId="77777777" w:rsidTr="00D22C36">
        <w:tc>
          <w:tcPr>
            <w:cnfStyle w:val="001000000000" w:firstRow="0" w:lastRow="0" w:firstColumn="1" w:lastColumn="0" w:oddVBand="0" w:evenVBand="0" w:oddHBand="0" w:evenHBand="0" w:firstRowFirstColumn="0" w:firstRowLastColumn="0" w:lastRowFirstColumn="0" w:lastRowLastColumn="0"/>
            <w:tcW w:w="1159" w:type="pct"/>
            <w:vAlign w:val="center"/>
          </w:tcPr>
          <w:p w14:paraId="3D130155"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i/>
                <w:noProof/>
                <w:sz w:val="16"/>
                <w:szCs w:val="16"/>
              </w:rPr>
            </w:pPr>
            <w:r w:rsidRPr="001614FE">
              <w:rPr>
                <w:rFonts w:asciiTheme="minorHAnsi" w:hAnsiTheme="minorHAnsi"/>
                <w:i/>
                <w:sz w:val="16"/>
                <w:szCs w:val="16"/>
              </w:rPr>
              <w:t>Australian Taxation Office</w:t>
            </w:r>
          </w:p>
        </w:tc>
        <w:tc>
          <w:tcPr>
            <w:tcW w:w="285" w:type="pct"/>
            <w:vAlign w:val="center"/>
          </w:tcPr>
          <w:p w14:paraId="1D26E8A2" w14:textId="77777777" w:rsidR="00030EAA" w:rsidRPr="001614FE" w:rsidRDefault="00030EAA" w:rsidP="00D22C36">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w:t>
            </w:r>
          </w:p>
        </w:tc>
        <w:tc>
          <w:tcPr>
            <w:tcW w:w="285" w:type="pct"/>
            <w:vAlign w:val="center"/>
          </w:tcPr>
          <w:p w14:paraId="78B73EA7" w14:textId="77777777" w:rsidR="00030EAA" w:rsidRPr="001614FE" w:rsidRDefault="00030EAA" w:rsidP="00D22C36">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w:t>
            </w:r>
          </w:p>
        </w:tc>
        <w:tc>
          <w:tcPr>
            <w:tcW w:w="285" w:type="pct"/>
            <w:vAlign w:val="center"/>
          </w:tcPr>
          <w:p w14:paraId="28EB8887"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-75</w:t>
            </w:r>
          </w:p>
        </w:tc>
        <w:tc>
          <w:tcPr>
            <w:tcW w:w="285" w:type="pct"/>
            <w:vAlign w:val="center"/>
          </w:tcPr>
          <w:p w14:paraId="6EE16042"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5736AD2D"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679E7215"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448B8E8F"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38E8D240"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56D6B3F8"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05C31F51"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29952152"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352" w:type="pct"/>
            <w:vAlign w:val="center"/>
          </w:tcPr>
          <w:p w14:paraId="592C17C9"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1614FE">
              <w:rPr>
                <w:rFonts w:ascii="Calibri" w:hAnsi="Calibri"/>
                <w:b/>
                <w:bCs/>
                <w:i/>
                <w:iCs/>
                <w:color w:val="000000"/>
                <w:sz w:val="16"/>
                <w:szCs w:val="16"/>
              </w:rPr>
              <w:t>-110</w:t>
            </w:r>
          </w:p>
        </w:tc>
        <w:tc>
          <w:tcPr>
            <w:tcW w:w="354" w:type="pct"/>
            <w:vAlign w:val="center"/>
          </w:tcPr>
          <w:p w14:paraId="0B99616D"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1614FE">
              <w:rPr>
                <w:rFonts w:ascii="Calibri" w:hAnsi="Calibri"/>
                <w:b/>
                <w:bCs/>
                <w:i/>
                <w:iCs/>
                <w:color w:val="000000"/>
                <w:sz w:val="16"/>
                <w:szCs w:val="16"/>
              </w:rPr>
              <w:t>-355</w:t>
            </w:r>
          </w:p>
        </w:tc>
      </w:tr>
      <w:tr w:rsidR="006D7A5C" w:rsidRPr="001614FE" w14:paraId="747DD964" w14:textId="77777777" w:rsidTr="00D22C36">
        <w:tc>
          <w:tcPr>
            <w:cnfStyle w:val="001000000000" w:firstRow="0" w:lastRow="0" w:firstColumn="1" w:lastColumn="0" w:oddVBand="0" w:evenVBand="0" w:oddHBand="0" w:evenHBand="0" w:firstRowFirstColumn="0" w:firstRowLastColumn="0" w:lastRowFirstColumn="0" w:lastRowLastColumn="0"/>
            <w:tcW w:w="1159" w:type="pct"/>
            <w:shd w:val="clear" w:color="auto" w:fill="A7B2D4" w:themeFill="background2" w:themeFillTint="66"/>
            <w:vAlign w:val="center"/>
          </w:tcPr>
          <w:p w14:paraId="790DAED1" w14:textId="77777777" w:rsidR="006D7A5C" w:rsidRPr="001614FE" w:rsidRDefault="006D7A5C" w:rsidP="006D7A5C">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Total</w:t>
            </w:r>
          </w:p>
        </w:tc>
        <w:tc>
          <w:tcPr>
            <w:tcW w:w="285" w:type="pct"/>
            <w:shd w:val="clear" w:color="auto" w:fill="A7B2D4" w:themeFill="background2" w:themeFillTint="66"/>
            <w:vAlign w:val="center"/>
          </w:tcPr>
          <w:p w14:paraId="1CF8739A" w14:textId="77777777"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sidRPr="001614FE">
              <w:rPr>
                <w:rFonts w:ascii="Calibri" w:hAnsi="Calibri"/>
                <w:b/>
                <w:bCs/>
                <w:color w:val="000000"/>
                <w:sz w:val="16"/>
                <w:szCs w:val="16"/>
              </w:rPr>
              <w:t>-</w:t>
            </w:r>
          </w:p>
        </w:tc>
        <w:tc>
          <w:tcPr>
            <w:tcW w:w="285" w:type="pct"/>
            <w:shd w:val="clear" w:color="auto" w:fill="A7B2D4" w:themeFill="background2" w:themeFillTint="66"/>
            <w:vAlign w:val="center"/>
          </w:tcPr>
          <w:p w14:paraId="02778F2D" w14:textId="77777777"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sidRPr="001614FE">
              <w:rPr>
                <w:rFonts w:ascii="Calibri" w:hAnsi="Calibri"/>
                <w:b/>
                <w:bCs/>
                <w:color w:val="000000"/>
                <w:sz w:val="16"/>
                <w:szCs w:val="16"/>
              </w:rPr>
              <w:t>-</w:t>
            </w:r>
          </w:p>
        </w:tc>
        <w:tc>
          <w:tcPr>
            <w:tcW w:w="285" w:type="pct"/>
            <w:shd w:val="clear" w:color="auto" w:fill="A7B2D4" w:themeFill="background2" w:themeFillTint="66"/>
            <w:vAlign w:val="center"/>
          </w:tcPr>
          <w:p w14:paraId="3FBC559D" w14:textId="73F10EEE"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5,755</w:t>
            </w:r>
          </w:p>
        </w:tc>
        <w:tc>
          <w:tcPr>
            <w:tcW w:w="285" w:type="pct"/>
            <w:shd w:val="clear" w:color="auto" w:fill="A7B2D4" w:themeFill="background2" w:themeFillTint="66"/>
            <w:vAlign w:val="center"/>
          </w:tcPr>
          <w:p w14:paraId="372D3E95" w14:textId="27734274"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5,505</w:t>
            </w:r>
          </w:p>
        </w:tc>
        <w:tc>
          <w:tcPr>
            <w:tcW w:w="285" w:type="pct"/>
            <w:shd w:val="clear" w:color="auto" w:fill="A7B2D4" w:themeFill="background2" w:themeFillTint="66"/>
            <w:vAlign w:val="center"/>
          </w:tcPr>
          <w:p w14:paraId="5DC69CBD" w14:textId="3F263E02"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5,145</w:t>
            </w:r>
          </w:p>
        </w:tc>
        <w:tc>
          <w:tcPr>
            <w:tcW w:w="285" w:type="pct"/>
            <w:shd w:val="clear" w:color="auto" w:fill="A7B2D4" w:themeFill="background2" w:themeFillTint="66"/>
            <w:vAlign w:val="center"/>
          </w:tcPr>
          <w:p w14:paraId="2777EADC" w14:textId="753D49A3"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4,695</w:t>
            </w:r>
          </w:p>
        </w:tc>
        <w:tc>
          <w:tcPr>
            <w:tcW w:w="285" w:type="pct"/>
            <w:shd w:val="clear" w:color="auto" w:fill="A7B2D4" w:themeFill="background2" w:themeFillTint="66"/>
            <w:vAlign w:val="center"/>
          </w:tcPr>
          <w:p w14:paraId="3E79B87D" w14:textId="4942C07B"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4,135</w:t>
            </w:r>
          </w:p>
        </w:tc>
        <w:tc>
          <w:tcPr>
            <w:tcW w:w="285" w:type="pct"/>
            <w:shd w:val="clear" w:color="auto" w:fill="A7B2D4" w:themeFill="background2" w:themeFillTint="66"/>
            <w:vAlign w:val="center"/>
          </w:tcPr>
          <w:p w14:paraId="5EA76096" w14:textId="25CD0012"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3,455</w:t>
            </w:r>
          </w:p>
        </w:tc>
        <w:tc>
          <w:tcPr>
            <w:tcW w:w="285" w:type="pct"/>
            <w:shd w:val="clear" w:color="auto" w:fill="A7B2D4" w:themeFill="background2" w:themeFillTint="66"/>
            <w:vAlign w:val="center"/>
          </w:tcPr>
          <w:p w14:paraId="563137C7" w14:textId="43CC2A70"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3,765</w:t>
            </w:r>
          </w:p>
        </w:tc>
        <w:tc>
          <w:tcPr>
            <w:tcW w:w="285" w:type="pct"/>
            <w:shd w:val="clear" w:color="auto" w:fill="A7B2D4" w:themeFill="background2" w:themeFillTint="66"/>
            <w:vAlign w:val="center"/>
          </w:tcPr>
          <w:p w14:paraId="3935AC9A" w14:textId="287372E1"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4,105</w:t>
            </w:r>
          </w:p>
        </w:tc>
        <w:tc>
          <w:tcPr>
            <w:tcW w:w="285" w:type="pct"/>
            <w:shd w:val="clear" w:color="auto" w:fill="A7B2D4" w:themeFill="background2" w:themeFillTint="66"/>
            <w:vAlign w:val="center"/>
          </w:tcPr>
          <w:p w14:paraId="5B2B6B95" w14:textId="6D79AFEE"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4,475</w:t>
            </w:r>
          </w:p>
        </w:tc>
        <w:tc>
          <w:tcPr>
            <w:tcW w:w="352" w:type="pct"/>
            <w:shd w:val="clear" w:color="auto" w:fill="A7B2D4" w:themeFill="background2" w:themeFillTint="66"/>
            <w:vAlign w:val="center"/>
          </w:tcPr>
          <w:p w14:paraId="2BCB1297" w14:textId="0FB980EC"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11,260</w:t>
            </w:r>
          </w:p>
        </w:tc>
        <w:tc>
          <w:tcPr>
            <w:tcW w:w="354" w:type="pct"/>
            <w:shd w:val="clear" w:color="auto" w:fill="A7B2D4" w:themeFill="background2" w:themeFillTint="66"/>
            <w:vAlign w:val="center"/>
          </w:tcPr>
          <w:p w14:paraId="2894EE11" w14:textId="6CFF7637"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41,035</w:t>
            </w:r>
          </w:p>
        </w:tc>
      </w:tr>
    </w:tbl>
    <w:p w14:paraId="1B09BBA7" w14:textId="77777777" w:rsidR="00030EAA" w:rsidRPr="001614FE" w:rsidRDefault="00030EAA" w:rsidP="00030EAA">
      <w:pPr>
        <w:keepNext/>
        <w:widowControl w:val="0"/>
        <w:tabs>
          <w:tab w:val="left" w:pos="9356"/>
        </w:tabs>
        <w:spacing w:line="260" w:lineRule="atLeast"/>
        <w:ind w:left="284" w:hanging="284"/>
        <w:rPr>
          <w:spacing w:val="-1"/>
          <w:sz w:val="16"/>
          <w:szCs w:val="16"/>
        </w:rPr>
      </w:pPr>
      <w:r w:rsidRPr="001614FE">
        <w:rPr>
          <w:spacing w:val="-1"/>
          <w:sz w:val="16"/>
          <w:szCs w:val="16"/>
        </w:rPr>
        <w:t>(a)</w:t>
      </w:r>
      <w:r w:rsidRPr="001614FE">
        <w:rPr>
          <w:spacing w:val="-1"/>
          <w:sz w:val="16"/>
          <w:szCs w:val="16"/>
        </w:rPr>
        <w:tab/>
        <w:t xml:space="preserve">A positive number for the fiscal balance indicates an increase in revenue or a decrease in expenses or net capital investment in accrual terms.  A negative number for the fiscal balance indicates a decrease in revenue or an increase in expenses or net capital investment in accrual terms.  </w:t>
      </w:r>
    </w:p>
    <w:p w14:paraId="5F70C5EA" w14:textId="77777777" w:rsidR="00030EAA" w:rsidRPr="001614FE" w:rsidRDefault="00030EAA" w:rsidP="00030EAA">
      <w:pPr>
        <w:keepNext/>
        <w:widowControl w:val="0"/>
        <w:tabs>
          <w:tab w:val="left" w:pos="9356"/>
        </w:tabs>
        <w:spacing w:line="260" w:lineRule="atLeast"/>
        <w:ind w:left="284" w:hanging="284"/>
        <w:rPr>
          <w:spacing w:val="-1"/>
          <w:sz w:val="16"/>
          <w:szCs w:val="16"/>
        </w:rPr>
      </w:pPr>
      <w:r w:rsidRPr="001614FE">
        <w:rPr>
          <w:spacing w:val="-1"/>
          <w:sz w:val="16"/>
          <w:szCs w:val="16"/>
        </w:rPr>
        <w:t>(b)</w:t>
      </w:r>
      <w:r w:rsidRPr="001614FE">
        <w:rPr>
          <w:spacing w:val="-1"/>
          <w:sz w:val="16"/>
          <w:szCs w:val="16"/>
        </w:rPr>
        <w:tab/>
        <w:t>Figures may not sum to totals due to rounding.</w:t>
      </w:r>
    </w:p>
    <w:p w14:paraId="04659075" w14:textId="77777777" w:rsidR="00030EAA" w:rsidRPr="001614FE" w:rsidRDefault="00030EAA" w:rsidP="00030EAA">
      <w:pPr>
        <w:pStyle w:val="TableFootnotes"/>
        <w:keepLines w:val="0"/>
        <w:numPr>
          <w:ilvl w:val="0"/>
          <w:numId w:val="11"/>
        </w:numPr>
        <w:tabs>
          <w:tab w:val="left" w:pos="9356"/>
        </w:tabs>
        <w:ind w:left="284" w:hanging="284"/>
        <w:rPr>
          <w:spacing w:val="-1"/>
          <w:sz w:val="16"/>
          <w:szCs w:val="16"/>
        </w:rPr>
      </w:pPr>
      <w:r w:rsidRPr="001614FE">
        <w:rPr>
          <w:spacing w:val="-1"/>
          <w:sz w:val="16"/>
          <w:szCs w:val="16"/>
        </w:rPr>
        <w:t>Indicates nil.</w:t>
      </w:r>
    </w:p>
    <w:p w14:paraId="476381F0" w14:textId="4BE3EC74" w:rsidR="00030EAA" w:rsidRPr="001614FE" w:rsidRDefault="00030EAA" w:rsidP="00030EAA">
      <w:pPr>
        <w:pStyle w:val="Caption"/>
        <w:widowControl w:val="0"/>
        <w:tabs>
          <w:tab w:val="left" w:pos="9356"/>
        </w:tabs>
        <w:rPr>
          <w:vertAlign w:val="superscript"/>
        </w:rPr>
      </w:pPr>
      <w:r w:rsidRPr="001614FE">
        <w:t xml:space="preserve">Table </w:t>
      </w:r>
      <w:r w:rsidRPr="009018F2">
        <w:rPr>
          <w:noProof/>
        </w:rPr>
        <w:fldChar w:fldCharType="begin"/>
      </w:r>
      <w:r w:rsidRPr="001614FE">
        <w:rPr>
          <w:noProof/>
        </w:rPr>
        <w:instrText xml:space="preserve"> STYLEREF 8 \s </w:instrText>
      </w:r>
      <w:r w:rsidRPr="009018F2">
        <w:rPr>
          <w:noProof/>
        </w:rPr>
        <w:fldChar w:fldCharType="separate"/>
      </w:r>
      <w:r w:rsidR="00C10611">
        <w:rPr>
          <w:noProof/>
        </w:rPr>
        <w:t>A</w:t>
      </w:r>
      <w:r w:rsidRPr="009018F2">
        <w:rPr>
          <w:noProof/>
        </w:rPr>
        <w:fldChar w:fldCharType="end"/>
      </w:r>
      <w:r w:rsidRPr="009018F2">
        <w:rPr>
          <w:noProof/>
        </w:rPr>
        <w:fldChar w:fldCharType="begin"/>
      </w:r>
      <w:r w:rsidRPr="001614FE">
        <w:rPr>
          <w:noProof/>
        </w:rPr>
        <w:instrText xml:space="preserve"> SEQ AppendixTable\s 8 </w:instrText>
      </w:r>
      <w:r w:rsidRPr="009018F2">
        <w:rPr>
          <w:noProof/>
        </w:rPr>
        <w:fldChar w:fldCharType="separate"/>
      </w:r>
      <w:r w:rsidR="00C10611">
        <w:rPr>
          <w:noProof/>
        </w:rPr>
        <w:t>2</w:t>
      </w:r>
      <w:r w:rsidRPr="009018F2">
        <w:rPr>
          <w:noProof/>
        </w:rPr>
        <w:fldChar w:fldCharType="end"/>
      </w:r>
      <w:r w:rsidRPr="001614FE">
        <w:t xml:space="preserve">: </w:t>
      </w:r>
      <w:r w:rsidRPr="009018F2">
        <w:rPr>
          <w:noProof/>
        </w:rPr>
        <w:fldChar w:fldCharType="begin"/>
      </w:r>
      <w:r w:rsidRPr="001614FE">
        <w:rPr>
          <w:noProof/>
        </w:rPr>
        <w:instrText xml:space="preserve"> STYLEREF  "Name of proposal"  \* MERGEFORMAT </w:instrText>
      </w:r>
      <w:r w:rsidRPr="009018F2">
        <w:rPr>
          <w:noProof/>
        </w:rPr>
        <w:fldChar w:fldCharType="separate"/>
      </w:r>
      <w:r w:rsidR="00C10611">
        <w:rPr>
          <w:noProof/>
        </w:rPr>
        <w:t>Billionaire’s tax</w:t>
      </w:r>
      <w:r w:rsidRPr="009018F2">
        <w:rPr>
          <w:noProof/>
        </w:rPr>
        <w:fldChar w:fldCharType="end"/>
      </w:r>
      <w:r w:rsidR="00D626EF">
        <w:rPr>
          <w:noProof/>
        </w:rPr>
        <w:t xml:space="preserve"> </w:t>
      </w:r>
      <w:r w:rsidRPr="001614FE">
        <w:t>– Underlying cash balance ($m)</w:t>
      </w:r>
      <w:r w:rsidRPr="001614FE">
        <w:rPr>
          <w:vertAlign w:val="superscript"/>
        </w:rPr>
        <w:t>(a)(b)</w:t>
      </w:r>
    </w:p>
    <w:tbl>
      <w:tblPr>
        <w:tblStyle w:val="LightGrid-Accent6"/>
        <w:tblW w:w="4965" w:type="pct"/>
        <w:tblLayout w:type="fixed"/>
        <w:tblLook w:val="0680" w:firstRow="0" w:lastRow="0" w:firstColumn="1" w:lastColumn="0" w:noHBand="1" w:noVBand="1"/>
      </w:tblPr>
      <w:tblGrid>
        <w:gridCol w:w="2279"/>
        <w:gridCol w:w="560"/>
        <w:gridCol w:w="560"/>
        <w:gridCol w:w="560"/>
        <w:gridCol w:w="560"/>
        <w:gridCol w:w="561"/>
        <w:gridCol w:w="561"/>
        <w:gridCol w:w="561"/>
        <w:gridCol w:w="561"/>
        <w:gridCol w:w="561"/>
        <w:gridCol w:w="561"/>
        <w:gridCol w:w="561"/>
        <w:gridCol w:w="692"/>
        <w:gridCol w:w="696"/>
      </w:tblGrid>
      <w:tr w:rsidR="0039241E" w:rsidRPr="001614FE" w14:paraId="4B035AFD" w14:textId="77777777" w:rsidTr="00D22C36">
        <w:tc>
          <w:tcPr>
            <w:cnfStyle w:val="001000000000" w:firstRow="0" w:lastRow="0" w:firstColumn="1" w:lastColumn="0" w:oddVBand="0" w:evenVBand="0" w:oddHBand="0" w:evenHBand="0" w:firstRowFirstColumn="0" w:firstRowLastColumn="0" w:lastRowFirstColumn="0" w:lastRowLastColumn="0"/>
            <w:tcW w:w="1159" w:type="pct"/>
            <w:shd w:val="clear" w:color="auto" w:fill="A7B2D4" w:themeFill="background2" w:themeFillTint="66"/>
            <w:vAlign w:val="center"/>
          </w:tcPr>
          <w:p w14:paraId="4F7CBF2F" w14:textId="77777777" w:rsidR="00030EAA" w:rsidRPr="001614FE" w:rsidRDefault="00030EAA" w:rsidP="00D22C36">
            <w:pPr>
              <w:pStyle w:val="TableHeading"/>
              <w:keepLines w:val="0"/>
              <w:widowControl w:val="0"/>
              <w:tabs>
                <w:tab w:val="left" w:pos="9356"/>
              </w:tabs>
              <w:spacing w:line="240" w:lineRule="auto"/>
              <w:ind w:left="-57" w:right="-57"/>
              <w:rPr>
                <w:rFonts w:asciiTheme="minorHAnsi" w:hAnsiTheme="minorHAnsi"/>
                <w:b w:val="0"/>
                <w:sz w:val="16"/>
                <w:szCs w:val="16"/>
              </w:rPr>
            </w:pPr>
          </w:p>
        </w:tc>
        <w:tc>
          <w:tcPr>
            <w:tcW w:w="285" w:type="pct"/>
            <w:shd w:val="clear" w:color="auto" w:fill="A7B2D4" w:themeFill="background2" w:themeFillTint="66"/>
            <w:vAlign w:val="center"/>
          </w:tcPr>
          <w:p w14:paraId="7FBF5698"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2020–</w:t>
            </w:r>
          </w:p>
          <w:p w14:paraId="6A6A1454"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21</w:t>
            </w:r>
          </w:p>
        </w:tc>
        <w:tc>
          <w:tcPr>
            <w:tcW w:w="285" w:type="pct"/>
            <w:shd w:val="clear" w:color="auto" w:fill="A7B2D4" w:themeFill="background2" w:themeFillTint="66"/>
            <w:vAlign w:val="center"/>
          </w:tcPr>
          <w:p w14:paraId="029AD853"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2021–</w:t>
            </w:r>
          </w:p>
          <w:p w14:paraId="09699AA8"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22</w:t>
            </w:r>
          </w:p>
        </w:tc>
        <w:tc>
          <w:tcPr>
            <w:tcW w:w="285" w:type="pct"/>
            <w:shd w:val="clear" w:color="auto" w:fill="A7B2D4" w:themeFill="background2" w:themeFillTint="66"/>
            <w:vAlign w:val="center"/>
          </w:tcPr>
          <w:p w14:paraId="335EE2D8"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2022–</w:t>
            </w:r>
          </w:p>
          <w:p w14:paraId="5A3151B3"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23</w:t>
            </w:r>
          </w:p>
        </w:tc>
        <w:tc>
          <w:tcPr>
            <w:tcW w:w="285" w:type="pct"/>
            <w:shd w:val="clear" w:color="auto" w:fill="A7B2D4" w:themeFill="background2" w:themeFillTint="66"/>
            <w:vAlign w:val="center"/>
          </w:tcPr>
          <w:p w14:paraId="3118176F"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2023–</w:t>
            </w:r>
          </w:p>
          <w:p w14:paraId="0447BF9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24</w:t>
            </w:r>
          </w:p>
        </w:tc>
        <w:tc>
          <w:tcPr>
            <w:tcW w:w="285" w:type="pct"/>
            <w:shd w:val="clear" w:color="auto" w:fill="A7B2D4" w:themeFill="background2" w:themeFillTint="66"/>
            <w:vAlign w:val="center"/>
          </w:tcPr>
          <w:p w14:paraId="4F8CC0AB"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2024–</w:t>
            </w:r>
          </w:p>
          <w:p w14:paraId="65C8334A"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25</w:t>
            </w:r>
          </w:p>
        </w:tc>
        <w:tc>
          <w:tcPr>
            <w:tcW w:w="285" w:type="pct"/>
            <w:shd w:val="clear" w:color="auto" w:fill="A7B2D4" w:themeFill="background2" w:themeFillTint="66"/>
            <w:vAlign w:val="center"/>
          </w:tcPr>
          <w:p w14:paraId="4C648F8C"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2025–</w:t>
            </w:r>
          </w:p>
          <w:p w14:paraId="48E3DCC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26</w:t>
            </w:r>
          </w:p>
        </w:tc>
        <w:tc>
          <w:tcPr>
            <w:tcW w:w="285" w:type="pct"/>
            <w:shd w:val="clear" w:color="auto" w:fill="A7B2D4" w:themeFill="background2" w:themeFillTint="66"/>
            <w:vAlign w:val="center"/>
          </w:tcPr>
          <w:p w14:paraId="6898AB5B"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2026–</w:t>
            </w:r>
          </w:p>
          <w:p w14:paraId="43F2BAB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27</w:t>
            </w:r>
          </w:p>
        </w:tc>
        <w:tc>
          <w:tcPr>
            <w:tcW w:w="285" w:type="pct"/>
            <w:shd w:val="clear" w:color="auto" w:fill="A7B2D4" w:themeFill="background2" w:themeFillTint="66"/>
            <w:vAlign w:val="center"/>
          </w:tcPr>
          <w:p w14:paraId="51F10313"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2027–</w:t>
            </w:r>
          </w:p>
          <w:p w14:paraId="260FC386"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28</w:t>
            </w:r>
          </w:p>
        </w:tc>
        <w:tc>
          <w:tcPr>
            <w:tcW w:w="285" w:type="pct"/>
            <w:shd w:val="clear" w:color="auto" w:fill="A7B2D4" w:themeFill="background2" w:themeFillTint="66"/>
            <w:vAlign w:val="center"/>
          </w:tcPr>
          <w:p w14:paraId="45CCBA6E"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2028–</w:t>
            </w:r>
          </w:p>
          <w:p w14:paraId="5A18E421"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29</w:t>
            </w:r>
          </w:p>
        </w:tc>
        <w:tc>
          <w:tcPr>
            <w:tcW w:w="285" w:type="pct"/>
            <w:shd w:val="clear" w:color="auto" w:fill="A7B2D4" w:themeFill="background2" w:themeFillTint="66"/>
            <w:vAlign w:val="center"/>
          </w:tcPr>
          <w:p w14:paraId="07F49B7C"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2029–</w:t>
            </w:r>
          </w:p>
          <w:p w14:paraId="4DFDA130"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30</w:t>
            </w:r>
          </w:p>
        </w:tc>
        <w:tc>
          <w:tcPr>
            <w:tcW w:w="285" w:type="pct"/>
            <w:shd w:val="clear" w:color="auto" w:fill="A7B2D4" w:themeFill="background2" w:themeFillTint="66"/>
            <w:vAlign w:val="center"/>
          </w:tcPr>
          <w:p w14:paraId="161D90AC" w14:textId="77777777" w:rsidR="00030EAA" w:rsidRPr="001614FE" w:rsidRDefault="00030EAA" w:rsidP="00D22C36">
            <w:pPr>
              <w:pStyle w:val="TableHeadingRight"/>
              <w:keepLines w:val="0"/>
              <w:widowControl w:val="0"/>
              <w:tabs>
                <w:tab w:val="left" w:pos="9356"/>
              </w:tabs>
              <w:spacing w:after="0"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2030–</w:t>
            </w:r>
          </w:p>
          <w:p w14:paraId="0743CEFC" w14:textId="77777777" w:rsidR="00030EAA" w:rsidRPr="001614FE" w:rsidRDefault="00030EAA" w:rsidP="00D22C36">
            <w:pPr>
              <w:pStyle w:val="TableHeadingRight"/>
              <w:keepLines w:val="0"/>
              <w:widowControl w:val="0"/>
              <w:tabs>
                <w:tab w:val="left" w:pos="9356"/>
              </w:tabs>
              <w:spacing w:before="0" w:line="240" w:lineRule="auto"/>
              <w:ind w:lef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b w:val="0"/>
                <w:sz w:val="16"/>
                <w:szCs w:val="16"/>
              </w:rPr>
              <w:t>31</w:t>
            </w:r>
          </w:p>
        </w:tc>
        <w:tc>
          <w:tcPr>
            <w:tcW w:w="352" w:type="pct"/>
            <w:shd w:val="clear" w:color="auto" w:fill="A7B2D4" w:themeFill="background2" w:themeFillTint="66"/>
            <w:vAlign w:val="center"/>
          </w:tcPr>
          <w:p w14:paraId="4F684B60" w14:textId="77777777" w:rsidR="00030EAA" w:rsidRPr="001614FE" w:rsidRDefault="00030EAA" w:rsidP="00D22C36">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val="0"/>
                <w:sz w:val="16"/>
                <w:szCs w:val="16"/>
              </w:rPr>
            </w:pPr>
            <w:r w:rsidRPr="001614FE">
              <w:rPr>
                <w:rFonts w:asciiTheme="minorHAnsi" w:hAnsiTheme="minorHAnsi"/>
                <w:sz w:val="16"/>
                <w:szCs w:val="16"/>
              </w:rPr>
              <w:t>Total to 2023–24</w:t>
            </w:r>
          </w:p>
        </w:tc>
        <w:tc>
          <w:tcPr>
            <w:tcW w:w="354" w:type="pct"/>
            <w:shd w:val="clear" w:color="auto" w:fill="A7B2D4" w:themeFill="background2" w:themeFillTint="66"/>
            <w:vAlign w:val="center"/>
          </w:tcPr>
          <w:p w14:paraId="6F2073B2" w14:textId="77777777" w:rsidR="00030EAA" w:rsidRPr="001614FE" w:rsidRDefault="00030EAA" w:rsidP="00D22C36">
            <w:pPr>
              <w:pStyle w:val="TableHeadingRight"/>
              <w:keepLines w:val="0"/>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1614FE">
              <w:rPr>
                <w:rFonts w:asciiTheme="minorHAnsi" w:hAnsiTheme="minorHAnsi"/>
                <w:sz w:val="16"/>
                <w:szCs w:val="16"/>
              </w:rPr>
              <w:t>Total to 2030–31</w:t>
            </w:r>
          </w:p>
        </w:tc>
      </w:tr>
      <w:tr w:rsidR="0039241E" w:rsidRPr="001614FE" w14:paraId="14FF772A" w14:textId="77777777" w:rsidTr="00D22C36">
        <w:tc>
          <w:tcPr>
            <w:cnfStyle w:val="001000000000" w:firstRow="0" w:lastRow="0" w:firstColumn="1" w:lastColumn="0" w:oddVBand="0" w:evenVBand="0" w:oddHBand="0" w:evenHBand="0" w:firstRowFirstColumn="0" w:firstRowLastColumn="0" w:lastRowFirstColumn="0" w:lastRowLastColumn="0"/>
            <w:tcW w:w="1159" w:type="pct"/>
            <w:tcBorders>
              <w:right w:val="nil"/>
            </w:tcBorders>
            <w:shd w:val="clear" w:color="auto" w:fill="D3D8E9" w:themeFill="background2" w:themeFillTint="33"/>
            <w:vAlign w:val="center"/>
          </w:tcPr>
          <w:p w14:paraId="5AC68855"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Receipts</w:t>
            </w:r>
          </w:p>
        </w:tc>
        <w:tc>
          <w:tcPr>
            <w:tcW w:w="285" w:type="pct"/>
            <w:tcBorders>
              <w:left w:val="nil"/>
              <w:right w:val="nil"/>
            </w:tcBorders>
            <w:shd w:val="clear" w:color="auto" w:fill="D3D8E9" w:themeFill="background2" w:themeFillTint="33"/>
            <w:vAlign w:val="center"/>
          </w:tcPr>
          <w:p w14:paraId="0D68F85A"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0F0C5583"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7393AA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198B53F6"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1120C88E"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1BAAE4D"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61BD9B15"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1F37009"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331DE954"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1D8D101D"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right w:val="nil"/>
            </w:tcBorders>
            <w:shd w:val="clear" w:color="auto" w:fill="D3D8E9" w:themeFill="background2" w:themeFillTint="33"/>
            <w:vAlign w:val="center"/>
          </w:tcPr>
          <w:p w14:paraId="47AFDEC8"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right w:val="nil"/>
            </w:tcBorders>
            <w:shd w:val="clear" w:color="auto" w:fill="D3D8E9" w:themeFill="background2" w:themeFillTint="33"/>
            <w:vAlign w:val="center"/>
          </w:tcPr>
          <w:p w14:paraId="41028BFA"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54" w:type="pct"/>
            <w:tcBorders>
              <w:left w:val="nil"/>
            </w:tcBorders>
            <w:shd w:val="clear" w:color="auto" w:fill="D3D8E9" w:themeFill="background2" w:themeFillTint="33"/>
            <w:vAlign w:val="center"/>
          </w:tcPr>
          <w:p w14:paraId="19C0D030"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6D7A5C" w:rsidRPr="001614FE" w14:paraId="7C206555" w14:textId="77777777" w:rsidTr="00D22C36">
        <w:tc>
          <w:tcPr>
            <w:cnfStyle w:val="001000000000" w:firstRow="0" w:lastRow="0" w:firstColumn="1" w:lastColumn="0" w:oddVBand="0" w:evenVBand="0" w:oddHBand="0" w:evenHBand="0" w:firstRowFirstColumn="0" w:firstRowLastColumn="0" w:lastRowFirstColumn="0" w:lastRowLastColumn="0"/>
            <w:tcW w:w="1159" w:type="pct"/>
            <w:vAlign w:val="center"/>
          </w:tcPr>
          <w:p w14:paraId="278B42CD" w14:textId="77777777" w:rsidR="006D7A5C" w:rsidRPr="001614FE" w:rsidRDefault="006D7A5C" w:rsidP="006D7A5C">
            <w:pPr>
              <w:pStyle w:val="TableText"/>
              <w:keepNext/>
              <w:widowControl w:val="0"/>
              <w:tabs>
                <w:tab w:val="left" w:pos="9356"/>
              </w:tabs>
              <w:spacing w:line="240" w:lineRule="auto"/>
              <w:ind w:left="-57" w:right="-57"/>
              <w:rPr>
                <w:rFonts w:asciiTheme="minorHAnsi" w:hAnsiTheme="minorHAnsi"/>
                <w:i/>
                <w:noProof/>
                <w:sz w:val="16"/>
                <w:szCs w:val="16"/>
              </w:rPr>
            </w:pPr>
            <w:r w:rsidRPr="001614FE">
              <w:rPr>
                <w:rFonts w:asciiTheme="minorHAnsi" w:hAnsiTheme="minorHAnsi"/>
                <w:i/>
                <w:sz w:val="16"/>
                <w:szCs w:val="16"/>
              </w:rPr>
              <w:t>Billionaire’s tax</w:t>
            </w:r>
          </w:p>
        </w:tc>
        <w:tc>
          <w:tcPr>
            <w:tcW w:w="285" w:type="pct"/>
            <w:vAlign w:val="center"/>
          </w:tcPr>
          <w:p w14:paraId="248E8353" w14:textId="77777777"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i/>
                <w:iCs/>
                <w:color w:val="000000"/>
                <w:sz w:val="16"/>
                <w:szCs w:val="16"/>
              </w:rPr>
              <w:t>-</w:t>
            </w:r>
          </w:p>
        </w:tc>
        <w:tc>
          <w:tcPr>
            <w:tcW w:w="285" w:type="pct"/>
            <w:vAlign w:val="center"/>
          </w:tcPr>
          <w:p w14:paraId="0A50BA42" w14:textId="77777777"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i/>
                <w:iCs/>
                <w:color w:val="000000"/>
                <w:sz w:val="16"/>
                <w:szCs w:val="16"/>
              </w:rPr>
              <w:t>-</w:t>
            </w:r>
          </w:p>
        </w:tc>
        <w:tc>
          <w:tcPr>
            <w:tcW w:w="285" w:type="pct"/>
            <w:vAlign w:val="center"/>
          </w:tcPr>
          <w:p w14:paraId="560624CE" w14:textId="7F182094"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4,370</w:t>
            </w:r>
          </w:p>
        </w:tc>
        <w:tc>
          <w:tcPr>
            <w:tcW w:w="285" w:type="pct"/>
            <w:vAlign w:val="center"/>
          </w:tcPr>
          <w:p w14:paraId="44BEE0D5" w14:textId="28863CDC"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5,610</w:t>
            </w:r>
          </w:p>
        </w:tc>
        <w:tc>
          <w:tcPr>
            <w:tcW w:w="285" w:type="pct"/>
            <w:vAlign w:val="center"/>
          </w:tcPr>
          <w:p w14:paraId="69C417BB" w14:textId="768BFEC3"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5,270</w:t>
            </w:r>
          </w:p>
        </w:tc>
        <w:tc>
          <w:tcPr>
            <w:tcW w:w="285" w:type="pct"/>
            <w:vAlign w:val="center"/>
          </w:tcPr>
          <w:p w14:paraId="22CF3E4C" w14:textId="2A7766EB"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4,840</w:t>
            </w:r>
          </w:p>
        </w:tc>
        <w:tc>
          <w:tcPr>
            <w:tcW w:w="285" w:type="pct"/>
            <w:vAlign w:val="center"/>
          </w:tcPr>
          <w:p w14:paraId="0395A987" w14:textId="36072D53"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4,310</w:t>
            </w:r>
          </w:p>
        </w:tc>
        <w:tc>
          <w:tcPr>
            <w:tcW w:w="285" w:type="pct"/>
            <w:vAlign w:val="center"/>
          </w:tcPr>
          <w:p w14:paraId="1F955133" w14:textId="7E338607"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3,660</w:t>
            </w:r>
          </w:p>
        </w:tc>
        <w:tc>
          <w:tcPr>
            <w:tcW w:w="285" w:type="pct"/>
            <w:vAlign w:val="center"/>
          </w:tcPr>
          <w:p w14:paraId="3E58CAFF" w14:textId="218A6AD3"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3,720</w:t>
            </w:r>
          </w:p>
        </w:tc>
        <w:tc>
          <w:tcPr>
            <w:tcW w:w="285" w:type="pct"/>
            <w:vAlign w:val="center"/>
          </w:tcPr>
          <w:p w14:paraId="6F707EB0" w14:textId="2A216958"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4,050</w:t>
            </w:r>
          </w:p>
        </w:tc>
        <w:tc>
          <w:tcPr>
            <w:tcW w:w="285" w:type="pct"/>
            <w:vAlign w:val="center"/>
          </w:tcPr>
          <w:p w14:paraId="49B90EE9" w14:textId="632E159B" w:rsidR="006D7A5C" w:rsidRPr="001614FE"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Pr>
                <w:rFonts w:ascii="Calibri" w:hAnsi="Calibri"/>
                <w:i/>
                <w:iCs/>
                <w:color w:val="000000"/>
                <w:sz w:val="16"/>
                <w:szCs w:val="16"/>
              </w:rPr>
              <w:t>4,420</w:t>
            </w:r>
          </w:p>
        </w:tc>
        <w:tc>
          <w:tcPr>
            <w:tcW w:w="352" w:type="pct"/>
            <w:vAlign w:val="center"/>
          </w:tcPr>
          <w:p w14:paraId="5B7DECEA" w14:textId="66952DC5" w:rsidR="006D7A5C" w:rsidRPr="006D7A5C"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6D7A5C">
              <w:rPr>
                <w:rFonts w:ascii="Calibri" w:hAnsi="Calibri"/>
                <w:b/>
                <w:i/>
                <w:iCs/>
                <w:color w:val="000000"/>
                <w:sz w:val="16"/>
                <w:szCs w:val="16"/>
              </w:rPr>
              <w:t>9,980</w:t>
            </w:r>
          </w:p>
        </w:tc>
        <w:tc>
          <w:tcPr>
            <w:tcW w:w="354" w:type="pct"/>
            <w:vAlign w:val="center"/>
          </w:tcPr>
          <w:p w14:paraId="08F6B8E9" w14:textId="071EDAFD" w:rsidR="006D7A5C" w:rsidRPr="006D7A5C" w:rsidRDefault="006D7A5C" w:rsidP="006D7A5C">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6D7A5C">
              <w:rPr>
                <w:rFonts w:ascii="Calibri" w:hAnsi="Calibri"/>
                <w:b/>
                <w:i/>
                <w:iCs/>
                <w:color w:val="000000"/>
                <w:sz w:val="16"/>
                <w:szCs w:val="16"/>
              </w:rPr>
              <w:t>40,260</w:t>
            </w:r>
          </w:p>
        </w:tc>
      </w:tr>
      <w:tr w:rsidR="0039241E" w:rsidRPr="001614FE" w14:paraId="2DF69A67" w14:textId="77777777" w:rsidTr="00D22C36">
        <w:tc>
          <w:tcPr>
            <w:cnfStyle w:val="001000000000" w:firstRow="0" w:lastRow="0" w:firstColumn="1" w:lastColumn="0" w:oddVBand="0" w:evenVBand="0" w:oddHBand="0" w:evenHBand="0" w:firstRowFirstColumn="0" w:firstRowLastColumn="0" w:lastRowFirstColumn="0" w:lastRowLastColumn="0"/>
            <w:tcW w:w="1159" w:type="pct"/>
            <w:tcBorders>
              <w:bottom w:val="single" w:sz="8" w:space="0" w:color="788183" w:themeColor="accent6"/>
              <w:right w:val="nil"/>
            </w:tcBorders>
            <w:shd w:val="clear" w:color="auto" w:fill="D3D8E9" w:themeFill="background2" w:themeFillTint="33"/>
            <w:vAlign w:val="center"/>
          </w:tcPr>
          <w:p w14:paraId="01DC71E8"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Payments</w:t>
            </w:r>
          </w:p>
        </w:tc>
        <w:tc>
          <w:tcPr>
            <w:tcW w:w="285" w:type="pct"/>
            <w:tcBorders>
              <w:left w:val="nil"/>
              <w:bottom w:val="single" w:sz="8" w:space="0" w:color="788183" w:themeColor="accent6"/>
              <w:right w:val="nil"/>
            </w:tcBorders>
            <w:shd w:val="clear" w:color="auto" w:fill="D3D8E9" w:themeFill="background2" w:themeFillTint="33"/>
            <w:vAlign w:val="center"/>
          </w:tcPr>
          <w:p w14:paraId="010A86DC"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0BE45488"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518BAF21"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76CA67DF"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DFFD517"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A9EAF97"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4C324B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2D63AFA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6455B410"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46E9BE53"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285" w:type="pct"/>
            <w:tcBorders>
              <w:left w:val="nil"/>
              <w:bottom w:val="single" w:sz="8" w:space="0" w:color="788183" w:themeColor="accent6"/>
              <w:right w:val="nil"/>
            </w:tcBorders>
            <w:shd w:val="clear" w:color="auto" w:fill="D3D8E9" w:themeFill="background2" w:themeFillTint="33"/>
            <w:vAlign w:val="center"/>
          </w:tcPr>
          <w:p w14:paraId="1037614E"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i w:val="0"/>
                <w:sz w:val="16"/>
                <w:szCs w:val="16"/>
              </w:rPr>
            </w:pPr>
          </w:p>
        </w:tc>
        <w:tc>
          <w:tcPr>
            <w:tcW w:w="352" w:type="pct"/>
            <w:tcBorders>
              <w:left w:val="nil"/>
              <w:bottom w:val="single" w:sz="8" w:space="0" w:color="788183" w:themeColor="accent6"/>
              <w:right w:val="nil"/>
            </w:tcBorders>
            <w:shd w:val="clear" w:color="auto" w:fill="D3D8E9" w:themeFill="background2" w:themeFillTint="33"/>
            <w:vAlign w:val="center"/>
          </w:tcPr>
          <w:p w14:paraId="379C9712"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c>
          <w:tcPr>
            <w:tcW w:w="354" w:type="pct"/>
            <w:tcBorders>
              <w:left w:val="nil"/>
            </w:tcBorders>
            <w:shd w:val="clear" w:color="auto" w:fill="D3D8E9" w:themeFill="background2" w:themeFillTint="33"/>
            <w:vAlign w:val="center"/>
          </w:tcPr>
          <w:p w14:paraId="0D5C6E0D" w14:textId="77777777" w:rsidR="00030EAA" w:rsidRPr="001614FE" w:rsidRDefault="00030EAA" w:rsidP="00D22C36">
            <w:pPr>
              <w:pStyle w:val="TableTextRightItalic"/>
              <w:keepNext/>
              <w:widowControl w:val="0"/>
              <w:tabs>
                <w:tab w:val="left" w:pos="9356"/>
              </w:tabs>
              <w:spacing w:line="240" w:lineRule="auto"/>
              <w:ind w:left="-57" w:right="-57"/>
              <w:cnfStyle w:val="000000000000" w:firstRow="0" w:lastRow="0" w:firstColumn="0" w:lastColumn="0" w:oddVBand="0" w:evenVBand="0" w:oddHBand="0" w:evenHBand="0" w:firstRowFirstColumn="0" w:firstRowLastColumn="0" w:lastRowFirstColumn="0" w:lastRowLastColumn="0"/>
              <w:rPr>
                <w:rFonts w:asciiTheme="minorHAnsi" w:hAnsiTheme="minorHAnsi"/>
                <w:b/>
                <w:i w:val="0"/>
                <w:sz w:val="16"/>
                <w:szCs w:val="16"/>
              </w:rPr>
            </w:pPr>
          </w:p>
        </w:tc>
      </w:tr>
      <w:tr w:rsidR="00030EAA" w:rsidRPr="001614FE" w14:paraId="3039EA8B" w14:textId="77777777" w:rsidTr="00D22C36">
        <w:tc>
          <w:tcPr>
            <w:cnfStyle w:val="001000000000" w:firstRow="0" w:lastRow="0" w:firstColumn="1" w:lastColumn="0" w:oddVBand="0" w:evenVBand="0" w:oddHBand="0" w:evenHBand="0" w:firstRowFirstColumn="0" w:firstRowLastColumn="0" w:lastRowFirstColumn="0" w:lastRowLastColumn="0"/>
            <w:tcW w:w="5000" w:type="pct"/>
            <w:gridSpan w:val="14"/>
            <w:vAlign w:val="center"/>
          </w:tcPr>
          <w:p w14:paraId="688E254D" w14:textId="77777777" w:rsidR="00030EAA" w:rsidRPr="001614FE" w:rsidRDefault="00030EAA" w:rsidP="00D22C36">
            <w:pPr>
              <w:spacing w:before="70" w:after="70"/>
              <w:ind w:left="-57" w:right="-57"/>
              <w:rPr>
                <w:rFonts w:ascii="Calibri" w:hAnsi="Calibri"/>
                <w:b/>
                <w:i/>
                <w:iCs/>
                <w:color w:val="000000"/>
                <w:sz w:val="16"/>
                <w:szCs w:val="16"/>
              </w:rPr>
            </w:pPr>
            <w:r w:rsidRPr="001614FE">
              <w:rPr>
                <w:rFonts w:ascii="Calibri" w:hAnsi="Calibri"/>
                <w:i/>
                <w:iCs/>
                <w:color w:val="000000"/>
                <w:sz w:val="16"/>
                <w:szCs w:val="16"/>
              </w:rPr>
              <w:t xml:space="preserve">Departmental </w:t>
            </w:r>
          </w:p>
        </w:tc>
      </w:tr>
      <w:tr w:rsidR="00030EAA" w:rsidRPr="001614FE" w14:paraId="1E2BEDAA" w14:textId="77777777" w:rsidTr="00D22C36">
        <w:tc>
          <w:tcPr>
            <w:cnfStyle w:val="001000000000" w:firstRow="0" w:lastRow="0" w:firstColumn="1" w:lastColumn="0" w:oddVBand="0" w:evenVBand="0" w:oddHBand="0" w:evenHBand="0" w:firstRowFirstColumn="0" w:firstRowLastColumn="0" w:lastRowFirstColumn="0" w:lastRowLastColumn="0"/>
            <w:tcW w:w="1159" w:type="pct"/>
            <w:vAlign w:val="center"/>
          </w:tcPr>
          <w:p w14:paraId="38E79BBB" w14:textId="77777777" w:rsidR="00030EAA" w:rsidRPr="001614FE" w:rsidRDefault="00030EAA" w:rsidP="00D22C36">
            <w:pPr>
              <w:pStyle w:val="TableText"/>
              <w:keepNext/>
              <w:widowControl w:val="0"/>
              <w:tabs>
                <w:tab w:val="left" w:pos="9356"/>
              </w:tabs>
              <w:spacing w:line="240" w:lineRule="auto"/>
              <w:ind w:left="-57" w:right="-57"/>
              <w:rPr>
                <w:rFonts w:asciiTheme="minorHAnsi" w:hAnsiTheme="minorHAnsi"/>
                <w:i/>
                <w:noProof/>
                <w:sz w:val="16"/>
                <w:szCs w:val="16"/>
              </w:rPr>
            </w:pPr>
            <w:r w:rsidRPr="001614FE">
              <w:rPr>
                <w:rFonts w:asciiTheme="minorHAnsi" w:hAnsiTheme="minorHAnsi"/>
                <w:i/>
                <w:sz w:val="16"/>
                <w:szCs w:val="16"/>
              </w:rPr>
              <w:t>Australian Taxation Office</w:t>
            </w:r>
          </w:p>
        </w:tc>
        <w:tc>
          <w:tcPr>
            <w:tcW w:w="285" w:type="pct"/>
            <w:vAlign w:val="center"/>
          </w:tcPr>
          <w:p w14:paraId="284E287B" w14:textId="77777777" w:rsidR="00030EAA" w:rsidRPr="001614FE" w:rsidRDefault="00030EAA" w:rsidP="00D22C36">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w:t>
            </w:r>
          </w:p>
        </w:tc>
        <w:tc>
          <w:tcPr>
            <w:tcW w:w="285" w:type="pct"/>
            <w:vAlign w:val="center"/>
          </w:tcPr>
          <w:p w14:paraId="5973BE77" w14:textId="77777777" w:rsidR="00030EAA" w:rsidRPr="001614FE" w:rsidRDefault="00030EAA" w:rsidP="00D22C36">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w:t>
            </w:r>
          </w:p>
        </w:tc>
        <w:tc>
          <w:tcPr>
            <w:tcW w:w="285" w:type="pct"/>
            <w:vAlign w:val="center"/>
          </w:tcPr>
          <w:p w14:paraId="485EB585"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-75</w:t>
            </w:r>
          </w:p>
        </w:tc>
        <w:tc>
          <w:tcPr>
            <w:tcW w:w="285" w:type="pct"/>
            <w:vAlign w:val="center"/>
          </w:tcPr>
          <w:p w14:paraId="7466846F"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1BF37D5A"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671CB63E"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53884C7A"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2EEACA00"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00542823"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37947ACA"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285" w:type="pct"/>
            <w:vAlign w:val="center"/>
          </w:tcPr>
          <w:p w14:paraId="56377A70"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i/>
                <w:iCs/>
                <w:color w:val="000000"/>
                <w:sz w:val="16"/>
                <w:szCs w:val="16"/>
              </w:rPr>
            </w:pPr>
            <w:r w:rsidRPr="001614FE">
              <w:rPr>
                <w:rFonts w:ascii="Calibri" w:hAnsi="Calibri"/>
                <w:bCs/>
                <w:i/>
                <w:iCs/>
                <w:color w:val="000000"/>
                <w:sz w:val="16"/>
                <w:szCs w:val="16"/>
              </w:rPr>
              <w:t>-35</w:t>
            </w:r>
          </w:p>
        </w:tc>
        <w:tc>
          <w:tcPr>
            <w:tcW w:w="352" w:type="pct"/>
            <w:vAlign w:val="center"/>
          </w:tcPr>
          <w:p w14:paraId="296107DC"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1614FE">
              <w:rPr>
                <w:rFonts w:ascii="Calibri" w:hAnsi="Calibri"/>
                <w:b/>
                <w:bCs/>
                <w:i/>
                <w:iCs/>
                <w:color w:val="000000"/>
                <w:sz w:val="16"/>
                <w:szCs w:val="16"/>
              </w:rPr>
              <w:t>-110</w:t>
            </w:r>
          </w:p>
        </w:tc>
        <w:tc>
          <w:tcPr>
            <w:tcW w:w="354" w:type="pct"/>
            <w:vAlign w:val="center"/>
          </w:tcPr>
          <w:p w14:paraId="0A774F5A" w14:textId="77777777" w:rsidR="00030EAA" w:rsidRPr="001614FE" w:rsidRDefault="00030EAA" w:rsidP="00D22C36">
            <w:pPr>
              <w:spacing w:before="70" w:after="70"/>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i/>
                <w:iCs/>
                <w:color w:val="000000"/>
                <w:sz w:val="16"/>
                <w:szCs w:val="16"/>
              </w:rPr>
            </w:pPr>
            <w:r w:rsidRPr="001614FE">
              <w:rPr>
                <w:rFonts w:ascii="Calibri" w:hAnsi="Calibri"/>
                <w:b/>
                <w:bCs/>
                <w:i/>
                <w:iCs/>
                <w:color w:val="000000"/>
                <w:sz w:val="16"/>
                <w:szCs w:val="16"/>
              </w:rPr>
              <w:t>-355</w:t>
            </w:r>
          </w:p>
        </w:tc>
      </w:tr>
      <w:tr w:rsidR="006D7A5C" w:rsidRPr="001614FE" w14:paraId="2EC3E9AD" w14:textId="77777777" w:rsidTr="00D22C36">
        <w:tc>
          <w:tcPr>
            <w:cnfStyle w:val="001000000000" w:firstRow="0" w:lastRow="0" w:firstColumn="1" w:lastColumn="0" w:oddVBand="0" w:evenVBand="0" w:oddHBand="0" w:evenHBand="0" w:firstRowFirstColumn="0" w:firstRowLastColumn="0" w:lastRowFirstColumn="0" w:lastRowLastColumn="0"/>
            <w:tcW w:w="1159" w:type="pct"/>
            <w:shd w:val="clear" w:color="auto" w:fill="A7B2D4" w:themeFill="background2" w:themeFillTint="66"/>
            <w:vAlign w:val="center"/>
          </w:tcPr>
          <w:p w14:paraId="16494E8E" w14:textId="77777777" w:rsidR="006D7A5C" w:rsidRPr="001614FE" w:rsidRDefault="006D7A5C" w:rsidP="006D7A5C">
            <w:pPr>
              <w:pStyle w:val="TableText"/>
              <w:keepNext/>
              <w:widowControl w:val="0"/>
              <w:tabs>
                <w:tab w:val="left" w:pos="9356"/>
              </w:tabs>
              <w:spacing w:line="240" w:lineRule="auto"/>
              <w:ind w:left="-57" w:right="-57"/>
              <w:rPr>
                <w:rFonts w:asciiTheme="minorHAnsi" w:hAnsiTheme="minorHAnsi"/>
                <w:b/>
                <w:sz w:val="16"/>
                <w:szCs w:val="16"/>
              </w:rPr>
            </w:pPr>
            <w:r w:rsidRPr="001614FE">
              <w:rPr>
                <w:rFonts w:asciiTheme="minorHAnsi" w:hAnsiTheme="minorHAnsi"/>
                <w:b/>
                <w:sz w:val="16"/>
                <w:szCs w:val="16"/>
              </w:rPr>
              <w:t xml:space="preserve">Total </w:t>
            </w:r>
          </w:p>
        </w:tc>
        <w:tc>
          <w:tcPr>
            <w:tcW w:w="285" w:type="pct"/>
            <w:shd w:val="clear" w:color="auto" w:fill="A7B2D4" w:themeFill="background2" w:themeFillTint="66"/>
            <w:vAlign w:val="center"/>
          </w:tcPr>
          <w:p w14:paraId="15574F1E" w14:textId="77777777"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sidRPr="001614FE">
              <w:rPr>
                <w:rFonts w:ascii="Calibri" w:hAnsi="Calibri"/>
                <w:b/>
                <w:bCs/>
                <w:color w:val="000000"/>
                <w:sz w:val="16"/>
                <w:szCs w:val="16"/>
              </w:rPr>
              <w:t>-</w:t>
            </w:r>
          </w:p>
        </w:tc>
        <w:tc>
          <w:tcPr>
            <w:tcW w:w="285" w:type="pct"/>
            <w:shd w:val="clear" w:color="auto" w:fill="A7B2D4" w:themeFill="background2" w:themeFillTint="66"/>
            <w:vAlign w:val="center"/>
          </w:tcPr>
          <w:p w14:paraId="5182E7D9" w14:textId="77777777" w:rsidR="006D7A5C" w:rsidRPr="001614FE"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sidRPr="001614FE">
              <w:rPr>
                <w:rFonts w:ascii="Calibri" w:hAnsi="Calibri"/>
                <w:b/>
                <w:bCs/>
                <w:color w:val="000000"/>
                <w:sz w:val="16"/>
                <w:szCs w:val="16"/>
              </w:rPr>
              <w:t>-</w:t>
            </w:r>
          </w:p>
        </w:tc>
        <w:tc>
          <w:tcPr>
            <w:tcW w:w="285" w:type="pct"/>
            <w:shd w:val="clear" w:color="auto" w:fill="A7B2D4" w:themeFill="background2" w:themeFillTint="66"/>
            <w:vAlign w:val="center"/>
          </w:tcPr>
          <w:p w14:paraId="26054148" w14:textId="6C790894"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4,295</w:t>
            </w:r>
          </w:p>
        </w:tc>
        <w:tc>
          <w:tcPr>
            <w:tcW w:w="285" w:type="pct"/>
            <w:shd w:val="clear" w:color="auto" w:fill="A7B2D4" w:themeFill="background2" w:themeFillTint="66"/>
            <w:vAlign w:val="center"/>
          </w:tcPr>
          <w:p w14:paraId="32A62BA4" w14:textId="288ED6C8"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5,575</w:t>
            </w:r>
          </w:p>
        </w:tc>
        <w:tc>
          <w:tcPr>
            <w:tcW w:w="285" w:type="pct"/>
            <w:shd w:val="clear" w:color="auto" w:fill="A7B2D4" w:themeFill="background2" w:themeFillTint="66"/>
            <w:vAlign w:val="center"/>
          </w:tcPr>
          <w:p w14:paraId="2BE50D2B" w14:textId="46F3585E"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5,235</w:t>
            </w:r>
          </w:p>
        </w:tc>
        <w:tc>
          <w:tcPr>
            <w:tcW w:w="285" w:type="pct"/>
            <w:shd w:val="clear" w:color="auto" w:fill="A7B2D4" w:themeFill="background2" w:themeFillTint="66"/>
            <w:vAlign w:val="center"/>
          </w:tcPr>
          <w:p w14:paraId="0D36F541" w14:textId="76897D15"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4,805</w:t>
            </w:r>
          </w:p>
        </w:tc>
        <w:tc>
          <w:tcPr>
            <w:tcW w:w="285" w:type="pct"/>
            <w:shd w:val="clear" w:color="auto" w:fill="A7B2D4" w:themeFill="background2" w:themeFillTint="66"/>
            <w:vAlign w:val="center"/>
          </w:tcPr>
          <w:p w14:paraId="106B6ECC" w14:textId="29ECF3E0"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4,275</w:t>
            </w:r>
          </w:p>
        </w:tc>
        <w:tc>
          <w:tcPr>
            <w:tcW w:w="285" w:type="pct"/>
            <w:shd w:val="clear" w:color="auto" w:fill="A7B2D4" w:themeFill="background2" w:themeFillTint="66"/>
            <w:vAlign w:val="center"/>
          </w:tcPr>
          <w:p w14:paraId="048633B9" w14:textId="04E42990"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3,625</w:t>
            </w:r>
          </w:p>
        </w:tc>
        <w:tc>
          <w:tcPr>
            <w:tcW w:w="285" w:type="pct"/>
            <w:shd w:val="clear" w:color="auto" w:fill="A7B2D4" w:themeFill="background2" w:themeFillTint="66"/>
            <w:vAlign w:val="center"/>
          </w:tcPr>
          <w:p w14:paraId="2B7AE8BF" w14:textId="6EBA3CBA"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3,685</w:t>
            </w:r>
          </w:p>
        </w:tc>
        <w:tc>
          <w:tcPr>
            <w:tcW w:w="285" w:type="pct"/>
            <w:shd w:val="clear" w:color="auto" w:fill="A7B2D4" w:themeFill="background2" w:themeFillTint="66"/>
            <w:vAlign w:val="center"/>
          </w:tcPr>
          <w:p w14:paraId="253FA521" w14:textId="388C4BC0"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4,015</w:t>
            </w:r>
          </w:p>
        </w:tc>
        <w:tc>
          <w:tcPr>
            <w:tcW w:w="285" w:type="pct"/>
            <w:shd w:val="clear" w:color="auto" w:fill="A7B2D4" w:themeFill="background2" w:themeFillTint="66"/>
            <w:vAlign w:val="center"/>
          </w:tcPr>
          <w:p w14:paraId="15AEB03E" w14:textId="16F4866D"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4,385</w:t>
            </w:r>
          </w:p>
        </w:tc>
        <w:tc>
          <w:tcPr>
            <w:tcW w:w="352" w:type="pct"/>
            <w:shd w:val="clear" w:color="auto" w:fill="A7B2D4" w:themeFill="background2" w:themeFillTint="66"/>
            <w:vAlign w:val="center"/>
          </w:tcPr>
          <w:p w14:paraId="69ABF869" w14:textId="4A9828AD"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9,870</w:t>
            </w:r>
          </w:p>
        </w:tc>
        <w:tc>
          <w:tcPr>
            <w:tcW w:w="354" w:type="pct"/>
            <w:shd w:val="clear" w:color="auto" w:fill="A7B2D4" w:themeFill="background2" w:themeFillTint="66"/>
            <w:vAlign w:val="center"/>
          </w:tcPr>
          <w:p w14:paraId="0565D5B3" w14:textId="7BE2221A" w:rsidR="006D7A5C" w:rsidRPr="00F435CF" w:rsidRDefault="006D7A5C" w:rsidP="006D7A5C">
            <w:pPr>
              <w:spacing w:before="72" w:after="72"/>
              <w:ind w:left="-57" w:right="-57"/>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6"/>
                <w:szCs w:val="16"/>
              </w:rPr>
            </w:pPr>
            <w:r>
              <w:rPr>
                <w:rFonts w:ascii="Calibri" w:hAnsi="Calibri"/>
                <w:b/>
                <w:bCs/>
                <w:color w:val="000000"/>
                <w:sz w:val="16"/>
                <w:szCs w:val="16"/>
              </w:rPr>
              <w:t>39,905</w:t>
            </w:r>
          </w:p>
        </w:tc>
      </w:tr>
    </w:tbl>
    <w:p w14:paraId="2CE86DC9" w14:textId="77777777" w:rsidR="00030EAA" w:rsidRPr="001614FE" w:rsidRDefault="00030EAA" w:rsidP="00030EAA">
      <w:pPr>
        <w:keepNext/>
        <w:widowControl w:val="0"/>
        <w:tabs>
          <w:tab w:val="left" w:pos="9356"/>
        </w:tabs>
        <w:spacing w:line="260" w:lineRule="atLeast"/>
        <w:ind w:left="284" w:hanging="284"/>
        <w:rPr>
          <w:spacing w:val="-1"/>
          <w:sz w:val="16"/>
          <w:szCs w:val="16"/>
        </w:rPr>
      </w:pPr>
      <w:r w:rsidRPr="001614FE">
        <w:rPr>
          <w:spacing w:val="-1"/>
          <w:sz w:val="16"/>
          <w:szCs w:val="16"/>
        </w:rPr>
        <w:t>(a)</w:t>
      </w:r>
      <w:r w:rsidRPr="001614FE">
        <w:rPr>
          <w:spacing w:val="-1"/>
          <w:sz w:val="16"/>
          <w:szCs w:val="16"/>
        </w:rPr>
        <w:tab/>
        <w:t xml:space="preserve">A positive number for the underlying cash balance indicates an increase in receipts or a decrease in payments or net capital investment in cash terms.  A negative number for the underlying cash balance indicates a decrease in receipts or an increase in payments or net capital investment in cash terms.  </w:t>
      </w:r>
    </w:p>
    <w:p w14:paraId="6BC88CFC" w14:textId="77777777" w:rsidR="00030EAA" w:rsidRPr="001614FE" w:rsidRDefault="00030EAA" w:rsidP="00030EAA">
      <w:pPr>
        <w:keepNext/>
        <w:widowControl w:val="0"/>
        <w:tabs>
          <w:tab w:val="left" w:pos="9356"/>
        </w:tabs>
        <w:spacing w:line="260" w:lineRule="atLeast"/>
        <w:ind w:left="284" w:hanging="284"/>
        <w:rPr>
          <w:sz w:val="16"/>
          <w:szCs w:val="16"/>
        </w:rPr>
      </w:pPr>
      <w:r w:rsidRPr="001614FE">
        <w:rPr>
          <w:sz w:val="16"/>
          <w:szCs w:val="16"/>
        </w:rPr>
        <w:t>(b)</w:t>
      </w:r>
      <w:r w:rsidRPr="001614FE">
        <w:rPr>
          <w:sz w:val="16"/>
          <w:szCs w:val="16"/>
        </w:rPr>
        <w:tab/>
        <w:t>Figures may not sum to totals due to rounding.</w:t>
      </w:r>
    </w:p>
    <w:p w14:paraId="07D59F01" w14:textId="77777777" w:rsidR="00030EAA" w:rsidRPr="001614FE" w:rsidRDefault="00030EAA" w:rsidP="00030EAA">
      <w:pPr>
        <w:pStyle w:val="TableFootnotes"/>
        <w:keepLines w:val="0"/>
        <w:numPr>
          <w:ilvl w:val="0"/>
          <w:numId w:val="11"/>
        </w:numPr>
        <w:tabs>
          <w:tab w:val="left" w:pos="9356"/>
        </w:tabs>
        <w:ind w:left="284" w:hanging="284"/>
        <w:rPr>
          <w:spacing w:val="-1"/>
          <w:sz w:val="16"/>
          <w:szCs w:val="16"/>
        </w:rPr>
      </w:pPr>
      <w:r w:rsidRPr="001614FE">
        <w:rPr>
          <w:spacing w:val="-1"/>
          <w:sz w:val="16"/>
          <w:szCs w:val="16"/>
        </w:rPr>
        <w:t>Indicates nil.</w:t>
      </w:r>
    </w:p>
    <w:p w14:paraId="29419BCB" w14:textId="5F26409D" w:rsidR="00030EAA" w:rsidRPr="001614FE" w:rsidRDefault="00030EAA" w:rsidP="00030EAA">
      <w:pPr>
        <w:rPr>
          <w:spacing w:val="-1"/>
          <w:sz w:val="16"/>
          <w:szCs w:val="16"/>
        </w:rPr>
      </w:pPr>
    </w:p>
    <w:sectPr w:rsidR="00030EAA" w:rsidRPr="001614FE" w:rsidSect="00131861">
      <w:footerReference w:type="default" r:id="rId18"/>
      <w:pgSz w:w="11907" w:h="16839" w:code="9"/>
      <w:pgMar w:top="1134" w:right="992" w:bottom="1134" w:left="992" w:header="284" w:footer="45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C6B47" w14:textId="77777777" w:rsidR="004D3A11" w:rsidRDefault="004D3A11" w:rsidP="00A20802">
      <w:pPr>
        <w:spacing w:line="240" w:lineRule="auto"/>
      </w:pPr>
      <w:r>
        <w:separator/>
      </w:r>
    </w:p>
    <w:p w14:paraId="614C65D9" w14:textId="77777777" w:rsidR="004D3A11" w:rsidRDefault="004D3A11"/>
    <w:p w14:paraId="4AEC149E" w14:textId="77777777" w:rsidR="004D3A11" w:rsidRDefault="004D3A11"/>
  </w:endnote>
  <w:endnote w:type="continuationSeparator" w:id="0">
    <w:p w14:paraId="6C3A23B4" w14:textId="77777777" w:rsidR="004D3A11" w:rsidRDefault="004D3A11" w:rsidP="00A20802">
      <w:pPr>
        <w:spacing w:line="240" w:lineRule="auto"/>
      </w:pPr>
      <w:r>
        <w:continuationSeparator/>
      </w:r>
    </w:p>
    <w:p w14:paraId="0D789758" w14:textId="77777777" w:rsidR="004D3A11" w:rsidRDefault="004D3A11"/>
    <w:p w14:paraId="6652D49F" w14:textId="77777777" w:rsidR="004D3A11" w:rsidRDefault="004D3A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2217" w14:textId="3E76943C" w:rsidR="004D3A11" w:rsidRPr="00015E04" w:rsidRDefault="004D3A11" w:rsidP="00425534">
    <w:pPr>
      <w:pStyle w:val="Footer"/>
      <w:tabs>
        <w:tab w:val="center" w:pos="4536"/>
        <w:tab w:val="right" w:pos="9072"/>
      </w:tabs>
      <w:spacing w:before="120"/>
      <w:rPr>
        <w:rFonts w:ascii="Calibri" w:hAnsi="Calibri" w:cs="Arial"/>
        <w:color w:val="FF0000"/>
        <w:sz w:val="40"/>
        <w:szCs w:val="40"/>
      </w:rPr>
    </w:pPr>
    <w:r>
      <w:rPr>
        <w:rStyle w:val="FooterChar"/>
        <w:rFonts w:ascii="Calibri" w:hAnsi="Calibri" w:cs="Arial"/>
        <w:b/>
        <w:color w:val="FF0000"/>
        <w:sz w:val="40"/>
        <w:szCs w:val="40"/>
      </w:rPr>
      <w:tab/>
    </w:r>
    <w:r w:rsidRPr="001E4092">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315F54">
      <w:rPr>
        <w:rStyle w:val="FooterChar"/>
        <w:b/>
        <w:noProof/>
      </w:rPr>
      <w:t>4</w:t>
    </w:r>
    <w:r w:rsidRPr="002C4DA6">
      <w:rPr>
        <w:rStyle w:val="FooterChar"/>
        <w:b/>
      </w:rPr>
      <w:fldChar w:fldCharType="end"/>
    </w:r>
    <w:r w:rsidRPr="002C4DA6">
      <w:rPr>
        <w:rStyle w:val="FooterChar"/>
        <w:b/>
      </w:rPr>
      <w:t xml:space="preserve"> of </w:t>
    </w:r>
    <w:r w:rsidR="005512BC">
      <w:rPr>
        <w:rStyle w:val="FooterChar"/>
        <w:b/>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A17C7" w14:textId="14842131" w:rsidR="004D3A11" w:rsidRPr="007A47D0" w:rsidRDefault="004D3A11" w:rsidP="00015E04">
    <w:pPr>
      <w:pStyle w:val="Footer"/>
      <w:tabs>
        <w:tab w:val="center" w:pos="4536"/>
        <w:tab w:val="right" w:pos="9072"/>
      </w:tabs>
      <w:spacing w:before="120"/>
      <w:rPr>
        <w:rFonts w:ascii="Calibri" w:hAnsi="Calibri" w:cs="Arial"/>
        <w:color w:val="FF0000"/>
        <w:sz w:val="40"/>
        <w:szCs w:val="40"/>
      </w:rPr>
    </w:pPr>
    <w:r w:rsidRPr="00DD281D">
      <w:rPr>
        <w:rStyle w:val="FooterChar"/>
        <w:rFonts w:ascii="Calibri" w:hAnsi="Calibri" w:cs="Arial"/>
        <w:b/>
      </w:rPr>
      <w:t>PBO</w:t>
    </w:r>
    <w:r>
      <w:rPr>
        <w:rStyle w:val="FooterChar"/>
        <w:rFonts w:ascii="Calibri" w:hAnsi="Calibri" w:cs="Arial"/>
        <w:b/>
      </w:rPr>
      <w:t xml:space="preserve"> reference </w:t>
    </w:r>
    <w:r w:rsidRPr="003E41B2">
      <w:rPr>
        <w:rStyle w:val="FooterChar"/>
        <w:rFonts w:ascii="Calibri" w:hAnsi="Calibri" w:cs="Arial"/>
        <w:b/>
      </w:rPr>
      <w:t>PR</w:t>
    </w:r>
    <w:r>
      <w:rPr>
        <w:rStyle w:val="FooterChar"/>
        <w:rFonts w:ascii="Calibri" w:hAnsi="Calibri" w:cs="Arial"/>
        <w:b/>
      </w:rPr>
      <w:t>21</w:t>
    </w:r>
    <w:r w:rsidRPr="003E41B2">
      <w:rPr>
        <w:rStyle w:val="FooterChar"/>
        <w:rFonts w:ascii="Calibri" w:hAnsi="Calibri" w:cs="Arial"/>
        <w:b/>
      </w:rPr>
      <w:t>/00</w:t>
    </w:r>
    <w:r w:rsidR="00D626EF">
      <w:rPr>
        <w:rStyle w:val="FooterChar"/>
        <w:rFonts w:ascii="Calibri" w:hAnsi="Calibri" w:cs="Arial"/>
        <w:b/>
      </w:rPr>
      <w:t>056</w:t>
    </w:r>
    <w:r w:rsidRPr="009B70E6">
      <w:rPr>
        <w:rStyle w:val="FooterChar"/>
        <w:rFonts w:ascii="Calibri" w:hAnsi="Calibri" w:cs="Arial"/>
        <w:b/>
        <w:sz w:val="20"/>
        <w:szCs w:val="20"/>
      </w:rPr>
      <w:tab/>
    </w:r>
    <w:r w:rsidRPr="001E4092">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315F54">
      <w:rPr>
        <w:rStyle w:val="FooterChar"/>
        <w:b/>
        <w:noProof/>
      </w:rPr>
      <w:t>1</w:t>
    </w:r>
    <w:r w:rsidRPr="002C4DA6">
      <w:rPr>
        <w:rStyle w:val="FooterChar"/>
        <w:b/>
      </w:rPr>
      <w:fldChar w:fldCharType="end"/>
    </w:r>
    <w:r w:rsidRPr="002C4DA6">
      <w:rPr>
        <w:rStyle w:val="FooterChar"/>
        <w:b/>
      </w:rPr>
      <w:t xml:space="preserve"> of </w:t>
    </w:r>
    <w:r w:rsidR="005512BC">
      <w:rPr>
        <w:rStyle w:val="FooterChar"/>
        <w:b/>
      </w:rPr>
      <w:t>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FC3D3" w14:textId="06915BFF" w:rsidR="004D3A11" w:rsidRPr="00015E04" w:rsidRDefault="004D3A11" w:rsidP="002E5CE6">
    <w:pPr>
      <w:pStyle w:val="Footer"/>
      <w:tabs>
        <w:tab w:val="center" w:pos="4962"/>
        <w:tab w:val="right" w:pos="9923"/>
      </w:tabs>
      <w:spacing w:before="120"/>
      <w:rPr>
        <w:rFonts w:ascii="Calibri" w:hAnsi="Calibri" w:cs="Arial"/>
        <w:color w:val="FF0000"/>
        <w:sz w:val="40"/>
        <w:szCs w:val="40"/>
      </w:rPr>
    </w:pPr>
    <w:r>
      <w:rPr>
        <w:rStyle w:val="FooterChar"/>
        <w:rFonts w:ascii="Calibri" w:hAnsi="Calibri" w:cs="Arial"/>
        <w:b/>
        <w:color w:val="FF0000"/>
        <w:sz w:val="40"/>
        <w:szCs w:val="40"/>
      </w:rPr>
      <w:tab/>
    </w:r>
    <w:r w:rsidRPr="001E4092">
      <w:rPr>
        <w:rStyle w:val="FooterChar"/>
        <w:rFonts w:ascii="Calibri" w:hAnsi="Calibri" w:cs="Arial"/>
        <w:b/>
        <w:strike/>
        <w:color w:val="FF0000"/>
        <w:sz w:val="36"/>
        <w:szCs w:val="36"/>
      </w:rPr>
      <w:t>OFFICIAL: Sensitive</w:t>
    </w:r>
    <w:r>
      <w:rPr>
        <w:rStyle w:val="FooterChar"/>
        <w:rFonts w:ascii="Calibri" w:hAnsi="Calibri" w:cs="Arial"/>
        <w:b/>
        <w:color w:val="FF0000"/>
        <w:sz w:val="40"/>
        <w:szCs w:val="40"/>
      </w:rPr>
      <w:tab/>
    </w:r>
    <w:r w:rsidRPr="002C4DA6">
      <w:rPr>
        <w:rStyle w:val="FooterChar"/>
        <w:b/>
      </w:rPr>
      <w:t xml:space="preserve">Page </w:t>
    </w:r>
    <w:r w:rsidRPr="002C4DA6">
      <w:rPr>
        <w:rStyle w:val="FooterChar"/>
        <w:b/>
      </w:rPr>
      <w:fldChar w:fldCharType="begin"/>
    </w:r>
    <w:r w:rsidRPr="002C4DA6">
      <w:rPr>
        <w:rStyle w:val="FooterChar"/>
        <w:b/>
      </w:rPr>
      <w:instrText xml:space="preserve"> PAGE  \* Arabic  \* MERGEFORMAT </w:instrText>
    </w:r>
    <w:r w:rsidRPr="002C4DA6">
      <w:rPr>
        <w:rStyle w:val="FooterChar"/>
        <w:b/>
      </w:rPr>
      <w:fldChar w:fldCharType="separate"/>
    </w:r>
    <w:r w:rsidR="00315F54">
      <w:rPr>
        <w:rStyle w:val="FooterChar"/>
        <w:b/>
        <w:noProof/>
      </w:rPr>
      <w:t>7</w:t>
    </w:r>
    <w:r w:rsidRPr="002C4DA6">
      <w:rPr>
        <w:rStyle w:val="FooterChar"/>
        <w:b/>
      </w:rPr>
      <w:fldChar w:fldCharType="end"/>
    </w:r>
    <w:r w:rsidRPr="002C4DA6">
      <w:rPr>
        <w:rStyle w:val="FooterChar"/>
        <w:b/>
      </w:rPr>
      <w:t xml:space="preserve"> of </w:t>
    </w:r>
    <w:r w:rsidR="005512BC">
      <w:rPr>
        <w:rStyle w:val="FooterChar"/>
        <w:b/>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42AE3" w14:textId="77777777" w:rsidR="004D3A11" w:rsidRPr="000557A7" w:rsidRDefault="004D3A11" w:rsidP="008D5A11">
      <w:pPr>
        <w:pBdr>
          <w:top w:val="single" w:sz="4" w:space="1" w:color="auto"/>
        </w:pBdr>
        <w:spacing w:before="240" w:line="60" w:lineRule="exact"/>
        <w:rPr>
          <w:sz w:val="16"/>
          <w:szCs w:val="16"/>
        </w:rPr>
      </w:pPr>
    </w:p>
  </w:footnote>
  <w:footnote w:type="continuationSeparator" w:id="0">
    <w:p w14:paraId="30C22A49" w14:textId="77777777" w:rsidR="004D3A11" w:rsidRDefault="004D3A11" w:rsidP="00A20802">
      <w:pPr>
        <w:spacing w:line="240" w:lineRule="auto"/>
      </w:pPr>
      <w:r>
        <w:continuationSeparator/>
      </w:r>
    </w:p>
    <w:p w14:paraId="23DD071E" w14:textId="77777777" w:rsidR="004D3A11" w:rsidRDefault="004D3A11"/>
    <w:p w14:paraId="7166C025" w14:textId="77777777" w:rsidR="004D3A11" w:rsidRDefault="004D3A11"/>
  </w:footnote>
  <w:footnote w:id="1">
    <w:p w14:paraId="039E6474" w14:textId="77777777" w:rsidR="004D3A11" w:rsidRPr="00B52DB1" w:rsidRDefault="004D3A11" w:rsidP="00030EAA">
      <w:pPr>
        <w:pStyle w:val="FootnoteText"/>
        <w:tabs>
          <w:tab w:val="clear" w:pos="425"/>
          <w:tab w:val="left" w:pos="142"/>
        </w:tabs>
        <w:ind w:left="142" w:hanging="142"/>
        <w:rPr>
          <w:lang w:val="en-GB"/>
        </w:rPr>
      </w:pPr>
      <w:r>
        <w:rPr>
          <w:rStyle w:val="FootnoteReference"/>
        </w:rPr>
        <w:footnoteRef/>
      </w:r>
      <w:r>
        <w:t xml:space="preserve"> </w:t>
      </w:r>
      <w:r w:rsidRPr="00B52DB1">
        <w:t xml:space="preserve">According to a 2018 paper published by the Organisation for Economic Co-operations and Development (OECD), empirical studies have shown clear evidence of wealth tax avoidance and evasion in Europe </w:t>
      </w:r>
      <w:r>
        <w:t>and</w:t>
      </w:r>
      <w:r w:rsidRPr="00B52DB1">
        <w:t xml:space="preserve"> that taxpayers respond more through tax avoidance and evasion than through changes in real behaviour (eg holding less wealth).</w:t>
      </w:r>
    </w:p>
  </w:footnote>
  <w:footnote w:id="2">
    <w:p w14:paraId="55CAEEA7" w14:textId="77777777" w:rsidR="004D3A11" w:rsidRPr="00ED743D" w:rsidRDefault="004D3A11" w:rsidP="000630B7">
      <w:pPr>
        <w:pStyle w:val="FootnoteText"/>
        <w:tabs>
          <w:tab w:val="clear" w:pos="425"/>
          <w:tab w:val="left" w:pos="0"/>
        </w:tabs>
        <w:ind w:left="142" w:hanging="142"/>
      </w:pPr>
      <w:r w:rsidRPr="00ED743D">
        <w:rPr>
          <w:rStyle w:val="FootnoteReference"/>
        </w:rPr>
        <w:footnoteRef/>
      </w:r>
      <w:r w:rsidRPr="00ED743D">
        <w:t xml:space="preserve"> </w:t>
      </w:r>
      <w:r>
        <w:t xml:space="preserve">For more details on the challenges around asset valuation, see Chatalova and Evans’ 2013 paper </w:t>
      </w:r>
      <w:r>
        <w:rPr>
          <w:i/>
        </w:rPr>
        <w:t xml:space="preserve">Too rich to rein in? The under-utilised wealth tax base, </w:t>
      </w:r>
      <w:r>
        <w:t xml:space="preserve">available at </w:t>
      </w:r>
      <w:hyperlink r:id="rId1" w:history="1">
        <w:r w:rsidRPr="0029657A">
          <w:rPr>
            <w:rStyle w:val="Hyperlink"/>
          </w:rPr>
          <w:t>https://www.business.unsw.edu.au/research-site/publications-site/ejournaloftaxresearch-site/Documents/eJTR-Too-rich-to-rein-in-Vol-11-No-3pg434.pdf</w:t>
        </w:r>
      </w:hyperlink>
      <w:r>
        <w:t xml:space="preserve">. </w:t>
      </w:r>
      <w:r>
        <w:br/>
        <w:t xml:space="preserve">The issue around valuation and compliance burdens are also discussed in Ingles’ 2016 paper </w:t>
      </w:r>
      <w:r>
        <w:rPr>
          <w:i/>
        </w:rPr>
        <w:t xml:space="preserve">Does Australia need an annual wealth tax? (And why do we now apply on only to pensioners), </w:t>
      </w:r>
      <w:r>
        <w:t xml:space="preserve">available at </w:t>
      </w:r>
      <w:hyperlink r:id="rId2" w:history="1">
        <w:r w:rsidRPr="0029657A">
          <w:rPr>
            <w:rStyle w:val="Hyperlink"/>
          </w:rPr>
          <w:t>https://taxpolicy.crawford.anu.edu.au/sites/default/files/publication/taxstudies_crawford_anu_edu_au/2016-04/d_ingles_taxation_of_wealth_final.pdf</w:t>
        </w:r>
      </w:hyperlink>
      <w:r>
        <w:t xml:space="preserve">. </w:t>
      </w:r>
    </w:p>
  </w:footnote>
  <w:footnote w:id="3">
    <w:p w14:paraId="51D9079E" w14:textId="61416935" w:rsidR="004D3A11" w:rsidRPr="003D20A2" w:rsidRDefault="004D3A11" w:rsidP="00030EAA">
      <w:pPr>
        <w:pStyle w:val="FootnoteText"/>
        <w:tabs>
          <w:tab w:val="clear" w:pos="425"/>
        </w:tabs>
        <w:ind w:left="142" w:hanging="142"/>
        <w:rPr>
          <w:lang w:val="en-GB"/>
        </w:rPr>
      </w:pPr>
      <w:r>
        <w:rPr>
          <w:rStyle w:val="FootnoteReference"/>
        </w:rPr>
        <w:footnoteRef/>
      </w:r>
      <w:r>
        <w:t xml:space="preserve"> In </w:t>
      </w:r>
      <w:r>
        <w:rPr>
          <w:i/>
        </w:rPr>
        <w:t>The Hidden Wealth of Nations,</w:t>
      </w:r>
      <w:r w:rsidR="00893DFD">
        <w:t xml:space="preserve"> economist Gabriel Zucman</w:t>
      </w:r>
      <w:r>
        <w:t xml:space="preserve"> estimates around 8 per cent of the global financial assets of households are held offshore in tax havens.  Moreover, research based on leaked data records relating to Scandinavian countries found that the top 0.01 per cent of taxpayers evaded around 25 per cent of their tax liability by concealing assets and investment income abroad (Alstadsaeter et al, 2019).</w:t>
      </w:r>
    </w:p>
  </w:footnote>
  <w:footnote w:id="4">
    <w:p w14:paraId="0E062007" w14:textId="77777777" w:rsidR="004D3A11" w:rsidRPr="00D2686E" w:rsidRDefault="004D3A11" w:rsidP="00030EAA">
      <w:pPr>
        <w:pStyle w:val="FootnoteText"/>
        <w:tabs>
          <w:tab w:val="clear" w:pos="425"/>
          <w:tab w:val="left" w:pos="0"/>
        </w:tabs>
        <w:ind w:left="142" w:hanging="142"/>
        <w:rPr>
          <w:lang w:val="en-GB"/>
        </w:rPr>
      </w:pPr>
      <w:r>
        <w:rPr>
          <w:rStyle w:val="FootnoteReference"/>
        </w:rPr>
        <w:footnoteRef/>
      </w:r>
      <w:r>
        <w:t xml:space="preserve"> A study compared self-reported assets (mostly cars) in Sweden for the purposes of a wealth tax with registry data on car values.  The paper </w:t>
      </w:r>
      <w:r>
        <w:rPr>
          <w:lang w:val="en-GB"/>
        </w:rPr>
        <w:t>found that of those close to the exemption threshold, 75 to 80 per cent of taxpayers undervalued their assets compared to their true value, which eliminated around 70 per cent of their tax liability (Seim,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DA51A" w14:textId="77777777" w:rsidR="00060409" w:rsidRPr="001E4092" w:rsidRDefault="00060409" w:rsidP="00060409">
    <w:pPr>
      <w:pStyle w:val="Header"/>
      <w:jc w:val="center"/>
      <w:rPr>
        <w:rFonts w:ascii="Calibri" w:hAnsi="Calibri"/>
        <w:b/>
        <w:strike/>
        <w:color w:val="FF0000"/>
        <w:sz w:val="36"/>
        <w:szCs w:val="36"/>
      </w:rPr>
    </w:pPr>
    <w:r w:rsidRPr="001E4092">
      <w:rPr>
        <w:rFonts w:ascii="Calibri" w:hAnsi="Calibri"/>
        <w:b/>
        <w:strike/>
        <w:color w:val="FF0000"/>
        <w:sz w:val="36"/>
        <w:szCs w:val="36"/>
      </w:rPr>
      <w:t>OFFICIAL: Sensitive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7276" w14:textId="77777777" w:rsidR="004D3A11" w:rsidRPr="001E4092" w:rsidRDefault="004D3A11" w:rsidP="002C4DA6">
    <w:pPr>
      <w:pStyle w:val="Header"/>
      <w:jc w:val="center"/>
      <w:rPr>
        <w:rFonts w:ascii="Calibri" w:hAnsi="Calibri"/>
        <w:b/>
        <w:strike/>
        <w:color w:val="FF0000"/>
        <w:sz w:val="36"/>
        <w:szCs w:val="36"/>
      </w:rPr>
    </w:pPr>
    <w:r w:rsidRPr="001E4092">
      <w:rPr>
        <w:rFonts w:ascii="Calibri" w:hAnsi="Calibri"/>
        <w:b/>
        <w:strike/>
        <w:color w:val="FF0000"/>
        <w:sz w:val="36"/>
        <w:szCs w:val="36"/>
      </w:rPr>
      <w:t>OFFICIAL: Sensitive</w:t>
    </w:r>
  </w:p>
  <w:p w14:paraId="7276CF43" w14:textId="77777777" w:rsidR="004D3A11" w:rsidRPr="0046444F" w:rsidRDefault="004D3A11" w:rsidP="0046444F">
    <w:pPr>
      <w:pStyle w:val="Header"/>
    </w:pPr>
    <w:r>
      <w:rPr>
        <w:noProof/>
        <w:lang w:eastAsia="en-AU"/>
      </w:rPr>
      <w:drawing>
        <wp:inline distT="0" distB="0" distL="0" distR="0" wp14:anchorId="056BE65A" wp14:editId="1770C4C4">
          <wp:extent cx="1934491" cy="576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BO Logo In Line_Black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4491" cy="576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640"/>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B37FE"/>
    <w:multiLevelType w:val="multilevel"/>
    <w:tmpl w:val="2CA8A22A"/>
    <w:name w:val="Bullets"/>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9AD6A00"/>
    <w:multiLevelType w:val="hybridMultilevel"/>
    <w:tmpl w:val="4B3A4D4E"/>
    <w:lvl w:ilvl="0" w:tplc="18CCC816">
      <w:start w:val="1"/>
      <w:numFmt w:val="lowerLetter"/>
      <w:lvlText w:val="(%1)"/>
      <w:lvlJc w:val="left"/>
      <w:pPr>
        <w:ind w:left="720" w:hanging="360"/>
      </w:pPr>
      <w:rPr>
        <w:rFonts w:ascii="Calibri" w:hAnsi="Calibr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745448"/>
    <w:multiLevelType w:val="multilevel"/>
    <w:tmpl w:val="B9B27878"/>
    <w:name w:val="PBOHeadings"/>
    <w:lvl w:ilvl="0">
      <w:start w:val="1"/>
      <w:numFmt w:val="none"/>
      <w:lvlRestart w:val="0"/>
      <w:pStyle w:val="Heading1"/>
      <w:suff w:val="nothing"/>
      <w:lvlText w:val=""/>
      <w:lvlJc w:val="left"/>
      <w:pPr>
        <w:tabs>
          <w:tab w:val="num" w:pos="0"/>
        </w:tabs>
        <w:ind w:left="0" w:firstLine="0"/>
      </w:pPr>
      <w:rPr>
        <w:rFonts w:hint="default"/>
      </w:rPr>
    </w:lvl>
    <w:lvl w:ilvl="1">
      <w:start w:val="1"/>
      <w:numFmt w:val="none"/>
      <w:pStyle w:val="Heading2"/>
      <w:suff w:val="nothing"/>
      <w:lvlText w:val=""/>
      <w:lvlJc w:val="left"/>
      <w:pPr>
        <w:tabs>
          <w:tab w:val="num" w:pos="0"/>
        </w:tabs>
        <w:ind w:left="0" w:firstLine="0"/>
      </w:pPr>
      <w:rPr>
        <w:rFonts w:hint="default"/>
      </w:rPr>
    </w:lvl>
    <w:lvl w:ilvl="2">
      <w:start w:val="1"/>
      <w:numFmt w:val="none"/>
      <w:pStyle w:val="Heading3"/>
      <w:suff w:val="nothing"/>
      <w:lvlText w:val=""/>
      <w:lvlJc w:val="left"/>
      <w:pPr>
        <w:tabs>
          <w:tab w:val="num" w:pos="0"/>
        </w:tabs>
        <w:ind w:left="0" w:firstLine="0"/>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4" w15:restartNumberingAfterBreak="0">
    <w:nsid w:val="0FB2573F"/>
    <w:multiLevelType w:val="multilevel"/>
    <w:tmpl w:val="CCB018EE"/>
    <w:lvl w:ilvl="0">
      <w:start w:val="1"/>
      <w:numFmt w:val="lowerLetter"/>
      <w:pStyle w:val="TableFootnotes"/>
      <w:lvlText w:val="(%1)"/>
      <w:lvlJc w:val="left"/>
      <w:pPr>
        <w:ind w:left="360" w:hanging="360"/>
      </w:pPr>
      <w:rPr>
        <w:rFonts w:hint="default"/>
        <w:color w:val="auto"/>
        <w:spacing w:val="0"/>
        <w:sz w:val="20"/>
        <w:vertAlign w:val="baseline"/>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15:restartNumberingAfterBreak="0">
    <w:nsid w:val="147F785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A695C"/>
    <w:multiLevelType w:val="multilevel"/>
    <w:tmpl w:val="9710D28A"/>
    <w:name w:val="TableBullets"/>
    <w:lvl w:ilvl="0">
      <w:start w:val="1"/>
      <w:numFmt w:val="bullet"/>
      <w:pStyle w:val="TableTextBullet"/>
      <w:lvlText w:val="•"/>
      <w:lvlJc w:val="left"/>
      <w:pPr>
        <w:tabs>
          <w:tab w:val="num" w:pos="284"/>
        </w:tabs>
        <w:ind w:left="284" w:hanging="171"/>
      </w:pPr>
      <w:rPr>
        <w:rFonts w:ascii="Calibri" w:hAnsi="Calibri" w:hint="default"/>
        <w:color w:val="auto"/>
        <w:position w:val="2"/>
        <w:sz w:val="20"/>
        <w:szCs w:val="12"/>
      </w:rPr>
    </w:lvl>
    <w:lvl w:ilvl="1">
      <w:start w:val="1"/>
      <w:numFmt w:val="bullet"/>
      <w:pStyle w:val="TableTextBullet2"/>
      <w:lvlText w:val="–"/>
      <w:lvlJc w:val="left"/>
      <w:pPr>
        <w:tabs>
          <w:tab w:val="num" w:pos="454"/>
        </w:tabs>
        <w:ind w:left="454"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624"/>
        </w:tabs>
        <w:ind w:left="624" w:hanging="170"/>
      </w:pPr>
      <w:rPr>
        <w:rFonts w:ascii="Wingdings" w:hAnsi="Wingdings" w:hint="default"/>
        <w:color w:val="auto"/>
        <w:position w:val="1"/>
        <w:sz w:val="20"/>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A154848"/>
    <w:multiLevelType w:val="hybridMultilevel"/>
    <w:tmpl w:val="09B261B0"/>
    <w:lvl w:ilvl="0" w:tplc="0652CEDE">
      <w:start w:val="1"/>
      <w:numFmt w:val="bullet"/>
      <w:pStyle w:val="Letter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975442"/>
    <w:multiLevelType w:val="hybridMultilevel"/>
    <w:tmpl w:val="7E50674C"/>
    <w:lvl w:ilvl="0" w:tplc="535C608E">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EE60DA"/>
    <w:multiLevelType w:val="hybridMultilevel"/>
    <w:tmpl w:val="8F4E44D6"/>
    <w:lvl w:ilvl="0" w:tplc="CABC4C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C72580B"/>
    <w:multiLevelType w:val="multilevel"/>
    <w:tmpl w:val="A1605A0E"/>
    <w:name w:val="PullOutNumbering"/>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F005126"/>
    <w:multiLevelType w:val="multilevel"/>
    <w:tmpl w:val="D116F112"/>
    <w:lvl w:ilvl="0">
      <w:numFmt w:val="bullet"/>
      <w:lvlText w:val="-"/>
      <w:lvlJc w:val="left"/>
      <w:pPr>
        <w:tabs>
          <w:tab w:val="num" w:pos="454"/>
        </w:tabs>
        <w:ind w:left="454" w:hanging="454"/>
      </w:pPr>
      <w:rPr>
        <w:rFonts w:ascii="Calibri" w:eastAsiaTheme="minorHAnsi" w:hAnsi="Calibri" w:cstheme="minorBidi" w:hint="default"/>
        <w:b w:val="0"/>
        <w:i w:val="0"/>
        <w:color w:val="auto"/>
        <w:position w:val="0"/>
        <w:sz w:val="22"/>
      </w:rPr>
    </w:lvl>
    <w:lvl w:ilvl="1">
      <w:start w:val="1"/>
      <w:numFmt w:val="bullet"/>
      <w:lvlText w:val="–"/>
      <w:lvlJc w:val="left"/>
      <w:pPr>
        <w:tabs>
          <w:tab w:val="num" w:pos="907"/>
        </w:tabs>
        <w:ind w:left="907" w:hanging="453"/>
      </w:pPr>
      <w:rPr>
        <w:rFonts w:ascii="Calibri" w:hAnsi="Calibri" w:hint="default"/>
        <w:b w:val="0"/>
        <w:i w:val="0"/>
        <w:color w:val="auto"/>
        <w:position w:val="0"/>
        <w:sz w:val="22"/>
      </w:rPr>
    </w:lvl>
    <w:lvl w:ilvl="2">
      <w:start w:val="1"/>
      <w:numFmt w:val="bullet"/>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32D14000"/>
    <w:multiLevelType w:val="hybridMultilevel"/>
    <w:tmpl w:val="7BEEEA2A"/>
    <w:lvl w:ilvl="0" w:tplc="FC10A6DC">
      <w:start w:val="1"/>
      <w:numFmt w:val="lowerLetter"/>
      <w:lvlText w:val="(%1)"/>
      <w:lvlJc w:val="left"/>
      <w:pPr>
        <w:ind w:left="720" w:hanging="360"/>
      </w:pPr>
      <w:rPr>
        <w:rFonts w:asciiTheme="minorHAnsi" w:eastAsiaTheme="minorHAnsi" w:hAnsiTheme="minorHAnsi" w:cstheme="minorBidi"/>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CD034B"/>
    <w:multiLevelType w:val="hybridMultilevel"/>
    <w:tmpl w:val="AC467CF0"/>
    <w:lvl w:ilvl="0" w:tplc="E8FC92E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723AD4"/>
    <w:multiLevelType w:val="multilevel"/>
    <w:tmpl w:val="CC2400A2"/>
    <w:name w:val="PullOutBullets"/>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8F13100"/>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AB13AF"/>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A568AF"/>
    <w:multiLevelType w:val="hybridMultilevel"/>
    <w:tmpl w:val="50BA43C4"/>
    <w:lvl w:ilvl="0" w:tplc="138EAD40">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6B2E15"/>
    <w:multiLevelType w:val="multilevel"/>
    <w:tmpl w:val="7BEEEA2A"/>
    <w:lvl w:ilvl="0">
      <w:start w:val="1"/>
      <w:numFmt w:val="lowerLetter"/>
      <w:lvlText w:val="(%1)"/>
      <w:lvlJc w:val="left"/>
      <w:pPr>
        <w:ind w:left="720" w:hanging="360"/>
      </w:pPr>
      <w:rPr>
        <w:rFonts w:asciiTheme="minorHAnsi" w:eastAsiaTheme="minorHAnsi" w:hAnsiTheme="minorHAnsi" w:cstheme="minorBidi"/>
        <w:b w:val="0"/>
        <w:i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705370"/>
    <w:multiLevelType w:val="hybridMultilevel"/>
    <w:tmpl w:val="8BE68176"/>
    <w:name w:val="TableFootnote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0359A8"/>
    <w:multiLevelType w:val="hybridMultilevel"/>
    <w:tmpl w:val="D098FA50"/>
    <w:lvl w:ilvl="0" w:tplc="62C45750">
      <w:start w:val="1"/>
      <w:numFmt w:val="lowerLetter"/>
      <w:lvlText w:val="(%1)"/>
      <w:lvlJc w:val="left"/>
      <w:pPr>
        <w:ind w:left="720" w:hanging="360"/>
      </w:pPr>
      <w:rPr>
        <w:rFonts w:ascii="Calibri" w:hAnsi="Calibri" w:hint="default"/>
        <w:b w:val="0"/>
        <w:i w:val="0"/>
        <w:sz w:val="16"/>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80E7FD1"/>
    <w:multiLevelType w:val="hybridMultilevel"/>
    <w:tmpl w:val="947839AE"/>
    <w:lvl w:ilvl="0" w:tplc="2A5A4BF0">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0D7EE9"/>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7A4897"/>
    <w:multiLevelType w:val="hybridMultilevel"/>
    <w:tmpl w:val="17683AEC"/>
    <w:lvl w:ilvl="0" w:tplc="CEA06770">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D0540A9"/>
    <w:multiLevelType w:val="multilevel"/>
    <w:tmpl w:val="2E12B8E2"/>
    <w:name w:val="AppendicesNumbering"/>
    <w:lvl w:ilvl="0">
      <w:start w:val="1"/>
      <w:numFmt w:val="upperLetter"/>
      <w:lvlRestart w:val="0"/>
      <w:pStyle w:val="Heading8"/>
      <w:suff w:val="space"/>
      <w:lvlText w:val="Attachment %1"/>
      <w:lvlJc w:val="left"/>
      <w:pPr>
        <w:ind w:left="0" w:firstLine="0"/>
      </w:pPr>
      <w:rPr>
        <w:rFonts w:cs="Times New Roman"/>
        <w:b w:val="0"/>
        <w:bCs w:val="0"/>
        <w:i w:val="0"/>
        <w:iCs w:val="0"/>
        <w:caps w:val="0"/>
        <w:smallCaps w:val="0"/>
        <w:strike w:val="0"/>
        <w:dstrike w:val="0"/>
        <w:noProof w:val="0"/>
        <w:vanish w:val="0"/>
        <w:color w:val="3D4D7D" w:themeColor="background2"/>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9"/>
      <w:suff w:val="nothing"/>
      <w:lvlText w:val=""/>
      <w:lvlJc w:val="left"/>
      <w:pPr>
        <w:tabs>
          <w:tab w:val="num" w:pos="0"/>
        </w:tabs>
        <w:ind w:left="0" w:firstLine="0"/>
      </w:pPr>
      <w:rPr>
        <w:rFonts w:hint="default"/>
        <w:sz w:val="26"/>
      </w:rPr>
    </w:lvl>
    <w:lvl w:ilvl="2">
      <w:start w:val="1"/>
      <w:numFmt w:val="none"/>
      <w:pStyle w:val="AttachmentHeading2"/>
      <w:suff w:val="nothing"/>
      <w:lvlText w:val=""/>
      <w:lvlJc w:val="left"/>
      <w:pPr>
        <w:tabs>
          <w:tab w:val="num" w:pos="0"/>
        </w:tabs>
        <w:ind w:left="0" w:firstLine="0"/>
      </w:pPr>
      <w:rPr>
        <w:rFonts w:hint="default"/>
      </w:rPr>
    </w:lvl>
    <w:lvl w:ilvl="3">
      <w:start w:val="1"/>
      <w:numFmt w:val="none"/>
      <w:lvlRestart w:val="2"/>
      <w:pStyle w:val="AttachmentHeading3"/>
      <w:suff w:val="nothing"/>
      <w:lvlText w:val=""/>
      <w:lvlJc w:val="left"/>
      <w:pPr>
        <w:tabs>
          <w:tab w:val="num" w:pos="0"/>
        </w:tabs>
        <w:ind w:left="0" w:firstLine="0"/>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25" w15:restartNumberingAfterBreak="0">
    <w:nsid w:val="62A77F1C"/>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5DB45AC"/>
    <w:multiLevelType w:val="hybridMultilevel"/>
    <w:tmpl w:val="FDD6AE4E"/>
    <w:lvl w:ilvl="0" w:tplc="6CCC4AE4">
      <w:start w:val="1"/>
      <w:numFmt w:val="lowerLetter"/>
      <w:lvlText w:val="(%1)"/>
      <w:lvlJc w:val="left"/>
      <w:pPr>
        <w:ind w:left="720" w:hanging="360"/>
      </w:pPr>
      <w:rPr>
        <w:rFonts w:ascii="Calibri" w:hAnsi="Calibri" w:hint="default"/>
        <w:b w:val="0"/>
        <w:i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9CE4BDD"/>
    <w:multiLevelType w:val="hybridMultilevel"/>
    <w:tmpl w:val="B5D41A40"/>
    <w:lvl w:ilvl="0" w:tplc="497A32CA">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1771C9"/>
    <w:multiLevelType w:val="hybridMultilevel"/>
    <w:tmpl w:val="1CC87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1D40AC"/>
    <w:multiLevelType w:val="multilevel"/>
    <w:tmpl w:val="D18C6390"/>
    <w:name w:val="TableNumbering"/>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5796740A"/>
    <w:name w:val="QuoteBullets"/>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9778B4"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07C1A2E"/>
    <w:multiLevelType w:val="hybridMultilevel"/>
    <w:tmpl w:val="C0C4D528"/>
    <w:lvl w:ilvl="0" w:tplc="1C2044AA">
      <w:start w:val="1"/>
      <w:numFmt w:val="lowerLetter"/>
      <w:lvlText w:val="(%1)"/>
      <w:lvlJc w:val="left"/>
      <w:pPr>
        <w:ind w:left="720" w:hanging="360"/>
      </w:pPr>
      <w:rPr>
        <w:rFonts w:ascii="Calibri" w:hAnsi="Calibri" w:hint="default"/>
        <w:b w:val="0"/>
        <w:i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39021E"/>
    <w:multiLevelType w:val="multilevel"/>
    <w:tmpl w:val="C186E662"/>
    <w:name w:val="ListNumbering"/>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8A76270"/>
    <w:multiLevelType w:val="hybridMultilevel"/>
    <w:tmpl w:val="9ACE365C"/>
    <w:lvl w:ilvl="0" w:tplc="BB36BB8E">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F2804DF"/>
    <w:multiLevelType w:val="hybridMultilevel"/>
    <w:tmpl w:val="634A8204"/>
    <w:lvl w:ilvl="0" w:tplc="48D472A4">
      <w:start w:val="1"/>
      <w:numFmt w:val="lowerLetter"/>
      <w:lvlText w:val="(%1)"/>
      <w:lvlJc w:val="left"/>
      <w:pPr>
        <w:ind w:left="720" w:hanging="360"/>
      </w:pPr>
      <w:rPr>
        <w:rFonts w:ascii="Calibri" w:hAnsi="Calibri" w:hint="default"/>
        <w:b w:val="0"/>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1"/>
  </w:num>
  <w:num w:numId="3">
    <w:abstractNumId w:val="32"/>
  </w:num>
  <w:num w:numId="4">
    <w:abstractNumId w:val="14"/>
  </w:num>
  <w:num w:numId="5">
    <w:abstractNumId w:val="10"/>
  </w:num>
  <w:num w:numId="6">
    <w:abstractNumId w:val="30"/>
  </w:num>
  <w:num w:numId="7">
    <w:abstractNumId w:val="4"/>
  </w:num>
  <w:num w:numId="8">
    <w:abstractNumId w:val="6"/>
  </w:num>
  <w:num w:numId="9">
    <w:abstractNumId w:val="29"/>
  </w:num>
  <w:num w:numId="10">
    <w:abstractNumId w:val="3"/>
  </w:num>
  <w:num w:numId="11">
    <w:abstractNumId w:val="8"/>
  </w:num>
  <w:num w:numId="12">
    <w:abstractNumId w:val="2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1"/>
  </w:num>
  <w:num w:numId="18">
    <w:abstractNumId w:val="34"/>
  </w:num>
  <w:num w:numId="19">
    <w:abstractNumId w:val="0"/>
  </w:num>
  <w:num w:numId="20">
    <w:abstractNumId w:val="20"/>
  </w:num>
  <w:num w:numId="21">
    <w:abstractNumId w:val="22"/>
  </w:num>
  <w:num w:numId="22">
    <w:abstractNumId w:val="16"/>
  </w:num>
  <w:num w:numId="23">
    <w:abstractNumId w:val="17"/>
  </w:num>
  <w:num w:numId="24">
    <w:abstractNumId w:val="26"/>
  </w:num>
  <w:num w:numId="25">
    <w:abstractNumId w:val="15"/>
  </w:num>
  <w:num w:numId="26">
    <w:abstractNumId w:val="5"/>
  </w:num>
  <w:num w:numId="27">
    <w:abstractNumId w:val="25"/>
  </w:num>
  <w:num w:numId="28">
    <w:abstractNumId w:val="23"/>
  </w:num>
  <w:num w:numId="29">
    <w:abstractNumId w:val="27"/>
  </w:num>
  <w:num w:numId="30">
    <w:abstractNumId w:val="33"/>
  </w:num>
  <w:num w:numId="31">
    <w:abstractNumId w:val="21"/>
  </w:num>
  <w:num w:numId="32">
    <w:abstractNumId w:val="12"/>
  </w:num>
  <w:num w:numId="33">
    <w:abstractNumId w:val="18"/>
  </w:num>
  <w:num w:numId="34">
    <w:abstractNumId w:val="9"/>
  </w:num>
  <w:num w:numId="35">
    <w:abstractNumId w:val="3"/>
  </w:num>
  <w:num w:numId="36">
    <w:abstractNumId w:val="1"/>
  </w:num>
  <w:num w:numId="37">
    <w:abstractNumId w:val="7"/>
  </w:num>
  <w:num w:numId="38">
    <w:abstractNumId w:val="4"/>
  </w:num>
  <w:num w:numId="39">
    <w:abstractNumId w:val="4"/>
  </w:num>
  <w:num w:numId="40">
    <w:abstractNumId w:val="13"/>
  </w:num>
  <w:num w:numId="41">
    <w:abstractNumId w:val="1"/>
  </w:num>
  <w:num w:numId="42">
    <w:abstractNumId w:val="1"/>
  </w:num>
  <w:num w:numId="43">
    <w:abstractNumId w:val="1"/>
  </w:num>
  <w:num w:numId="44">
    <w:abstractNumId w:val="1"/>
  </w:num>
  <w:num w:numId="45">
    <w:abstractNumId w:val="1"/>
  </w:num>
  <w:num w:numId="46">
    <w:abstractNumId w:val="11"/>
  </w:num>
  <w:num w:numId="47">
    <w:abstractNumId w:val="1"/>
  </w:num>
  <w:num w:numId="48">
    <w:abstractNumId w:val="1"/>
  </w:num>
  <w:num w:numId="49">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endices" w:val="True"/>
    <w:docVar w:name="AppendixName" w:val="Attachment"/>
    <w:docVar w:name="Disclaimer" w:val="False"/>
    <w:docVar w:name="Foreword" w:val="True"/>
    <w:docVar w:name="Heading1Numbered" w:val="False"/>
    <w:docVar w:name="Heading2Numbered" w:val="False"/>
    <w:docVar w:name="Heading3Numbered" w:val="False"/>
    <w:docVar w:name="IsWordingOverview" w:val="True"/>
    <w:docVar w:name="NumberedBodyText" w:val="False"/>
    <w:docVar w:name="optHeading1OddPage" w:val="False"/>
    <w:docVar w:name="Overview" w:val="False"/>
    <w:docVar w:name="PageSetup" w:val="Double"/>
    <w:docVar w:name="RibbonLabel" w:val="Appendix"/>
    <w:docVar w:name="TOC" w:val="True"/>
    <w:docVar w:name="TOCNew" w:val="True"/>
    <w:docVar w:name="Version" w:val="Version 1"/>
  </w:docVars>
  <w:rsids>
    <w:rsidRoot w:val="00003B18"/>
    <w:rsid w:val="0000071C"/>
    <w:rsid w:val="0000322C"/>
    <w:rsid w:val="00003B18"/>
    <w:rsid w:val="00003CDD"/>
    <w:rsid w:val="00013620"/>
    <w:rsid w:val="0001406F"/>
    <w:rsid w:val="00015E04"/>
    <w:rsid w:val="00016880"/>
    <w:rsid w:val="000168A7"/>
    <w:rsid w:val="00016D53"/>
    <w:rsid w:val="000278D0"/>
    <w:rsid w:val="0002791D"/>
    <w:rsid w:val="00027E62"/>
    <w:rsid w:val="000307C8"/>
    <w:rsid w:val="00030EAA"/>
    <w:rsid w:val="00030F73"/>
    <w:rsid w:val="00033326"/>
    <w:rsid w:val="00035ADE"/>
    <w:rsid w:val="0004224B"/>
    <w:rsid w:val="000427D2"/>
    <w:rsid w:val="00046226"/>
    <w:rsid w:val="000505FB"/>
    <w:rsid w:val="00050ED2"/>
    <w:rsid w:val="00052839"/>
    <w:rsid w:val="0005330D"/>
    <w:rsid w:val="000557A7"/>
    <w:rsid w:val="00055805"/>
    <w:rsid w:val="00056CB3"/>
    <w:rsid w:val="0005793B"/>
    <w:rsid w:val="00060409"/>
    <w:rsid w:val="00061758"/>
    <w:rsid w:val="000630B7"/>
    <w:rsid w:val="00065125"/>
    <w:rsid w:val="00066D54"/>
    <w:rsid w:val="00067A28"/>
    <w:rsid w:val="0007260F"/>
    <w:rsid w:val="000739CB"/>
    <w:rsid w:val="00073C89"/>
    <w:rsid w:val="0007488E"/>
    <w:rsid w:val="000805D5"/>
    <w:rsid w:val="0008103B"/>
    <w:rsid w:val="000818AA"/>
    <w:rsid w:val="00084FA9"/>
    <w:rsid w:val="00085F97"/>
    <w:rsid w:val="000879B1"/>
    <w:rsid w:val="00092A33"/>
    <w:rsid w:val="00094EA5"/>
    <w:rsid w:val="000973F9"/>
    <w:rsid w:val="00097A23"/>
    <w:rsid w:val="000A0848"/>
    <w:rsid w:val="000A2FEC"/>
    <w:rsid w:val="000A348F"/>
    <w:rsid w:val="000B1B0C"/>
    <w:rsid w:val="000B4345"/>
    <w:rsid w:val="000B5900"/>
    <w:rsid w:val="000B60AE"/>
    <w:rsid w:val="000B6942"/>
    <w:rsid w:val="000B6D00"/>
    <w:rsid w:val="000C09FA"/>
    <w:rsid w:val="000C1AB0"/>
    <w:rsid w:val="000C37A9"/>
    <w:rsid w:val="000C6728"/>
    <w:rsid w:val="000C702E"/>
    <w:rsid w:val="000D15E9"/>
    <w:rsid w:val="000D3182"/>
    <w:rsid w:val="000D45C4"/>
    <w:rsid w:val="000D46B3"/>
    <w:rsid w:val="000E18F3"/>
    <w:rsid w:val="000E19AC"/>
    <w:rsid w:val="000E266E"/>
    <w:rsid w:val="000E4C7B"/>
    <w:rsid w:val="000E70EE"/>
    <w:rsid w:val="000F1515"/>
    <w:rsid w:val="000F16B5"/>
    <w:rsid w:val="000F26E5"/>
    <w:rsid w:val="000F616E"/>
    <w:rsid w:val="000F62A5"/>
    <w:rsid w:val="000F7D50"/>
    <w:rsid w:val="00102F0C"/>
    <w:rsid w:val="00110D43"/>
    <w:rsid w:val="001159EA"/>
    <w:rsid w:val="00120A75"/>
    <w:rsid w:val="00125410"/>
    <w:rsid w:val="00130858"/>
    <w:rsid w:val="00131861"/>
    <w:rsid w:val="00132C93"/>
    <w:rsid w:val="001351F8"/>
    <w:rsid w:val="00136C26"/>
    <w:rsid w:val="0014059F"/>
    <w:rsid w:val="00141551"/>
    <w:rsid w:val="001417CE"/>
    <w:rsid w:val="0014479F"/>
    <w:rsid w:val="00146B30"/>
    <w:rsid w:val="00146EAD"/>
    <w:rsid w:val="001541BF"/>
    <w:rsid w:val="00154DC5"/>
    <w:rsid w:val="00160B11"/>
    <w:rsid w:val="00160C8D"/>
    <w:rsid w:val="001616E8"/>
    <w:rsid w:val="001629C0"/>
    <w:rsid w:val="00163ADA"/>
    <w:rsid w:val="00164540"/>
    <w:rsid w:val="00165122"/>
    <w:rsid w:val="00165854"/>
    <w:rsid w:val="00166078"/>
    <w:rsid w:val="00166A15"/>
    <w:rsid w:val="001711BC"/>
    <w:rsid w:val="001738DB"/>
    <w:rsid w:val="001738F5"/>
    <w:rsid w:val="00173DFD"/>
    <w:rsid w:val="001770DC"/>
    <w:rsid w:val="00180FF9"/>
    <w:rsid w:val="0019204F"/>
    <w:rsid w:val="00195228"/>
    <w:rsid w:val="00195696"/>
    <w:rsid w:val="00196532"/>
    <w:rsid w:val="001A107E"/>
    <w:rsid w:val="001A1EFC"/>
    <w:rsid w:val="001A48EF"/>
    <w:rsid w:val="001A49CC"/>
    <w:rsid w:val="001A5553"/>
    <w:rsid w:val="001A716E"/>
    <w:rsid w:val="001B17CC"/>
    <w:rsid w:val="001B18C6"/>
    <w:rsid w:val="001B2C65"/>
    <w:rsid w:val="001B4255"/>
    <w:rsid w:val="001B7058"/>
    <w:rsid w:val="001C3A4F"/>
    <w:rsid w:val="001C4121"/>
    <w:rsid w:val="001C48DE"/>
    <w:rsid w:val="001C7F8D"/>
    <w:rsid w:val="001D30C1"/>
    <w:rsid w:val="001D52E3"/>
    <w:rsid w:val="001D576F"/>
    <w:rsid w:val="001D7C29"/>
    <w:rsid w:val="001E0475"/>
    <w:rsid w:val="001E33C2"/>
    <w:rsid w:val="001E4092"/>
    <w:rsid w:val="001E708A"/>
    <w:rsid w:val="001F2AAD"/>
    <w:rsid w:val="001F5C90"/>
    <w:rsid w:val="001F767C"/>
    <w:rsid w:val="001F7B10"/>
    <w:rsid w:val="00203A7B"/>
    <w:rsid w:val="002057EF"/>
    <w:rsid w:val="00205C6E"/>
    <w:rsid w:val="00210074"/>
    <w:rsid w:val="00210FCF"/>
    <w:rsid w:val="002179B6"/>
    <w:rsid w:val="00222EFF"/>
    <w:rsid w:val="002240D5"/>
    <w:rsid w:val="002261A7"/>
    <w:rsid w:val="00226AEC"/>
    <w:rsid w:val="0023077A"/>
    <w:rsid w:val="00233561"/>
    <w:rsid w:val="00235C95"/>
    <w:rsid w:val="002545F3"/>
    <w:rsid w:val="00261812"/>
    <w:rsid w:val="0026199E"/>
    <w:rsid w:val="002621F5"/>
    <w:rsid w:val="0026257E"/>
    <w:rsid w:val="0026344F"/>
    <w:rsid w:val="00263847"/>
    <w:rsid w:val="00266A17"/>
    <w:rsid w:val="00270372"/>
    <w:rsid w:val="00275534"/>
    <w:rsid w:val="00276022"/>
    <w:rsid w:val="00277075"/>
    <w:rsid w:val="002775D2"/>
    <w:rsid w:val="00281ADD"/>
    <w:rsid w:val="002839CF"/>
    <w:rsid w:val="0028489A"/>
    <w:rsid w:val="0028563E"/>
    <w:rsid w:val="00287823"/>
    <w:rsid w:val="0028792D"/>
    <w:rsid w:val="0029092A"/>
    <w:rsid w:val="00293E0D"/>
    <w:rsid w:val="00293E80"/>
    <w:rsid w:val="002973B0"/>
    <w:rsid w:val="00297C14"/>
    <w:rsid w:val="002A220F"/>
    <w:rsid w:val="002A24F1"/>
    <w:rsid w:val="002A43A0"/>
    <w:rsid w:val="002A45A3"/>
    <w:rsid w:val="002A5778"/>
    <w:rsid w:val="002A6E3B"/>
    <w:rsid w:val="002B1C24"/>
    <w:rsid w:val="002B1E84"/>
    <w:rsid w:val="002B2085"/>
    <w:rsid w:val="002B3EC4"/>
    <w:rsid w:val="002B458A"/>
    <w:rsid w:val="002C37D5"/>
    <w:rsid w:val="002C4DA6"/>
    <w:rsid w:val="002C60A0"/>
    <w:rsid w:val="002D0BAB"/>
    <w:rsid w:val="002D18E1"/>
    <w:rsid w:val="002D239A"/>
    <w:rsid w:val="002D34DB"/>
    <w:rsid w:val="002D48BE"/>
    <w:rsid w:val="002D4B11"/>
    <w:rsid w:val="002D5FDA"/>
    <w:rsid w:val="002E5633"/>
    <w:rsid w:val="002E5CE6"/>
    <w:rsid w:val="002F1868"/>
    <w:rsid w:val="002F1963"/>
    <w:rsid w:val="002F5B6E"/>
    <w:rsid w:val="002F61B5"/>
    <w:rsid w:val="00300066"/>
    <w:rsid w:val="0030209B"/>
    <w:rsid w:val="003116DE"/>
    <w:rsid w:val="00312494"/>
    <w:rsid w:val="003127E4"/>
    <w:rsid w:val="00312C42"/>
    <w:rsid w:val="00313215"/>
    <w:rsid w:val="00313385"/>
    <w:rsid w:val="00313DA1"/>
    <w:rsid w:val="00315F54"/>
    <w:rsid w:val="003174C3"/>
    <w:rsid w:val="00322ACC"/>
    <w:rsid w:val="003230D5"/>
    <w:rsid w:val="0032557A"/>
    <w:rsid w:val="00326E3E"/>
    <w:rsid w:val="003318BA"/>
    <w:rsid w:val="003326F7"/>
    <w:rsid w:val="00340778"/>
    <w:rsid w:val="00343205"/>
    <w:rsid w:val="00344D2C"/>
    <w:rsid w:val="003458CE"/>
    <w:rsid w:val="00345A57"/>
    <w:rsid w:val="00346D90"/>
    <w:rsid w:val="00350D49"/>
    <w:rsid w:val="00351F62"/>
    <w:rsid w:val="0035792C"/>
    <w:rsid w:val="003601F4"/>
    <w:rsid w:val="00361150"/>
    <w:rsid w:val="003671E2"/>
    <w:rsid w:val="00370320"/>
    <w:rsid w:val="00372AE6"/>
    <w:rsid w:val="00375931"/>
    <w:rsid w:val="003768F4"/>
    <w:rsid w:val="00376C3A"/>
    <w:rsid w:val="0038082C"/>
    <w:rsid w:val="003837E1"/>
    <w:rsid w:val="0038542D"/>
    <w:rsid w:val="0038584D"/>
    <w:rsid w:val="0039241E"/>
    <w:rsid w:val="0039257F"/>
    <w:rsid w:val="003931DE"/>
    <w:rsid w:val="00397D1A"/>
    <w:rsid w:val="003A163C"/>
    <w:rsid w:val="003A2B4E"/>
    <w:rsid w:val="003A2FBB"/>
    <w:rsid w:val="003A3799"/>
    <w:rsid w:val="003A4913"/>
    <w:rsid w:val="003A54A9"/>
    <w:rsid w:val="003A62A5"/>
    <w:rsid w:val="003A65FB"/>
    <w:rsid w:val="003A7083"/>
    <w:rsid w:val="003B17F2"/>
    <w:rsid w:val="003B2CF2"/>
    <w:rsid w:val="003B3103"/>
    <w:rsid w:val="003B38B3"/>
    <w:rsid w:val="003B3A97"/>
    <w:rsid w:val="003B3D44"/>
    <w:rsid w:val="003B47BC"/>
    <w:rsid w:val="003C2540"/>
    <w:rsid w:val="003C6BB5"/>
    <w:rsid w:val="003C7CC2"/>
    <w:rsid w:val="003D3379"/>
    <w:rsid w:val="003D50B6"/>
    <w:rsid w:val="003E05DF"/>
    <w:rsid w:val="003E1562"/>
    <w:rsid w:val="003E41B2"/>
    <w:rsid w:val="003E43D5"/>
    <w:rsid w:val="003E6085"/>
    <w:rsid w:val="003E6CA3"/>
    <w:rsid w:val="003F3B26"/>
    <w:rsid w:val="003F4C96"/>
    <w:rsid w:val="00401C49"/>
    <w:rsid w:val="00404CFE"/>
    <w:rsid w:val="00406002"/>
    <w:rsid w:val="0040689F"/>
    <w:rsid w:val="00406AD3"/>
    <w:rsid w:val="00410731"/>
    <w:rsid w:val="00412E42"/>
    <w:rsid w:val="00413EC1"/>
    <w:rsid w:val="00415776"/>
    <w:rsid w:val="0042112A"/>
    <w:rsid w:val="00425534"/>
    <w:rsid w:val="00425C05"/>
    <w:rsid w:val="00426356"/>
    <w:rsid w:val="00426929"/>
    <w:rsid w:val="00433D11"/>
    <w:rsid w:val="00440108"/>
    <w:rsid w:val="00441A6D"/>
    <w:rsid w:val="00442C16"/>
    <w:rsid w:val="004439C0"/>
    <w:rsid w:val="00445410"/>
    <w:rsid w:val="00446439"/>
    <w:rsid w:val="00450BDA"/>
    <w:rsid w:val="00453A3E"/>
    <w:rsid w:val="00453C88"/>
    <w:rsid w:val="0045452F"/>
    <w:rsid w:val="0045766B"/>
    <w:rsid w:val="00457EA9"/>
    <w:rsid w:val="004618A2"/>
    <w:rsid w:val="0046371B"/>
    <w:rsid w:val="0046444F"/>
    <w:rsid w:val="00464FF9"/>
    <w:rsid w:val="004716E3"/>
    <w:rsid w:val="00474BB7"/>
    <w:rsid w:val="00476133"/>
    <w:rsid w:val="00476800"/>
    <w:rsid w:val="004816D7"/>
    <w:rsid w:val="004822DA"/>
    <w:rsid w:val="00482F63"/>
    <w:rsid w:val="0048342E"/>
    <w:rsid w:val="00486894"/>
    <w:rsid w:val="00487478"/>
    <w:rsid w:val="0048782D"/>
    <w:rsid w:val="00490873"/>
    <w:rsid w:val="00491703"/>
    <w:rsid w:val="00494213"/>
    <w:rsid w:val="00494DC1"/>
    <w:rsid w:val="004A0FED"/>
    <w:rsid w:val="004A3F56"/>
    <w:rsid w:val="004A4F1C"/>
    <w:rsid w:val="004A5E21"/>
    <w:rsid w:val="004A666A"/>
    <w:rsid w:val="004B143F"/>
    <w:rsid w:val="004B3022"/>
    <w:rsid w:val="004B49A0"/>
    <w:rsid w:val="004B515E"/>
    <w:rsid w:val="004C3BDA"/>
    <w:rsid w:val="004C6306"/>
    <w:rsid w:val="004C6F5E"/>
    <w:rsid w:val="004C7E94"/>
    <w:rsid w:val="004D3A11"/>
    <w:rsid w:val="004D4551"/>
    <w:rsid w:val="004D5441"/>
    <w:rsid w:val="004D66DC"/>
    <w:rsid w:val="004D7CF8"/>
    <w:rsid w:val="004D7EDA"/>
    <w:rsid w:val="004E021C"/>
    <w:rsid w:val="004E0E49"/>
    <w:rsid w:val="004E197A"/>
    <w:rsid w:val="004E47CC"/>
    <w:rsid w:val="004E5D52"/>
    <w:rsid w:val="004F07D7"/>
    <w:rsid w:val="004F1297"/>
    <w:rsid w:val="004F16DB"/>
    <w:rsid w:val="004F4D7E"/>
    <w:rsid w:val="004F5B16"/>
    <w:rsid w:val="004F5D9D"/>
    <w:rsid w:val="004F68E5"/>
    <w:rsid w:val="004F7037"/>
    <w:rsid w:val="004F741B"/>
    <w:rsid w:val="00500F08"/>
    <w:rsid w:val="0050132A"/>
    <w:rsid w:val="00502CBF"/>
    <w:rsid w:val="00503253"/>
    <w:rsid w:val="00503BB0"/>
    <w:rsid w:val="00503E03"/>
    <w:rsid w:val="00511F0B"/>
    <w:rsid w:val="00512226"/>
    <w:rsid w:val="00512B31"/>
    <w:rsid w:val="005147C6"/>
    <w:rsid w:val="005159B1"/>
    <w:rsid w:val="00516D30"/>
    <w:rsid w:val="00517E47"/>
    <w:rsid w:val="00521F5B"/>
    <w:rsid w:val="00522502"/>
    <w:rsid w:val="00522530"/>
    <w:rsid w:val="005255A1"/>
    <w:rsid w:val="00525825"/>
    <w:rsid w:val="0052641C"/>
    <w:rsid w:val="005311C2"/>
    <w:rsid w:val="0053795D"/>
    <w:rsid w:val="00537A57"/>
    <w:rsid w:val="00544324"/>
    <w:rsid w:val="00544522"/>
    <w:rsid w:val="00545D37"/>
    <w:rsid w:val="005467E2"/>
    <w:rsid w:val="005468AB"/>
    <w:rsid w:val="005501A0"/>
    <w:rsid w:val="0055026B"/>
    <w:rsid w:val="00550831"/>
    <w:rsid w:val="00550A6C"/>
    <w:rsid w:val="005512BC"/>
    <w:rsid w:val="005525B0"/>
    <w:rsid w:val="00554273"/>
    <w:rsid w:val="0056001A"/>
    <w:rsid w:val="005642B6"/>
    <w:rsid w:val="00566A97"/>
    <w:rsid w:val="00571D5E"/>
    <w:rsid w:val="005814CA"/>
    <w:rsid w:val="005823D0"/>
    <w:rsid w:val="00582D54"/>
    <w:rsid w:val="00583AAF"/>
    <w:rsid w:val="00587AF9"/>
    <w:rsid w:val="005962D5"/>
    <w:rsid w:val="005979D8"/>
    <w:rsid w:val="005A2748"/>
    <w:rsid w:val="005A443F"/>
    <w:rsid w:val="005A5215"/>
    <w:rsid w:val="005A7C26"/>
    <w:rsid w:val="005B0970"/>
    <w:rsid w:val="005B0E43"/>
    <w:rsid w:val="005B54F9"/>
    <w:rsid w:val="005B58D4"/>
    <w:rsid w:val="005B5B58"/>
    <w:rsid w:val="005B7DC9"/>
    <w:rsid w:val="005C07B3"/>
    <w:rsid w:val="005C1A09"/>
    <w:rsid w:val="005C284E"/>
    <w:rsid w:val="005C47D4"/>
    <w:rsid w:val="005D4775"/>
    <w:rsid w:val="005D51D0"/>
    <w:rsid w:val="005D6F83"/>
    <w:rsid w:val="005D7877"/>
    <w:rsid w:val="005D7B5B"/>
    <w:rsid w:val="005D7CCF"/>
    <w:rsid w:val="005E04CF"/>
    <w:rsid w:val="005E58C4"/>
    <w:rsid w:val="005E5D8F"/>
    <w:rsid w:val="005E71D7"/>
    <w:rsid w:val="005F5A5C"/>
    <w:rsid w:val="005F5CD9"/>
    <w:rsid w:val="005F70F6"/>
    <w:rsid w:val="005F74C7"/>
    <w:rsid w:val="00602664"/>
    <w:rsid w:val="0061135C"/>
    <w:rsid w:val="00612E34"/>
    <w:rsid w:val="006136DD"/>
    <w:rsid w:val="006149F0"/>
    <w:rsid w:val="006220A5"/>
    <w:rsid w:val="00622D86"/>
    <w:rsid w:val="00624AC8"/>
    <w:rsid w:val="006262CF"/>
    <w:rsid w:val="00633558"/>
    <w:rsid w:val="00633812"/>
    <w:rsid w:val="00633C60"/>
    <w:rsid w:val="0064126D"/>
    <w:rsid w:val="006451B8"/>
    <w:rsid w:val="00645722"/>
    <w:rsid w:val="006509C3"/>
    <w:rsid w:val="00652432"/>
    <w:rsid w:val="00652C11"/>
    <w:rsid w:val="00657783"/>
    <w:rsid w:val="00657840"/>
    <w:rsid w:val="0066003C"/>
    <w:rsid w:val="0066041E"/>
    <w:rsid w:val="006619BB"/>
    <w:rsid w:val="006629B4"/>
    <w:rsid w:val="006666A0"/>
    <w:rsid w:val="00673CCC"/>
    <w:rsid w:val="00675C98"/>
    <w:rsid w:val="00677B92"/>
    <w:rsid w:val="00680998"/>
    <w:rsid w:val="006839BC"/>
    <w:rsid w:val="006863CF"/>
    <w:rsid w:val="0069026B"/>
    <w:rsid w:val="006956EA"/>
    <w:rsid w:val="0069647C"/>
    <w:rsid w:val="00696DCC"/>
    <w:rsid w:val="006A0D82"/>
    <w:rsid w:val="006A490C"/>
    <w:rsid w:val="006A5881"/>
    <w:rsid w:val="006A766E"/>
    <w:rsid w:val="006B4F7D"/>
    <w:rsid w:val="006B6262"/>
    <w:rsid w:val="006B63B1"/>
    <w:rsid w:val="006C114C"/>
    <w:rsid w:val="006C3668"/>
    <w:rsid w:val="006C3864"/>
    <w:rsid w:val="006C5383"/>
    <w:rsid w:val="006C5E72"/>
    <w:rsid w:val="006C7D84"/>
    <w:rsid w:val="006D2AEC"/>
    <w:rsid w:val="006D4057"/>
    <w:rsid w:val="006D438F"/>
    <w:rsid w:val="006D4B1C"/>
    <w:rsid w:val="006D4C8E"/>
    <w:rsid w:val="006D7A5C"/>
    <w:rsid w:val="006E19D1"/>
    <w:rsid w:val="006E1CBB"/>
    <w:rsid w:val="006E4B27"/>
    <w:rsid w:val="006E5E7E"/>
    <w:rsid w:val="006E733D"/>
    <w:rsid w:val="006F100B"/>
    <w:rsid w:val="006F199E"/>
    <w:rsid w:val="006F239A"/>
    <w:rsid w:val="006F2C9D"/>
    <w:rsid w:val="006F4201"/>
    <w:rsid w:val="006F6B51"/>
    <w:rsid w:val="00700F43"/>
    <w:rsid w:val="007048DB"/>
    <w:rsid w:val="0070637D"/>
    <w:rsid w:val="007071DD"/>
    <w:rsid w:val="0070771F"/>
    <w:rsid w:val="00712A14"/>
    <w:rsid w:val="00713208"/>
    <w:rsid w:val="00716C04"/>
    <w:rsid w:val="00717180"/>
    <w:rsid w:val="007179D2"/>
    <w:rsid w:val="00720750"/>
    <w:rsid w:val="007230FE"/>
    <w:rsid w:val="0072549C"/>
    <w:rsid w:val="00725A80"/>
    <w:rsid w:val="00726E61"/>
    <w:rsid w:val="0073102A"/>
    <w:rsid w:val="00733970"/>
    <w:rsid w:val="007375FE"/>
    <w:rsid w:val="0074148C"/>
    <w:rsid w:val="00741D0B"/>
    <w:rsid w:val="007546FE"/>
    <w:rsid w:val="00754C58"/>
    <w:rsid w:val="0077436E"/>
    <w:rsid w:val="00776E78"/>
    <w:rsid w:val="007803F8"/>
    <w:rsid w:val="0078138A"/>
    <w:rsid w:val="00783014"/>
    <w:rsid w:val="007834DC"/>
    <w:rsid w:val="00790768"/>
    <w:rsid w:val="0079228C"/>
    <w:rsid w:val="007959D8"/>
    <w:rsid w:val="0079630F"/>
    <w:rsid w:val="007A04C2"/>
    <w:rsid w:val="007A4188"/>
    <w:rsid w:val="007A4238"/>
    <w:rsid w:val="007A47D0"/>
    <w:rsid w:val="007A5CF5"/>
    <w:rsid w:val="007B146A"/>
    <w:rsid w:val="007B57C9"/>
    <w:rsid w:val="007C0E7C"/>
    <w:rsid w:val="007C0EAA"/>
    <w:rsid w:val="007C19C3"/>
    <w:rsid w:val="007C1C80"/>
    <w:rsid w:val="007C44B2"/>
    <w:rsid w:val="007C54EE"/>
    <w:rsid w:val="007C6496"/>
    <w:rsid w:val="007C745E"/>
    <w:rsid w:val="007D0ABE"/>
    <w:rsid w:val="007E0E53"/>
    <w:rsid w:val="007E319A"/>
    <w:rsid w:val="007E356F"/>
    <w:rsid w:val="007E3F8C"/>
    <w:rsid w:val="007F2058"/>
    <w:rsid w:val="007F41A3"/>
    <w:rsid w:val="007F7685"/>
    <w:rsid w:val="0080011D"/>
    <w:rsid w:val="00800EA5"/>
    <w:rsid w:val="00801C01"/>
    <w:rsid w:val="008112CC"/>
    <w:rsid w:val="008130BB"/>
    <w:rsid w:val="00813D7D"/>
    <w:rsid w:val="008147C6"/>
    <w:rsid w:val="00817406"/>
    <w:rsid w:val="008208A7"/>
    <w:rsid w:val="00820EF1"/>
    <w:rsid w:val="008237FA"/>
    <w:rsid w:val="00825D37"/>
    <w:rsid w:val="008369B0"/>
    <w:rsid w:val="008372D1"/>
    <w:rsid w:val="00844369"/>
    <w:rsid w:val="00844F1D"/>
    <w:rsid w:val="00845C1E"/>
    <w:rsid w:val="0085732C"/>
    <w:rsid w:val="00857C91"/>
    <w:rsid w:val="00860B45"/>
    <w:rsid w:val="00861F68"/>
    <w:rsid w:val="00863860"/>
    <w:rsid w:val="008638B5"/>
    <w:rsid w:val="00866B47"/>
    <w:rsid w:val="008734DB"/>
    <w:rsid w:val="0087390B"/>
    <w:rsid w:val="00874035"/>
    <w:rsid w:val="008741DD"/>
    <w:rsid w:val="008745A1"/>
    <w:rsid w:val="00876833"/>
    <w:rsid w:val="008768E9"/>
    <w:rsid w:val="0087751B"/>
    <w:rsid w:val="00877916"/>
    <w:rsid w:val="00881A32"/>
    <w:rsid w:val="0088267E"/>
    <w:rsid w:val="00883B02"/>
    <w:rsid w:val="00890995"/>
    <w:rsid w:val="008914FB"/>
    <w:rsid w:val="00892516"/>
    <w:rsid w:val="00893DFD"/>
    <w:rsid w:val="008948A8"/>
    <w:rsid w:val="0089737A"/>
    <w:rsid w:val="00897E99"/>
    <w:rsid w:val="00897F60"/>
    <w:rsid w:val="008A4829"/>
    <w:rsid w:val="008B165B"/>
    <w:rsid w:val="008B2384"/>
    <w:rsid w:val="008B38D6"/>
    <w:rsid w:val="008B4802"/>
    <w:rsid w:val="008B545D"/>
    <w:rsid w:val="008B69E3"/>
    <w:rsid w:val="008C1FD1"/>
    <w:rsid w:val="008C24A8"/>
    <w:rsid w:val="008C35EF"/>
    <w:rsid w:val="008C3664"/>
    <w:rsid w:val="008C5996"/>
    <w:rsid w:val="008D2BAF"/>
    <w:rsid w:val="008D4FA9"/>
    <w:rsid w:val="008D5A11"/>
    <w:rsid w:val="008D5E23"/>
    <w:rsid w:val="008D77AF"/>
    <w:rsid w:val="008E6D59"/>
    <w:rsid w:val="008F30C7"/>
    <w:rsid w:val="008F4527"/>
    <w:rsid w:val="008F5D66"/>
    <w:rsid w:val="00901241"/>
    <w:rsid w:val="00901D5B"/>
    <w:rsid w:val="009028AA"/>
    <w:rsid w:val="009038A5"/>
    <w:rsid w:val="00903E3F"/>
    <w:rsid w:val="009049C3"/>
    <w:rsid w:val="00904AB8"/>
    <w:rsid w:val="009057D9"/>
    <w:rsid w:val="0090774A"/>
    <w:rsid w:val="00907C97"/>
    <w:rsid w:val="00910D07"/>
    <w:rsid w:val="00913B51"/>
    <w:rsid w:val="00914B2F"/>
    <w:rsid w:val="009150E6"/>
    <w:rsid w:val="00915CDF"/>
    <w:rsid w:val="00916290"/>
    <w:rsid w:val="00916F37"/>
    <w:rsid w:val="00917F89"/>
    <w:rsid w:val="009223BE"/>
    <w:rsid w:val="0092499B"/>
    <w:rsid w:val="009255EE"/>
    <w:rsid w:val="00925603"/>
    <w:rsid w:val="00925F76"/>
    <w:rsid w:val="00925FCE"/>
    <w:rsid w:val="00932E89"/>
    <w:rsid w:val="0093359D"/>
    <w:rsid w:val="00933F2B"/>
    <w:rsid w:val="009346FD"/>
    <w:rsid w:val="00942EEB"/>
    <w:rsid w:val="00942F22"/>
    <w:rsid w:val="0094468E"/>
    <w:rsid w:val="00944B6E"/>
    <w:rsid w:val="00945261"/>
    <w:rsid w:val="00947377"/>
    <w:rsid w:val="009506A5"/>
    <w:rsid w:val="00951452"/>
    <w:rsid w:val="0095184E"/>
    <w:rsid w:val="00953A8B"/>
    <w:rsid w:val="009541CC"/>
    <w:rsid w:val="00956564"/>
    <w:rsid w:val="009567A6"/>
    <w:rsid w:val="00956D5A"/>
    <w:rsid w:val="00961B2C"/>
    <w:rsid w:val="00961DBB"/>
    <w:rsid w:val="00962231"/>
    <w:rsid w:val="00963D2B"/>
    <w:rsid w:val="0096618E"/>
    <w:rsid w:val="00975510"/>
    <w:rsid w:val="009758AE"/>
    <w:rsid w:val="00981433"/>
    <w:rsid w:val="0098222F"/>
    <w:rsid w:val="0098244F"/>
    <w:rsid w:val="00983122"/>
    <w:rsid w:val="00984FCA"/>
    <w:rsid w:val="00985C07"/>
    <w:rsid w:val="00995B4F"/>
    <w:rsid w:val="00995FA3"/>
    <w:rsid w:val="00997582"/>
    <w:rsid w:val="009A22F8"/>
    <w:rsid w:val="009A2C21"/>
    <w:rsid w:val="009A3E58"/>
    <w:rsid w:val="009A5F02"/>
    <w:rsid w:val="009A7AB1"/>
    <w:rsid w:val="009B424D"/>
    <w:rsid w:val="009B6408"/>
    <w:rsid w:val="009B70E6"/>
    <w:rsid w:val="009C6DAA"/>
    <w:rsid w:val="009D0E74"/>
    <w:rsid w:val="009D1A96"/>
    <w:rsid w:val="009D1B13"/>
    <w:rsid w:val="009D370B"/>
    <w:rsid w:val="009D4670"/>
    <w:rsid w:val="009D7EE0"/>
    <w:rsid w:val="009E2087"/>
    <w:rsid w:val="009E252B"/>
    <w:rsid w:val="009E3265"/>
    <w:rsid w:val="009E3353"/>
    <w:rsid w:val="009E446D"/>
    <w:rsid w:val="009E4FFA"/>
    <w:rsid w:val="009E7C09"/>
    <w:rsid w:val="009F146D"/>
    <w:rsid w:val="009F4F1E"/>
    <w:rsid w:val="009F5D6A"/>
    <w:rsid w:val="009F604D"/>
    <w:rsid w:val="00A015E4"/>
    <w:rsid w:val="00A075BC"/>
    <w:rsid w:val="00A11222"/>
    <w:rsid w:val="00A12C39"/>
    <w:rsid w:val="00A134FB"/>
    <w:rsid w:val="00A162FE"/>
    <w:rsid w:val="00A20802"/>
    <w:rsid w:val="00A25B4F"/>
    <w:rsid w:val="00A261B3"/>
    <w:rsid w:val="00A27E8B"/>
    <w:rsid w:val="00A311CF"/>
    <w:rsid w:val="00A442BF"/>
    <w:rsid w:val="00A50BC1"/>
    <w:rsid w:val="00A517D0"/>
    <w:rsid w:val="00A51B96"/>
    <w:rsid w:val="00A53716"/>
    <w:rsid w:val="00A5629E"/>
    <w:rsid w:val="00A64832"/>
    <w:rsid w:val="00A732DB"/>
    <w:rsid w:val="00A75338"/>
    <w:rsid w:val="00A81EFC"/>
    <w:rsid w:val="00A838D2"/>
    <w:rsid w:val="00A86F04"/>
    <w:rsid w:val="00A9176D"/>
    <w:rsid w:val="00A92C08"/>
    <w:rsid w:val="00A946C4"/>
    <w:rsid w:val="00AA478E"/>
    <w:rsid w:val="00AB12D2"/>
    <w:rsid w:val="00AB137D"/>
    <w:rsid w:val="00AC01F8"/>
    <w:rsid w:val="00AC059A"/>
    <w:rsid w:val="00AC1240"/>
    <w:rsid w:val="00AC3BE3"/>
    <w:rsid w:val="00AC41CF"/>
    <w:rsid w:val="00AD0308"/>
    <w:rsid w:val="00AD377A"/>
    <w:rsid w:val="00AD67BB"/>
    <w:rsid w:val="00AE1CC1"/>
    <w:rsid w:val="00AE3EA4"/>
    <w:rsid w:val="00AE51FE"/>
    <w:rsid w:val="00AF0BF0"/>
    <w:rsid w:val="00AF1B02"/>
    <w:rsid w:val="00AF41E4"/>
    <w:rsid w:val="00AF568A"/>
    <w:rsid w:val="00AF60C1"/>
    <w:rsid w:val="00B05262"/>
    <w:rsid w:val="00B06A75"/>
    <w:rsid w:val="00B06BC3"/>
    <w:rsid w:val="00B138BA"/>
    <w:rsid w:val="00B15A0F"/>
    <w:rsid w:val="00B17FB2"/>
    <w:rsid w:val="00B20236"/>
    <w:rsid w:val="00B20937"/>
    <w:rsid w:val="00B220A0"/>
    <w:rsid w:val="00B22B64"/>
    <w:rsid w:val="00B22D72"/>
    <w:rsid w:val="00B22FEA"/>
    <w:rsid w:val="00B24321"/>
    <w:rsid w:val="00B30FEB"/>
    <w:rsid w:val="00B311BA"/>
    <w:rsid w:val="00B35B47"/>
    <w:rsid w:val="00B40AA3"/>
    <w:rsid w:val="00B43AF9"/>
    <w:rsid w:val="00B44478"/>
    <w:rsid w:val="00B4609C"/>
    <w:rsid w:val="00B508DA"/>
    <w:rsid w:val="00B538BA"/>
    <w:rsid w:val="00B6002C"/>
    <w:rsid w:val="00B60E2F"/>
    <w:rsid w:val="00B614EA"/>
    <w:rsid w:val="00B620EE"/>
    <w:rsid w:val="00B717FF"/>
    <w:rsid w:val="00B731EC"/>
    <w:rsid w:val="00B80FB4"/>
    <w:rsid w:val="00B85366"/>
    <w:rsid w:val="00B87F60"/>
    <w:rsid w:val="00B9079B"/>
    <w:rsid w:val="00B93B5E"/>
    <w:rsid w:val="00B93D3D"/>
    <w:rsid w:val="00B96341"/>
    <w:rsid w:val="00B97E2E"/>
    <w:rsid w:val="00BA471F"/>
    <w:rsid w:val="00BB5013"/>
    <w:rsid w:val="00BB528E"/>
    <w:rsid w:val="00BB615A"/>
    <w:rsid w:val="00BB78CD"/>
    <w:rsid w:val="00BC11EC"/>
    <w:rsid w:val="00BC2600"/>
    <w:rsid w:val="00BC36F0"/>
    <w:rsid w:val="00BC3E99"/>
    <w:rsid w:val="00BC4FA7"/>
    <w:rsid w:val="00BC5E30"/>
    <w:rsid w:val="00BD00ED"/>
    <w:rsid w:val="00BD02C5"/>
    <w:rsid w:val="00BD068D"/>
    <w:rsid w:val="00BD3E07"/>
    <w:rsid w:val="00BD5CDC"/>
    <w:rsid w:val="00BE0D9A"/>
    <w:rsid w:val="00BE1A50"/>
    <w:rsid w:val="00BE2F0D"/>
    <w:rsid w:val="00BE5E2E"/>
    <w:rsid w:val="00BF0BD5"/>
    <w:rsid w:val="00BF0D35"/>
    <w:rsid w:val="00BF55F8"/>
    <w:rsid w:val="00C051FD"/>
    <w:rsid w:val="00C0564C"/>
    <w:rsid w:val="00C10611"/>
    <w:rsid w:val="00C15FD2"/>
    <w:rsid w:val="00C1744F"/>
    <w:rsid w:val="00C202CF"/>
    <w:rsid w:val="00C20C7D"/>
    <w:rsid w:val="00C20DEF"/>
    <w:rsid w:val="00C23E78"/>
    <w:rsid w:val="00C2472B"/>
    <w:rsid w:val="00C24B25"/>
    <w:rsid w:val="00C24E89"/>
    <w:rsid w:val="00C274A0"/>
    <w:rsid w:val="00C32C2F"/>
    <w:rsid w:val="00C3738A"/>
    <w:rsid w:val="00C40859"/>
    <w:rsid w:val="00C4315A"/>
    <w:rsid w:val="00C43F5E"/>
    <w:rsid w:val="00C44074"/>
    <w:rsid w:val="00C4651F"/>
    <w:rsid w:val="00C518C0"/>
    <w:rsid w:val="00C51D0B"/>
    <w:rsid w:val="00C52207"/>
    <w:rsid w:val="00C52A50"/>
    <w:rsid w:val="00C54EEE"/>
    <w:rsid w:val="00C54F3B"/>
    <w:rsid w:val="00C61628"/>
    <w:rsid w:val="00C642D4"/>
    <w:rsid w:val="00C66AF6"/>
    <w:rsid w:val="00C67532"/>
    <w:rsid w:val="00C730F4"/>
    <w:rsid w:val="00C74311"/>
    <w:rsid w:val="00C75BF3"/>
    <w:rsid w:val="00C80200"/>
    <w:rsid w:val="00C80BC5"/>
    <w:rsid w:val="00C80E0A"/>
    <w:rsid w:val="00C81A7C"/>
    <w:rsid w:val="00C8270B"/>
    <w:rsid w:val="00C841A9"/>
    <w:rsid w:val="00C8728F"/>
    <w:rsid w:val="00C91D48"/>
    <w:rsid w:val="00C92D00"/>
    <w:rsid w:val="00C97FBC"/>
    <w:rsid w:val="00CA06C8"/>
    <w:rsid w:val="00CA0B7E"/>
    <w:rsid w:val="00CA37B6"/>
    <w:rsid w:val="00CA4C28"/>
    <w:rsid w:val="00CA4E33"/>
    <w:rsid w:val="00CA5598"/>
    <w:rsid w:val="00CA5EF8"/>
    <w:rsid w:val="00CB0588"/>
    <w:rsid w:val="00CB0C35"/>
    <w:rsid w:val="00CB28A3"/>
    <w:rsid w:val="00CB73EC"/>
    <w:rsid w:val="00CC00A0"/>
    <w:rsid w:val="00CC0FED"/>
    <w:rsid w:val="00CC363A"/>
    <w:rsid w:val="00CC3C34"/>
    <w:rsid w:val="00CC433A"/>
    <w:rsid w:val="00CC5455"/>
    <w:rsid w:val="00CC6C06"/>
    <w:rsid w:val="00CD1526"/>
    <w:rsid w:val="00CD1546"/>
    <w:rsid w:val="00CD2807"/>
    <w:rsid w:val="00CD5509"/>
    <w:rsid w:val="00CD5EF3"/>
    <w:rsid w:val="00CE0215"/>
    <w:rsid w:val="00CE1EB0"/>
    <w:rsid w:val="00CE3DF2"/>
    <w:rsid w:val="00CF04D5"/>
    <w:rsid w:val="00CF0C0F"/>
    <w:rsid w:val="00CF1690"/>
    <w:rsid w:val="00CF1F2A"/>
    <w:rsid w:val="00CF5CE3"/>
    <w:rsid w:val="00CF7412"/>
    <w:rsid w:val="00CF7C2F"/>
    <w:rsid w:val="00D014E1"/>
    <w:rsid w:val="00D030F8"/>
    <w:rsid w:val="00D077B7"/>
    <w:rsid w:val="00D20297"/>
    <w:rsid w:val="00D21E43"/>
    <w:rsid w:val="00D21E6B"/>
    <w:rsid w:val="00D22C36"/>
    <w:rsid w:val="00D2336A"/>
    <w:rsid w:val="00D23634"/>
    <w:rsid w:val="00D2419C"/>
    <w:rsid w:val="00D34551"/>
    <w:rsid w:val="00D36D27"/>
    <w:rsid w:val="00D41664"/>
    <w:rsid w:val="00D427E1"/>
    <w:rsid w:val="00D4569D"/>
    <w:rsid w:val="00D457D6"/>
    <w:rsid w:val="00D470F4"/>
    <w:rsid w:val="00D55013"/>
    <w:rsid w:val="00D626EF"/>
    <w:rsid w:val="00D63680"/>
    <w:rsid w:val="00D64CE2"/>
    <w:rsid w:val="00D661D4"/>
    <w:rsid w:val="00D702E1"/>
    <w:rsid w:val="00D719B9"/>
    <w:rsid w:val="00D7270F"/>
    <w:rsid w:val="00D7596A"/>
    <w:rsid w:val="00D7751B"/>
    <w:rsid w:val="00D815DC"/>
    <w:rsid w:val="00D822B5"/>
    <w:rsid w:val="00D83D3C"/>
    <w:rsid w:val="00D84451"/>
    <w:rsid w:val="00D85C95"/>
    <w:rsid w:val="00D867AE"/>
    <w:rsid w:val="00D87BBB"/>
    <w:rsid w:val="00D87C87"/>
    <w:rsid w:val="00D921C4"/>
    <w:rsid w:val="00D9296A"/>
    <w:rsid w:val="00D93130"/>
    <w:rsid w:val="00D93C23"/>
    <w:rsid w:val="00D95638"/>
    <w:rsid w:val="00D9584C"/>
    <w:rsid w:val="00D97180"/>
    <w:rsid w:val="00D97C79"/>
    <w:rsid w:val="00DA14D9"/>
    <w:rsid w:val="00DA456F"/>
    <w:rsid w:val="00DA731D"/>
    <w:rsid w:val="00DA7588"/>
    <w:rsid w:val="00DB13AD"/>
    <w:rsid w:val="00DB23F9"/>
    <w:rsid w:val="00DB31D9"/>
    <w:rsid w:val="00DB58BE"/>
    <w:rsid w:val="00DB602E"/>
    <w:rsid w:val="00DB6176"/>
    <w:rsid w:val="00DB6AA0"/>
    <w:rsid w:val="00DB7C3A"/>
    <w:rsid w:val="00DD14EE"/>
    <w:rsid w:val="00DD32AB"/>
    <w:rsid w:val="00DD56A4"/>
    <w:rsid w:val="00DD5BF6"/>
    <w:rsid w:val="00DD64DC"/>
    <w:rsid w:val="00DE1865"/>
    <w:rsid w:val="00DE5AE2"/>
    <w:rsid w:val="00DE611B"/>
    <w:rsid w:val="00DE6CEF"/>
    <w:rsid w:val="00DF11C2"/>
    <w:rsid w:val="00DF2134"/>
    <w:rsid w:val="00DF4593"/>
    <w:rsid w:val="00DF64E0"/>
    <w:rsid w:val="00E02DD7"/>
    <w:rsid w:val="00E106A0"/>
    <w:rsid w:val="00E10D05"/>
    <w:rsid w:val="00E2223E"/>
    <w:rsid w:val="00E22D98"/>
    <w:rsid w:val="00E24623"/>
    <w:rsid w:val="00E252E3"/>
    <w:rsid w:val="00E25B1B"/>
    <w:rsid w:val="00E32711"/>
    <w:rsid w:val="00E34438"/>
    <w:rsid w:val="00E378A9"/>
    <w:rsid w:val="00E40505"/>
    <w:rsid w:val="00E42A41"/>
    <w:rsid w:val="00E45766"/>
    <w:rsid w:val="00E45AC5"/>
    <w:rsid w:val="00E567E5"/>
    <w:rsid w:val="00E64096"/>
    <w:rsid w:val="00E64480"/>
    <w:rsid w:val="00E65807"/>
    <w:rsid w:val="00E66103"/>
    <w:rsid w:val="00E6708B"/>
    <w:rsid w:val="00E7014E"/>
    <w:rsid w:val="00E73A8C"/>
    <w:rsid w:val="00E75050"/>
    <w:rsid w:val="00E75D5E"/>
    <w:rsid w:val="00E76F42"/>
    <w:rsid w:val="00E77D6D"/>
    <w:rsid w:val="00E90AC2"/>
    <w:rsid w:val="00E915E6"/>
    <w:rsid w:val="00E92BA1"/>
    <w:rsid w:val="00EA3E11"/>
    <w:rsid w:val="00EA4948"/>
    <w:rsid w:val="00EA6EB3"/>
    <w:rsid w:val="00EB2FDB"/>
    <w:rsid w:val="00EB4A8E"/>
    <w:rsid w:val="00EB5EF3"/>
    <w:rsid w:val="00EB62F7"/>
    <w:rsid w:val="00EB664D"/>
    <w:rsid w:val="00EB695D"/>
    <w:rsid w:val="00EB7C6D"/>
    <w:rsid w:val="00EC107D"/>
    <w:rsid w:val="00EC38F3"/>
    <w:rsid w:val="00EC4241"/>
    <w:rsid w:val="00ED0404"/>
    <w:rsid w:val="00ED1407"/>
    <w:rsid w:val="00ED39CE"/>
    <w:rsid w:val="00ED4134"/>
    <w:rsid w:val="00ED7A9F"/>
    <w:rsid w:val="00EE05F1"/>
    <w:rsid w:val="00EE0B83"/>
    <w:rsid w:val="00EE1B0F"/>
    <w:rsid w:val="00EE3226"/>
    <w:rsid w:val="00EE471A"/>
    <w:rsid w:val="00EE5492"/>
    <w:rsid w:val="00EE583A"/>
    <w:rsid w:val="00EF0A00"/>
    <w:rsid w:val="00EF4CF5"/>
    <w:rsid w:val="00EF7395"/>
    <w:rsid w:val="00F0183C"/>
    <w:rsid w:val="00F0379D"/>
    <w:rsid w:val="00F03C79"/>
    <w:rsid w:val="00F07BD5"/>
    <w:rsid w:val="00F1215C"/>
    <w:rsid w:val="00F122D6"/>
    <w:rsid w:val="00F12878"/>
    <w:rsid w:val="00F147EA"/>
    <w:rsid w:val="00F15BF4"/>
    <w:rsid w:val="00F171E0"/>
    <w:rsid w:val="00F17940"/>
    <w:rsid w:val="00F17B27"/>
    <w:rsid w:val="00F17DC0"/>
    <w:rsid w:val="00F2046C"/>
    <w:rsid w:val="00F20647"/>
    <w:rsid w:val="00F207FC"/>
    <w:rsid w:val="00F25C2D"/>
    <w:rsid w:val="00F274DB"/>
    <w:rsid w:val="00F30B60"/>
    <w:rsid w:val="00F31392"/>
    <w:rsid w:val="00F348B5"/>
    <w:rsid w:val="00F3652B"/>
    <w:rsid w:val="00F36D95"/>
    <w:rsid w:val="00F377B9"/>
    <w:rsid w:val="00F45442"/>
    <w:rsid w:val="00F46795"/>
    <w:rsid w:val="00F5145E"/>
    <w:rsid w:val="00F554DB"/>
    <w:rsid w:val="00F558EA"/>
    <w:rsid w:val="00F5681C"/>
    <w:rsid w:val="00F6045D"/>
    <w:rsid w:val="00F613CB"/>
    <w:rsid w:val="00F61F79"/>
    <w:rsid w:val="00F627F8"/>
    <w:rsid w:val="00F651DD"/>
    <w:rsid w:val="00F656A4"/>
    <w:rsid w:val="00F6665E"/>
    <w:rsid w:val="00F7075F"/>
    <w:rsid w:val="00F71D76"/>
    <w:rsid w:val="00F75AFF"/>
    <w:rsid w:val="00F8070C"/>
    <w:rsid w:val="00F8349F"/>
    <w:rsid w:val="00F83FB7"/>
    <w:rsid w:val="00F85935"/>
    <w:rsid w:val="00F85D29"/>
    <w:rsid w:val="00F91A50"/>
    <w:rsid w:val="00F969D3"/>
    <w:rsid w:val="00F9789E"/>
    <w:rsid w:val="00FA190E"/>
    <w:rsid w:val="00FA54D8"/>
    <w:rsid w:val="00FB460E"/>
    <w:rsid w:val="00FC157E"/>
    <w:rsid w:val="00FC4FB7"/>
    <w:rsid w:val="00FC65E5"/>
    <w:rsid w:val="00FC6998"/>
    <w:rsid w:val="00FD1EE0"/>
    <w:rsid w:val="00FD357B"/>
    <w:rsid w:val="00FD38FC"/>
    <w:rsid w:val="00FD6119"/>
    <w:rsid w:val="00FD688E"/>
    <w:rsid w:val="00FD7C0C"/>
    <w:rsid w:val="00FE045C"/>
    <w:rsid w:val="00FE0C52"/>
    <w:rsid w:val="00FE1692"/>
    <w:rsid w:val="00FE3069"/>
    <w:rsid w:val="00FE3B13"/>
    <w:rsid w:val="00FF0566"/>
    <w:rsid w:val="00FF15F5"/>
    <w:rsid w:val="00FF52A4"/>
    <w:rsid w:val="00FF6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62AD4D17"/>
  <w15:docId w15:val="{3FBBDCEA-689E-4C72-923E-74E54827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0" w:defUnhideWhenUsed="0" w:defQFormat="0" w:count="371">
    <w:lsdException w:name="heading 1" w:uiPriority="1" w:qFormat="1"/>
    <w:lsdException w:name="heading 2" w:semiHidden="1" w:uiPriority="2" w:unhideWhenUsed="1" w:qFormat="1"/>
    <w:lsdException w:name="heading 3" w:semiHidden="1" w:uiPriority="3" w:unhideWhenUsed="1" w:qFormat="1"/>
    <w:lsdException w:name="heading 4" w:semiHidden="1" w:unhideWhenUsed="1"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iPriority="13" w:unhideWhenUsed="1"/>
    <w:lsdException w:name="annotation text" w:semiHidden="1" w:unhideWhenUsed="1"/>
    <w:lsdException w:name="header" w:semiHidden="1" w:uiPriority="99" w:unhideWhenUsed="1"/>
    <w:lsdException w:name="footer" w:semiHidden="1" w:uiPriority="39" w:unhideWhenUsed="1"/>
    <w:lsdException w:name="index heading" w:semiHidden="1" w:unhideWhenUsed="1"/>
    <w:lsdException w:name="caption" w:semiHidden="1" w:uiPriority="13" w:unhideWhenUsed="1" w:qFormat="1"/>
    <w:lsdException w:name="table of figures" w:uiPriority="99"/>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9"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3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9"/>
    <w:rsid w:val="0089737A"/>
  </w:style>
  <w:style w:type="paragraph" w:styleId="Heading1">
    <w:name w:val="heading 1"/>
    <w:basedOn w:val="Normal"/>
    <w:next w:val="BodyText"/>
    <w:link w:val="Heading1Char"/>
    <w:uiPriority w:val="1"/>
    <w:qFormat/>
    <w:rsid w:val="00D014E1"/>
    <w:pPr>
      <w:keepNext/>
      <w:keepLines/>
      <w:numPr>
        <w:numId w:val="10"/>
      </w:numPr>
      <w:tabs>
        <w:tab w:val="right" w:pos="1418"/>
        <w:tab w:val="right" w:pos="1701"/>
        <w:tab w:val="right" w:pos="1985"/>
      </w:tabs>
      <w:spacing w:before="360" w:after="180"/>
      <w:outlineLvl w:val="0"/>
    </w:pPr>
    <w:rPr>
      <w:rFonts w:ascii="Calibri" w:hAnsi="Calibri"/>
      <w:bCs/>
      <w:color w:val="3D4D7D" w:themeColor="background2"/>
      <w:spacing w:val="-6"/>
      <w:kern w:val="32"/>
      <w:sz w:val="30"/>
      <w:szCs w:val="32"/>
    </w:rPr>
  </w:style>
  <w:style w:type="paragraph" w:styleId="Heading2">
    <w:name w:val="heading 2"/>
    <w:basedOn w:val="Normal"/>
    <w:next w:val="BodyText"/>
    <w:link w:val="Heading2Char"/>
    <w:uiPriority w:val="2"/>
    <w:qFormat/>
    <w:rsid w:val="00D014E1"/>
    <w:pPr>
      <w:keepNext/>
      <w:keepLines/>
      <w:numPr>
        <w:ilvl w:val="1"/>
        <w:numId w:val="10"/>
      </w:numPr>
      <w:tabs>
        <w:tab w:val="left" w:pos="1418"/>
        <w:tab w:val="left" w:pos="1701"/>
        <w:tab w:val="left" w:pos="1985"/>
      </w:tabs>
      <w:spacing w:before="240" w:after="120"/>
      <w:outlineLvl w:val="1"/>
    </w:pPr>
    <w:rPr>
      <w:rFonts w:ascii="Calibri" w:hAnsi="Calibri"/>
      <w:b/>
      <w:bCs/>
      <w:iCs/>
      <w:color w:val="3D4D7D" w:themeColor="background2"/>
      <w:kern w:val="20"/>
      <w:sz w:val="24"/>
      <w:szCs w:val="28"/>
    </w:rPr>
  </w:style>
  <w:style w:type="paragraph" w:styleId="Heading3">
    <w:name w:val="heading 3"/>
    <w:basedOn w:val="Normal"/>
    <w:next w:val="BodyText"/>
    <w:link w:val="Heading3Char"/>
    <w:uiPriority w:val="3"/>
    <w:qFormat/>
    <w:rsid w:val="00D014E1"/>
    <w:pPr>
      <w:keepNext/>
      <w:keepLines/>
      <w:numPr>
        <w:ilvl w:val="2"/>
        <w:numId w:val="10"/>
      </w:numPr>
      <w:tabs>
        <w:tab w:val="left" w:pos="1418"/>
        <w:tab w:val="left" w:pos="1701"/>
        <w:tab w:val="left" w:pos="1985"/>
      </w:tabs>
      <w:spacing w:before="470" w:after="227"/>
      <w:outlineLvl w:val="2"/>
    </w:pPr>
    <w:rPr>
      <w:i/>
      <w:color w:val="3D4D7D" w:themeColor="background2"/>
      <w:sz w:val="24"/>
    </w:rPr>
  </w:style>
  <w:style w:type="paragraph" w:styleId="Heading4">
    <w:name w:val="heading 4"/>
    <w:basedOn w:val="Normal"/>
    <w:next w:val="BodyText"/>
    <w:link w:val="Heading4Char"/>
    <w:uiPriority w:val="4"/>
    <w:qFormat/>
    <w:rsid w:val="00CA06C8"/>
    <w:pPr>
      <w:keepNext/>
      <w:keepLines/>
      <w:tabs>
        <w:tab w:val="left" w:pos="1418"/>
        <w:tab w:val="left" w:pos="1701"/>
        <w:tab w:val="left" w:pos="1985"/>
      </w:tabs>
      <w:spacing w:before="227" w:after="113"/>
      <w:outlineLvl w:val="3"/>
    </w:pPr>
    <w:rPr>
      <w:rFonts w:eastAsiaTheme="majorEastAsia" w:cstheme="majorBidi"/>
      <w:bCs/>
      <w:i/>
      <w:iCs/>
      <w:color w:val="3D4D7D" w:themeColor="background2"/>
      <w:sz w:val="24"/>
    </w:rPr>
  </w:style>
  <w:style w:type="paragraph" w:styleId="Heading5">
    <w:name w:val="heading 5"/>
    <w:basedOn w:val="Normal"/>
    <w:next w:val="BodyText"/>
    <w:link w:val="Heading5Char"/>
    <w:uiPriority w:val="39"/>
    <w:rsid w:val="00B620EE"/>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uiPriority w:val="39"/>
    <w:rsid w:val="00B620EE"/>
    <w:pPr>
      <w:keepNext/>
      <w:keepLines/>
      <w:spacing w:before="280" w:after="240"/>
      <w:outlineLvl w:val="5"/>
    </w:pPr>
    <w:rPr>
      <w:rFonts w:asciiTheme="majorHAnsi" w:eastAsiaTheme="majorEastAsia" w:hAnsiTheme="majorHAnsi" w:cstheme="majorBidi"/>
      <w:i/>
      <w:iCs/>
      <w:color w:val="9778B4"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ttachment Title"/>
    <w:basedOn w:val="Normal"/>
    <w:next w:val="BodyText"/>
    <w:link w:val="Heading8Char"/>
    <w:uiPriority w:val="31"/>
    <w:qFormat/>
    <w:rsid w:val="00D014E1"/>
    <w:pPr>
      <w:keepNext/>
      <w:keepLines/>
      <w:numPr>
        <w:numId w:val="1"/>
      </w:numPr>
      <w:tabs>
        <w:tab w:val="left" w:pos="4536"/>
      </w:tabs>
      <w:spacing w:after="240"/>
      <w:outlineLvl w:val="7"/>
    </w:pPr>
    <w:rPr>
      <w:rFonts w:ascii="Calibri" w:eastAsiaTheme="majorEastAsia" w:hAnsi="Calibri" w:cstheme="majorBidi"/>
      <w:color w:val="3D4D7D" w:themeColor="background2"/>
      <w:sz w:val="30"/>
    </w:rPr>
  </w:style>
  <w:style w:type="paragraph" w:styleId="Heading9">
    <w:name w:val="heading 9"/>
    <w:aliases w:val="Attachment Heading 1"/>
    <w:basedOn w:val="Normal"/>
    <w:next w:val="BodyText"/>
    <w:link w:val="Heading9Char"/>
    <w:uiPriority w:val="32"/>
    <w:qFormat/>
    <w:rsid w:val="00D014E1"/>
    <w:pPr>
      <w:keepNext/>
      <w:keepLines/>
      <w:numPr>
        <w:ilvl w:val="1"/>
        <w:numId w:val="1"/>
      </w:numPr>
      <w:tabs>
        <w:tab w:val="left" w:pos="1559"/>
        <w:tab w:val="left" w:pos="1843"/>
        <w:tab w:val="left" w:pos="2126"/>
        <w:tab w:val="left" w:pos="2410"/>
      </w:tabs>
      <w:spacing w:before="470" w:after="227"/>
      <w:outlineLvl w:val="8"/>
    </w:pPr>
    <w:rPr>
      <w:rFonts w:asciiTheme="majorHAnsi" w:hAnsiTheme="majorHAnsi"/>
      <w:color w:val="3D4D7D" w:themeColor="background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13"/>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uiPriority w:val="13"/>
    <w:rsid w:val="0089737A"/>
    <w:rPr>
      <w:kern w:val="16"/>
      <w:sz w:val="18"/>
    </w:rPr>
  </w:style>
  <w:style w:type="character" w:styleId="FootnoteReference">
    <w:name w:val="footnote reference"/>
    <w:basedOn w:val="DefaultParagraphFont"/>
    <w:uiPriority w:val="39"/>
    <w:rsid w:val="00961DBB"/>
    <w:rPr>
      <w:rFonts w:asciiTheme="minorHAnsi" w:hAnsiTheme="minorHAnsi"/>
      <w:color w:val="auto"/>
      <w:vertAlign w:val="superscript"/>
    </w:rPr>
  </w:style>
  <w:style w:type="paragraph" w:styleId="BodyText">
    <w:name w:val="Body Text"/>
    <w:basedOn w:val="Normal"/>
    <w:link w:val="BodyTextChar"/>
    <w:uiPriority w:val="5"/>
    <w:qFormat/>
    <w:rsid w:val="009B70E6"/>
    <w:pPr>
      <w:spacing w:before="120" w:after="120"/>
    </w:pPr>
    <w:rPr>
      <w:rFonts w:cs="Times New Roman"/>
      <w:spacing w:val="-1"/>
    </w:rPr>
  </w:style>
  <w:style w:type="character" w:customStyle="1" w:styleId="BodyTextChar">
    <w:name w:val="Body Text Char"/>
    <w:basedOn w:val="DefaultParagraphFont"/>
    <w:link w:val="BodyText"/>
    <w:uiPriority w:val="5"/>
    <w:rsid w:val="009B70E6"/>
    <w:rPr>
      <w:rFonts w:cs="Times New Roman"/>
      <w:spacing w:val="-1"/>
    </w:rPr>
  </w:style>
  <w:style w:type="paragraph" w:customStyle="1" w:styleId="BodyText17ptAbove">
    <w:name w:val="Body Text 17pt Above"/>
    <w:basedOn w:val="BodyText"/>
    <w:next w:val="BodyText"/>
    <w:uiPriority w:val="6"/>
    <w:qFormat/>
    <w:rsid w:val="00CA4C28"/>
    <w:pPr>
      <w:spacing w:before="340"/>
    </w:pPr>
  </w:style>
  <w:style w:type="character" w:customStyle="1" w:styleId="Heading1Char">
    <w:name w:val="Heading 1 Char"/>
    <w:basedOn w:val="DefaultParagraphFont"/>
    <w:link w:val="Heading1"/>
    <w:uiPriority w:val="1"/>
    <w:rsid w:val="00D014E1"/>
    <w:rPr>
      <w:rFonts w:ascii="Calibri" w:hAnsi="Calibri"/>
      <w:bCs/>
      <w:color w:val="3D4D7D" w:themeColor="background2"/>
      <w:spacing w:val="-6"/>
      <w:kern w:val="32"/>
      <w:sz w:val="30"/>
      <w:szCs w:val="32"/>
    </w:rPr>
  </w:style>
  <w:style w:type="character" w:customStyle="1" w:styleId="Heading2Char">
    <w:name w:val="Heading 2 Char"/>
    <w:basedOn w:val="DefaultParagraphFont"/>
    <w:link w:val="Heading2"/>
    <w:uiPriority w:val="2"/>
    <w:rsid w:val="00D014E1"/>
    <w:rPr>
      <w:rFonts w:ascii="Calibri" w:hAnsi="Calibri"/>
      <w:b/>
      <w:bCs/>
      <w:iCs/>
      <w:color w:val="3D4D7D" w:themeColor="background2"/>
      <w:kern w:val="20"/>
      <w:sz w:val="24"/>
      <w:szCs w:val="28"/>
    </w:rPr>
  </w:style>
  <w:style w:type="character" w:customStyle="1" w:styleId="Heading3Char">
    <w:name w:val="Heading 3 Char"/>
    <w:basedOn w:val="DefaultParagraphFont"/>
    <w:link w:val="Heading3"/>
    <w:uiPriority w:val="3"/>
    <w:rsid w:val="00D014E1"/>
    <w:rPr>
      <w:i/>
      <w:color w:val="3D4D7D" w:themeColor="background2"/>
      <w:sz w:val="24"/>
    </w:rPr>
  </w:style>
  <w:style w:type="character" w:customStyle="1" w:styleId="Heading4Char">
    <w:name w:val="Heading 4 Char"/>
    <w:basedOn w:val="DefaultParagraphFont"/>
    <w:link w:val="Heading4"/>
    <w:uiPriority w:val="4"/>
    <w:rsid w:val="00AC41CF"/>
    <w:rPr>
      <w:rFonts w:eastAsiaTheme="majorEastAsia" w:cstheme="majorBidi"/>
      <w:bCs/>
      <w:i/>
      <w:iCs/>
      <w:color w:val="3D4D7D" w:themeColor="background2"/>
      <w:sz w:val="24"/>
    </w:rPr>
  </w:style>
  <w:style w:type="character" w:customStyle="1" w:styleId="Heading5Char">
    <w:name w:val="Heading 5 Char"/>
    <w:basedOn w:val="DefaultParagraphFont"/>
    <w:link w:val="Heading5"/>
    <w:uiPriority w:val="39"/>
    <w:rsid w:val="00AC41CF"/>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uiPriority w:val="39"/>
    <w:rsid w:val="00AC41CF"/>
    <w:rPr>
      <w:rFonts w:asciiTheme="majorHAnsi" w:eastAsiaTheme="majorEastAsia" w:hAnsiTheme="majorHAnsi" w:cstheme="majorBidi"/>
      <w:i/>
      <w:iCs/>
      <w:color w:val="9778B4"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ttachment Title Char"/>
    <w:basedOn w:val="DefaultParagraphFont"/>
    <w:link w:val="Heading8"/>
    <w:uiPriority w:val="31"/>
    <w:rsid w:val="00D014E1"/>
    <w:rPr>
      <w:rFonts w:ascii="Calibri" w:eastAsiaTheme="majorEastAsia" w:hAnsi="Calibri" w:cstheme="majorBidi"/>
      <w:color w:val="3D4D7D" w:themeColor="background2"/>
      <w:sz w:val="30"/>
    </w:rPr>
  </w:style>
  <w:style w:type="character" w:customStyle="1" w:styleId="Heading9Char">
    <w:name w:val="Heading 9 Char"/>
    <w:aliases w:val="Attachment Heading 1 Char"/>
    <w:basedOn w:val="DefaultParagraphFont"/>
    <w:link w:val="Heading9"/>
    <w:uiPriority w:val="32"/>
    <w:rsid w:val="00D014E1"/>
    <w:rPr>
      <w:rFonts w:asciiTheme="majorHAnsi" w:hAnsiTheme="majorHAnsi"/>
      <w:color w:val="3D4D7D" w:themeColor="background2"/>
      <w:sz w:val="28"/>
    </w:rPr>
  </w:style>
  <w:style w:type="paragraph" w:customStyle="1" w:styleId="AttachmentHeading2">
    <w:name w:val="Attachment Heading 2"/>
    <w:basedOn w:val="Normal"/>
    <w:next w:val="BodyText"/>
    <w:uiPriority w:val="33"/>
    <w:qFormat/>
    <w:rsid w:val="00D014E1"/>
    <w:pPr>
      <w:keepNext/>
      <w:keepLines/>
      <w:numPr>
        <w:ilvl w:val="2"/>
        <w:numId w:val="1"/>
      </w:numPr>
      <w:tabs>
        <w:tab w:val="left" w:pos="1559"/>
        <w:tab w:val="left" w:pos="1843"/>
        <w:tab w:val="left" w:pos="2126"/>
        <w:tab w:val="left" w:pos="2410"/>
      </w:tabs>
      <w:spacing w:before="470" w:after="227"/>
    </w:pPr>
    <w:rPr>
      <w:rFonts w:asciiTheme="majorHAnsi" w:hAnsiTheme="majorHAnsi"/>
      <w:color w:val="3D4D7D" w:themeColor="background2"/>
      <w:sz w:val="28"/>
    </w:rPr>
  </w:style>
  <w:style w:type="paragraph" w:customStyle="1" w:styleId="AttachmentHeading3">
    <w:name w:val="Attachment Heading 3"/>
    <w:basedOn w:val="Normal"/>
    <w:next w:val="BodyText"/>
    <w:uiPriority w:val="34"/>
    <w:qFormat/>
    <w:rsid w:val="00D014E1"/>
    <w:pPr>
      <w:keepNext/>
      <w:keepLines/>
      <w:numPr>
        <w:ilvl w:val="3"/>
        <w:numId w:val="1"/>
      </w:numPr>
      <w:tabs>
        <w:tab w:val="left" w:pos="1559"/>
        <w:tab w:val="left" w:pos="1843"/>
        <w:tab w:val="left" w:pos="2126"/>
        <w:tab w:val="left" w:pos="2410"/>
        <w:tab w:val="left" w:pos="6804"/>
      </w:tabs>
      <w:spacing w:before="227" w:after="113"/>
    </w:pPr>
    <w:rPr>
      <w:b/>
      <w:color w:val="3D4D7D" w:themeColor="background2"/>
    </w:rPr>
  </w:style>
  <w:style w:type="character" w:customStyle="1" w:styleId="Bold">
    <w:name w:val="Bold"/>
    <w:uiPriority w:val="39"/>
    <w:rsid w:val="00961DBB"/>
    <w:rPr>
      <w:b/>
    </w:rPr>
  </w:style>
  <w:style w:type="character" w:customStyle="1" w:styleId="BoldAndItalics">
    <w:name w:val="Bold And Italics"/>
    <w:uiPriority w:val="39"/>
    <w:rsid w:val="00961DBB"/>
    <w:rPr>
      <w:b/>
      <w:i/>
    </w:rPr>
  </w:style>
  <w:style w:type="paragraph" w:styleId="Caption">
    <w:name w:val="caption"/>
    <w:basedOn w:val="Normal"/>
    <w:next w:val="BodyText"/>
    <w:uiPriority w:val="13"/>
    <w:qFormat/>
    <w:rsid w:val="00D014E1"/>
    <w:pPr>
      <w:keepNext/>
      <w:keepLines/>
      <w:spacing w:before="360" w:after="120"/>
    </w:pPr>
    <w:rPr>
      <w:b/>
      <w:bCs/>
      <w:color w:val="3D4D7D" w:themeColor="background2"/>
      <w:spacing w:val="-4"/>
    </w:rPr>
  </w:style>
  <w:style w:type="paragraph" w:styleId="Footer">
    <w:name w:val="footer"/>
    <w:basedOn w:val="Normal"/>
    <w:link w:val="FooterChar"/>
    <w:uiPriority w:val="39"/>
    <w:rsid w:val="0046444F"/>
    <w:pPr>
      <w:spacing w:line="240" w:lineRule="auto"/>
    </w:pPr>
    <w:rPr>
      <w:b/>
    </w:rPr>
  </w:style>
  <w:style w:type="character" w:customStyle="1" w:styleId="FooterChar">
    <w:name w:val="Footer Char"/>
    <w:basedOn w:val="DefaultParagraphFont"/>
    <w:link w:val="Footer"/>
    <w:uiPriority w:val="39"/>
    <w:rsid w:val="00AC41CF"/>
    <w:rPr>
      <w:b/>
    </w:rPr>
  </w:style>
  <w:style w:type="paragraph" w:customStyle="1" w:styleId="FooterLeft">
    <w:name w:val="Footer Left"/>
    <w:basedOn w:val="Footer"/>
    <w:uiPriority w:val="39"/>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uiPriority w:val="39"/>
    <w:unhideWhenUsed/>
    <w:rsid w:val="00961DBB"/>
    <w:pPr>
      <w:framePr w:wrap="around" w:xAlign="right"/>
      <w:ind w:right="397"/>
      <w:jc w:val="right"/>
    </w:pPr>
  </w:style>
  <w:style w:type="paragraph" w:customStyle="1" w:styleId="FooterRightPageNumber">
    <w:name w:val="Footer Right Page Number"/>
    <w:basedOn w:val="Normal"/>
    <w:uiPriority w:val="39"/>
    <w:rsid w:val="00E915E6"/>
    <w:pPr>
      <w:spacing w:before="180" w:after="120" w:line="240" w:lineRule="auto"/>
      <w:jc w:val="right"/>
    </w:pPr>
    <w:rPr>
      <w:b/>
      <w:noProof/>
      <w:color w:val="3D4D7D" w:themeColor="background2"/>
    </w:rPr>
  </w:style>
  <w:style w:type="paragraph" w:customStyle="1" w:styleId="FooterLeftPageNumber">
    <w:name w:val="Footer Left Page Number"/>
    <w:basedOn w:val="Footer"/>
    <w:uiPriority w:val="39"/>
    <w:rsid w:val="00961DBB"/>
    <w:pPr>
      <w:framePr w:wrap="around" w:vAnchor="page" w:hAnchor="margin" w:yAlign="bottom"/>
      <w:spacing w:before="180" w:after="120"/>
      <w:ind w:right="57"/>
    </w:pPr>
  </w:style>
  <w:style w:type="paragraph" w:customStyle="1" w:styleId="FootnoteSeparator">
    <w:name w:val="Footnote Separator"/>
    <w:basedOn w:val="Normal"/>
    <w:uiPriority w:val="39"/>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uiPriority w:val="99"/>
    <w:rsid w:val="0046444F"/>
    <w:pPr>
      <w:spacing w:before="240" w:after="120" w:line="240" w:lineRule="auto"/>
    </w:pPr>
  </w:style>
  <w:style w:type="character" w:customStyle="1" w:styleId="HeaderChar">
    <w:name w:val="Header Char"/>
    <w:basedOn w:val="DefaultParagraphFont"/>
    <w:link w:val="Header"/>
    <w:uiPriority w:val="99"/>
    <w:rsid w:val="0046444F"/>
  </w:style>
  <w:style w:type="paragraph" w:customStyle="1" w:styleId="HighlightText">
    <w:name w:val="Highlight Text"/>
    <w:basedOn w:val="Normal"/>
    <w:uiPriority w:val="39"/>
    <w:rsid w:val="00961DBB"/>
    <w:pPr>
      <w:spacing w:before="120" w:after="420"/>
    </w:pPr>
    <w:rPr>
      <w:i/>
      <w:color w:val="9778B4" w:themeColor="text2"/>
      <w:spacing w:val="-1"/>
    </w:rPr>
  </w:style>
  <w:style w:type="paragraph" w:customStyle="1" w:styleId="Introduction">
    <w:name w:val="Introduction"/>
    <w:basedOn w:val="Normal"/>
    <w:next w:val="BodyText"/>
    <w:uiPriority w:val="39"/>
    <w:rsid w:val="00961DBB"/>
    <w:pPr>
      <w:spacing w:after="180" w:line="360" w:lineRule="atLeast"/>
    </w:pPr>
    <w:rPr>
      <w:color w:val="9778B4" w:themeColor="text2"/>
      <w:spacing w:val="-2"/>
      <w:sz w:val="30"/>
    </w:rPr>
  </w:style>
  <w:style w:type="character" w:customStyle="1" w:styleId="Italics">
    <w:name w:val="Italics"/>
    <w:uiPriority w:val="39"/>
    <w:rsid w:val="00961DBB"/>
    <w:rPr>
      <w:i/>
    </w:rPr>
  </w:style>
  <w:style w:type="paragraph" w:styleId="ListBullet">
    <w:name w:val="List Bullet"/>
    <w:basedOn w:val="Normal"/>
    <w:uiPriority w:val="7"/>
    <w:qFormat/>
    <w:rsid w:val="005467E2"/>
    <w:pPr>
      <w:keepLines/>
      <w:numPr>
        <w:numId w:val="2"/>
      </w:numPr>
      <w:spacing w:before="120" w:after="120"/>
    </w:pPr>
    <w:rPr>
      <w:spacing w:val="-1"/>
    </w:rPr>
  </w:style>
  <w:style w:type="paragraph" w:styleId="ListBullet2">
    <w:name w:val="List Bullet 2"/>
    <w:basedOn w:val="ListBullet"/>
    <w:uiPriority w:val="8"/>
    <w:qFormat/>
    <w:rsid w:val="00857C91"/>
    <w:pPr>
      <w:numPr>
        <w:ilvl w:val="1"/>
      </w:numPr>
    </w:pPr>
  </w:style>
  <w:style w:type="paragraph" w:styleId="ListBullet3">
    <w:name w:val="List Bullet 3"/>
    <w:basedOn w:val="ListBullet2"/>
    <w:uiPriority w:val="9"/>
    <w:qFormat/>
    <w:rsid w:val="00857C91"/>
    <w:pPr>
      <w:numPr>
        <w:ilvl w:val="2"/>
      </w:numPr>
      <w:tabs>
        <w:tab w:val="clear" w:pos="1361"/>
        <w:tab w:val="num" w:pos="851"/>
      </w:tabs>
      <w:ind w:left="851" w:hanging="284"/>
    </w:pPr>
  </w:style>
  <w:style w:type="paragraph" w:styleId="ListContinue">
    <w:name w:val="List Continue"/>
    <w:basedOn w:val="Normal"/>
    <w:semiHidden/>
    <w:qFormat/>
    <w:rsid w:val="00961DBB"/>
    <w:pPr>
      <w:spacing w:before="220" w:after="220"/>
      <w:ind w:left="340"/>
    </w:pPr>
  </w:style>
  <w:style w:type="paragraph" w:styleId="ListContinue2">
    <w:name w:val="List Continue 2"/>
    <w:basedOn w:val="Normal"/>
    <w:semiHidden/>
    <w:qFormat/>
    <w:rsid w:val="00961DBB"/>
    <w:pPr>
      <w:spacing w:before="220" w:after="220"/>
      <w:ind w:left="680"/>
    </w:pPr>
  </w:style>
  <w:style w:type="paragraph" w:styleId="ListNumber">
    <w:name w:val="List Number"/>
    <w:basedOn w:val="Normal"/>
    <w:uiPriority w:val="10"/>
    <w:qFormat/>
    <w:rsid w:val="00476133"/>
    <w:pPr>
      <w:numPr>
        <w:numId w:val="3"/>
      </w:numPr>
      <w:spacing w:before="120" w:after="120"/>
    </w:pPr>
    <w:rPr>
      <w:spacing w:val="-1"/>
    </w:rPr>
  </w:style>
  <w:style w:type="paragraph" w:styleId="ListNumber2">
    <w:name w:val="List Number 2"/>
    <w:basedOn w:val="Normal"/>
    <w:uiPriority w:val="11"/>
    <w:qFormat/>
    <w:rsid w:val="00476133"/>
    <w:pPr>
      <w:numPr>
        <w:ilvl w:val="1"/>
        <w:numId w:val="3"/>
      </w:numPr>
      <w:spacing w:before="120" w:after="120"/>
      <w:ind w:left="908" w:hanging="454"/>
    </w:pPr>
    <w:rPr>
      <w:spacing w:val="-1"/>
    </w:rPr>
  </w:style>
  <w:style w:type="paragraph" w:styleId="ListNumber3">
    <w:name w:val="List Number 3"/>
    <w:basedOn w:val="Normal"/>
    <w:uiPriority w:val="12"/>
    <w:qFormat/>
    <w:rsid w:val="00476133"/>
    <w:pPr>
      <w:numPr>
        <w:ilvl w:val="2"/>
        <w:numId w:val="3"/>
      </w:numPr>
      <w:spacing w:before="120" w:after="120"/>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uiPriority w:val="39"/>
    <w:rsid w:val="00961DBB"/>
    <w:pPr>
      <w:spacing w:line="240" w:lineRule="auto"/>
    </w:pPr>
    <w:rPr>
      <w:rFonts w:eastAsia="Times New Roman" w:cs="Arial"/>
      <w:lang w:eastAsia="en-AU"/>
    </w:rPr>
  </w:style>
  <w:style w:type="paragraph" w:customStyle="1" w:styleId="OverviewBodyText">
    <w:name w:val="Overview Body Text"/>
    <w:basedOn w:val="Normal"/>
    <w:uiPriority w:val="39"/>
    <w:rsid w:val="00512226"/>
    <w:pPr>
      <w:spacing w:after="113"/>
    </w:pPr>
  </w:style>
  <w:style w:type="paragraph" w:customStyle="1" w:styleId="OverviewHeading2">
    <w:name w:val="Overview Heading 2"/>
    <w:basedOn w:val="Normal"/>
    <w:next w:val="OverviewBodyText"/>
    <w:uiPriority w:val="39"/>
    <w:rsid w:val="00512226"/>
    <w:pPr>
      <w:keepNext/>
      <w:keepLines/>
      <w:spacing w:before="470" w:after="227"/>
    </w:pPr>
    <w:rPr>
      <w:rFonts w:asciiTheme="majorHAnsi" w:hAnsiTheme="majorHAnsi"/>
      <w:color w:val="9778B4" w:themeColor="text2"/>
      <w:sz w:val="32"/>
    </w:rPr>
  </w:style>
  <w:style w:type="paragraph" w:customStyle="1" w:styleId="OverviewHeading3">
    <w:name w:val="Overview Heading 3"/>
    <w:basedOn w:val="OverviewHeading2"/>
    <w:next w:val="OverviewBodyText"/>
    <w:uiPriority w:val="39"/>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9778B4"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uiPriority w:val="39"/>
    <w:rsid w:val="00961DBB"/>
    <w:rPr>
      <w:color w:val="808080"/>
    </w:rPr>
  </w:style>
  <w:style w:type="paragraph" w:customStyle="1" w:styleId="PullOutBoxBodyText">
    <w:name w:val="Pull Out Box Body Text"/>
    <w:basedOn w:val="Normal"/>
    <w:link w:val="PullOutBoxBodyTextChar"/>
    <w:uiPriority w:val="24"/>
    <w:rsid w:val="00476133"/>
    <w:pPr>
      <w:spacing w:before="120" w:after="120"/>
      <w:ind w:left="57" w:right="57"/>
    </w:pPr>
    <w:rPr>
      <w:spacing w:val="-1"/>
    </w:rPr>
  </w:style>
  <w:style w:type="paragraph" w:customStyle="1" w:styleId="PullOutBoxBullet">
    <w:name w:val="Pull Out Box Bullet"/>
    <w:basedOn w:val="PullOutBoxBodyText"/>
    <w:uiPriority w:val="25"/>
    <w:rsid w:val="00476133"/>
    <w:pPr>
      <w:numPr>
        <w:numId w:val="4"/>
      </w:numPr>
      <w:ind w:left="397"/>
    </w:pPr>
  </w:style>
  <w:style w:type="paragraph" w:customStyle="1" w:styleId="PullOutBoxBullet2">
    <w:name w:val="Pull Out Box Bullet 2"/>
    <w:basedOn w:val="PullOutBoxBodyText"/>
    <w:uiPriority w:val="26"/>
    <w:rsid w:val="008112CC"/>
    <w:pPr>
      <w:numPr>
        <w:ilvl w:val="1"/>
        <w:numId w:val="4"/>
      </w:numPr>
      <w:ind w:left="737"/>
    </w:pPr>
  </w:style>
  <w:style w:type="paragraph" w:customStyle="1" w:styleId="PullOutBoxBullet3">
    <w:name w:val="Pull Out Box Bullet 3"/>
    <w:basedOn w:val="PullOutBoxBodyText"/>
    <w:uiPriority w:val="27"/>
    <w:rsid w:val="00476133"/>
    <w:pPr>
      <w:numPr>
        <w:ilvl w:val="2"/>
        <w:numId w:val="4"/>
      </w:numPr>
      <w:ind w:left="1077"/>
    </w:pPr>
  </w:style>
  <w:style w:type="paragraph" w:customStyle="1" w:styleId="PullOutBoxHeading">
    <w:name w:val="Pull Out Box Heading"/>
    <w:basedOn w:val="PullOutBoxBodyText"/>
    <w:link w:val="PullOutBoxHeadingChar"/>
    <w:uiPriority w:val="23"/>
    <w:rsid w:val="00476133"/>
    <w:pPr>
      <w:keepNext/>
      <w:keepLines/>
    </w:pPr>
    <w:rPr>
      <w:b/>
    </w:rPr>
  </w:style>
  <w:style w:type="paragraph" w:customStyle="1" w:styleId="PullOutBoxNumber">
    <w:name w:val="Pull Out Box Number"/>
    <w:basedOn w:val="PullOutBoxBodyText"/>
    <w:uiPriority w:val="28"/>
    <w:rsid w:val="00476133"/>
    <w:pPr>
      <w:numPr>
        <w:numId w:val="5"/>
      </w:numPr>
      <w:ind w:left="397"/>
    </w:pPr>
  </w:style>
  <w:style w:type="paragraph" w:customStyle="1" w:styleId="PullOutBoxNumber2">
    <w:name w:val="Pull Out Box Number 2"/>
    <w:basedOn w:val="PullOutBoxBodyText"/>
    <w:uiPriority w:val="29"/>
    <w:rsid w:val="008112CC"/>
    <w:pPr>
      <w:numPr>
        <w:ilvl w:val="1"/>
        <w:numId w:val="5"/>
      </w:numPr>
      <w:ind w:left="737"/>
    </w:pPr>
  </w:style>
  <w:style w:type="paragraph" w:customStyle="1" w:styleId="PullOutBoxNumber3">
    <w:name w:val="Pull Out Box Number 3"/>
    <w:basedOn w:val="PullOutBoxBodyText"/>
    <w:uiPriority w:val="30"/>
    <w:rsid w:val="008112CC"/>
    <w:pPr>
      <w:numPr>
        <w:ilvl w:val="2"/>
        <w:numId w:val="5"/>
      </w:numPr>
      <w:ind w:left="1077"/>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F1873D" w:themeColor="accent3"/>
        <w:left w:val="single" w:sz="4" w:space="0" w:color="F1873D" w:themeColor="accent3"/>
        <w:bottom w:val="single" w:sz="4" w:space="0" w:color="F1873D" w:themeColor="accent3"/>
        <w:right w:val="single" w:sz="4" w:space="0" w:color="F1873D" w:themeColor="accent3"/>
        <w:insideH w:val="single" w:sz="4" w:space="0" w:color="F1873D" w:themeColor="accent3"/>
        <w:insideV w:val="single" w:sz="4" w:space="0" w:color="F1873D" w:themeColor="accent3"/>
      </w:tblBorders>
      <w:tblCellMar>
        <w:top w:w="28" w:type="dxa"/>
        <w:left w:w="0" w:type="dxa"/>
        <w:bottom w:w="28" w:type="dxa"/>
        <w:right w:w="0" w:type="dxa"/>
      </w:tblCellMar>
    </w:tblPr>
    <w:tcPr>
      <w:shd w:val="clear" w:color="auto" w:fill="F1873D" w:themeFill="accent3"/>
    </w:tcPr>
  </w:style>
  <w:style w:type="paragraph" w:styleId="Quote">
    <w:name w:val="Quote"/>
    <w:basedOn w:val="Normal"/>
    <w:link w:val="QuoteChar"/>
    <w:uiPriority w:val="39"/>
    <w:rsid w:val="00961DBB"/>
    <w:pPr>
      <w:tabs>
        <w:tab w:val="left" w:pos="1134"/>
      </w:tabs>
      <w:spacing w:before="240" w:after="240"/>
      <w:ind w:left="284"/>
    </w:pPr>
    <w:rPr>
      <w:i/>
      <w:iCs/>
    </w:rPr>
  </w:style>
  <w:style w:type="character" w:customStyle="1" w:styleId="QuoteChar">
    <w:name w:val="Quote Char"/>
    <w:basedOn w:val="DefaultParagraphFont"/>
    <w:link w:val="Quote"/>
    <w:uiPriority w:val="39"/>
    <w:rsid w:val="00AC41CF"/>
    <w:rPr>
      <w:i/>
      <w:iCs/>
    </w:rPr>
  </w:style>
  <w:style w:type="paragraph" w:customStyle="1" w:styleId="QuoteBullet">
    <w:name w:val="Quote Bullet"/>
    <w:basedOn w:val="Quote"/>
    <w:uiPriority w:val="39"/>
    <w:rsid w:val="00961DBB"/>
    <w:pPr>
      <w:numPr>
        <w:numId w:val="6"/>
      </w:numPr>
    </w:pPr>
  </w:style>
  <w:style w:type="paragraph" w:customStyle="1" w:styleId="QuoteBullet2">
    <w:name w:val="Quote Bullet 2"/>
    <w:basedOn w:val="Quote"/>
    <w:uiPriority w:val="39"/>
    <w:rsid w:val="00961DBB"/>
    <w:pPr>
      <w:numPr>
        <w:ilvl w:val="1"/>
        <w:numId w:val="6"/>
      </w:numPr>
      <w:tabs>
        <w:tab w:val="clear" w:pos="1134"/>
      </w:tabs>
    </w:pPr>
  </w:style>
  <w:style w:type="paragraph" w:customStyle="1" w:styleId="SectionHeading">
    <w:name w:val="Section Heading"/>
    <w:basedOn w:val="Normal"/>
    <w:next w:val="BodyText"/>
    <w:uiPriority w:val="39"/>
    <w:rsid w:val="00E45766"/>
    <w:pPr>
      <w:keepLines/>
      <w:spacing w:before="4320" w:line="360" w:lineRule="auto"/>
      <w:ind w:left="1701"/>
      <w:jc w:val="right"/>
      <w:outlineLvl w:val="0"/>
    </w:pPr>
    <w:rPr>
      <w:rFonts w:asciiTheme="majorHAnsi" w:hAnsiTheme="majorHAnsi"/>
      <w:noProof/>
      <w:color w:val="9778B4" w:themeColor="text2"/>
      <w:sz w:val="50"/>
      <w:szCs w:val="40"/>
    </w:rPr>
  </w:style>
  <w:style w:type="character" w:customStyle="1" w:styleId="SectionSubtitle">
    <w:name w:val="Section Subtitle"/>
    <w:uiPriority w:val="39"/>
    <w:rsid w:val="00E45766"/>
    <w:rPr>
      <w:color w:val="FCC648" w:themeColor="accent4"/>
      <w:sz w:val="40"/>
    </w:rPr>
  </w:style>
  <w:style w:type="paragraph" w:styleId="Subtitle">
    <w:name w:val="Subtitle"/>
    <w:basedOn w:val="Normal"/>
    <w:next w:val="Normal"/>
    <w:link w:val="SubtitleChar"/>
    <w:uiPriority w:val="39"/>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uiPriority w:val="39"/>
    <w:rsid w:val="00AC41CF"/>
    <w:rPr>
      <w:rFonts w:asciiTheme="majorHAnsi" w:eastAsiaTheme="majorEastAsia" w:hAnsiTheme="majorHAnsi" w:cstheme="majorBidi"/>
      <w:iCs/>
      <w:spacing w:val="15"/>
    </w:rPr>
  </w:style>
  <w:style w:type="character" w:customStyle="1" w:styleId="Superscript">
    <w:name w:val="Superscript"/>
    <w:uiPriority w:val="39"/>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uiPriority w:val="22"/>
    <w:qFormat/>
    <w:rsid w:val="009B70E6"/>
    <w:pPr>
      <w:keepLines/>
      <w:numPr>
        <w:numId w:val="7"/>
      </w:numPr>
      <w:spacing w:line="260" w:lineRule="atLeast"/>
    </w:pPr>
    <w:rPr>
      <w:sz w:val="20"/>
    </w:rPr>
  </w:style>
  <w:style w:type="table" w:styleId="TableGrid">
    <w:name w:val="Table Grid"/>
    <w:basedOn w:val="TableNormal"/>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9778B4"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F1873D" w:themeFill="accent3"/>
      </w:tcPr>
    </w:tblStylePr>
    <w:tblStylePr w:type="nwCell">
      <w:pPr>
        <w:jc w:val="left"/>
      </w:pPr>
      <w:tblPr/>
      <w:tcPr>
        <w:vAlign w:val="top"/>
      </w:tcPr>
    </w:tblStylePr>
  </w:style>
  <w:style w:type="paragraph" w:customStyle="1" w:styleId="TableHeading">
    <w:name w:val="Table Heading"/>
    <w:basedOn w:val="Normal"/>
    <w:uiPriority w:val="14"/>
    <w:qFormat/>
    <w:rsid w:val="00476133"/>
    <w:pPr>
      <w:keepNext/>
      <w:keepLines/>
      <w:spacing w:before="70" w:after="70" w:line="260" w:lineRule="atLeast"/>
      <w:ind w:left="57" w:right="57"/>
    </w:pPr>
    <w:rPr>
      <w:rFonts w:ascii="Calibri" w:hAnsi="Calibri" w:cs="Times New Roman"/>
      <w:b/>
      <w:sz w:val="20"/>
    </w:rPr>
  </w:style>
  <w:style w:type="paragraph" w:customStyle="1" w:styleId="TableHeadingCentred">
    <w:name w:val="Table Heading Centred"/>
    <w:basedOn w:val="TableHeading"/>
    <w:uiPriority w:val="15"/>
    <w:qFormat/>
    <w:rsid w:val="005B0970"/>
    <w:pPr>
      <w:jc w:val="center"/>
    </w:pPr>
  </w:style>
  <w:style w:type="paragraph" w:customStyle="1" w:styleId="TableHeadingRight">
    <w:name w:val="Table Heading Right"/>
    <w:basedOn w:val="TableHeading"/>
    <w:uiPriority w:val="16"/>
    <w:qFormat/>
    <w:rsid w:val="00956D5A"/>
    <w:pPr>
      <w:jc w:val="right"/>
    </w:pPr>
  </w:style>
  <w:style w:type="paragraph" w:customStyle="1" w:styleId="Source">
    <w:name w:val="Source"/>
    <w:basedOn w:val="Normal"/>
    <w:next w:val="BodyText17ptAbove"/>
    <w:uiPriority w:val="39"/>
    <w:rsid w:val="00035ADE"/>
    <w:pPr>
      <w:spacing w:before="180" w:after="114"/>
      <w:contextualSpacing/>
    </w:pPr>
    <w:rPr>
      <w:rFonts w:cs="Times New Roman"/>
      <w:color w:val="3D4D7D" w:themeColor="background2"/>
      <w:sz w:val="20"/>
      <w:szCs w:val="14"/>
    </w:rPr>
  </w:style>
  <w:style w:type="paragraph" w:customStyle="1" w:styleId="TableText">
    <w:name w:val="Table Text"/>
    <w:basedOn w:val="Normal"/>
    <w:uiPriority w:val="17"/>
    <w:qFormat/>
    <w:rsid w:val="005B0970"/>
    <w:pPr>
      <w:spacing w:before="70" w:after="70" w:line="260" w:lineRule="atLeast"/>
      <w:ind w:left="57" w:right="57"/>
    </w:pPr>
    <w:rPr>
      <w:rFonts w:ascii="Calibri" w:hAnsi="Calibri" w:cs="Times New Roman"/>
      <w:sz w:val="20"/>
    </w:rPr>
  </w:style>
  <w:style w:type="paragraph" w:customStyle="1" w:styleId="TableTextBold">
    <w:name w:val="Table Text Bold"/>
    <w:basedOn w:val="TableText"/>
    <w:semiHidden/>
    <w:qFormat/>
    <w:rsid w:val="00961DBB"/>
    <w:rPr>
      <w:b/>
    </w:rPr>
  </w:style>
  <w:style w:type="paragraph" w:customStyle="1" w:styleId="TableTextBullet">
    <w:name w:val="Table Text Bullet"/>
    <w:basedOn w:val="TableText"/>
    <w:uiPriority w:val="39"/>
    <w:rsid w:val="00961DBB"/>
    <w:pPr>
      <w:numPr>
        <w:numId w:val="8"/>
      </w:numPr>
    </w:pPr>
  </w:style>
  <w:style w:type="paragraph" w:customStyle="1" w:styleId="TableTextBullet2">
    <w:name w:val="Table Text Bullet 2"/>
    <w:basedOn w:val="TableTextBullet"/>
    <w:uiPriority w:val="39"/>
    <w:rsid w:val="00961DBB"/>
    <w:pPr>
      <w:numPr>
        <w:ilvl w:val="1"/>
      </w:numPr>
    </w:pPr>
    <w:rPr>
      <w:bCs/>
    </w:rPr>
  </w:style>
  <w:style w:type="paragraph" w:customStyle="1" w:styleId="TableTextBullet3">
    <w:name w:val="Table Text Bullet 3"/>
    <w:basedOn w:val="TableTextBullet2"/>
    <w:uiPriority w:val="39"/>
    <w:rsid w:val="00961DBB"/>
    <w:pPr>
      <w:numPr>
        <w:ilvl w:val="2"/>
      </w:numPr>
    </w:pPr>
    <w:rPr>
      <w:bCs w:val="0"/>
    </w:rPr>
  </w:style>
  <w:style w:type="paragraph" w:customStyle="1" w:styleId="TableTextNumber">
    <w:name w:val="Table Text Number"/>
    <w:basedOn w:val="TableText"/>
    <w:uiPriority w:val="39"/>
    <w:rsid w:val="00961DBB"/>
    <w:pPr>
      <w:numPr>
        <w:numId w:val="9"/>
      </w:numPr>
    </w:pPr>
  </w:style>
  <w:style w:type="paragraph" w:customStyle="1" w:styleId="TableTextNumber2">
    <w:name w:val="Table Text Number 2"/>
    <w:basedOn w:val="TableTextNumber"/>
    <w:uiPriority w:val="39"/>
    <w:rsid w:val="00961DBB"/>
    <w:pPr>
      <w:numPr>
        <w:ilvl w:val="1"/>
      </w:numPr>
      <w:tabs>
        <w:tab w:val="clear" w:pos="709"/>
        <w:tab w:val="num" w:pos="680"/>
      </w:tabs>
      <w:ind w:left="680"/>
    </w:pPr>
  </w:style>
  <w:style w:type="paragraph" w:customStyle="1" w:styleId="TableTextNumber3">
    <w:name w:val="Table Text Number 3"/>
    <w:basedOn w:val="TableTextNumber2"/>
    <w:uiPriority w:val="39"/>
    <w:rsid w:val="00961DBB"/>
    <w:pPr>
      <w:numPr>
        <w:ilvl w:val="2"/>
      </w:numPr>
    </w:pPr>
  </w:style>
  <w:style w:type="paragraph" w:customStyle="1" w:styleId="TableTextRight">
    <w:name w:val="Table Text Right"/>
    <w:basedOn w:val="TableText"/>
    <w:uiPriority w:val="19"/>
    <w:qFormat/>
    <w:rsid w:val="00961DBB"/>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uiPriority w:val="39"/>
    <w:rsid w:val="00817406"/>
    <w:pPr>
      <w:spacing w:before="480" w:after="340" w:line="240" w:lineRule="auto"/>
    </w:pPr>
    <w:rPr>
      <w:rFonts w:asciiTheme="majorHAnsi" w:eastAsiaTheme="majorEastAsia" w:hAnsiTheme="majorHAnsi" w:cstheme="majorBidi"/>
      <w:color w:val="9778B4" w:themeColor="text2"/>
      <w:spacing w:val="-2"/>
      <w:sz w:val="32"/>
      <w:szCs w:val="50"/>
    </w:rPr>
  </w:style>
  <w:style w:type="character" w:customStyle="1" w:styleId="TitleChar">
    <w:name w:val="Title Char"/>
    <w:basedOn w:val="DefaultParagraphFont"/>
    <w:link w:val="Title"/>
    <w:uiPriority w:val="39"/>
    <w:rsid w:val="00AC41CF"/>
    <w:rPr>
      <w:rFonts w:asciiTheme="majorHAnsi" w:eastAsiaTheme="majorEastAsia" w:hAnsiTheme="majorHAnsi" w:cstheme="majorBidi"/>
      <w:color w:val="9778B4" w:themeColor="text2"/>
      <w:spacing w:val="-2"/>
      <w:sz w:val="32"/>
      <w:szCs w:val="50"/>
    </w:rPr>
  </w:style>
  <w:style w:type="paragraph" w:customStyle="1" w:styleId="Title2">
    <w:name w:val="Title 2"/>
    <w:basedOn w:val="Normal"/>
    <w:link w:val="Title2Char"/>
    <w:uiPriority w:val="39"/>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uiPriority w:val="39"/>
    <w:rsid w:val="00AC41CF"/>
    <w:rPr>
      <w:rFonts w:asciiTheme="majorHAnsi" w:hAnsiTheme="majorHAnsi"/>
      <w:color w:val="FFFFFF"/>
      <w:spacing w:val="-2"/>
      <w:sz w:val="32"/>
    </w:rPr>
  </w:style>
  <w:style w:type="paragraph" w:customStyle="1" w:styleId="Title3">
    <w:name w:val="Title 3"/>
    <w:basedOn w:val="Title2"/>
    <w:uiPriority w:val="39"/>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right" w:leader="underscore" w:pos="8164"/>
      </w:tabs>
      <w:spacing w:after="227"/>
      <w:ind w:right="851"/>
    </w:pPr>
    <w:rPr>
      <w:b/>
      <w:noProof/>
      <w:color w:val="9778B4" w:themeColor="text2"/>
    </w:rPr>
  </w:style>
  <w:style w:type="paragraph" w:styleId="TOC2">
    <w:name w:val="toc 2"/>
    <w:basedOn w:val="Normal"/>
    <w:next w:val="Normal"/>
    <w:uiPriority w:val="39"/>
    <w:rsid w:val="001B2C65"/>
    <w:pPr>
      <w:tabs>
        <w:tab w:val="right" w:leader="underscore" w:pos="8164"/>
      </w:tabs>
      <w:spacing w:after="227"/>
      <w:ind w:left="454" w:right="851"/>
    </w:pPr>
    <w:rPr>
      <w:noProof/>
      <w:szCs w:val="28"/>
    </w:rPr>
  </w:style>
  <w:style w:type="paragraph" w:styleId="TOC3">
    <w:name w:val="toc 3"/>
    <w:basedOn w:val="Normal"/>
    <w:next w:val="Normal"/>
    <w:uiPriority w:val="39"/>
    <w:rsid w:val="001B2C65"/>
    <w:pPr>
      <w:tabs>
        <w:tab w:val="right" w:leader="underscore" w:pos="8164"/>
      </w:tabs>
      <w:spacing w:after="227"/>
      <w:ind w:left="907" w:right="851"/>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uiPriority w:val="39"/>
    <w:rsid w:val="0096618E"/>
    <w:pPr>
      <w:tabs>
        <w:tab w:val="right" w:leader="underscore" w:pos="8165"/>
      </w:tabs>
      <w:spacing w:after="227"/>
      <w:ind w:right="851"/>
    </w:pPr>
    <w:rPr>
      <w:b/>
      <w:color w:val="9778B4"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uiPriority w:val="39"/>
    <w:rsid w:val="00961DBB"/>
    <w:pPr>
      <w:tabs>
        <w:tab w:val="right" w:leader="dot" w:pos="9582"/>
      </w:tabs>
      <w:spacing w:after="227"/>
      <w:ind w:right="907"/>
    </w:pPr>
    <w:rPr>
      <w:color w:val="9778B4" w:themeColor="text2"/>
    </w:rPr>
  </w:style>
  <w:style w:type="paragraph" w:styleId="TOCHeading">
    <w:name w:val="TOC Heading"/>
    <w:basedOn w:val="Normal"/>
    <w:uiPriority w:val="39"/>
    <w:rsid w:val="00733970"/>
    <w:pPr>
      <w:tabs>
        <w:tab w:val="left" w:pos="1134"/>
        <w:tab w:val="left" w:pos="2268"/>
        <w:tab w:val="left" w:pos="3402"/>
        <w:tab w:val="left" w:pos="4536"/>
        <w:tab w:val="left" w:pos="5103"/>
      </w:tabs>
      <w:spacing w:before="480" w:after="340" w:line="240" w:lineRule="auto"/>
    </w:pPr>
    <w:rPr>
      <w:rFonts w:asciiTheme="majorHAnsi" w:hAnsiTheme="majorHAnsi"/>
      <w:color w:val="9778B4" w:themeColor="text2"/>
      <w:sz w:val="40"/>
      <w:szCs w:val="40"/>
    </w:rPr>
  </w:style>
  <w:style w:type="paragraph" w:customStyle="1" w:styleId="TOFHeading">
    <w:name w:val="TOF Heading"/>
    <w:basedOn w:val="Normal"/>
    <w:uiPriority w:val="39"/>
    <w:rsid w:val="00961DBB"/>
    <w:pPr>
      <w:keepNext/>
      <w:tabs>
        <w:tab w:val="left" w:pos="2268"/>
      </w:tabs>
      <w:spacing w:before="300" w:after="120"/>
    </w:pPr>
    <w:rPr>
      <w:color w:val="9778B4" w:themeColor="text2"/>
      <w:sz w:val="28"/>
      <w:szCs w:val="32"/>
    </w:rPr>
  </w:style>
  <w:style w:type="paragraph" w:customStyle="1" w:styleId="xDisclaimerHeading">
    <w:name w:val="xDisclaimer Heading"/>
    <w:basedOn w:val="Normal"/>
    <w:link w:val="xDisclaimerHeadingChar"/>
    <w:uiPriority w:val="39"/>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uiPriority w:val="39"/>
    <w:rsid w:val="00AC41CF"/>
    <w:rPr>
      <w:b/>
    </w:rPr>
  </w:style>
  <w:style w:type="paragraph" w:customStyle="1" w:styleId="xDisclaimerText">
    <w:name w:val="xDisclaimer Text"/>
    <w:basedOn w:val="Normal"/>
    <w:uiPriority w:val="39"/>
    <w:rsid w:val="00961DBB"/>
    <w:pPr>
      <w:spacing w:after="57" w:line="302" w:lineRule="atLeast"/>
    </w:pPr>
    <w:rPr>
      <w:rFonts w:cs="Times New Roman"/>
    </w:rPr>
  </w:style>
  <w:style w:type="paragraph" w:customStyle="1" w:styleId="xDisclaimerText2">
    <w:name w:val="xDisclaimer Text 2"/>
    <w:basedOn w:val="xDisclaimerHeading"/>
    <w:uiPriority w:val="39"/>
    <w:rsid w:val="00961DBB"/>
    <w:pPr>
      <w:framePr w:wrap="around"/>
      <w:spacing w:before="0" w:after="170" w:line="302" w:lineRule="atLeast"/>
    </w:pPr>
    <w:rPr>
      <w:b w:val="0"/>
    </w:rPr>
  </w:style>
  <w:style w:type="paragraph" w:customStyle="1" w:styleId="xDisclaimertext3">
    <w:name w:val="xDisclaimer text 3"/>
    <w:basedOn w:val="xDisclaimerText"/>
    <w:uiPriority w:val="39"/>
    <w:rsid w:val="00961DBB"/>
    <w:pPr>
      <w:spacing w:before="170" w:after="170"/>
    </w:pPr>
  </w:style>
  <w:style w:type="paragraph" w:customStyle="1" w:styleId="xInlineShape">
    <w:name w:val="xInlineShape"/>
    <w:basedOn w:val="Normal"/>
    <w:next w:val="BodyText"/>
    <w:uiPriority w:val="39"/>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1400" w:lineRule="exact"/>
      <w:jc w:val="center"/>
    </w:pPr>
    <w:rPr>
      <w:caps/>
      <w:color w:val="EAEAEA"/>
      <w:spacing w:val="40"/>
      <w:sz w:val="140"/>
    </w:rPr>
  </w:style>
  <w:style w:type="paragraph" w:customStyle="1" w:styleId="xDisclaimerHeadingwithxDisclaimerText">
    <w:name w:val="xDisclaimer Heading (with xDisclaimer Text)"/>
    <w:basedOn w:val="xDisclaimerHeading"/>
    <w:link w:val="xDisclaimerHeadingwithxDisclaimerTextChar"/>
    <w:uiPriority w:val="39"/>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uiPriority w:val="39"/>
    <w:rsid w:val="00AC41CF"/>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uiPriority w:val="39"/>
    <w:rsid w:val="00FD6119"/>
    <w:pPr>
      <w:spacing w:before="240"/>
    </w:pPr>
  </w:style>
  <w:style w:type="paragraph" w:customStyle="1" w:styleId="xBackPageWebAddress">
    <w:name w:val="xBack Page Web Address"/>
    <w:basedOn w:val="Normal"/>
    <w:uiPriority w:val="39"/>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uiPriority w:val="39"/>
    <w:rsid w:val="00A12C39"/>
    <w:pPr>
      <w:numPr>
        <w:numId w:val="0"/>
      </w:numPr>
    </w:pPr>
  </w:style>
  <w:style w:type="paragraph" w:styleId="TableofFigures">
    <w:name w:val="table of figures"/>
    <w:basedOn w:val="Normal"/>
    <w:next w:val="Normal"/>
    <w:uiPriority w:val="39"/>
    <w:rsid w:val="00D64CE2"/>
    <w:pPr>
      <w:tabs>
        <w:tab w:val="right" w:leader="underscore" w:pos="8165"/>
      </w:tabs>
      <w:spacing w:after="80"/>
      <w:ind w:right="851"/>
    </w:pPr>
  </w:style>
  <w:style w:type="paragraph" w:customStyle="1" w:styleId="SectionHeadingNoTOC">
    <w:name w:val="Section Heading No TOC"/>
    <w:basedOn w:val="SectionHeading"/>
    <w:uiPriority w:val="39"/>
    <w:rsid w:val="00E45766"/>
  </w:style>
  <w:style w:type="paragraph" w:customStyle="1" w:styleId="TableTextCentred">
    <w:name w:val="Table Text Centred"/>
    <w:basedOn w:val="TableText"/>
    <w:uiPriority w:val="18"/>
    <w:qFormat/>
    <w:rsid w:val="00AE1CC1"/>
    <w:pPr>
      <w:jc w:val="center"/>
    </w:pPr>
    <w:rPr>
      <w:rFonts w:eastAsia="Times New Roman"/>
      <w:lang w:eastAsia="en-AU"/>
    </w:rPr>
  </w:style>
  <w:style w:type="paragraph" w:customStyle="1" w:styleId="FooterRightPageNumberLS">
    <w:name w:val="Footer Right Page Number LS"/>
    <w:basedOn w:val="Normal"/>
    <w:uiPriority w:val="39"/>
    <w:rsid w:val="004E0E49"/>
    <w:pPr>
      <w:framePr w:wrap="auto" w:hAnchor="text" w:x="1"/>
      <w:spacing w:before="180" w:after="120" w:line="240" w:lineRule="auto"/>
      <w:ind w:right="283"/>
      <w:jc w:val="right"/>
    </w:pPr>
    <w:rPr>
      <w:rFonts w:eastAsia="Times New Roman" w:cs="Arial"/>
      <w:b/>
      <w:noProof/>
      <w:color w:val="3D4D7D"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customStyle="1" w:styleId="PBOheader">
    <w:name w:val="PBO header"/>
    <w:basedOn w:val="Header"/>
    <w:uiPriority w:val="39"/>
    <w:rsid w:val="0046444F"/>
    <w:pPr>
      <w:spacing w:before="1320" w:after="114"/>
      <w:ind w:left="6521"/>
    </w:pPr>
    <w:rPr>
      <w:rFonts w:ascii="Arial" w:hAnsi="Arial" w:cs="Arial"/>
      <w:b/>
      <w:sz w:val="18"/>
      <w:szCs w:val="18"/>
    </w:rPr>
  </w:style>
  <w:style w:type="paragraph" w:customStyle="1" w:styleId="Letterfooter">
    <w:name w:val="Letter footer"/>
    <w:basedOn w:val="Footer"/>
    <w:uiPriority w:val="39"/>
    <w:rsid w:val="0046444F"/>
    <w:pPr>
      <w:tabs>
        <w:tab w:val="center" w:pos="4513"/>
        <w:tab w:val="right" w:pos="9026"/>
      </w:tabs>
      <w:spacing w:after="113"/>
      <w:ind w:right="-618" w:hanging="709"/>
      <w:jc w:val="center"/>
    </w:pPr>
    <w:rPr>
      <w:rFonts w:ascii="Arial" w:hAnsi="Arial" w:cs="Arial"/>
      <w:b w:val="0"/>
      <w:sz w:val="17"/>
      <w:szCs w:val="17"/>
    </w:rPr>
  </w:style>
  <w:style w:type="table" w:styleId="LightGrid-Accent6">
    <w:name w:val="Light Grid Accent 6"/>
    <w:basedOn w:val="TableNormal"/>
    <w:uiPriority w:val="62"/>
    <w:rsid w:val="00441A6D"/>
    <w:pPr>
      <w:spacing w:line="240" w:lineRule="auto"/>
    </w:pPr>
    <w:tblPr>
      <w:tblStyleRowBandSize w:val="1"/>
      <w:tblStyleColBandSize w:val="1"/>
      <w:tblBorders>
        <w:top w:val="single" w:sz="8" w:space="0" w:color="788183" w:themeColor="accent6"/>
        <w:left w:val="single" w:sz="8" w:space="0" w:color="788183" w:themeColor="accent6"/>
        <w:bottom w:val="single" w:sz="8" w:space="0" w:color="788183" w:themeColor="accent6"/>
        <w:right w:val="single" w:sz="8" w:space="0" w:color="788183" w:themeColor="accent6"/>
        <w:insideH w:val="single" w:sz="8" w:space="0" w:color="788183" w:themeColor="accent6"/>
        <w:insideV w:val="single" w:sz="8" w:space="0" w:color="78818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18" w:space="0" w:color="788183" w:themeColor="accent6"/>
          <w:right w:val="single" w:sz="8" w:space="0" w:color="788183" w:themeColor="accent6"/>
          <w:insideH w:val="nil"/>
          <w:insideV w:val="single" w:sz="8" w:space="0" w:color="78818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8183" w:themeColor="accent6"/>
          <w:left w:val="single" w:sz="8" w:space="0" w:color="788183" w:themeColor="accent6"/>
          <w:bottom w:val="single" w:sz="8" w:space="0" w:color="788183" w:themeColor="accent6"/>
          <w:right w:val="single" w:sz="8" w:space="0" w:color="788183" w:themeColor="accent6"/>
          <w:insideH w:val="nil"/>
          <w:insideV w:val="single" w:sz="8" w:space="0" w:color="788183" w:themeColor="accent6"/>
        </w:tcBorders>
      </w:tcPr>
    </w:tblStylePr>
    <w:tblStylePr w:type="firstCol">
      <w:rPr>
        <w:rFonts w:asciiTheme="majorHAnsi" w:eastAsiaTheme="majorEastAsia" w:hAnsiTheme="majorHAnsi" w:cstheme="majorBidi"/>
        <w:b w:val="0"/>
        <w:bCs/>
      </w:rPr>
    </w:tblStylePr>
    <w:tblStylePr w:type="lastCol">
      <w:rPr>
        <w:rFonts w:asciiTheme="majorHAnsi" w:eastAsiaTheme="majorEastAsia" w:hAnsiTheme="majorHAnsi" w:cstheme="majorBidi"/>
        <w:b/>
        <w:bCs/>
      </w:rPr>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tcPr>
    </w:tblStylePr>
    <w:tblStylePr w:type="band1Vert">
      <w:tblPr/>
      <w:tcPr>
        <w:tcBorders>
          <w:top w:val="single" w:sz="8" w:space="0" w:color="788183" w:themeColor="accent6"/>
          <w:left w:val="single" w:sz="8" w:space="0" w:color="788183" w:themeColor="accent6"/>
          <w:bottom w:val="single" w:sz="8" w:space="0" w:color="788183" w:themeColor="accent6"/>
          <w:right w:val="single" w:sz="8" w:space="0" w:color="788183" w:themeColor="accent6"/>
        </w:tcBorders>
        <w:shd w:val="clear" w:color="auto" w:fill="DDDFE0" w:themeFill="accent6" w:themeFillTint="3F"/>
      </w:tcPr>
    </w:tblStylePr>
    <w:tblStylePr w:type="band1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shd w:val="clear" w:color="auto" w:fill="DDDFE0" w:themeFill="accent6" w:themeFillTint="3F"/>
      </w:tcPr>
    </w:tblStylePr>
    <w:tblStylePr w:type="band2Horz">
      <w:tblPr/>
      <w:tcPr>
        <w:tcBorders>
          <w:top w:val="single" w:sz="8" w:space="0" w:color="788183" w:themeColor="accent6"/>
          <w:left w:val="single" w:sz="8" w:space="0" w:color="788183" w:themeColor="accent6"/>
          <w:bottom w:val="single" w:sz="8" w:space="0" w:color="788183" w:themeColor="accent6"/>
          <w:right w:val="single" w:sz="8" w:space="0" w:color="788183" w:themeColor="accent6"/>
          <w:insideV w:val="single" w:sz="8" w:space="0" w:color="788183" w:themeColor="accent6"/>
        </w:tcBorders>
      </w:tcPr>
    </w:tblStylePr>
  </w:style>
  <w:style w:type="table" w:styleId="LightGrid-Accent3">
    <w:name w:val="Light Grid Accent 3"/>
    <w:basedOn w:val="TableNormal"/>
    <w:uiPriority w:val="62"/>
    <w:rsid w:val="008112CC"/>
    <w:pPr>
      <w:spacing w:line="240" w:lineRule="auto"/>
    </w:pPr>
    <w:tblPr>
      <w:tblStyleRowBandSize w:val="1"/>
      <w:tblStyleColBandSize w:val="1"/>
      <w:tblBorders>
        <w:top w:val="single" w:sz="8" w:space="0" w:color="F1873D" w:themeColor="accent3"/>
        <w:left w:val="single" w:sz="8" w:space="0" w:color="F1873D" w:themeColor="accent3"/>
        <w:bottom w:val="single" w:sz="8" w:space="0" w:color="F1873D" w:themeColor="accent3"/>
        <w:right w:val="single" w:sz="8" w:space="0" w:color="F1873D" w:themeColor="accent3"/>
        <w:insideH w:val="single" w:sz="8" w:space="0" w:color="F1873D" w:themeColor="accent3"/>
        <w:insideV w:val="single" w:sz="8" w:space="0" w:color="F187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18" w:space="0" w:color="F1873D" w:themeColor="accent3"/>
          <w:right w:val="single" w:sz="8" w:space="0" w:color="F1873D" w:themeColor="accent3"/>
          <w:insideH w:val="nil"/>
          <w:insideV w:val="single" w:sz="8" w:space="0" w:color="F187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873D" w:themeColor="accent3"/>
          <w:left w:val="single" w:sz="8" w:space="0" w:color="F1873D" w:themeColor="accent3"/>
          <w:bottom w:val="single" w:sz="8" w:space="0" w:color="F1873D" w:themeColor="accent3"/>
          <w:right w:val="single" w:sz="8" w:space="0" w:color="F1873D" w:themeColor="accent3"/>
          <w:insideH w:val="nil"/>
          <w:insideV w:val="single" w:sz="8" w:space="0" w:color="F187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tcPr>
    </w:tblStylePr>
    <w:tblStylePr w:type="band1Vert">
      <w:tblPr/>
      <w:tcPr>
        <w:tcBorders>
          <w:top w:val="single" w:sz="8" w:space="0" w:color="F1873D" w:themeColor="accent3"/>
          <w:left w:val="single" w:sz="8" w:space="0" w:color="F1873D" w:themeColor="accent3"/>
          <w:bottom w:val="single" w:sz="8" w:space="0" w:color="F1873D" w:themeColor="accent3"/>
          <w:right w:val="single" w:sz="8" w:space="0" w:color="F1873D" w:themeColor="accent3"/>
        </w:tcBorders>
        <w:shd w:val="clear" w:color="auto" w:fill="FBE1CE" w:themeFill="accent3" w:themeFillTint="3F"/>
      </w:tcPr>
    </w:tblStylePr>
    <w:tblStylePr w:type="band1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shd w:val="clear" w:color="auto" w:fill="FBE1CE" w:themeFill="accent3" w:themeFillTint="3F"/>
      </w:tcPr>
    </w:tblStylePr>
    <w:tblStylePr w:type="band2Horz">
      <w:tblPr/>
      <w:tcPr>
        <w:tcBorders>
          <w:top w:val="single" w:sz="8" w:space="0" w:color="F1873D" w:themeColor="accent3"/>
          <w:left w:val="single" w:sz="8" w:space="0" w:color="F1873D" w:themeColor="accent3"/>
          <w:bottom w:val="single" w:sz="8" w:space="0" w:color="F1873D" w:themeColor="accent3"/>
          <w:right w:val="single" w:sz="8" w:space="0" w:color="F1873D" w:themeColor="accent3"/>
          <w:insideV w:val="single" w:sz="8" w:space="0" w:color="F1873D" w:themeColor="accent3"/>
        </w:tcBorders>
      </w:tcPr>
    </w:tblStylePr>
  </w:style>
  <w:style w:type="paragraph" w:customStyle="1" w:styleId="Lettertext">
    <w:name w:val="Letter text"/>
    <w:basedOn w:val="BodyText"/>
    <w:qFormat/>
    <w:rsid w:val="00B96341"/>
    <w:pPr>
      <w:spacing w:before="240" w:after="0"/>
    </w:pPr>
    <w:rPr>
      <w:rFonts w:ascii="Calibri" w:hAnsi="Calibri"/>
      <w:spacing w:val="0"/>
    </w:rPr>
  </w:style>
  <w:style w:type="paragraph" w:customStyle="1" w:styleId="TableTextRightItalic">
    <w:name w:val="Table Text Right Italic"/>
    <w:basedOn w:val="TableTextRight"/>
    <w:uiPriority w:val="21"/>
    <w:qFormat/>
    <w:rsid w:val="00120A75"/>
    <w:rPr>
      <w:i/>
    </w:rPr>
  </w:style>
  <w:style w:type="character" w:styleId="FollowedHyperlink">
    <w:name w:val="FollowedHyperlink"/>
    <w:basedOn w:val="DefaultParagraphFont"/>
    <w:semiHidden/>
    <w:unhideWhenUsed/>
    <w:rsid w:val="003B47BC"/>
    <w:rPr>
      <w:color w:val="3D4D7D" w:themeColor="followedHyperlink"/>
      <w:u w:val="single"/>
    </w:rPr>
  </w:style>
  <w:style w:type="paragraph" w:customStyle="1" w:styleId="TableTextRightBold">
    <w:name w:val="Table Text Right Bold"/>
    <w:basedOn w:val="TableTextRight"/>
    <w:uiPriority w:val="20"/>
    <w:qFormat/>
    <w:rsid w:val="00066D54"/>
    <w:rPr>
      <w:b/>
    </w:rPr>
  </w:style>
  <w:style w:type="paragraph" w:styleId="Bibliography">
    <w:name w:val="Bibliography"/>
    <w:basedOn w:val="Normal"/>
    <w:next w:val="Normal"/>
    <w:uiPriority w:val="39"/>
    <w:unhideWhenUsed/>
    <w:rsid w:val="00DF2134"/>
  </w:style>
  <w:style w:type="paragraph" w:customStyle="1" w:styleId="Heading1spacebefore">
    <w:name w:val="Heading 1 space before"/>
    <w:basedOn w:val="Heading1"/>
    <w:link w:val="Heading1spacebeforeChar"/>
    <w:uiPriority w:val="39"/>
    <w:qFormat/>
    <w:rsid w:val="00482F63"/>
    <w:pPr>
      <w:spacing w:before="720"/>
    </w:pPr>
  </w:style>
  <w:style w:type="character" w:customStyle="1" w:styleId="Heading1spacebeforeChar">
    <w:name w:val="Heading 1 space before Char"/>
    <w:basedOn w:val="Heading1Char"/>
    <w:link w:val="Heading1spacebefore"/>
    <w:uiPriority w:val="39"/>
    <w:rsid w:val="00482F63"/>
    <w:rPr>
      <w:rFonts w:ascii="Calibri" w:hAnsi="Calibri"/>
      <w:bCs/>
      <w:color w:val="9778B4" w:themeColor="text2"/>
      <w:spacing w:val="-6"/>
      <w:kern w:val="32"/>
      <w:sz w:val="30"/>
      <w:szCs w:val="32"/>
    </w:rPr>
  </w:style>
  <w:style w:type="character" w:styleId="CommentReference">
    <w:name w:val="annotation reference"/>
    <w:basedOn w:val="DefaultParagraphFont"/>
    <w:semiHidden/>
    <w:unhideWhenUsed/>
    <w:rsid w:val="009758AE"/>
    <w:rPr>
      <w:sz w:val="16"/>
      <w:szCs w:val="16"/>
    </w:rPr>
  </w:style>
  <w:style w:type="paragraph" w:styleId="CommentText">
    <w:name w:val="annotation text"/>
    <w:basedOn w:val="Normal"/>
    <w:link w:val="CommentTextChar"/>
    <w:semiHidden/>
    <w:unhideWhenUsed/>
    <w:rsid w:val="009758AE"/>
    <w:pPr>
      <w:spacing w:line="240" w:lineRule="auto"/>
    </w:pPr>
    <w:rPr>
      <w:sz w:val="20"/>
      <w:szCs w:val="20"/>
    </w:rPr>
  </w:style>
  <w:style w:type="character" w:customStyle="1" w:styleId="CommentTextChar">
    <w:name w:val="Comment Text Char"/>
    <w:basedOn w:val="DefaultParagraphFont"/>
    <w:link w:val="CommentText"/>
    <w:semiHidden/>
    <w:rsid w:val="009758AE"/>
    <w:rPr>
      <w:sz w:val="20"/>
      <w:szCs w:val="20"/>
    </w:rPr>
  </w:style>
  <w:style w:type="paragraph" w:styleId="CommentSubject">
    <w:name w:val="annotation subject"/>
    <w:basedOn w:val="CommentText"/>
    <w:next w:val="CommentText"/>
    <w:link w:val="CommentSubjectChar"/>
    <w:semiHidden/>
    <w:unhideWhenUsed/>
    <w:rsid w:val="009758AE"/>
    <w:rPr>
      <w:b/>
      <w:bCs/>
    </w:rPr>
  </w:style>
  <w:style w:type="character" w:customStyle="1" w:styleId="CommentSubjectChar">
    <w:name w:val="Comment Subject Char"/>
    <w:basedOn w:val="CommentTextChar"/>
    <w:link w:val="CommentSubject"/>
    <w:semiHidden/>
    <w:rsid w:val="009758AE"/>
    <w:rPr>
      <w:b/>
      <w:bCs/>
      <w:sz w:val="20"/>
      <w:szCs w:val="20"/>
    </w:rPr>
  </w:style>
  <w:style w:type="paragraph" w:styleId="ListParagraph">
    <w:name w:val="List Paragraph"/>
    <w:basedOn w:val="Normal"/>
    <w:uiPriority w:val="39"/>
    <w:rsid w:val="001C7F8D"/>
    <w:pPr>
      <w:ind w:left="720"/>
      <w:contextualSpacing/>
    </w:pPr>
  </w:style>
  <w:style w:type="paragraph" w:customStyle="1" w:styleId="Nameofproposal">
    <w:name w:val="Name of proposal"/>
    <w:basedOn w:val="PullOutBoxHeading"/>
    <w:link w:val="NameofproposalChar"/>
    <w:uiPriority w:val="39"/>
    <w:qFormat/>
    <w:rsid w:val="00210074"/>
    <w:pPr>
      <w:keepNext w:val="0"/>
      <w:keepLines w:val="0"/>
      <w:widowControl w:val="0"/>
      <w:spacing w:line="240" w:lineRule="auto"/>
      <w:ind w:left="0" w:right="0"/>
    </w:pPr>
    <w:rPr>
      <w:rFonts w:ascii="Calibri" w:hAnsi="Calibri"/>
    </w:rPr>
  </w:style>
  <w:style w:type="character" w:customStyle="1" w:styleId="PullOutBoxBodyTextChar">
    <w:name w:val="Pull Out Box Body Text Char"/>
    <w:basedOn w:val="DefaultParagraphFont"/>
    <w:link w:val="PullOutBoxBodyText"/>
    <w:uiPriority w:val="24"/>
    <w:rsid w:val="00210074"/>
    <w:rPr>
      <w:spacing w:val="-1"/>
    </w:rPr>
  </w:style>
  <w:style w:type="character" w:customStyle="1" w:styleId="PullOutBoxHeadingChar">
    <w:name w:val="Pull Out Box Heading Char"/>
    <w:basedOn w:val="PullOutBoxBodyTextChar"/>
    <w:link w:val="PullOutBoxHeading"/>
    <w:uiPriority w:val="23"/>
    <w:rsid w:val="00210074"/>
    <w:rPr>
      <w:b/>
      <w:spacing w:val="-1"/>
    </w:rPr>
  </w:style>
  <w:style w:type="character" w:customStyle="1" w:styleId="NameofproposalChar">
    <w:name w:val="Name of proposal Char"/>
    <w:basedOn w:val="PullOutBoxHeadingChar"/>
    <w:link w:val="Nameofproposal"/>
    <w:uiPriority w:val="39"/>
    <w:rsid w:val="00210074"/>
    <w:rPr>
      <w:rFonts w:ascii="Calibri" w:hAnsi="Calibri"/>
      <w:b/>
      <w:spacing w:val="-1"/>
    </w:rPr>
  </w:style>
  <w:style w:type="paragraph" w:styleId="Revision">
    <w:name w:val="Revision"/>
    <w:hidden/>
    <w:uiPriority w:val="99"/>
    <w:semiHidden/>
    <w:rsid w:val="00EE3226"/>
    <w:pPr>
      <w:spacing w:line="240" w:lineRule="auto"/>
    </w:pPr>
  </w:style>
  <w:style w:type="paragraph" w:customStyle="1" w:styleId="Letterbullet">
    <w:name w:val="Letter bullet"/>
    <w:basedOn w:val="Lettertext"/>
    <w:uiPriority w:val="1"/>
    <w:qFormat/>
    <w:rsid w:val="009D7EE0"/>
    <w:pPr>
      <w:numPr>
        <w:numId w:val="37"/>
      </w:numPr>
      <w:ind w:left="284" w:hanging="284"/>
    </w:pPr>
    <w:rPr>
      <w:rFonts w:asciiTheme="minorHAnsi" w:hAnsiTheme="minorHAnsi"/>
    </w:rPr>
  </w:style>
  <w:style w:type="paragraph" w:customStyle="1" w:styleId="Footnotes">
    <w:name w:val="Footnotes"/>
    <w:basedOn w:val="FootnoteText"/>
    <w:link w:val="FootnotesChar"/>
    <w:uiPriority w:val="39"/>
    <w:qFormat/>
    <w:rsid w:val="00EE1B0F"/>
    <w:pPr>
      <w:ind w:left="113" w:hanging="113"/>
    </w:pPr>
  </w:style>
  <w:style w:type="character" w:customStyle="1" w:styleId="FootnotesChar">
    <w:name w:val="Footnotes Char"/>
    <w:basedOn w:val="FootnoteTextChar"/>
    <w:link w:val="Footnotes"/>
    <w:uiPriority w:val="39"/>
    <w:rsid w:val="00EE1B0F"/>
    <w:rPr>
      <w:kern w:val="16"/>
      <w:sz w:val="18"/>
    </w:rPr>
  </w:style>
  <w:style w:type="table" w:styleId="TableGridLight">
    <w:name w:val="Grid Table Light"/>
    <w:basedOn w:val="TableNormal"/>
    <w:uiPriority w:val="40"/>
    <w:rsid w:val="00030E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1382709790">
      <w:bodyDiv w:val="1"/>
      <w:marLeft w:val="0"/>
      <w:marRight w:val="0"/>
      <w:marTop w:val="0"/>
      <w:marBottom w:val="0"/>
      <w:divBdr>
        <w:top w:val="none" w:sz="0" w:space="0" w:color="auto"/>
        <w:left w:val="none" w:sz="0" w:space="0" w:color="auto"/>
        <w:bottom w:val="none" w:sz="0" w:space="0" w:color="auto"/>
        <w:right w:val="none" w:sz="0" w:space="0" w:color="auto"/>
      </w:divBdr>
    </w:div>
    <w:div w:id="20424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articles?id=10.1257/aer.20172043" TargetMode="External"/><Relationship Id="rId13" Type="http://schemas.openxmlformats.org/officeDocument/2006/relationships/hyperlink" Target="https://www.aeaweb.org/articles?id=10.1257/pol.20150290"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pglobal.com/spdji/en/indices/equity/all-ordinari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elogic.com.au/news/length-home-ownership-continues-ri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fr.com/rich-lis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bs.gov.au/statistics/economy/finance/household-income-and-wealth-australia/201718"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taxpolicy.crawford.anu.edu.au/sites/default/files/publication/taxstudies_crawford_anu_edu_au/2016-04/d_ingles_taxation_of_wealth_final.pdf" TargetMode="External"/><Relationship Id="rId1" Type="http://schemas.openxmlformats.org/officeDocument/2006/relationships/hyperlink" Target="https://www.business.unsw.edu.au/research-site/publications-site/ejournaloftaxresearch-site/Documents/eJTR-Too-rich-to-rein-in-Vol-11-No-3pg43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27A57A2DCD44609FEBCB9C1BC854F1"/>
        <w:category>
          <w:name w:val="General"/>
          <w:gallery w:val="placeholder"/>
        </w:category>
        <w:types>
          <w:type w:val="bbPlcHdr"/>
        </w:types>
        <w:behaviors>
          <w:behavior w:val="content"/>
        </w:behaviors>
        <w:guid w:val="{C65824CF-D450-478C-832E-0F7B0004DDAD}"/>
      </w:docPartPr>
      <w:docPartBody>
        <w:p w:rsidR="00BA5022" w:rsidRDefault="00BA5022">
          <w:pPr>
            <w:pStyle w:val="8D27A57A2DCD44609FEBCB9C1BC854F1"/>
          </w:pPr>
          <w:r w:rsidRPr="0092533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22"/>
    <w:rsid w:val="000E454F"/>
    <w:rsid w:val="001270AF"/>
    <w:rsid w:val="001E7187"/>
    <w:rsid w:val="00251EA1"/>
    <w:rsid w:val="00375E95"/>
    <w:rsid w:val="004473B2"/>
    <w:rsid w:val="005A1846"/>
    <w:rsid w:val="006A3283"/>
    <w:rsid w:val="008306C1"/>
    <w:rsid w:val="0099715D"/>
    <w:rsid w:val="00B10205"/>
    <w:rsid w:val="00B903CA"/>
    <w:rsid w:val="00BA5022"/>
    <w:rsid w:val="00C85B00"/>
    <w:rsid w:val="00D71978"/>
    <w:rsid w:val="00DE2714"/>
    <w:rsid w:val="00E24667"/>
    <w:rsid w:val="00EF7ACC"/>
    <w:rsid w:val="00F44D23"/>
    <w:rsid w:val="00FB1F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39"/>
    <w:rPr>
      <w:color w:val="808080"/>
    </w:rPr>
  </w:style>
  <w:style w:type="paragraph" w:customStyle="1" w:styleId="A710467481C74A0189EF57FFA1E2F409">
    <w:name w:val="A710467481C74A0189EF57FFA1E2F409"/>
  </w:style>
  <w:style w:type="paragraph" w:customStyle="1" w:styleId="D80238D40B844B8F85D0DF15530F401A">
    <w:name w:val="D80238D40B844B8F85D0DF15530F401A"/>
  </w:style>
  <w:style w:type="paragraph" w:customStyle="1" w:styleId="25F53997E8264B20959A5E2B682666A0">
    <w:name w:val="25F53997E8264B20959A5E2B682666A0"/>
  </w:style>
  <w:style w:type="paragraph" w:customStyle="1" w:styleId="6AC8A40923B1435AB2FB8D31FD6D5754">
    <w:name w:val="6AC8A40923B1435AB2FB8D31FD6D5754"/>
  </w:style>
  <w:style w:type="paragraph" w:customStyle="1" w:styleId="7D995A93293C447F99202CA6DF550952">
    <w:name w:val="7D995A93293C447F99202CA6DF550952"/>
  </w:style>
  <w:style w:type="paragraph" w:customStyle="1" w:styleId="6EDB3F3E99A34382A771A1E9993F6088">
    <w:name w:val="6EDB3F3E99A34382A771A1E9993F6088"/>
  </w:style>
  <w:style w:type="paragraph" w:customStyle="1" w:styleId="CA7FE1A8EE0A49BFB145FF4C3F28C9D2">
    <w:name w:val="CA7FE1A8EE0A49BFB145FF4C3F28C9D2"/>
  </w:style>
  <w:style w:type="paragraph" w:customStyle="1" w:styleId="8D27A57A2DCD44609FEBCB9C1BC854F1">
    <w:name w:val="8D27A57A2DCD44609FEBCB9C1BC85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PBO colours">
      <a:dk1>
        <a:srgbClr val="000000"/>
      </a:dk1>
      <a:lt1>
        <a:srgbClr val="FFFFFF"/>
      </a:lt1>
      <a:dk2>
        <a:srgbClr val="9778B4"/>
      </a:dk2>
      <a:lt2>
        <a:srgbClr val="3D4D7D"/>
      </a:lt2>
      <a:accent1>
        <a:srgbClr val="8D487F"/>
      </a:accent1>
      <a:accent2>
        <a:srgbClr val="C64E45"/>
      </a:accent2>
      <a:accent3>
        <a:srgbClr val="F1873D"/>
      </a:accent3>
      <a:accent4>
        <a:srgbClr val="FCC648"/>
      </a:accent4>
      <a:accent5>
        <a:srgbClr val="86BE57"/>
      </a:accent5>
      <a:accent6>
        <a:srgbClr val="788183"/>
      </a:accent6>
      <a:hlink>
        <a:srgbClr val="000000"/>
      </a:hlink>
      <a:folHlink>
        <a:srgbClr val="3D4D7D"/>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Com17</b:Tag>
    <b:SourceType>Report</b:SourceType>
    <b:Guid>{5D22630B-20D5-45CA-BA98-CA8033D5E870}</b:Guid>
    <b:Author>
      <b:Author>
        <b:Corporate>Commonwealth of Australia</b:Corporate>
      </b:Author>
    </b:Author>
    <b:Title>2017-18 Budget</b:Title>
    <b:Year>2017</b:Year>
    <b:Publisher>Commonwealth of Australia</b:Publisher>
    <b:City>Canberra</b:City>
    <b:RefOrder>1</b:RefOrder>
  </b:Source>
</b:Sources>
</file>

<file path=customXml/itemProps1.xml><?xml version="1.0" encoding="utf-8"?>
<ds:datastoreItem xmlns:ds="http://schemas.openxmlformats.org/officeDocument/2006/customXml" ds:itemID="{0336AF51-923C-4CE9-9E12-F7943F50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Parliamentary Budget Office</dc:creator>
  <cp:lastModifiedBy>Kuo, Suzy (PBO)</cp:lastModifiedBy>
  <cp:revision>5</cp:revision>
  <cp:lastPrinted>2021-03-25T00:33:00Z</cp:lastPrinted>
  <dcterms:created xsi:type="dcterms:W3CDTF">2021-03-28T23:52:00Z</dcterms:created>
  <dcterms:modified xsi:type="dcterms:W3CDTF">2021-04-01T01:57:00Z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H</vt:lpwstr>
  </property>
  <property fmtid="{D5CDD505-2E9C-101B-9397-08002B2CF9AE}" pid="7" name="xTOCApp">
    <vt:lpwstr>H</vt:lpwstr>
  </property>
  <property fmtid="{D5CDD505-2E9C-101B-9397-08002B2CF9AE}" pid="8" name="xNumberedBodyText">
    <vt:lpwstr>False</vt:lpwstr>
  </property>
  <property fmtid="{D5CDD505-2E9C-101B-9397-08002B2CF9AE}" pid="9" name="xCR">
    <vt:lpwstr>Heading</vt:lpwstr>
  </property>
  <property fmtid="{D5CDD505-2E9C-101B-9397-08002B2CF9AE}" pid="10" name="xHeadingsNumbered">
    <vt:lpwstr>0</vt:lpwstr>
  </property>
  <property fmtid="{D5CDD505-2E9C-101B-9397-08002B2CF9AE}" pid="11" name="xAppendixName">
    <vt:lpwstr>Attachment</vt:lpwstr>
  </property>
</Properties>
</file>