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C8E" w:rsidRPr="00963286" w:rsidRDefault="00103C8E" w:rsidP="009E105C">
      <w:pPr>
        <w:spacing w:before="720"/>
      </w:pPr>
      <w:bookmarkStart w:id="0" w:name="_GoBack"/>
      <w:bookmarkEnd w:id="0"/>
      <w:r w:rsidRPr="00963286">
        <w:t xml:space="preserve">Senator David </w:t>
      </w:r>
      <w:proofErr w:type="spellStart"/>
      <w:r w:rsidRPr="00963286">
        <w:t>Leyonhjelm</w:t>
      </w:r>
      <w:proofErr w:type="spellEnd"/>
    </w:p>
    <w:p w:rsidR="00103C8E" w:rsidRPr="00963286" w:rsidRDefault="00103C8E" w:rsidP="00103C8E">
      <w:pPr>
        <w:spacing w:before="0"/>
      </w:pPr>
      <w:r w:rsidRPr="00963286">
        <w:t>Liberal Democratic Party</w:t>
      </w:r>
    </w:p>
    <w:p w:rsidR="00103C8E" w:rsidRPr="00963286" w:rsidRDefault="00103C8E" w:rsidP="00103C8E">
      <w:pPr>
        <w:spacing w:before="0"/>
      </w:pPr>
      <w:r w:rsidRPr="00963286">
        <w:t>Parliament House</w:t>
      </w:r>
    </w:p>
    <w:p w:rsidR="00103C8E" w:rsidRPr="00963286" w:rsidRDefault="00103C8E" w:rsidP="00103C8E">
      <w:pPr>
        <w:spacing w:before="0"/>
      </w:pPr>
      <w:proofErr w:type="gramStart"/>
      <w:r w:rsidRPr="00963286">
        <w:t>CANBERRA  ACT</w:t>
      </w:r>
      <w:proofErr w:type="gramEnd"/>
      <w:r w:rsidRPr="00963286">
        <w:t xml:space="preserve">  2600 </w:t>
      </w:r>
    </w:p>
    <w:p w:rsidR="00103C8E" w:rsidRPr="00963286" w:rsidRDefault="00103C8E" w:rsidP="009E105C">
      <w:pPr>
        <w:spacing w:before="480"/>
      </w:pPr>
      <w:r w:rsidRPr="00963286">
        <w:t xml:space="preserve">Dear Senator David </w:t>
      </w:r>
      <w:proofErr w:type="spellStart"/>
      <w:r w:rsidRPr="00963286">
        <w:t>Leyonhjelm</w:t>
      </w:r>
      <w:proofErr w:type="spellEnd"/>
    </w:p>
    <w:p w:rsidR="00103C8E" w:rsidRPr="00963286" w:rsidRDefault="00103C8E" w:rsidP="009E105C">
      <w:r w:rsidRPr="00963286">
        <w:t xml:space="preserve">Please find attached a response to your costing request, </w:t>
      </w:r>
      <w:r w:rsidRPr="00963286">
        <w:rPr>
          <w:i/>
        </w:rPr>
        <w:t xml:space="preserve">Legalising marijuana </w:t>
      </w:r>
      <w:r w:rsidRPr="00963286">
        <w:t>(letter of 9 October 2015).</w:t>
      </w:r>
    </w:p>
    <w:p w:rsidR="00103C8E" w:rsidRDefault="00103C8E" w:rsidP="009E105C">
      <w:r w:rsidRPr="00695543">
        <w:t xml:space="preserve">As requested, this </w:t>
      </w:r>
      <w:r>
        <w:t>response</w:t>
      </w:r>
      <w:r w:rsidRPr="00695543">
        <w:t xml:space="preserve"> has </w:t>
      </w:r>
      <w:r>
        <w:t xml:space="preserve">not </w:t>
      </w:r>
      <w:r w:rsidRPr="00695543">
        <w:t>been prepared on a confidential basis</w:t>
      </w:r>
      <w:r>
        <w:t xml:space="preserve"> and will therefore be posted on the Parliamentary Budget Office website.</w:t>
      </w:r>
    </w:p>
    <w:p w:rsidR="00103C8E" w:rsidRDefault="00103C8E" w:rsidP="009E105C">
      <w:r w:rsidRPr="00963286">
        <w:t xml:space="preserve">If you have any queries about this costing, please do not hesitate to contact </w:t>
      </w:r>
      <w:r>
        <w:t xml:space="preserve">Andrew Watterson on </w:t>
      </w:r>
      <w:r w:rsidRPr="006C65C6">
        <w:t xml:space="preserve">(02) 6277 </w:t>
      </w:r>
      <w:r>
        <w:t xml:space="preserve">9543 or Tony McDonald on </w:t>
      </w:r>
      <w:r w:rsidRPr="006C65C6">
        <w:t xml:space="preserve">(02) 6277 </w:t>
      </w:r>
      <w:r>
        <w:t>9590.</w:t>
      </w:r>
    </w:p>
    <w:p w:rsidR="00103C8E" w:rsidRDefault="00103C8E" w:rsidP="009E105C">
      <w:r>
        <w:t>Yours sincerely</w:t>
      </w:r>
    </w:p>
    <w:p w:rsidR="00103C8E" w:rsidRDefault="00103C8E" w:rsidP="009E105C">
      <w:pPr>
        <w:spacing w:before="1200"/>
      </w:pPr>
      <w:r>
        <w:t>Phil Bowen</w:t>
      </w:r>
    </w:p>
    <w:p w:rsidR="00103C8E" w:rsidRDefault="00103C8E" w:rsidP="00103C8E">
      <w:pPr>
        <w:spacing w:before="120"/>
      </w:pPr>
      <w:r>
        <w:t xml:space="preserve">17 December 2015 </w:t>
      </w:r>
    </w:p>
    <w:p w:rsidR="00103C8E" w:rsidRPr="00E82EFE" w:rsidRDefault="00103C8E" w:rsidP="00103C8E"/>
    <w:p w:rsidR="003811CF" w:rsidRDefault="003811CF" w:rsidP="00DE5D03">
      <w:pPr>
        <w:pStyle w:val="Heading1"/>
        <w:sectPr w:rsidR="003811CF" w:rsidSect="000122B9">
          <w:headerReference w:type="default" r:id="rId9"/>
          <w:footerReference w:type="default" r:id="rId10"/>
          <w:headerReference w:type="first" r:id="rId11"/>
          <w:footerReference w:type="first" r:id="rId12"/>
          <w:pgSz w:w="11906" w:h="16838" w:code="9"/>
          <w:pgMar w:top="1418" w:right="1134" w:bottom="1134" w:left="1134" w:header="567" w:footer="567" w:gutter="0"/>
          <w:cols w:space="708"/>
          <w:titlePg/>
          <w:docGrid w:linePitch="360"/>
        </w:sectPr>
      </w:pPr>
    </w:p>
    <w:p w:rsidR="0041785D" w:rsidRPr="00662E1C" w:rsidRDefault="0041785D" w:rsidP="00DE5D03">
      <w:pPr>
        <w:pStyle w:val="Heading1"/>
      </w:pPr>
      <w:r w:rsidRPr="00E95CCF">
        <w:lastRenderedPageBreak/>
        <w:t>COSTING</w:t>
      </w:r>
      <w:r>
        <w:t xml:space="preserve"> – OUTSIDE THE CARETAKER PERIOD</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3695"/>
        <w:gridCol w:w="6159"/>
      </w:tblGrid>
      <w:tr w:rsidR="0041785D" w:rsidRPr="00CB0AF9" w:rsidTr="00D90E76">
        <w:trPr>
          <w:cantSplit/>
        </w:trPr>
        <w:tc>
          <w:tcPr>
            <w:tcW w:w="1875" w:type="pct"/>
            <w:shd w:val="pct15" w:color="auto" w:fill="FFFFFF" w:themeFill="background1"/>
          </w:tcPr>
          <w:p w:rsidR="0041785D" w:rsidRPr="00CB0AF9" w:rsidRDefault="00CB6E98" w:rsidP="00BA31A1">
            <w:pPr>
              <w:pStyle w:val="Heading2"/>
              <w:keepNext w:val="0"/>
              <w:keepLines w:val="0"/>
              <w:spacing w:before="120" w:after="120"/>
              <w:outlineLvl w:val="1"/>
            </w:pPr>
            <w:r w:rsidRPr="00CB0AF9">
              <w:t xml:space="preserve">Name of </w:t>
            </w:r>
            <w:r w:rsidR="00192F55" w:rsidRPr="00CB0AF9">
              <w:t>proposal</w:t>
            </w:r>
            <w:r w:rsidR="007A7320" w:rsidRPr="00CB0AF9">
              <w:t>:</w:t>
            </w:r>
          </w:p>
        </w:tc>
        <w:tc>
          <w:tcPr>
            <w:tcW w:w="3125" w:type="pct"/>
            <w:shd w:val="pct15" w:color="auto" w:fill="FFFFFF" w:themeFill="background1"/>
          </w:tcPr>
          <w:p w:rsidR="0041785D" w:rsidRPr="00CB0AF9" w:rsidRDefault="00DD1BC5" w:rsidP="00DD1BC5">
            <w:pPr>
              <w:keepNext w:val="0"/>
              <w:keepLines w:val="0"/>
              <w:spacing w:before="120" w:after="120"/>
            </w:pPr>
            <w:r>
              <w:rPr>
                <w:b/>
              </w:rPr>
              <w:t>Legalising marijuana</w:t>
            </w:r>
          </w:p>
        </w:tc>
      </w:tr>
      <w:tr w:rsidR="0041785D" w:rsidRPr="00390FD6" w:rsidTr="00D90E76">
        <w:trPr>
          <w:cantSplit/>
        </w:trPr>
        <w:tc>
          <w:tcPr>
            <w:tcW w:w="1875" w:type="pct"/>
          </w:tcPr>
          <w:p w:rsidR="0041785D" w:rsidRPr="00390FD6" w:rsidRDefault="0041785D" w:rsidP="00C87FBC">
            <w:pPr>
              <w:keepNext w:val="0"/>
              <w:keepLines w:val="0"/>
              <w:spacing w:before="120" w:after="120"/>
            </w:pPr>
            <w:r w:rsidRPr="00390FD6">
              <w:t xml:space="preserve">Summary of </w:t>
            </w:r>
            <w:r w:rsidR="00192F55" w:rsidRPr="00390FD6">
              <w:t>proposal</w:t>
            </w:r>
            <w:r w:rsidRPr="00390FD6">
              <w:t>:</w:t>
            </w:r>
          </w:p>
        </w:tc>
        <w:tc>
          <w:tcPr>
            <w:tcW w:w="3125" w:type="pct"/>
          </w:tcPr>
          <w:p w:rsidR="001F02D4" w:rsidRDefault="00226EA7" w:rsidP="00A5293C">
            <w:pPr>
              <w:keepNext w:val="0"/>
              <w:keepLines w:val="0"/>
              <w:spacing w:before="120" w:after="120"/>
            </w:pPr>
            <w:r w:rsidRPr="00A5293C">
              <w:t xml:space="preserve">The proposal would </w:t>
            </w:r>
            <w:r w:rsidR="00A5293C" w:rsidRPr="00A5293C">
              <w:t>l</w:t>
            </w:r>
            <w:r w:rsidR="001F02D4" w:rsidRPr="00A5293C">
              <w:t>egalise all marijuana/cannabis/hemp use by adults, as well as possession, cultivation, processing, transport, trade,</w:t>
            </w:r>
            <w:r w:rsidR="00A5293C" w:rsidRPr="00A5293C">
              <w:t xml:space="preserve"> import and export.</w:t>
            </w:r>
            <w:r w:rsidR="00261A2C">
              <w:t xml:space="preserve">  No excise w</w:t>
            </w:r>
            <w:r w:rsidR="00BA31A1">
              <w:t>ould</w:t>
            </w:r>
            <w:r w:rsidR="00261A2C">
              <w:t xml:space="preserve"> be imposed</w:t>
            </w:r>
            <w:r w:rsidR="001A1883">
              <w:t xml:space="preserve"> on marijuana</w:t>
            </w:r>
            <w:r w:rsidR="00261A2C">
              <w:t>.</w:t>
            </w:r>
          </w:p>
          <w:p w:rsidR="001A1883" w:rsidRDefault="001A1883" w:rsidP="00A5293C">
            <w:pPr>
              <w:keepNext w:val="0"/>
              <w:keepLines w:val="0"/>
              <w:spacing w:before="120" w:after="120"/>
            </w:pPr>
            <w:r w:rsidRPr="007B3D06">
              <w:t xml:space="preserve">This proposal would also </w:t>
            </w:r>
            <w:r w:rsidR="007B3D06" w:rsidRPr="007B3D06">
              <w:t xml:space="preserve">reduce </w:t>
            </w:r>
            <w:r w:rsidR="007B3D06" w:rsidRPr="008C3F95">
              <w:t xml:space="preserve">the budgets of </w:t>
            </w:r>
            <w:r w:rsidR="007B3D06">
              <w:t xml:space="preserve">relevant </w:t>
            </w:r>
            <w:r w:rsidR="00646745">
              <w:t>federal</w:t>
            </w:r>
            <w:r w:rsidR="007B3D06">
              <w:t xml:space="preserve"> agencies </w:t>
            </w:r>
            <w:r w:rsidR="00AC73B2">
              <w:t>including the A</w:t>
            </w:r>
            <w:r w:rsidR="008B6C4B">
              <w:t xml:space="preserve">ustralian </w:t>
            </w:r>
            <w:r w:rsidR="00AC73B2">
              <w:t>F</w:t>
            </w:r>
            <w:r w:rsidR="008B6C4B">
              <w:t xml:space="preserve">ederal </w:t>
            </w:r>
            <w:r w:rsidR="00AC73B2">
              <w:t>P</w:t>
            </w:r>
            <w:r w:rsidR="008B6C4B">
              <w:t>olice (AFP)</w:t>
            </w:r>
            <w:r w:rsidR="00AC73B2">
              <w:t>, A</w:t>
            </w:r>
            <w:r w:rsidR="008B6C4B">
              <w:t xml:space="preserve">ustralian </w:t>
            </w:r>
            <w:r w:rsidR="00AC73B2">
              <w:t>C</w:t>
            </w:r>
            <w:r w:rsidR="008B6C4B">
              <w:t xml:space="preserve">rime </w:t>
            </w:r>
            <w:r w:rsidR="00AC73B2">
              <w:t>C</w:t>
            </w:r>
            <w:r w:rsidR="008B6C4B">
              <w:t>ommission (ACC)</w:t>
            </w:r>
            <w:r w:rsidR="00AC73B2">
              <w:t xml:space="preserve">, </w:t>
            </w:r>
            <w:r w:rsidR="008B6C4B">
              <w:t xml:space="preserve">and </w:t>
            </w:r>
            <w:r w:rsidR="00C4585B">
              <w:t>the Australian</w:t>
            </w:r>
            <w:r w:rsidR="008B6C4B">
              <w:t xml:space="preserve"> </w:t>
            </w:r>
            <w:r w:rsidR="00AC73B2">
              <w:t>Border Force</w:t>
            </w:r>
            <w:r w:rsidR="008B6C4B">
              <w:t xml:space="preserve"> (ABF)</w:t>
            </w:r>
            <w:r w:rsidR="00AC73B2">
              <w:t xml:space="preserve"> </w:t>
            </w:r>
            <w:r w:rsidR="007B3D06" w:rsidRPr="008C3F95">
              <w:t xml:space="preserve">by the level of funding directly associated with </w:t>
            </w:r>
            <w:r w:rsidR="001656BC">
              <w:t>marijuana</w:t>
            </w:r>
            <w:r w:rsidR="007B3D06" w:rsidRPr="008C3F95">
              <w:t xml:space="preserve"> law enforcement</w:t>
            </w:r>
            <w:r w:rsidR="007B3D06">
              <w:t>.</w:t>
            </w:r>
          </w:p>
          <w:p w:rsidR="0069763B" w:rsidRPr="00A5293C" w:rsidRDefault="0069763B" w:rsidP="00A5293C">
            <w:pPr>
              <w:keepNext w:val="0"/>
              <w:keepLines w:val="0"/>
              <w:spacing w:before="120" w:after="120"/>
            </w:pPr>
            <w:r>
              <w:t>An estimate of the effect of this proposal on</w:t>
            </w:r>
            <w:r w:rsidR="00453538">
              <w:t xml:space="preserve"> total</w:t>
            </w:r>
            <w:r>
              <w:t xml:space="preserve"> marijuana usage was also requested.</w:t>
            </w:r>
          </w:p>
          <w:p w:rsidR="001F02D4" w:rsidRPr="00390FD6" w:rsidRDefault="00A5293C" w:rsidP="001F02D4">
            <w:pPr>
              <w:autoSpaceDE w:val="0"/>
              <w:autoSpaceDN w:val="0"/>
              <w:adjustRightInd w:val="0"/>
              <w:spacing w:before="120" w:after="120"/>
            </w:pPr>
            <w:r w:rsidRPr="00A5293C">
              <w:t>The proposal would have effect from 1 July 2017.</w:t>
            </w:r>
          </w:p>
        </w:tc>
      </w:tr>
      <w:tr w:rsidR="0041785D" w:rsidRPr="00390FD6" w:rsidTr="00D90E76">
        <w:trPr>
          <w:cantSplit/>
        </w:trPr>
        <w:tc>
          <w:tcPr>
            <w:tcW w:w="1875" w:type="pct"/>
            <w:shd w:val="clear" w:color="auto" w:fill="auto"/>
          </w:tcPr>
          <w:p w:rsidR="0041785D" w:rsidRPr="00390FD6" w:rsidRDefault="0041785D" w:rsidP="00C87FBC">
            <w:pPr>
              <w:keepNext w:val="0"/>
              <w:keepLines w:val="0"/>
              <w:spacing w:before="120" w:after="120"/>
            </w:pPr>
            <w:r w:rsidRPr="00390FD6">
              <w:t>Person/party requesting costing:</w:t>
            </w:r>
          </w:p>
        </w:tc>
        <w:tc>
          <w:tcPr>
            <w:tcW w:w="3125" w:type="pct"/>
            <w:shd w:val="clear" w:color="auto" w:fill="auto"/>
          </w:tcPr>
          <w:p w:rsidR="00314090" w:rsidRPr="00390FD6" w:rsidRDefault="00DD1BC5" w:rsidP="00314090">
            <w:pPr>
              <w:keepNext w:val="0"/>
              <w:keepLines w:val="0"/>
              <w:spacing w:before="120" w:after="120"/>
            </w:pPr>
            <w:r>
              <w:t xml:space="preserve">Senator David </w:t>
            </w:r>
            <w:proofErr w:type="spellStart"/>
            <w:r>
              <w:t>Leyonhjelm</w:t>
            </w:r>
            <w:proofErr w:type="spellEnd"/>
            <w:r>
              <w:t>, Liberal Democratic Party</w:t>
            </w:r>
          </w:p>
        </w:tc>
      </w:tr>
      <w:tr w:rsidR="0041785D" w:rsidRPr="00390FD6" w:rsidTr="00D90E76">
        <w:trPr>
          <w:cantSplit/>
        </w:trPr>
        <w:tc>
          <w:tcPr>
            <w:tcW w:w="1875" w:type="pct"/>
            <w:shd w:val="clear" w:color="auto" w:fill="auto"/>
          </w:tcPr>
          <w:p w:rsidR="0041785D" w:rsidRPr="00390FD6" w:rsidRDefault="0041785D" w:rsidP="00C87FBC">
            <w:pPr>
              <w:keepNext w:val="0"/>
              <w:keepLines w:val="0"/>
              <w:spacing w:before="120" w:after="120"/>
            </w:pPr>
            <w:r w:rsidRPr="00390FD6">
              <w:t xml:space="preserve">Date </w:t>
            </w:r>
            <w:r w:rsidR="008A0C52" w:rsidRPr="00390FD6">
              <w:t>costing</w:t>
            </w:r>
            <w:r w:rsidR="0083582E" w:rsidRPr="00390FD6">
              <w:t xml:space="preserve"> request received</w:t>
            </w:r>
            <w:r w:rsidRPr="00390FD6">
              <w:t>:</w:t>
            </w:r>
          </w:p>
        </w:tc>
        <w:tc>
          <w:tcPr>
            <w:tcW w:w="3125" w:type="pct"/>
            <w:shd w:val="clear" w:color="auto" w:fill="auto"/>
          </w:tcPr>
          <w:p w:rsidR="0041785D" w:rsidRPr="00390FD6" w:rsidRDefault="00DD1BC5" w:rsidP="00C87FBC">
            <w:pPr>
              <w:keepNext w:val="0"/>
              <w:keepLines w:val="0"/>
              <w:spacing w:before="120" w:after="120"/>
            </w:pPr>
            <w:r>
              <w:t>9 October 2015</w:t>
            </w:r>
          </w:p>
        </w:tc>
      </w:tr>
      <w:tr w:rsidR="0041785D" w:rsidRPr="00390FD6" w:rsidTr="00D90E76">
        <w:trPr>
          <w:cantSplit/>
        </w:trPr>
        <w:tc>
          <w:tcPr>
            <w:tcW w:w="1875" w:type="pct"/>
            <w:tcBorders>
              <w:bottom w:val="single" w:sz="4" w:space="0" w:color="A6A6A6" w:themeColor="background1" w:themeShade="A6"/>
            </w:tcBorders>
            <w:shd w:val="clear" w:color="auto" w:fill="auto"/>
          </w:tcPr>
          <w:p w:rsidR="0041785D" w:rsidRPr="00390FD6" w:rsidRDefault="0041785D" w:rsidP="00C87FBC">
            <w:pPr>
              <w:keepNext w:val="0"/>
              <w:keepLines w:val="0"/>
              <w:spacing w:before="120" w:after="120"/>
            </w:pPr>
            <w:r w:rsidRPr="00390FD6">
              <w:t>Date costing completed:</w:t>
            </w:r>
          </w:p>
        </w:tc>
        <w:tc>
          <w:tcPr>
            <w:tcW w:w="3125" w:type="pct"/>
            <w:tcBorders>
              <w:bottom w:val="single" w:sz="4" w:space="0" w:color="A6A6A6" w:themeColor="background1" w:themeShade="A6"/>
            </w:tcBorders>
            <w:shd w:val="clear" w:color="auto" w:fill="auto"/>
          </w:tcPr>
          <w:p w:rsidR="0041785D" w:rsidRPr="00390FD6" w:rsidRDefault="00477FBD" w:rsidP="004465B9">
            <w:pPr>
              <w:keepNext w:val="0"/>
              <w:keepLines w:val="0"/>
              <w:spacing w:before="120" w:after="120"/>
              <w:rPr>
                <w:highlight w:val="yellow"/>
              </w:rPr>
            </w:pPr>
            <w:r w:rsidRPr="00DD307F">
              <w:t>1</w:t>
            </w:r>
            <w:r w:rsidR="004465B9">
              <w:t>7</w:t>
            </w:r>
            <w:r w:rsidRPr="00DD307F">
              <w:t xml:space="preserve"> December 2015</w:t>
            </w:r>
          </w:p>
        </w:tc>
      </w:tr>
      <w:tr w:rsidR="0041785D" w:rsidRPr="00390FD6" w:rsidTr="00D90E76">
        <w:trPr>
          <w:cantSplit/>
        </w:trPr>
        <w:tc>
          <w:tcPr>
            <w:tcW w:w="1875" w:type="pct"/>
            <w:tcBorders>
              <w:bottom w:val="single" w:sz="4" w:space="0" w:color="A6A6A6" w:themeColor="background1" w:themeShade="A6"/>
            </w:tcBorders>
            <w:shd w:val="clear" w:color="auto" w:fill="auto"/>
          </w:tcPr>
          <w:p w:rsidR="0041785D" w:rsidRPr="00390FD6" w:rsidRDefault="0021005C" w:rsidP="00C87FBC">
            <w:pPr>
              <w:keepNext w:val="0"/>
              <w:keepLines w:val="0"/>
              <w:spacing w:before="120" w:after="120"/>
            </w:pPr>
            <w:r w:rsidRPr="00390FD6">
              <w:t xml:space="preserve">Did the applicant </w:t>
            </w:r>
            <w:r w:rsidR="0041785D" w:rsidRPr="00390FD6">
              <w:t>request t</w:t>
            </w:r>
            <w:r w:rsidRPr="00390FD6">
              <w:t>he costing</w:t>
            </w:r>
            <w:r w:rsidR="0041785D" w:rsidRPr="00390FD6">
              <w:t xml:space="preserve"> be confidential?</w:t>
            </w:r>
          </w:p>
        </w:tc>
        <w:tc>
          <w:tcPr>
            <w:tcW w:w="3125" w:type="pct"/>
            <w:tcBorders>
              <w:bottom w:val="single" w:sz="4" w:space="0" w:color="A6A6A6" w:themeColor="background1" w:themeShade="A6"/>
            </w:tcBorders>
            <w:shd w:val="clear" w:color="auto" w:fill="auto"/>
          </w:tcPr>
          <w:p w:rsidR="0041785D" w:rsidRPr="00390FD6" w:rsidRDefault="00DD1BC5" w:rsidP="00C87FBC">
            <w:pPr>
              <w:keepNext w:val="0"/>
              <w:keepLines w:val="0"/>
              <w:spacing w:before="120" w:after="120"/>
              <w:rPr>
                <w:highlight w:val="yellow"/>
              </w:rPr>
            </w:pPr>
            <w:r w:rsidRPr="005B22EF">
              <w:t>No</w:t>
            </w:r>
            <w:r w:rsidR="00DA4325">
              <w:t>.</w:t>
            </w:r>
          </w:p>
        </w:tc>
      </w:tr>
      <w:tr w:rsidR="00390FD6" w:rsidRPr="00390FD6" w:rsidTr="00D90E76">
        <w:trPr>
          <w:cantSplit/>
        </w:trPr>
        <w:tc>
          <w:tcPr>
            <w:tcW w:w="1875" w:type="pct"/>
          </w:tcPr>
          <w:p w:rsidR="00390FD6" w:rsidRPr="00390FD6" w:rsidRDefault="00390FD6" w:rsidP="00C87FBC">
            <w:pPr>
              <w:keepNext w:val="0"/>
              <w:keepLines w:val="0"/>
              <w:spacing w:before="120" w:after="120"/>
            </w:pPr>
            <w:r w:rsidRPr="00390FD6">
              <w:t>Expiry date for the costing</w:t>
            </w:r>
            <w:r w:rsidR="007E181D">
              <w:t>:</w:t>
            </w:r>
          </w:p>
        </w:tc>
        <w:tc>
          <w:tcPr>
            <w:tcW w:w="3125" w:type="pct"/>
          </w:tcPr>
          <w:p w:rsidR="00390FD6" w:rsidRPr="00390FD6" w:rsidRDefault="00874424" w:rsidP="00C87FBC">
            <w:pPr>
              <w:keepNext w:val="0"/>
              <w:keepLines w:val="0"/>
              <w:spacing w:before="120" w:after="120"/>
              <w:rPr>
                <w:highlight w:val="yellow"/>
              </w:rPr>
            </w:pPr>
            <w:r w:rsidRPr="00874424">
              <w:t>Release of the next economic and fiscal outlook report.</w:t>
            </w:r>
          </w:p>
        </w:tc>
      </w:tr>
    </w:tbl>
    <w:p w:rsidR="006C4A71" w:rsidRPr="00DE5D03" w:rsidRDefault="00A55B5D" w:rsidP="008F5AA5">
      <w:pPr>
        <w:pStyle w:val="Heading2"/>
        <w:spacing w:after="240"/>
      </w:pPr>
      <w:r>
        <w:t>Costing overview</w:t>
      </w:r>
    </w:p>
    <w:p w:rsidR="00DB6B29" w:rsidRPr="00D44A64" w:rsidRDefault="00DB6B29" w:rsidP="00DB6B29">
      <w:pPr>
        <w:pStyle w:val="Bullet2"/>
        <w:numPr>
          <w:ilvl w:val="0"/>
          <w:numId w:val="0"/>
        </w:numPr>
        <w:spacing w:before="240"/>
      </w:pPr>
      <w:r w:rsidRPr="00D44A64">
        <w:t xml:space="preserve">This proposal </w:t>
      </w:r>
      <w:r w:rsidR="0098008A" w:rsidRPr="00D44A64">
        <w:t xml:space="preserve">would be </w:t>
      </w:r>
      <w:r w:rsidRPr="00D44A64">
        <w:t xml:space="preserve">expected to </w:t>
      </w:r>
      <w:r w:rsidR="00793A65" w:rsidRPr="00D44A64">
        <w:t>increase</w:t>
      </w:r>
      <w:r w:rsidRPr="00D44A64">
        <w:t xml:space="preserve"> the underlying cash balance by $</w:t>
      </w:r>
      <w:r w:rsidR="00000FD7" w:rsidRPr="00D44A64">
        <w:t>2</w:t>
      </w:r>
      <w:r w:rsidR="0010609E">
        <w:t>09</w:t>
      </w:r>
      <w:r w:rsidR="00000FD7" w:rsidRPr="00D44A64">
        <w:t> </w:t>
      </w:r>
      <w:r w:rsidRPr="00D44A64">
        <w:t xml:space="preserve">million and the fiscal </w:t>
      </w:r>
      <w:r w:rsidRPr="0010609E">
        <w:t>balance by $</w:t>
      </w:r>
      <w:r w:rsidR="00000FD7" w:rsidRPr="0010609E">
        <w:t>2</w:t>
      </w:r>
      <w:r w:rsidR="0010609E" w:rsidRPr="0010609E">
        <w:t>59</w:t>
      </w:r>
      <w:r w:rsidR="00000FD7" w:rsidRPr="0010609E">
        <w:t> </w:t>
      </w:r>
      <w:r w:rsidRPr="0010609E">
        <w:t>million over the 2015</w:t>
      </w:r>
      <w:r w:rsidRPr="00D44A64">
        <w:t>-16 Budget forward estimates period.  This</w:t>
      </w:r>
      <w:r w:rsidR="009E794B" w:rsidRPr="00D44A64">
        <w:t xml:space="preserve"> </w:t>
      </w:r>
      <w:r w:rsidRPr="00D44A64">
        <w:t xml:space="preserve">reflects </w:t>
      </w:r>
      <w:r w:rsidR="00991988" w:rsidRPr="00D44A64">
        <w:t xml:space="preserve">the net </w:t>
      </w:r>
      <w:r w:rsidR="00710B36" w:rsidRPr="00D44A64">
        <w:t xml:space="preserve">impact </w:t>
      </w:r>
      <w:r w:rsidR="00991988" w:rsidRPr="00D44A64">
        <w:t xml:space="preserve">of </w:t>
      </w:r>
      <w:r w:rsidRPr="00D44A64">
        <w:t>a</w:t>
      </w:r>
      <w:r w:rsidR="00563548" w:rsidRPr="00D44A64">
        <w:t>n</w:t>
      </w:r>
      <w:r w:rsidRPr="00D44A64">
        <w:t xml:space="preserve"> </w:t>
      </w:r>
      <w:r w:rsidR="00563548" w:rsidRPr="00D44A64">
        <w:t>in</w:t>
      </w:r>
      <w:r w:rsidRPr="00D44A64">
        <w:t xml:space="preserve">crease in </w:t>
      </w:r>
      <w:r w:rsidR="0069763B" w:rsidRPr="00D44A64">
        <w:t xml:space="preserve">GST </w:t>
      </w:r>
      <w:r w:rsidRPr="00D44A64">
        <w:t>revenue</w:t>
      </w:r>
      <w:r w:rsidR="00563548" w:rsidRPr="00D44A64">
        <w:t xml:space="preserve"> and </w:t>
      </w:r>
      <w:r w:rsidR="00BA31A1" w:rsidRPr="00D44A64">
        <w:t xml:space="preserve">a </w:t>
      </w:r>
      <w:r w:rsidR="00563548" w:rsidRPr="00D44A64">
        <w:t>decrease in</w:t>
      </w:r>
      <w:r w:rsidR="0069763B" w:rsidRPr="00D44A64">
        <w:t xml:space="preserve"> </w:t>
      </w:r>
      <w:r w:rsidR="009810D1">
        <w:t xml:space="preserve">federal </w:t>
      </w:r>
      <w:r w:rsidR="0069763B" w:rsidRPr="00D44A64">
        <w:t>law enforcement</w:t>
      </w:r>
      <w:r w:rsidR="00563548" w:rsidRPr="00D44A64">
        <w:t xml:space="preserve"> expenses</w:t>
      </w:r>
      <w:r w:rsidRPr="00D44A64">
        <w:t xml:space="preserve"> over this period.</w:t>
      </w:r>
    </w:p>
    <w:p w:rsidR="00134CFB" w:rsidRDefault="00134CFB" w:rsidP="00134CFB">
      <w:r w:rsidRPr="009A30DD">
        <w:t>The</w:t>
      </w:r>
      <w:r>
        <w:t xml:space="preserve"> fiscal balance</w:t>
      </w:r>
      <w:r w:rsidRPr="009A30DD">
        <w:t xml:space="preserve"> impact</w:t>
      </w:r>
      <w:r>
        <w:t xml:space="preserve"> </w:t>
      </w:r>
      <w:r w:rsidRPr="009A30DD">
        <w:t xml:space="preserve">of </w:t>
      </w:r>
      <w:r>
        <w:t>this</w:t>
      </w:r>
      <w:r w:rsidRPr="009A30DD">
        <w:t xml:space="preserve"> </w:t>
      </w:r>
      <w:r>
        <w:t>proposal differs from the underlying</w:t>
      </w:r>
      <w:r w:rsidRPr="009A30DD">
        <w:t xml:space="preserve"> </w:t>
      </w:r>
      <w:r>
        <w:t xml:space="preserve">cash </w:t>
      </w:r>
      <w:r w:rsidRPr="009A30DD">
        <w:t>balance impact</w:t>
      </w:r>
      <w:r>
        <w:t xml:space="preserve"> because the expense accrued in relation to </w:t>
      </w:r>
      <w:r w:rsidRPr="009A30DD">
        <w:t>GST</w:t>
      </w:r>
      <w:r>
        <w:t xml:space="preserve"> payments to the states and territories is based on GST cash collections each month, which lag behind the accrual of GST revenue that occurs when consumer spending occurs.</w:t>
      </w:r>
    </w:p>
    <w:p w:rsidR="00EB084A" w:rsidRPr="00D44A64" w:rsidRDefault="00134CFB" w:rsidP="00261A2C">
      <w:pPr>
        <w:rPr>
          <w:color w:val="2F3030"/>
        </w:rPr>
      </w:pPr>
      <w:r>
        <w:rPr>
          <w:color w:val="2F3030"/>
        </w:rPr>
        <w:t>As a result of a reduced requirement for law enforcement, t</w:t>
      </w:r>
      <w:r w:rsidR="00EB084A" w:rsidRPr="00D44A64">
        <w:rPr>
          <w:color w:val="2F3030"/>
        </w:rPr>
        <w:t xml:space="preserve">his proposal </w:t>
      </w:r>
      <w:r w:rsidR="0098008A" w:rsidRPr="00D44A64">
        <w:rPr>
          <w:color w:val="2F3030"/>
        </w:rPr>
        <w:t xml:space="preserve">would be </w:t>
      </w:r>
      <w:r w:rsidR="00EB084A" w:rsidRPr="00D44A64">
        <w:rPr>
          <w:color w:val="2F3030"/>
        </w:rPr>
        <w:t xml:space="preserve">expected to decrease </w:t>
      </w:r>
      <w:r w:rsidR="0098008A" w:rsidRPr="00D44A64">
        <w:rPr>
          <w:color w:val="2F3030"/>
        </w:rPr>
        <w:t xml:space="preserve">the </w:t>
      </w:r>
      <w:r>
        <w:rPr>
          <w:color w:val="2F3030"/>
        </w:rPr>
        <w:t>expenses</w:t>
      </w:r>
      <w:r w:rsidRPr="00D44A64">
        <w:rPr>
          <w:color w:val="2F3030"/>
        </w:rPr>
        <w:t xml:space="preserve"> </w:t>
      </w:r>
      <w:r w:rsidR="00EB084A" w:rsidRPr="00D44A64">
        <w:rPr>
          <w:color w:val="2F3030"/>
        </w:rPr>
        <w:t xml:space="preserve">of the AFP and the ABF </w:t>
      </w:r>
      <w:r w:rsidR="0098008A" w:rsidRPr="00D44A64">
        <w:rPr>
          <w:color w:val="2F3030"/>
        </w:rPr>
        <w:t xml:space="preserve">by </w:t>
      </w:r>
      <w:r w:rsidR="00EB084A" w:rsidRPr="00D44A64">
        <w:rPr>
          <w:color w:val="2F3030"/>
        </w:rPr>
        <w:t>$</w:t>
      </w:r>
      <w:r w:rsidR="00611CD0" w:rsidRPr="00D44A64">
        <w:rPr>
          <w:color w:val="2F3030"/>
        </w:rPr>
        <w:t>2</w:t>
      </w:r>
      <w:r w:rsidR="0010609E">
        <w:rPr>
          <w:color w:val="2F3030"/>
        </w:rPr>
        <w:t>09</w:t>
      </w:r>
      <w:r w:rsidR="0098008A" w:rsidRPr="00D44A64">
        <w:rPr>
          <w:color w:val="2F3030"/>
        </w:rPr>
        <w:t> </w:t>
      </w:r>
      <w:r w:rsidR="00EB084A" w:rsidRPr="00D44A64">
        <w:rPr>
          <w:color w:val="2F3030"/>
        </w:rPr>
        <w:t xml:space="preserve">million over the forward estimates period on </w:t>
      </w:r>
      <w:r w:rsidR="004465B9">
        <w:rPr>
          <w:color w:val="2F3030"/>
        </w:rPr>
        <w:t xml:space="preserve">both </w:t>
      </w:r>
      <w:r w:rsidR="00EB084A" w:rsidRPr="00D44A64">
        <w:rPr>
          <w:color w:val="2F3030"/>
        </w:rPr>
        <w:t>an underlying cash and fiscal balance basis.</w:t>
      </w:r>
      <w:r w:rsidR="00AC73B2" w:rsidRPr="00D44A64">
        <w:rPr>
          <w:color w:val="2F3030"/>
        </w:rPr>
        <w:t xml:space="preserve">  Impacts on other federal agencies are </w:t>
      </w:r>
      <w:r>
        <w:rPr>
          <w:color w:val="2F3030"/>
        </w:rPr>
        <w:t xml:space="preserve">unlikely to be material </w:t>
      </w:r>
      <w:r w:rsidR="000B085E" w:rsidRPr="00D44A64">
        <w:rPr>
          <w:color w:val="2F3030"/>
        </w:rPr>
        <w:t>or are unable to be quantified</w:t>
      </w:r>
      <w:r w:rsidR="0098008A" w:rsidRPr="00D44A64">
        <w:rPr>
          <w:color w:val="2F3030"/>
        </w:rPr>
        <w:t>.</w:t>
      </w:r>
    </w:p>
    <w:p w:rsidR="00390FD6" w:rsidRPr="00FD54CC" w:rsidRDefault="00F62717" w:rsidP="008F5AA5">
      <w:r w:rsidRPr="00D44A64">
        <w:lastRenderedPageBreak/>
        <w:t>A detailed breakdown of the financial implications of this proposal over the 2015-16 Budget forward estimates period is</w:t>
      </w:r>
      <w:r w:rsidR="00261A2C" w:rsidRPr="00D44A64">
        <w:t xml:space="preserve"> presented at </w:t>
      </w:r>
      <w:r w:rsidR="00261A2C" w:rsidRPr="00D44A64">
        <w:rPr>
          <w:u w:val="single"/>
        </w:rPr>
        <w:t>Attachment A</w:t>
      </w:r>
      <w:r w:rsidR="00261A2C" w:rsidRPr="00D44A64">
        <w:t>.</w:t>
      </w:r>
      <w:r w:rsidR="00D3798D" w:rsidRPr="00D44A64">
        <w:t xml:space="preserve"> </w:t>
      </w:r>
      <w:r w:rsidRPr="00D44A64">
        <w:t xml:space="preserve"> </w:t>
      </w:r>
      <w:r w:rsidR="008166A5" w:rsidRPr="00D44A64">
        <w:t>This proposal would have an ongoing</w:t>
      </w:r>
      <w:r w:rsidR="008166A5" w:rsidRPr="00FD54CC">
        <w:t xml:space="preserve"> impact that extends beyond the forward estimates period.</w:t>
      </w:r>
    </w:p>
    <w:p w:rsidR="0069763B" w:rsidRDefault="00843D7B" w:rsidP="005B1F6A">
      <w:r w:rsidRPr="00A46E61">
        <w:rPr>
          <w:lang w:eastAsia="en-AU"/>
        </w:rPr>
        <w:t xml:space="preserve">This costing is considered to be </w:t>
      </w:r>
      <w:r w:rsidRPr="00B7604B">
        <w:rPr>
          <w:lang w:eastAsia="en-AU"/>
        </w:rPr>
        <w:t xml:space="preserve">of </w:t>
      </w:r>
      <w:r w:rsidR="00A46E61" w:rsidRPr="00A67365">
        <w:rPr>
          <w:b/>
          <w:lang w:eastAsia="en-AU"/>
        </w:rPr>
        <w:t>low</w:t>
      </w:r>
      <w:r w:rsidRPr="00A67365">
        <w:rPr>
          <w:b/>
          <w:lang w:eastAsia="en-AU"/>
        </w:rPr>
        <w:t xml:space="preserve"> reliability</w:t>
      </w:r>
      <w:r w:rsidR="00E31503">
        <w:rPr>
          <w:lang w:eastAsia="en-AU"/>
        </w:rPr>
        <w:t xml:space="preserve">.  There is uncertainty </w:t>
      </w:r>
      <w:r w:rsidR="00937D39">
        <w:rPr>
          <w:lang w:eastAsia="en-AU"/>
        </w:rPr>
        <w:t>regarding</w:t>
      </w:r>
      <w:r w:rsidR="00DB6B29">
        <w:rPr>
          <w:lang w:eastAsia="en-AU"/>
        </w:rPr>
        <w:t xml:space="preserve"> </w:t>
      </w:r>
      <w:r w:rsidR="00DB6B29" w:rsidRPr="002C3EF5">
        <w:rPr>
          <w:lang w:eastAsia="en-AU"/>
        </w:rPr>
        <w:t xml:space="preserve">the </w:t>
      </w:r>
      <w:r w:rsidR="00E31503">
        <w:rPr>
          <w:lang w:eastAsia="en-AU"/>
        </w:rPr>
        <w:t xml:space="preserve">price and quantity of marijuana currently consumed, and </w:t>
      </w:r>
      <w:r w:rsidR="00134CFB">
        <w:rPr>
          <w:lang w:eastAsia="en-AU"/>
        </w:rPr>
        <w:t xml:space="preserve">the </w:t>
      </w:r>
      <w:r w:rsidR="00E31503">
        <w:rPr>
          <w:lang w:eastAsia="en-AU"/>
        </w:rPr>
        <w:t>price and quantity of marijuana that would be</w:t>
      </w:r>
      <w:r w:rsidR="00DB6B29" w:rsidRPr="002C3EF5">
        <w:rPr>
          <w:lang w:eastAsia="en-AU"/>
        </w:rPr>
        <w:t xml:space="preserve"> </w:t>
      </w:r>
      <w:r w:rsidR="00937D39" w:rsidRPr="002C3EF5">
        <w:rPr>
          <w:lang w:eastAsia="en-AU"/>
        </w:rPr>
        <w:t xml:space="preserve">consumed </w:t>
      </w:r>
      <w:r w:rsidR="00DB6B29" w:rsidRPr="002C3EF5">
        <w:rPr>
          <w:lang w:eastAsia="en-AU"/>
        </w:rPr>
        <w:t xml:space="preserve">in a </w:t>
      </w:r>
      <w:r w:rsidR="008E23ED" w:rsidRPr="002C3EF5">
        <w:rPr>
          <w:lang w:eastAsia="en-AU"/>
        </w:rPr>
        <w:t xml:space="preserve">newly legalised </w:t>
      </w:r>
      <w:r w:rsidR="00DB6B29" w:rsidRPr="002C3EF5">
        <w:rPr>
          <w:lang w:eastAsia="en-AU"/>
        </w:rPr>
        <w:t>market.</w:t>
      </w:r>
      <w:r w:rsidR="00360F5A" w:rsidRPr="008F5AA5">
        <w:rPr>
          <w:lang w:eastAsia="en-AU"/>
        </w:rPr>
        <w:t xml:space="preserve">  It is also difficult to separate</w:t>
      </w:r>
      <w:r w:rsidR="00597875" w:rsidRPr="008F5AA5">
        <w:rPr>
          <w:lang w:eastAsia="en-AU"/>
        </w:rPr>
        <w:t>ly identify</w:t>
      </w:r>
      <w:r w:rsidR="00360F5A" w:rsidRPr="008F5AA5">
        <w:rPr>
          <w:lang w:eastAsia="en-AU"/>
        </w:rPr>
        <w:t xml:space="preserve"> </w:t>
      </w:r>
      <w:r w:rsidR="001656BC" w:rsidRPr="008F5AA5">
        <w:rPr>
          <w:lang w:eastAsia="en-AU"/>
        </w:rPr>
        <w:t xml:space="preserve">marijuana </w:t>
      </w:r>
      <w:r w:rsidR="00360F5A" w:rsidRPr="008F5AA5">
        <w:rPr>
          <w:lang w:eastAsia="en-AU"/>
        </w:rPr>
        <w:t>law enforcement activities</w:t>
      </w:r>
      <w:r w:rsidR="00597875" w:rsidRPr="008F5AA5">
        <w:rPr>
          <w:lang w:eastAsia="en-AU"/>
        </w:rPr>
        <w:t>, as these are often integrated within broader law enforcement activities.</w:t>
      </w:r>
    </w:p>
    <w:p w:rsidR="0041785D" w:rsidRPr="00DE5D03" w:rsidRDefault="007A7320" w:rsidP="006E50D3">
      <w:pPr>
        <w:pStyle w:val="Tableheading"/>
      </w:pPr>
      <w:r w:rsidRPr="00DE5D03">
        <w:t>Table 1</w:t>
      </w:r>
      <w:r w:rsidR="00473C8F">
        <w:t>:</w:t>
      </w:r>
      <w:r w:rsidRPr="00DE5D03">
        <w:t xml:space="preserve">  </w:t>
      </w:r>
      <w:r w:rsidR="0041785D" w:rsidRPr="00DE5D03">
        <w:t>Financial implications (outturn prices</w:t>
      </w:r>
      <w:proofErr w:type="gramStart"/>
      <w:r w:rsidR="0041785D" w:rsidRPr="00DE5D03">
        <w:t>)</w:t>
      </w:r>
      <w:r w:rsidR="0041785D" w:rsidRPr="00DE5D03">
        <w:rPr>
          <w:vertAlign w:val="superscript"/>
        </w:rPr>
        <w:t>(</w:t>
      </w:r>
      <w:proofErr w:type="gramEnd"/>
      <w:r w:rsidR="0041785D" w:rsidRPr="00DE5D03">
        <w:rPr>
          <w:vertAlign w:val="superscript"/>
        </w:rPr>
        <w:t>a)</w:t>
      </w:r>
    </w:p>
    <w:tbl>
      <w:tblPr>
        <w:tblStyle w:val="TableGrid"/>
        <w:tblW w:w="450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491"/>
        <w:gridCol w:w="1077"/>
        <w:gridCol w:w="1077"/>
        <w:gridCol w:w="1077"/>
        <w:gridCol w:w="1077"/>
        <w:gridCol w:w="1074"/>
      </w:tblGrid>
      <w:tr w:rsidR="004964F6" w:rsidRPr="007A7320" w:rsidTr="0010609E">
        <w:trPr>
          <w:jc w:val="center"/>
        </w:trPr>
        <w:tc>
          <w:tcPr>
            <w:tcW w:w="1967" w:type="pct"/>
            <w:shd w:val="pct15" w:color="auto" w:fill="FFFFFF" w:themeFill="background1"/>
          </w:tcPr>
          <w:p w:rsidR="004964F6" w:rsidRPr="00DE5D03" w:rsidRDefault="004964F6" w:rsidP="00C9752D">
            <w:pPr>
              <w:spacing w:before="120" w:after="120"/>
            </w:pPr>
            <w:r w:rsidRPr="00DE5D03">
              <w:t>Impact on</w:t>
            </w:r>
          </w:p>
        </w:tc>
        <w:tc>
          <w:tcPr>
            <w:tcW w:w="607" w:type="pct"/>
            <w:shd w:val="pct15" w:color="auto" w:fill="FFFFFF" w:themeFill="background1"/>
          </w:tcPr>
          <w:p w:rsidR="004964F6" w:rsidRPr="00DE5D03" w:rsidRDefault="004964F6" w:rsidP="00C14C8E">
            <w:pPr>
              <w:spacing w:before="120" w:after="120"/>
              <w:jc w:val="right"/>
            </w:pPr>
            <w:r w:rsidRPr="00DE5D03">
              <w:t>2015</w:t>
            </w:r>
            <w:r w:rsidR="00C14C8E">
              <w:t>-</w:t>
            </w:r>
            <w:r w:rsidRPr="00DE5D03">
              <w:t>16</w:t>
            </w:r>
          </w:p>
        </w:tc>
        <w:tc>
          <w:tcPr>
            <w:tcW w:w="607" w:type="pct"/>
            <w:shd w:val="pct15" w:color="auto" w:fill="FFFFFF" w:themeFill="background1"/>
          </w:tcPr>
          <w:p w:rsidR="004964F6" w:rsidRPr="00DE5D03" w:rsidRDefault="004964F6" w:rsidP="00C14C8E">
            <w:pPr>
              <w:spacing w:before="120" w:after="120"/>
              <w:jc w:val="right"/>
            </w:pPr>
            <w:r w:rsidRPr="00DE5D03">
              <w:t>2016</w:t>
            </w:r>
            <w:r w:rsidR="00C14C8E">
              <w:t>-</w:t>
            </w:r>
            <w:r w:rsidRPr="00DE5D03">
              <w:t>17</w:t>
            </w:r>
          </w:p>
        </w:tc>
        <w:tc>
          <w:tcPr>
            <w:tcW w:w="607" w:type="pct"/>
            <w:shd w:val="pct15" w:color="auto" w:fill="FFFFFF" w:themeFill="background1"/>
          </w:tcPr>
          <w:p w:rsidR="004964F6" w:rsidRPr="00DE5D03" w:rsidRDefault="004964F6" w:rsidP="00C14C8E">
            <w:pPr>
              <w:spacing w:before="120" w:after="120"/>
              <w:jc w:val="right"/>
            </w:pPr>
            <w:r w:rsidRPr="00DE5D03">
              <w:t>201</w:t>
            </w:r>
            <w:r>
              <w:t>7</w:t>
            </w:r>
            <w:r w:rsidR="00C14C8E">
              <w:t>-</w:t>
            </w:r>
            <w:r w:rsidRPr="00DE5D03">
              <w:t>1</w:t>
            </w:r>
            <w:r>
              <w:t>8</w:t>
            </w:r>
          </w:p>
        </w:tc>
        <w:tc>
          <w:tcPr>
            <w:tcW w:w="607" w:type="pct"/>
            <w:shd w:val="pct15" w:color="auto" w:fill="FFFFFF" w:themeFill="background1"/>
          </w:tcPr>
          <w:p w:rsidR="004964F6" w:rsidRPr="00DE5D03" w:rsidRDefault="004964F6" w:rsidP="00C14C8E">
            <w:pPr>
              <w:spacing w:before="120" w:after="120"/>
              <w:jc w:val="right"/>
            </w:pPr>
            <w:r w:rsidRPr="00DE5D03">
              <w:t>201</w:t>
            </w:r>
            <w:r>
              <w:t>8</w:t>
            </w:r>
            <w:r w:rsidR="00C14C8E">
              <w:t>-</w:t>
            </w:r>
            <w:r w:rsidRPr="00DE5D03">
              <w:t>1</w:t>
            </w:r>
            <w:r>
              <w:t>9</w:t>
            </w:r>
          </w:p>
        </w:tc>
        <w:tc>
          <w:tcPr>
            <w:tcW w:w="605" w:type="pct"/>
            <w:shd w:val="pct15" w:color="auto" w:fill="FFFFFF" w:themeFill="background1"/>
          </w:tcPr>
          <w:p w:rsidR="004964F6" w:rsidRPr="00DE5D03" w:rsidRDefault="004964F6" w:rsidP="00A63772">
            <w:pPr>
              <w:spacing w:before="120" w:after="120"/>
              <w:jc w:val="right"/>
            </w:pPr>
            <w:r>
              <w:t>Total</w:t>
            </w:r>
          </w:p>
        </w:tc>
      </w:tr>
      <w:tr w:rsidR="004964F6" w:rsidRPr="007A7320" w:rsidTr="0010609E">
        <w:trPr>
          <w:jc w:val="center"/>
        </w:trPr>
        <w:tc>
          <w:tcPr>
            <w:tcW w:w="1967" w:type="pct"/>
          </w:tcPr>
          <w:p w:rsidR="004964F6" w:rsidRPr="00DE5D03" w:rsidRDefault="004964F6" w:rsidP="00C9752D">
            <w:pPr>
              <w:spacing w:before="120" w:after="120"/>
            </w:pPr>
            <w:r w:rsidRPr="00DE5D03">
              <w:t>Underlying cash balance</w:t>
            </w:r>
            <w:r>
              <w:t xml:space="preserve"> ($m)</w:t>
            </w:r>
          </w:p>
        </w:tc>
        <w:tc>
          <w:tcPr>
            <w:tcW w:w="607" w:type="pct"/>
          </w:tcPr>
          <w:p w:rsidR="004964F6" w:rsidRPr="00DE5D03" w:rsidRDefault="00874424" w:rsidP="00C9752D">
            <w:pPr>
              <w:spacing w:before="120" w:after="120"/>
              <w:jc w:val="right"/>
            </w:pPr>
            <w:r>
              <w:t>-</w:t>
            </w:r>
          </w:p>
        </w:tc>
        <w:tc>
          <w:tcPr>
            <w:tcW w:w="607" w:type="pct"/>
          </w:tcPr>
          <w:p w:rsidR="004964F6" w:rsidRPr="00DE5D03" w:rsidRDefault="008B7395" w:rsidP="00C9752D">
            <w:pPr>
              <w:spacing w:before="120" w:after="120"/>
              <w:jc w:val="right"/>
            </w:pPr>
            <w:r>
              <w:t>-</w:t>
            </w:r>
          </w:p>
        </w:tc>
        <w:tc>
          <w:tcPr>
            <w:tcW w:w="607" w:type="pct"/>
          </w:tcPr>
          <w:p w:rsidR="004964F6" w:rsidRPr="00DE5D03" w:rsidRDefault="0010609E" w:rsidP="00C9752D">
            <w:pPr>
              <w:spacing w:before="120" w:after="120"/>
              <w:jc w:val="right"/>
            </w:pPr>
            <w:r>
              <w:t>104</w:t>
            </w:r>
          </w:p>
        </w:tc>
        <w:tc>
          <w:tcPr>
            <w:tcW w:w="607" w:type="pct"/>
          </w:tcPr>
          <w:p w:rsidR="004964F6" w:rsidRPr="00DE5D03" w:rsidRDefault="0010609E" w:rsidP="003F58A4">
            <w:pPr>
              <w:spacing w:before="120" w:after="120"/>
              <w:jc w:val="right"/>
            </w:pPr>
            <w:r>
              <w:t>105</w:t>
            </w:r>
          </w:p>
        </w:tc>
        <w:tc>
          <w:tcPr>
            <w:tcW w:w="605" w:type="pct"/>
          </w:tcPr>
          <w:p w:rsidR="004964F6" w:rsidRPr="00DE5D03" w:rsidRDefault="00D32930" w:rsidP="0010609E">
            <w:pPr>
              <w:spacing w:before="120" w:after="120"/>
              <w:jc w:val="right"/>
            </w:pPr>
            <w:r>
              <w:t>2</w:t>
            </w:r>
            <w:r w:rsidR="0010609E">
              <w:t>09</w:t>
            </w:r>
          </w:p>
        </w:tc>
      </w:tr>
      <w:tr w:rsidR="004964F6" w:rsidRPr="007A7320" w:rsidTr="0010609E">
        <w:trPr>
          <w:jc w:val="center"/>
        </w:trPr>
        <w:tc>
          <w:tcPr>
            <w:tcW w:w="1967" w:type="pct"/>
          </w:tcPr>
          <w:p w:rsidR="004964F6" w:rsidRPr="00DE5D03" w:rsidRDefault="004964F6" w:rsidP="00C9752D">
            <w:pPr>
              <w:spacing w:before="120" w:after="120"/>
            </w:pPr>
            <w:r w:rsidRPr="00DE5D03">
              <w:t xml:space="preserve">Fiscal balance </w:t>
            </w:r>
            <w:r>
              <w:t>($m)</w:t>
            </w:r>
          </w:p>
        </w:tc>
        <w:tc>
          <w:tcPr>
            <w:tcW w:w="607" w:type="pct"/>
          </w:tcPr>
          <w:p w:rsidR="004964F6" w:rsidRPr="00DE5D03" w:rsidRDefault="00874424" w:rsidP="00C9752D">
            <w:pPr>
              <w:spacing w:before="120" w:after="120"/>
              <w:jc w:val="right"/>
            </w:pPr>
            <w:r>
              <w:t>-</w:t>
            </w:r>
          </w:p>
        </w:tc>
        <w:tc>
          <w:tcPr>
            <w:tcW w:w="607" w:type="pct"/>
          </w:tcPr>
          <w:p w:rsidR="004964F6" w:rsidRPr="00DE5D03" w:rsidRDefault="008B7395" w:rsidP="00C9752D">
            <w:pPr>
              <w:spacing w:before="120" w:after="120"/>
              <w:jc w:val="right"/>
            </w:pPr>
            <w:r>
              <w:t>-</w:t>
            </w:r>
          </w:p>
        </w:tc>
        <w:tc>
          <w:tcPr>
            <w:tcW w:w="607" w:type="pct"/>
          </w:tcPr>
          <w:p w:rsidR="004964F6" w:rsidRPr="00DE5D03" w:rsidRDefault="0010609E" w:rsidP="00C9752D">
            <w:pPr>
              <w:spacing w:before="120" w:after="120"/>
              <w:jc w:val="right"/>
            </w:pPr>
            <w:r>
              <w:t>154</w:t>
            </w:r>
          </w:p>
        </w:tc>
        <w:tc>
          <w:tcPr>
            <w:tcW w:w="607" w:type="pct"/>
          </w:tcPr>
          <w:p w:rsidR="004964F6" w:rsidRPr="00DE5D03" w:rsidRDefault="0010609E" w:rsidP="003F58A4">
            <w:pPr>
              <w:spacing w:before="120" w:after="120"/>
              <w:jc w:val="right"/>
            </w:pPr>
            <w:r>
              <w:t>105</w:t>
            </w:r>
          </w:p>
        </w:tc>
        <w:tc>
          <w:tcPr>
            <w:tcW w:w="605" w:type="pct"/>
          </w:tcPr>
          <w:p w:rsidR="004964F6" w:rsidRPr="00DE5D03" w:rsidRDefault="0010609E" w:rsidP="00A67365">
            <w:pPr>
              <w:spacing w:before="120" w:after="120"/>
              <w:jc w:val="right"/>
            </w:pPr>
            <w:r>
              <w:t>259</w:t>
            </w:r>
          </w:p>
        </w:tc>
      </w:tr>
    </w:tbl>
    <w:p w:rsidR="0010609E" w:rsidRDefault="0010609E" w:rsidP="0010609E">
      <w:pPr>
        <w:pStyle w:val="ChartandTableFootnoteAlpha"/>
        <w:numPr>
          <w:ilvl w:val="0"/>
          <w:numId w:val="20"/>
        </w:numPr>
        <w:spacing w:before="60" w:after="60"/>
        <w:rPr>
          <w:rFonts w:ascii="Times New Roman" w:hAnsi="Times New Roman"/>
          <w:sz w:val="18"/>
          <w:szCs w:val="18"/>
        </w:rPr>
      </w:pPr>
      <w:r w:rsidRPr="008C3F95">
        <w:rPr>
          <w:rFonts w:ascii="Times New Roman" w:hAnsi="Times New Roman"/>
          <w:sz w:val="18"/>
          <w:szCs w:val="18"/>
        </w:rPr>
        <w:t>A positive number for the underlying cash balance indicates an increase in revenue or a decrease in expenses in cash terms.  A negative number for the underlying cash balance indicates a decrease in revenue or an increase in expenses in cash terms</w:t>
      </w:r>
      <w:r>
        <w:rPr>
          <w:rFonts w:ascii="Times New Roman" w:hAnsi="Times New Roman"/>
          <w:sz w:val="18"/>
          <w:szCs w:val="18"/>
        </w:rPr>
        <w:t>.</w:t>
      </w:r>
    </w:p>
    <w:p w:rsidR="007A7320" w:rsidRPr="00DE5D03" w:rsidRDefault="005447FD" w:rsidP="00090E38">
      <w:pPr>
        <w:pStyle w:val="Heading2"/>
        <w:keepNext w:val="0"/>
      </w:pPr>
      <w:r w:rsidRPr="00DE5D03">
        <w:t>K</w:t>
      </w:r>
      <w:r w:rsidR="007A7320" w:rsidRPr="00DE5D03">
        <w:t xml:space="preserve">ey assumptions </w:t>
      </w:r>
    </w:p>
    <w:p w:rsidR="00FD54CC" w:rsidRDefault="009509BF" w:rsidP="00090E38">
      <w:pPr>
        <w:pStyle w:val="Bullet1"/>
        <w:keepNext w:val="0"/>
      </w:pPr>
      <w:r>
        <w:t>All</w:t>
      </w:r>
      <w:r w:rsidR="00FD54CC">
        <w:t xml:space="preserve"> states</w:t>
      </w:r>
      <w:r>
        <w:t xml:space="preserve"> and </w:t>
      </w:r>
      <w:r w:rsidR="00857980">
        <w:t>territories</w:t>
      </w:r>
      <w:r w:rsidR="00FD54CC">
        <w:t xml:space="preserve"> w</w:t>
      </w:r>
      <w:r w:rsidR="00C722F0">
        <w:t>ould</w:t>
      </w:r>
      <w:r w:rsidR="00FD54CC">
        <w:t xml:space="preserve"> </w:t>
      </w:r>
      <w:r w:rsidR="00134CFB">
        <w:t>align with</w:t>
      </w:r>
      <w:r w:rsidR="00C722F0">
        <w:t xml:space="preserve"> </w:t>
      </w:r>
      <w:r w:rsidR="00FD54CC">
        <w:t>the Commonwealth in</w:t>
      </w:r>
      <w:r w:rsidR="00206221">
        <w:t xml:space="preserve"> fully</w:t>
      </w:r>
      <w:r w:rsidR="00FD54CC">
        <w:t xml:space="preserve"> legalising marijuana</w:t>
      </w:r>
      <w:r w:rsidR="00206221">
        <w:t>, hemp growing, and the production of hemp for human consumption</w:t>
      </w:r>
      <w:r w:rsidR="00FD54CC">
        <w:t>.</w:t>
      </w:r>
    </w:p>
    <w:p w:rsidR="002F05AB" w:rsidRDefault="00EC470B" w:rsidP="00090E38">
      <w:pPr>
        <w:pStyle w:val="Bullet1"/>
        <w:keepNext w:val="0"/>
      </w:pPr>
      <w:r>
        <w:t>T</w:t>
      </w:r>
      <w:r w:rsidR="002F05AB">
        <w:t xml:space="preserve">here </w:t>
      </w:r>
      <w:r w:rsidR="00453538">
        <w:t xml:space="preserve">would be </w:t>
      </w:r>
      <w:r w:rsidR="002F05AB">
        <w:t>no restrictions on marijuana production</w:t>
      </w:r>
      <w:r w:rsidR="001A1883">
        <w:t>, for example quotas or restrictive licencing</w:t>
      </w:r>
      <w:r w:rsidR="002F05AB">
        <w:t>.</w:t>
      </w:r>
    </w:p>
    <w:p w:rsidR="008E3D3F" w:rsidRDefault="007309CB" w:rsidP="00090E38">
      <w:pPr>
        <w:pStyle w:val="Bullet1"/>
        <w:keepNext w:val="0"/>
      </w:pPr>
      <w:r>
        <w:t xml:space="preserve">The proportion of supplies made by producers </w:t>
      </w:r>
      <w:r w:rsidR="008E3D3F">
        <w:t xml:space="preserve">of marijuana </w:t>
      </w:r>
      <w:r>
        <w:t>under</w:t>
      </w:r>
      <w:r w:rsidR="008E3D3F">
        <w:t xml:space="preserve"> the registration threshold for GST</w:t>
      </w:r>
      <w:r>
        <w:t xml:space="preserve"> is the same as the proportion of sales in the general economy.  </w:t>
      </w:r>
    </w:p>
    <w:p w:rsidR="001D08C5" w:rsidRDefault="00D32930" w:rsidP="002D0E41">
      <w:pPr>
        <w:pStyle w:val="Bullet1"/>
      </w:pPr>
      <w:r>
        <w:t xml:space="preserve">This proposal </w:t>
      </w:r>
      <w:r w:rsidR="004636A5">
        <w:t>would</w:t>
      </w:r>
      <w:r w:rsidR="001D08C5">
        <w:t xml:space="preserve"> </w:t>
      </w:r>
      <w:r>
        <w:t>result in an increase in marijuana supply and demand</w:t>
      </w:r>
      <w:r w:rsidR="001D08C5">
        <w:t>.</w:t>
      </w:r>
      <w:r w:rsidRPr="00D32930">
        <w:t xml:space="preserve"> </w:t>
      </w:r>
      <w:r>
        <w:t xml:space="preserve"> It is estimated that marijuana consumption would increase from approximately 333 tonnes in 2016</w:t>
      </w:r>
      <w:r w:rsidR="00175825">
        <w:noBreakHyphen/>
      </w:r>
      <w:r>
        <w:t>17 to 378 tonnes in 2017-18 and 395 tonnes in 2018-19.</w:t>
      </w:r>
    </w:p>
    <w:p w:rsidR="00597F72" w:rsidRPr="00E21DC1" w:rsidRDefault="001D08C5" w:rsidP="00E21DC1">
      <w:pPr>
        <w:pStyle w:val="Bullet2"/>
        <w:ind w:left="643"/>
      </w:pPr>
      <w:r w:rsidRPr="00E21DC1">
        <w:t xml:space="preserve">The </w:t>
      </w:r>
      <w:r w:rsidR="00722DE3" w:rsidRPr="00E21DC1">
        <w:t>legalising of marijuana</w:t>
      </w:r>
      <w:r w:rsidRPr="00E21DC1">
        <w:t xml:space="preserve"> </w:t>
      </w:r>
      <w:r w:rsidR="00453538" w:rsidRPr="00E21DC1">
        <w:t xml:space="preserve">would </w:t>
      </w:r>
      <w:r w:rsidRPr="00E21DC1">
        <w:t>result in a</w:t>
      </w:r>
      <w:r w:rsidR="00597F72" w:rsidRPr="00E21DC1">
        <w:t xml:space="preserve"> significant</w:t>
      </w:r>
      <w:r w:rsidRPr="00E21DC1">
        <w:t xml:space="preserve"> increase in</w:t>
      </w:r>
      <w:r w:rsidR="00597F72" w:rsidRPr="00E21DC1">
        <w:t xml:space="preserve"> the supply of </w:t>
      </w:r>
      <w:r w:rsidRPr="00E21DC1">
        <w:t>marijuana</w:t>
      </w:r>
      <w:r w:rsidR="00597F72" w:rsidRPr="00E21DC1">
        <w:t xml:space="preserve">, either through Australian production or </w:t>
      </w:r>
      <w:r w:rsidR="00D60813" w:rsidRPr="00E21DC1">
        <w:t>imports</w:t>
      </w:r>
      <w:r w:rsidR="00597F72" w:rsidRPr="00E21DC1">
        <w:t>, with a commensurate reduction in the price.</w:t>
      </w:r>
    </w:p>
    <w:p w:rsidR="00857980" w:rsidRPr="00E21DC1" w:rsidRDefault="00597F72" w:rsidP="00E21DC1">
      <w:pPr>
        <w:pStyle w:val="Bullet2"/>
        <w:ind w:left="643"/>
      </w:pPr>
      <w:r w:rsidRPr="00E21DC1">
        <w:t>The legalising of marijuana would result in increase</w:t>
      </w:r>
      <w:r w:rsidR="00D32930" w:rsidRPr="00E21DC1">
        <w:t>d</w:t>
      </w:r>
      <w:r w:rsidRPr="00E21DC1">
        <w:t xml:space="preserve"> demand for marijuana, reflecting the impact of lower prices and the lifting of penalties on marijuana use.</w:t>
      </w:r>
      <w:r w:rsidR="00E21DC1">
        <w:t xml:space="preserve"> </w:t>
      </w:r>
    </w:p>
    <w:p w:rsidR="0015423A" w:rsidRDefault="004636A5" w:rsidP="008C3F95">
      <w:pPr>
        <w:pStyle w:val="Bullet1"/>
      </w:pPr>
      <w:r>
        <w:t>T</w:t>
      </w:r>
      <w:r w:rsidR="002079F7">
        <w:t>here would be no impact on</w:t>
      </w:r>
      <w:r w:rsidR="0015423A">
        <w:t xml:space="preserve"> excise</w:t>
      </w:r>
      <w:r w:rsidR="002079F7">
        <w:t xml:space="preserve"> collections from the sale of alcohol or tobacco.  </w:t>
      </w:r>
    </w:p>
    <w:p w:rsidR="0015423A" w:rsidRDefault="0015423A" w:rsidP="00DA4325">
      <w:pPr>
        <w:pStyle w:val="Bullet2"/>
        <w:spacing w:after="120"/>
        <w:ind w:left="568" w:hanging="284"/>
      </w:pPr>
      <w:r>
        <w:t xml:space="preserve">A number of studies have analysed whether marijuana is a complement </w:t>
      </w:r>
      <w:r w:rsidR="004636A5">
        <w:t>to</w:t>
      </w:r>
      <w:r>
        <w:t>, or substitute for, alcohol and tobacco.  However the literature has not reached a consensus, with the findings of different studies in conflict</w:t>
      </w:r>
      <w:r w:rsidR="00FF2335">
        <w:t>.</w:t>
      </w:r>
      <w:r>
        <w:rPr>
          <w:rStyle w:val="FootnoteReference"/>
        </w:rPr>
        <w:footnoteReference w:id="1"/>
      </w:r>
    </w:p>
    <w:p w:rsidR="00D32930" w:rsidRDefault="00D32930" w:rsidP="001749B8">
      <w:pPr>
        <w:pStyle w:val="Bullet1"/>
        <w:keepNext w:val="0"/>
        <w:ind w:left="357" w:hanging="357"/>
      </w:pPr>
      <w:r>
        <w:t>While h</w:t>
      </w:r>
      <w:r w:rsidRPr="009E794B">
        <w:t xml:space="preserve">emp seeds are </w:t>
      </w:r>
      <w:r>
        <w:t xml:space="preserve">currently </w:t>
      </w:r>
      <w:r w:rsidRPr="009E794B">
        <w:t>used in a variety of food products</w:t>
      </w:r>
      <w:r>
        <w:t xml:space="preserve"> in countries where it is legal to do so,</w:t>
      </w:r>
      <w:r w:rsidRPr="009E794B">
        <w:t xml:space="preserve"> including</w:t>
      </w:r>
      <w:r>
        <w:t xml:space="preserve"> in foods such as</w:t>
      </w:r>
      <w:r w:rsidRPr="009E794B">
        <w:t xml:space="preserve"> margarines, cereals and hemp milk, or consumed raw</w:t>
      </w:r>
      <w:r>
        <w:t>, the level of consumption is relatively small</w:t>
      </w:r>
      <w:r>
        <w:rPr>
          <w:rStyle w:val="FootnoteReference"/>
        </w:rPr>
        <w:footnoteReference w:id="2"/>
      </w:r>
      <w:r>
        <w:t xml:space="preserve">.  Therefore the impact of legalising the production of hemp seed for human consumption has not been included in this costing. </w:t>
      </w:r>
    </w:p>
    <w:p w:rsidR="00B365BD" w:rsidRPr="00D44A64" w:rsidRDefault="003762B7">
      <w:pPr>
        <w:pStyle w:val="Bullet1"/>
      </w:pPr>
      <w:r w:rsidRPr="00D44A64">
        <w:lastRenderedPageBreak/>
        <w:t xml:space="preserve">Expenditure on marijuana </w:t>
      </w:r>
      <w:r w:rsidR="004636A5">
        <w:t>increases</w:t>
      </w:r>
      <w:r w:rsidR="004636A5" w:rsidRPr="00D44A64">
        <w:t xml:space="preserve"> </w:t>
      </w:r>
      <w:r w:rsidRPr="00D44A64">
        <w:t>at the same rate as CPI across the forward estimates period.</w:t>
      </w:r>
    </w:p>
    <w:p w:rsidR="006C4345" w:rsidRPr="00590C26" w:rsidRDefault="002E56DA" w:rsidP="00175825">
      <w:pPr>
        <w:pStyle w:val="Bullet1"/>
        <w:ind w:left="284" w:hanging="284"/>
      </w:pPr>
      <w:r>
        <w:t>The AFP and ABF are the only federal agencies where a material amount of funding directly associated with marijuana</w:t>
      </w:r>
      <w:r w:rsidRPr="008C3F95">
        <w:t xml:space="preserve"> law enforcement</w:t>
      </w:r>
      <w:r>
        <w:t xml:space="preserve"> is able to be separately identified.</w:t>
      </w:r>
    </w:p>
    <w:p w:rsidR="006C4345" w:rsidRPr="00590C26" w:rsidRDefault="002E56DA" w:rsidP="00175825">
      <w:pPr>
        <w:pStyle w:val="Bullet2"/>
        <w:spacing w:after="120"/>
        <w:ind w:left="568" w:hanging="284"/>
        <w:rPr>
          <w:rFonts w:eastAsiaTheme="minorHAnsi"/>
          <w:szCs w:val="24"/>
          <w:lang w:eastAsia="en-US"/>
        </w:rPr>
      </w:pPr>
      <w:r w:rsidRPr="00590C26">
        <w:t>A</w:t>
      </w:r>
      <w:r w:rsidRPr="006C4345">
        <w:t>s outlined in its 2014-15 annual report, t</w:t>
      </w:r>
      <w:r w:rsidR="00D3798D" w:rsidRPr="00175825">
        <w:rPr>
          <w:rFonts w:eastAsiaTheme="minorHAnsi"/>
          <w:szCs w:val="24"/>
          <w:lang w:eastAsia="en-US"/>
        </w:rPr>
        <w:t xml:space="preserve">he Australian Crime Commission (ACC) high risk </w:t>
      </w:r>
      <w:r w:rsidR="009C4811">
        <w:rPr>
          <w:rFonts w:eastAsiaTheme="minorHAnsi"/>
          <w:szCs w:val="24"/>
          <w:lang w:eastAsia="en-US"/>
        </w:rPr>
        <w:t>and emerging drugs intelligence operations primarily focus on drugs other than cannabis.</w:t>
      </w:r>
    </w:p>
    <w:p w:rsidR="006C4345" w:rsidRDefault="00611CD0" w:rsidP="00175825">
      <w:pPr>
        <w:pStyle w:val="Bullet2"/>
        <w:spacing w:after="120"/>
        <w:ind w:left="568" w:hanging="284"/>
        <w:rPr>
          <w:rFonts w:eastAsiaTheme="minorHAnsi"/>
          <w:szCs w:val="24"/>
          <w:lang w:eastAsia="en-US"/>
        </w:rPr>
      </w:pPr>
      <w:r w:rsidRPr="00344EE4">
        <w:t xml:space="preserve">Any reduction in staffing numbers </w:t>
      </w:r>
      <w:r w:rsidR="00214952" w:rsidRPr="00590C26">
        <w:t xml:space="preserve">in federal agencies </w:t>
      </w:r>
      <w:r w:rsidRPr="00344EE4">
        <w:t>would be mana</w:t>
      </w:r>
      <w:r w:rsidR="00EF7458" w:rsidRPr="00344EE4">
        <w:t>ged through natural attrition acr</w:t>
      </w:r>
      <w:r w:rsidRPr="00344EE4">
        <w:t>oss the forward estimates.</w:t>
      </w:r>
    </w:p>
    <w:p w:rsidR="006C4345" w:rsidRDefault="00214952" w:rsidP="00175825">
      <w:pPr>
        <w:pStyle w:val="Bullet2"/>
        <w:spacing w:after="120"/>
        <w:ind w:left="568" w:hanging="284"/>
        <w:rPr>
          <w:rFonts w:eastAsiaTheme="minorHAnsi"/>
          <w:szCs w:val="24"/>
          <w:lang w:eastAsia="en-US"/>
        </w:rPr>
      </w:pPr>
      <w:r w:rsidRPr="006C4345">
        <w:t xml:space="preserve">The vast </w:t>
      </w:r>
      <w:r>
        <w:rPr>
          <w:rFonts w:eastAsiaTheme="minorHAnsi"/>
          <w:szCs w:val="24"/>
          <w:lang w:eastAsia="en-US"/>
        </w:rPr>
        <w:t xml:space="preserve">majority of the budget impact of marijuana law enforcement on the </w:t>
      </w:r>
      <w:r w:rsidR="00ED464B" w:rsidRPr="00344EE4">
        <w:rPr>
          <w:rFonts w:eastAsiaTheme="minorHAnsi"/>
          <w:szCs w:val="24"/>
          <w:lang w:eastAsia="en-US"/>
        </w:rPr>
        <w:t>court</w:t>
      </w:r>
      <w:r>
        <w:rPr>
          <w:rFonts w:eastAsiaTheme="minorHAnsi"/>
          <w:szCs w:val="24"/>
          <w:lang w:eastAsia="en-US"/>
        </w:rPr>
        <w:t xml:space="preserve"> and</w:t>
      </w:r>
      <w:r w:rsidR="00ED464B" w:rsidRPr="00344EE4">
        <w:rPr>
          <w:rFonts w:eastAsiaTheme="minorHAnsi"/>
          <w:szCs w:val="24"/>
          <w:lang w:eastAsia="en-US"/>
        </w:rPr>
        <w:t xml:space="preserve"> priso</w:t>
      </w:r>
      <w:r w:rsidR="00597875" w:rsidRPr="00344EE4">
        <w:rPr>
          <w:rFonts w:eastAsiaTheme="minorHAnsi"/>
          <w:szCs w:val="24"/>
          <w:lang w:eastAsia="en-US"/>
        </w:rPr>
        <w:t>n</w:t>
      </w:r>
      <w:r>
        <w:rPr>
          <w:rFonts w:eastAsiaTheme="minorHAnsi"/>
          <w:szCs w:val="24"/>
          <w:lang w:eastAsia="en-US"/>
        </w:rPr>
        <w:t xml:space="preserve"> systems (including</w:t>
      </w:r>
      <w:r w:rsidR="00597875" w:rsidRPr="00344EE4">
        <w:rPr>
          <w:rFonts w:eastAsiaTheme="minorHAnsi"/>
          <w:szCs w:val="24"/>
          <w:lang w:eastAsia="en-US"/>
        </w:rPr>
        <w:t xml:space="preserve"> revenue raised from penalties</w:t>
      </w:r>
      <w:r>
        <w:rPr>
          <w:rFonts w:eastAsiaTheme="minorHAnsi"/>
          <w:szCs w:val="24"/>
          <w:lang w:eastAsia="en-US"/>
        </w:rPr>
        <w:t>) would be on state and territory governments.</w:t>
      </w:r>
    </w:p>
    <w:p w:rsidR="00C62EA7" w:rsidRDefault="00C62EA7" w:rsidP="00A67365">
      <w:pPr>
        <w:pStyle w:val="Bullet2"/>
        <w:numPr>
          <w:ilvl w:val="0"/>
          <w:numId w:val="7"/>
        </w:numPr>
        <w:rPr>
          <w:rFonts w:eastAsiaTheme="minorHAnsi"/>
        </w:rPr>
      </w:pPr>
      <w:r>
        <w:rPr>
          <w:rFonts w:eastAsiaTheme="minorHAnsi"/>
        </w:rPr>
        <w:t>The PBO has assumed that the proportions of the total budgets for the AFP and ABF that are directly relevant to illicit drug law enforcement are the same as those used in the National Drug and Alcohol Research Centre’s June 2013 paper Government Drug Policy Expenditure in Australia 2009-10.  This amount was then adjusted to reflect the estimated proportion of law enforcement activities that are directly relevant to cannabis.</w:t>
      </w:r>
    </w:p>
    <w:p w:rsidR="008E3D3F" w:rsidRDefault="00284315" w:rsidP="008C3F95">
      <w:pPr>
        <w:pStyle w:val="Heading2"/>
        <w:keepNext w:val="0"/>
      </w:pPr>
      <w:r w:rsidRPr="00D44A64">
        <w:t>Methodology</w:t>
      </w:r>
    </w:p>
    <w:p w:rsidR="004636A5" w:rsidRDefault="00175825" w:rsidP="00A67365">
      <w:pPr>
        <w:widowControl w:val="0"/>
      </w:pPr>
      <w:r>
        <w:t xml:space="preserve">The GST impact of this proposal is calculated by applying the 10 per cent GST rate to estimated </w:t>
      </w:r>
      <w:r w:rsidR="0046481B">
        <w:t>h</w:t>
      </w:r>
      <w:r w:rsidR="00392B85">
        <w:t>ousehold consumption expenditure on marijuana</w:t>
      </w:r>
      <w:r>
        <w:t xml:space="preserve"> under the proposal.</w:t>
      </w:r>
    </w:p>
    <w:p w:rsidR="006C4345" w:rsidRDefault="00D3798D" w:rsidP="00590C26">
      <w:r w:rsidRPr="00D44A64">
        <w:t xml:space="preserve">The proportion of AFP and ABF </w:t>
      </w:r>
      <w:r w:rsidR="00666972" w:rsidRPr="00D44A64">
        <w:t xml:space="preserve">law enforcement </w:t>
      </w:r>
      <w:r w:rsidRPr="00D44A64">
        <w:t>budgets directly relevant to</w:t>
      </w:r>
      <w:r w:rsidR="00666972" w:rsidRPr="00D44A64">
        <w:t xml:space="preserve"> </w:t>
      </w:r>
      <w:r w:rsidR="004773E9" w:rsidRPr="00D44A64">
        <w:t>cannabis</w:t>
      </w:r>
      <w:r w:rsidR="00666972" w:rsidRPr="00D44A64">
        <w:t xml:space="preserve"> was estimated by multiplying total </w:t>
      </w:r>
      <w:r w:rsidRPr="00D44A64">
        <w:t>illicit drug law enforcement</w:t>
      </w:r>
      <w:r w:rsidR="00666972" w:rsidRPr="00D44A64">
        <w:t xml:space="preserve"> spending by</w:t>
      </w:r>
      <w:r w:rsidRPr="00D44A64">
        <w:t xml:space="preserve"> the proportion of all illicit drug arrests that related to cannabis</w:t>
      </w:r>
      <w:r w:rsidR="006C4345">
        <w:t>.</w:t>
      </w:r>
    </w:p>
    <w:p w:rsidR="0069763B" w:rsidRPr="00D44A64" w:rsidRDefault="0069763B" w:rsidP="00175825">
      <w:pPr>
        <w:widowControl w:val="0"/>
      </w:pPr>
      <w:r w:rsidRPr="00D44A64">
        <w:t xml:space="preserve">The PBO has not made any assessment of the impact of this proposal on </w:t>
      </w:r>
      <w:r w:rsidR="00214952">
        <w:t>s</w:t>
      </w:r>
      <w:r w:rsidRPr="00D44A64">
        <w:t xml:space="preserve">tate </w:t>
      </w:r>
      <w:r w:rsidR="00214952">
        <w:t>and territory g</w:t>
      </w:r>
      <w:r w:rsidRPr="00D44A64">
        <w:t>overnment budgets.</w:t>
      </w:r>
    </w:p>
    <w:p w:rsidR="00D3798D" w:rsidRPr="00716818" w:rsidRDefault="00874424" w:rsidP="00874424">
      <w:pPr>
        <w:widowControl w:val="0"/>
      </w:pPr>
      <w:r w:rsidRPr="00D44A64">
        <w:t>Revenue</w:t>
      </w:r>
      <w:r w:rsidR="008B7395" w:rsidRPr="00D44A64">
        <w:t xml:space="preserve"> </w:t>
      </w:r>
      <w:r w:rsidRPr="00D44A64">
        <w:t>estimates have been rounded to the nearest $50 million.</w:t>
      </w:r>
      <w:r w:rsidR="00751DA5" w:rsidRPr="00D44A64">
        <w:t xml:space="preserve"> </w:t>
      </w:r>
      <w:r w:rsidR="0010609E">
        <w:t xml:space="preserve"> </w:t>
      </w:r>
      <w:r w:rsidR="00D3798D" w:rsidRPr="00D44A64">
        <w:t>Departmental expenses have been rounded</w:t>
      </w:r>
      <w:r w:rsidR="00D3798D">
        <w:t xml:space="preserve"> to the nearest $1</w:t>
      </w:r>
      <w:r w:rsidR="00FF2335">
        <w:t> </w:t>
      </w:r>
      <w:r w:rsidR="00D3798D">
        <w:t>million.</w:t>
      </w:r>
    </w:p>
    <w:p w:rsidR="008F3D50" w:rsidRPr="00716818" w:rsidRDefault="008F3D50" w:rsidP="001E383A">
      <w:pPr>
        <w:pStyle w:val="Heading2"/>
        <w:keepLines/>
      </w:pPr>
      <w:r w:rsidRPr="00716818">
        <w:t>Data sources</w:t>
      </w:r>
    </w:p>
    <w:p w:rsidR="00284315" w:rsidRDefault="00716818" w:rsidP="001749B8">
      <w:pPr>
        <w:pStyle w:val="Bullet1"/>
        <w:keepNext w:val="0"/>
        <w:ind w:left="357" w:hanging="357"/>
      </w:pPr>
      <w:r>
        <w:t xml:space="preserve">Australian Bureau of Statistics </w:t>
      </w:r>
      <w:r w:rsidRPr="00716818">
        <w:t>Information Paper - The Non-Observe</w:t>
      </w:r>
      <w:r w:rsidR="00AB5CD3">
        <w:t>d Economy and Australia's GDP</w:t>
      </w:r>
      <w:r w:rsidR="00AC6FA3">
        <w:t>, 2012.</w:t>
      </w:r>
    </w:p>
    <w:p w:rsidR="008463F5" w:rsidRDefault="008463F5" w:rsidP="001749B8">
      <w:pPr>
        <w:pStyle w:val="Bullet1"/>
        <w:keepNext w:val="0"/>
        <w:ind w:left="357" w:hanging="357"/>
      </w:pPr>
      <w:r>
        <w:t xml:space="preserve">Australian Institute of Health and Welfare </w:t>
      </w:r>
      <w:r w:rsidRPr="008463F5">
        <w:t>National Drug Strategy Household Survey</w:t>
      </w:r>
      <w:r>
        <w:t xml:space="preserve"> 2013</w:t>
      </w:r>
      <w:r w:rsidR="00FF3BC8">
        <w:t>.</w:t>
      </w:r>
    </w:p>
    <w:p w:rsidR="00E21DC1" w:rsidRDefault="00E21DC1" w:rsidP="001749B8">
      <w:pPr>
        <w:pStyle w:val="Bullet1"/>
        <w:keepNext w:val="0"/>
        <w:ind w:left="357" w:hanging="357"/>
      </w:pPr>
      <w:r w:rsidRPr="00A164B0">
        <w:t>Williams, J 2004, ‘</w:t>
      </w:r>
      <w:proofErr w:type="gramStart"/>
      <w:r w:rsidRPr="008F5AA5">
        <w:t>The</w:t>
      </w:r>
      <w:proofErr w:type="gramEnd"/>
      <w:r w:rsidRPr="008F5AA5">
        <w:t xml:space="preserve"> effects of price and policy on marijuana use: what can be learned from the Australian experience?’</w:t>
      </w:r>
      <w:r w:rsidRPr="00A164B0">
        <w:t xml:space="preserve">  </w:t>
      </w:r>
      <w:r w:rsidRPr="008F5AA5">
        <w:rPr>
          <w:i/>
        </w:rPr>
        <w:t>Health Economics</w:t>
      </w:r>
      <w:r w:rsidRPr="00A164B0">
        <w:t>, vol. 13, no. 2, pp 123-137.</w:t>
      </w:r>
    </w:p>
    <w:p w:rsidR="00716818" w:rsidRDefault="00716818" w:rsidP="001749B8">
      <w:pPr>
        <w:pStyle w:val="Bullet1"/>
        <w:keepNext w:val="0"/>
        <w:ind w:left="357" w:hanging="357"/>
      </w:pPr>
      <w:r>
        <w:t xml:space="preserve">Australian Crime Commission </w:t>
      </w:r>
      <w:r w:rsidRPr="00716818">
        <w:t>I</w:t>
      </w:r>
      <w:r>
        <w:t>llicit</w:t>
      </w:r>
      <w:r w:rsidRPr="00716818">
        <w:t xml:space="preserve"> D</w:t>
      </w:r>
      <w:r>
        <w:t>rug</w:t>
      </w:r>
      <w:r w:rsidRPr="00716818">
        <w:t xml:space="preserve"> D</w:t>
      </w:r>
      <w:r>
        <w:t>ata</w:t>
      </w:r>
      <w:r w:rsidRPr="00716818">
        <w:t xml:space="preserve"> R</w:t>
      </w:r>
      <w:r>
        <w:t>eport</w:t>
      </w:r>
      <w:r w:rsidRPr="00716818">
        <w:t xml:space="preserve"> 2011</w:t>
      </w:r>
      <w:r>
        <w:t>-</w:t>
      </w:r>
      <w:r w:rsidRPr="00716818">
        <w:t>12</w:t>
      </w:r>
      <w:r w:rsidR="00D3798D">
        <w:t xml:space="preserve"> and 2013-14.</w:t>
      </w:r>
    </w:p>
    <w:p w:rsidR="00D3798D" w:rsidRDefault="00716818" w:rsidP="001749B8">
      <w:pPr>
        <w:pStyle w:val="Bullet1"/>
        <w:keepNext w:val="0"/>
        <w:ind w:left="357" w:hanging="357"/>
      </w:pPr>
      <w:r>
        <w:t>Budget 2015-16</w:t>
      </w:r>
      <w:r w:rsidR="00AB5CD3">
        <w:t xml:space="preserve"> parameters and forecasts of GST administration costs.</w:t>
      </w:r>
    </w:p>
    <w:p w:rsidR="00D3798D" w:rsidRPr="008F5AA5" w:rsidRDefault="00D3798D" w:rsidP="001749B8">
      <w:pPr>
        <w:pStyle w:val="Bullet1"/>
        <w:keepNext w:val="0"/>
        <w:ind w:left="357" w:hanging="357"/>
      </w:pPr>
      <w:r w:rsidRPr="008F5AA5">
        <w:t>Attorney General’s 2015-16 Portfolio Budget Statements</w:t>
      </w:r>
      <w:r w:rsidR="00FF3BC8">
        <w:t>.</w:t>
      </w:r>
    </w:p>
    <w:p w:rsidR="00D3798D" w:rsidRPr="008F5AA5" w:rsidRDefault="00D3798D" w:rsidP="001749B8">
      <w:pPr>
        <w:pStyle w:val="Bullet1"/>
        <w:keepNext w:val="0"/>
        <w:ind w:left="357" w:hanging="357"/>
      </w:pPr>
      <w:r w:rsidRPr="008F5AA5">
        <w:t>Department of Immigration and Border Protection 2015-16 Portfolio Budget Statements</w:t>
      </w:r>
      <w:r w:rsidR="00FF3BC8">
        <w:t>.</w:t>
      </w:r>
    </w:p>
    <w:p w:rsidR="00D3798D" w:rsidRPr="008F5AA5" w:rsidRDefault="00D3798D" w:rsidP="001749B8">
      <w:pPr>
        <w:pStyle w:val="Bullet1"/>
        <w:keepNext w:val="0"/>
        <w:ind w:left="357" w:hanging="357"/>
      </w:pPr>
      <w:r w:rsidRPr="008F5AA5">
        <w:t xml:space="preserve">Australian Crime Commission 2014-15 Annual </w:t>
      </w:r>
      <w:r w:rsidR="00E24A2E" w:rsidRPr="008F5AA5">
        <w:t>R</w:t>
      </w:r>
      <w:r w:rsidRPr="008F5AA5">
        <w:t>eport</w:t>
      </w:r>
      <w:r w:rsidR="00FF3BC8">
        <w:t>.</w:t>
      </w:r>
    </w:p>
    <w:p w:rsidR="00CE0C57" w:rsidRPr="008F5AA5" w:rsidRDefault="00CE0C57" w:rsidP="001749B8">
      <w:pPr>
        <w:pStyle w:val="Bullet1"/>
        <w:keepNext w:val="0"/>
        <w:ind w:left="357" w:hanging="357"/>
      </w:pPr>
      <w:r w:rsidRPr="008F5AA5">
        <w:lastRenderedPageBreak/>
        <w:t>Australian Federal Police 2014-15 Annual Report</w:t>
      </w:r>
      <w:r w:rsidR="00FF3BC8">
        <w:t>.</w:t>
      </w:r>
    </w:p>
    <w:p w:rsidR="00CE0C57" w:rsidRPr="008F5AA5" w:rsidRDefault="00CE0C57" w:rsidP="001749B8">
      <w:pPr>
        <w:pStyle w:val="Bullet1"/>
        <w:keepNext w:val="0"/>
        <w:ind w:left="357" w:hanging="357"/>
      </w:pPr>
      <w:r w:rsidRPr="008F5AA5">
        <w:t>Australian Customs and Border Protection Service 2014-15 Annual Report</w:t>
      </w:r>
      <w:r w:rsidR="00FF3BC8">
        <w:t>.</w:t>
      </w:r>
    </w:p>
    <w:p w:rsidR="00F53DA5" w:rsidRPr="008F5AA5" w:rsidRDefault="00F53DA5" w:rsidP="001749B8">
      <w:pPr>
        <w:pStyle w:val="Bullet1"/>
        <w:keepNext w:val="0"/>
        <w:ind w:left="357" w:hanging="357"/>
      </w:pPr>
      <w:r w:rsidRPr="008F5AA5">
        <w:t>Australian Public Service Commission - APS Statistical Bulletin 2014-15</w:t>
      </w:r>
      <w:r w:rsidR="00FF3BC8">
        <w:t>.</w:t>
      </w:r>
    </w:p>
    <w:p w:rsidR="00D3798D" w:rsidRDefault="00D3798D" w:rsidP="001749B8">
      <w:pPr>
        <w:pStyle w:val="Bullet1"/>
        <w:keepNext w:val="0"/>
        <w:ind w:left="357" w:hanging="357"/>
      </w:pPr>
      <w:r w:rsidRPr="008F5AA5">
        <w:t>Government Drug Policy Expenditure in Australia</w:t>
      </w:r>
      <w:r w:rsidR="004773E9" w:rsidRPr="008F5AA5">
        <w:t xml:space="preserve"> </w:t>
      </w:r>
      <w:r w:rsidRPr="008F5AA5">
        <w:t>2009-10</w:t>
      </w:r>
      <w:r w:rsidR="00666972" w:rsidRPr="008F5AA5">
        <w:t>.</w:t>
      </w:r>
      <w:r w:rsidRPr="008F5AA5">
        <w:t xml:space="preserve"> National Drug and Alcohol Research Centre </w:t>
      </w:r>
      <w:r w:rsidR="00666972" w:rsidRPr="008F5AA5">
        <w:t xml:space="preserve">- </w:t>
      </w:r>
      <w:r w:rsidRPr="008F5AA5">
        <w:t>June 2013</w:t>
      </w:r>
      <w:r w:rsidR="00FF3BC8">
        <w:t>.</w:t>
      </w:r>
    </w:p>
    <w:p w:rsidR="00E5212F" w:rsidRPr="00A164B0" w:rsidRDefault="00E5212F" w:rsidP="008F5AA5">
      <w:pPr>
        <w:pStyle w:val="Heading2"/>
        <w:keepLines/>
      </w:pPr>
      <w:r w:rsidRPr="00A164B0">
        <w:t>References</w:t>
      </w:r>
    </w:p>
    <w:p w:rsidR="0031720D" w:rsidRPr="002C3EF5" w:rsidRDefault="00651983">
      <w:pPr>
        <w:pStyle w:val="Bullet1"/>
        <w:rPr>
          <w:lang w:eastAsia="en-AU"/>
        </w:rPr>
      </w:pPr>
      <w:r w:rsidRPr="008F5AA5">
        <w:rPr>
          <w:iCs/>
          <w:lang w:eastAsia="en-AU"/>
        </w:rPr>
        <w:t xml:space="preserve">Clements, K, </w:t>
      </w:r>
      <w:proofErr w:type="gramStart"/>
      <w:r w:rsidRPr="008F5AA5">
        <w:rPr>
          <w:iCs/>
          <w:lang w:eastAsia="en-AU"/>
        </w:rPr>
        <w:t>Lan</w:t>
      </w:r>
      <w:proofErr w:type="gramEnd"/>
      <w:r w:rsidRPr="008F5AA5">
        <w:rPr>
          <w:iCs/>
          <w:lang w:eastAsia="en-AU"/>
        </w:rPr>
        <w:t>, Y, Zhao, X 2010 ‘The demand for marijuana, tobacco a</w:t>
      </w:r>
      <w:r w:rsidR="00477FBD">
        <w:rPr>
          <w:iCs/>
          <w:lang w:eastAsia="en-AU"/>
        </w:rPr>
        <w:t>nd alcohol: inter</w:t>
      </w:r>
      <w:r w:rsidR="00477FBD">
        <w:rPr>
          <w:iCs/>
          <w:lang w:eastAsia="en-AU"/>
        </w:rPr>
        <w:noBreakHyphen/>
      </w:r>
      <w:r w:rsidRPr="008F5AA5">
        <w:rPr>
          <w:iCs/>
          <w:lang w:eastAsia="en-AU"/>
        </w:rPr>
        <w:t xml:space="preserve">commodity interactions with uncertainty’ </w:t>
      </w:r>
      <w:r w:rsidRPr="008F5AA5">
        <w:rPr>
          <w:i/>
          <w:iCs/>
          <w:lang w:eastAsia="en-AU"/>
        </w:rPr>
        <w:t>Empirical Economics</w:t>
      </w:r>
      <w:r>
        <w:rPr>
          <w:i/>
          <w:iCs/>
          <w:lang w:eastAsia="en-AU"/>
        </w:rPr>
        <w:t>,</w:t>
      </w:r>
      <w:r w:rsidRPr="00A164B0">
        <w:rPr>
          <w:iCs/>
          <w:lang w:eastAsia="en-AU"/>
        </w:rPr>
        <w:t xml:space="preserve"> vol. 39, no. 1, pp</w:t>
      </w:r>
      <w:r w:rsidR="00DA4325">
        <w:rPr>
          <w:iCs/>
          <w:lang w:eastAsia="en-AU"/>
        </w:rPr>
        <w:t> </w:t>
      </w:r>
      <w:r w:rsidRPr="00A164B0">
        <w:rPr>
          <w:iCs/>
          <w:lang w:eastAsia="en-AU"/>
        </w:rPr>
        <w:t>203</w:t>
      </w:r>
      <w:r w:rsidR="00DA4325">
        <w:rPr>
          <w:iCs/>
          <w:lang w:eastAsia="en-AU"/>
        </w:rPr>
        <w:noBreakHyphen/>
      </w:r>
      <w:r w:rsidRPr="00A164B0">
        <w:rPr>
          <w:iCs/>
          <w:lang w:eastAsia="en-AU"/>
        </w:rPr>
        <w:t>239.</w:t>
      </w:r>
    </w:p>
    <w:p w:rsidR="00E5212F" w:rsidRPr="00A164B0" w:rsidRDefault="0031720D">
      <w:pPr>
        <w:pStyle w:val="Bullet1"/>
        <w:rPr>
          <w:lang w:eastAsia="en-AU"/>
        </w:rPr>
      </w:pPr>
      <w:r>
        <w:t xml:space="preserve">Crawford, F, </w:t>
      </w:r>
      <w:proofErr w:type="spellStart"/>
      <w:r>
        <w:t>Deards</w:t>
      </w:r>
      <w:proofErr w:type="spellEnd"/>
      <w:r>
        <w:t>, B, Moir, B, Thompson, N 2012 ‘</w:t>
      </w:r>
      <w:r w:rsidRPr="0031720D">
        <w:t>Human consumption of hemp seed: prospects for Australian production</w:t>
      </w:r>
      <w:r>
        <w:t xml:space="preserve">, </w:t>
      </w:r>
      <w:r w:rsidRPr="0031720D">
        <w:t>ABARES repo</w:t>
      </w:r>
      <w:r w:rsidR="00A164B0">
        <w:t>rt to client prepared for FSANZ</w:t>
      </w:r>
      <w:r>
        <w:t>’</w:t>
      </w:r>
      <w:r w:rsidRPr="0031720D">
        <w:t xml:space="preserve"> </w:t>
      </w:r>
      <w:r>
        <w:t>Department of Agriculture, Fisheries and Forestry, Canberra.</w:t>
      </w:r>
    </w:p>
    <w:p w:rsidR="00E5212F" w:rsidRDefault="00E5212F" w:rsidP="008F5AA5">
      <w:pPr>
        <w:pStyle w:val="Bullet1"/>
        <w:numPr>
          <w:ilvl w:val="0"/>
          <w:numId w:val="0"/>
        </w:numPr>
        <w:ind w:left="284" w:hanging="284"/>
        <w:sectPr w:rsidR="00E5212F" w:rsidSect="00103C8E">
          <w:headerReference w:type="first" r:id="rId13"/>
          <w:footerReference w:type="first" r:id="rId14"/>
          <w:pgSz w:w="11906" w:h="16838" w:code="9"/>
          <w:pgMar w:top="1418" w:right="1134" w:bottom="1134" w:left="1134" w:header="567" w:footer="567" w:gutter="0"/>
          <w:pgNumType w:start="1"/>
          <w:cols w:space="708"/>
          <w:titlePg/>
          <w:docGrid w:linePitch="360"/>
        </w:sectPr>
      </w:pPr>
    </w:p>
    <w:p w:rsidR="00AD16FD" w:rsidRDefault="00AD16FD" w:rsidP="00AD16FD">
      <w:pPr>
        <w:pStyle w:val="Heading1"/>
        <w:spacing w:before="0"/>
        <w:jc w:val="left"/>
      </w:pPr>
      <w:r>
        <w:lastRenderedPageBreak/>
        <w:t xml:space="preserve">Attachment A: </w:t>
      </w:r>
      <w:r w:rsidR="00F222AC">
        <w:t>Detailed financial implications</w:t>
      </w:r>
    </w:p>
    <w:p w:rsidR="00AD16FD" w:rsidRDefault="00F62D14">
      <w:pPr>
        <w:pStyle w:val="Bullet1"/>
        <w:numPr>
          <w:ilvl w:val="0"/>
          <w:numId w:val="0"/>
        </w:numPr>
      </w:pPr>
      <w:r>
        <w:t>The following table</w:t>
      </w:r>
      <w:r w:rsidRPr="00F62D14">
        <w:t xml:space="preserve"> provide</w:t>
      </w:r>
      <w:r>
        <w:t>s</w:t>
      </w:r>
      <w:r w:rsidRPr="00F62D14">
        <w:t xml:space="preserve"> a breakdown of the estimated impacts of</w:t>
      </w:r>
      <w:r>
        <w:t xml:space="preserve"> </w:t>
      </w:r>
      <w:r w:rsidRPr="00F62D14">
        <w:t>legalising</w:t>
      </w:r>
      <w:r>
        <w:t xml:space="preserve"> marijuana from 1</w:t>
      </w:r>
      <w:r w:rsidR="00DA4325">
        <w:t> </w:t>
      </w:r>
      <w:r>
        <w:t>July</w:t>
      </w:r>
      <w:r w:rsidR="00DA4325">
        <w:t> </w:t>
      </w:r>
      <w:r>
        <w:t xml:space="preserve">2017 </w:t>
      </w:r>
      <w:r w:rsidRPr="00F62D14">
        <w:t>over the 2015</w:t>
      </w:r>
      <w:r>
        <w:t>-</w:t>
      </w:r>
      <w:r w:rsidRPr="00F62D14">
        <w:t>16 Budget forward estimates period</w:t>
      </w:r>
      <w:r>
        <w:t xml:space="preserve"> on</w:t>
      </w:r>
      <w:r w:rsidR="00AD16FD">
        <w:t xml:space="preserve"> an underlying cash balance basis.</w:t>
      </w:r>
    </w:p>
    <w:p w:rsidR="00AD16FD" w:rsidRPr="00B92135" w:rsidRDefault="00AD16FD" w:rsidP="00175825">
      <w:pPr>
        <w:pStyle w:val="Heading2"/>
        <w:spacing w:after="120"/>
        <w:rPr>
          <w:b w:val="0"/>
        </w:rPr>
      </w:pPr>
      <w:r>
        <w:t>Table A1</w:t>
      </w:r>
      <w:r w:rsidR="00F62D14">
        <w:t>:</w:t>
      </w:r>
      <w:r>
        <w:t xml:space="preserve"> </w:t>
      </w:r>
      <w:r w:rsidR="00F62D14">
        <w:t>Legalising marijuana from 1 July 2017</w:t>
      </w:r>
      <w:r w:rsidR="009509BF">
        <w:t xml:space="preserve"> </w:t>
      </w:r>
      <w:r>
        <w:t>(underlying cash balance</w:t>
      </w:r>
      <w:proofErr w:type="gramStart"/>
      <w:r>
        <w:t>)</w:t>
      </w:r>
      <w:r w:rsidRPr="002537AA">
        <w:rPr>
          <w:sz w:val="22"/>
          <w:szCs w:val="22"/>
          <w:vertAlign w:val="superscript"/>
        </w:rPr>
        <w:t>(</w:t>
      </w:r>
      <w:proofErr w:type="gramEnd"/>
      <w:r w:rsidRPr="002537AA">
        <w:rPr>
          <w:sz w:val="22"/>
          <w:szCs w:val="22"/>
          <w:vertAlign w:val="superscript"/>
        </w:rPr>
        <w:t>a)</w:t>
      </w:r>
    </w:p>
    <w:tbl>
      <w:tblPr>
        <w:tblStyle w:val="TableGrid"/>
        <w:tblW w:w="935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4258"/>
        <w:gridCol w:w="1020"/>
        <w:gridCol w:w="1020"/>
        <w:gridCol w:w="1020"/>
        <w:gridCol w:w="1020"/>
        <w:gridCol w:w="1020"/>
      </w:tblGrid>
      <w:tr w:rsidR="00AD16FD" w:rsidRPr="00AD16FD" w:rsidTr="00AD16FD">
        <w:tc>
          <w:tcPr>
            <w:tcW w:w="4258" w:type="dxa"/>
            <w:shd w:val="pct15" w:color="auto" w:fill="FFFFFF" w:themeFill="background1"/>
            <w:vAlign w:val="center"/>
          </w:tcPr>
          <w:p w:rsidR="00AD16FD" w:rsidRPr="00AD16FD" w:rsidRDefault="00AD16FD" w:rsidP="00766801">
            <w:pPr>
              <w:spacing w:before="120" w:after="120"/>
              <w:ind w:left="57"/>
              <w:rPr>
                <w:i/>
                <w:szCs w:val="22"/>
              </w:rPr>
            </w:pPr>
            <w:r w:rsidRPr="00AD16FD">
              <w:rPr>
                <w:i/>
                <w:szCs w:val="22"/>
              </w:rPr>
              <w:t>GST impacts</w:t>
            </w:r>
          </w:p>
        </w:tc>
        <w:tc>
          <w:tcPr>
            <w:tcW w:w="1020" w:type="dxa"/>
            <w:shd w:val="pct15" w:color="auto" w:fill="FFFFFF" w:themeFill="background1"/>
            <w:vAlign w:val="center"/>
          </w:tcPr>
          <w:p w:rsidR="00AD16FD" w:rsidRPr="00AD16FD" w:rsidRDefault="00AC6FA3" w:rsidP="00AC6FA3">
            <w:pPr>
              <w:spacing w:before="120" w:after="120"/>
              <w:ind w:right="57"/>
              <w:jc w:val="right"/>
              <w:rPr>
                <w:szCs w:val="20"/>
              </w:rPr>
            </w:pPr>
            <w:r w:rsidRPr="00AD16FD">
              <w:rPr>
                <w:szCs w:val="20"/>
              </w:rPr>
              <w:t>201</w:t>
            </w:r>
            <w:r>
              <w:rPr>
                <w:szCs w:val="20"/>
              </w:rPr>
              <w:t>5</w:t>
            </w:r>
            <w:r w:rsidR="00AD16FD">
              <w:rPr>
                <w:szCs w:val="20"/>
              </w:rPr>
              <w:t>-</w:t>
            </w:r>
            <w:r w:rsidRPr="00AD16FD">
              <w:rPr>
                <w:szCs w:val="20"/>
              </w:rPr>
              <w:t>1</w:t>
            </w:r>
            <w:r>
              <w:rPr>
                <w:szCs w:val="20"/>
              </w:rPr>
              <w:t>6</w:t>
            </w:r>
          </w:p>
        </w:tc>
        <w:tc>
          <w:tcPr>
            <w:tcW w:w="1020" w:type="dxa"/>
            <w:shd w:val="pct15" w:color="auto" w:fill="FFFFFF" w:themeFill="background1"/>
          </w:tcPr>
          <w:p w:rsidR="00AD16FD" w:rsidRPr="00AD16FD" w:rsidRDefault="00AD16FD" w:rsidP="00AD16FD">
            <w:pPr>
              <w:spacing w:before="120" w:after="120"/>
              <w:ind w:right="57"/>
              <w:jc w:val="right"/>
              <w:rPr>
                <w:szCs w:val="20"/>
              </w:rPr>
            </w:pPr>
            <w:r w:rsidRPr="00AD16FD">
              <w:rPr>
                <w:szCs w:val="20"/>
              </w:rPr>
              <w:t>2016</w:t>
            </w:r>
            <w:r>
              <w:rPr>
                <w:szCs w:val="20"/>
              </w:rPr>
              <w:t>-</w:t>
            </w:r>
            <w:r w:rsidRPr="00AD16FD">
              <w:rPr>
                <w:szCs w:val="20"/>
              </w:rPr>
              <w:t>17</w:t>
            </w:r>
          </w:p>
        </w:tc>
        <w:tc>
          <w:tcPr>
            <w:tcW w:w="1020" w:type="dxa"/>
            <w:shd w:val="pct15" w:color="auto" w:fill="FFFFFF" w:themeFill="background1"/>
            <w:vAlign w:val="center"/>
          </w:tcPr>
          <w:p w:rsidR="00AD16FD" w:rsidRPr="00AD16FD" w:rsidRDefault="00AD16FD" w:rsidP="00AD16FD">
            <w:pPr>
              <w:spacing w:before="120" w:after="120"/>
              <w:ind w:right="57"/>
              <w:jc w:val="right"/>
              <w:rPr>
                <w:szCs w:val="20"/>
              </w:rPr>
            </w:pPr>
            <w:r w:rsidRPr="00AD16FD">
              <w:rPr>
                <w:szCs w:val="20"/>
              </w:rPr>
              <w:t>2017</w:t>
            </w:r>
            <w:r>
              <w:rPr>
                <w:szCs w:val="20"/>
              </w:rPr>
              <w:t>-</w:t>
            </w:r>
            <w:r w:rsidRPr="00AD16FD">
              <w:rPr>
                <w:szCs w:val="20"/>
              </w:rPr>
              <w:t>18</w:t>
            </w:r>
          </w:p>
        </w:tc>
        <w:tc>
          <w:tcPr>
            <w:tcW w:w="1020" w:type="dxa"/>
            <w:shd w:val="pct15" w:color="auto" w:fill="FFFFFF" w:themeFill="background1"/>
            <w:vAlign w:val="center"/>
          </w:tcPr>
          <w:p w:rsidR="00AD16FD" w:rsidRPr="00AD16FD" w:rsidRDefault="00AD16FD" w:rsidP="00AD16FD">
            <w:pPr>
              <w:spacing w:before="120" w:after="120"/>
              <w:ind w:right="57"/>
              <w:jc w:val="right"/>
              <w:rPr>
                <w:szCs w:val="20"/>
              </w:rPr>
            </w:pPr>
            <w:r w:rsidRPr="00AD16FD">
              <w:rPr>
                <w:szCs w:val="20"/>
              </w:rPr>
              <w:t>2018</w:t>
            </w:r>
            <w:r>
              <w:rPr>
                <w:szCs w:val="20"/>
              </w:rPr>
              <w:t>-</w:t>
            </w:r>
            <w:r w:rsidRPr="00AD16FD">
              <w:rPr>
                <w:szCs w:val="20"/>
              </w:rPr>
              <w:t>19</w:t>
            </w:r>
          </w:p>
        </w:tc>
        <w:tc>
          <w:tcPr>
            <w:tcW w:w="1020" w:type="dxa"/>
            <w:shd w:val="pct15" w:color="auto" w:fill="FFFFFF" w:themeFill="background1"/>
            <w:vAlign w:val="center"/>
          </w:tcPr>
          <w:p w:rsidR="00AD16FD" w:rsidRPr="00AD16FD" w:rsidRDefault="00AD16FD" w:rsidP="00766801">
            <w:pPr>
              <w:spacing w:before="120" w:after="120"/>
              <w:ind w:right="57"/>
              <w:jc w:val="right"/>
              <w:rPr>
                <w:b/>
                <w:szCs w:val="22"/>
              </w:rPr>
            </w:pPr>
            <w:r w:rsidRPr="00AD16FD">
              <w:rPr>
                <w:b/>
                <w:szCs w:val="22"/>
              </w:rPr>
              <w:t>Total</w:t>
            </w:r>
          </w:p>
        </w:tc>
      </w:tr>
      <w:tr w:rsidR="00AD16FD" w:rsidRPr="00AD16FD" w:rsidTr="00AD16FD">
        <w:tc>
          <w:tcPr>
            <w:tcW w:w="4258" w:type="dxa"/>
            <w:vAlign w:val="center"/>
          </w:tcPr>
          <w:p w:rsidR="00AD16FD" w:rsidRPr="00AD16FD" w:rsidRDefault="00AD16FD" w:rsidP="00766801">
            <w:pPr>
              <w:spacing w:before="60" w:after="60"/>
              <w:ind w:left="57"/>
              <w:rPr>
                <w:szCs w:val="22"/>
              </w:rPr>
            </w:pPr>
            <w:r w:rsidRPr="00AD16FD">
              <w:rPr>
                <w:szCs w:val="22"/>
              </w:rPr>
              <w:t>GST receipts</w:t>
            </w:r>
          </w:p>
        </w:tc>
        <w:tc>
          <w:tcPr>
            <w:tcW w:w="1020" w:type="dxa"/>
            <w:vAlign w:val="center"/>
          </w:tcPr>
          <w:p w:rsidR="00AD16FD" w:rsidRPr="00AD16FD" w:rsidRDefault="00AD16FD" w:rsidP="00766801">
            <w:pPr>
              <w:spacing w:before="60" w:after="60"/>
              <w:ind w:right="57"/>
              <w:jc w:val="right"/>
              <w:rPr>
                <w:szCs w:val="22"/>
              </w:rPr>
            </w:pPr>
            <w:r>
              <w:rPr>
                <w:szCs w:val="22"/>
              </w:rPr>
              <w:t>-</w:t>
            </w:r>
          </w:p>
        </w:tc>
        <w:tc>
          <w:tcPr>
            <w:tcW w:w="1020" w:type="dxa"/>
          </w:tcPr>
          <w:p w:rsidR="00AD16FD" w:rsidRPr="00AD16FD" w:rsidRDefault="00AD16FD" w:rsidP="00766801">
            <w:pPr>
              <w:spacing w:before="60" w:after="60"/>
              <w:ind w:right="57"/>
              <w:jc w:val="right"/>
              <w:rPr>
                <w:szCs w:val="22"/>
              </w:rPr>
            </w:pPr>
            <w:r>
              <w:rPr>
                <w:szCs w:val="22"/>
              </w:rPr>
              <w:t>-</w:t>
            </w:r>
          </w:p>
        </w:tc>
        <w:tc>
          <w:tcPr>
            <w:tcW w:w="1020" w:type="dxa"/>
            <w:vAlign w:val="center"/>
          </w:tcPr>
          <w:p w:rsidR="00AD16FD" w:rsidRPr="00AD16FD" w:rsidRDefault="00AD16FD" w:rsidP="00AD16FD">
            <w:pPr>
              <w:spacing w:before="60" w:after="60"/>
              <w:ind w:right="57"/>
              <w:jc w:val="right"/>
              <w:rPr>
                <w:szCs w:val="22"/>
              </w:rPr>
            </w:pPr>
            <w:r>
              <w:rPr>
                <w:szCs w:val="22"/>
              </w:rPr>
              <w:t>300</w:t>
            </w:r>
          </w:p>
        </w:tc>
        <w:tc>
          <w:tcPr>
            <w:tcW w:w="1020" w:type="dxa"/>
            <w:vAlign w:val="center"/>
          </w:tcPr>
          <w:p w:rsidR="00AD16FD" w:rsidRPr="00AD16FD" w:rsidRDefault="002E6F12">
            <w:pPr>
              <w:spacing w:before="60" w:after="60"/>
              <w:ind w:right="57"/>
              <w:jc w:val="right"/>
              <w:rPr>
                <w:szCs w:val="22"/>
              </w:rPr>
            </w:pPr>
            <w:r>
              <w:rPr>
                <w:szCs w:val="22"/>
              </w:rPr>
              <w:t>300</w:t>
            </w:r>
          </w:p>
        </w:tc>
        <w:tc>
          <w:tcPr>
            <w:tcW w:w="1020" w:type="dxa"/>
            <w:vAlign w:val="center"/>
          </w:tcPr>
          <w:p w:rsidR="00AD16FD" w:rsidRPr="00AD16FD" w:rsidRDefault="002E6F12" w:rsidP="00766801">
            <w:pPr>
              <w:spacing w:before="60" w:after="60"/>
              <w:ind w:right="57"/>
              <w:jc w:val="right"/>
              <w:rPr>
                <w:b/>
                <w:szCs w:val="22"/>
              </w:rPr>
            </w:pPr>
            <w:r>
              <w:rPr>
                <w:b/>
                <w:szCs w:val="22"/>
              </w:rPr>
              <w:t>600</w:t>
            </w:r>
          </w:p>
        </w:tc>
      </w:tr>
      <w:tr w:rsidR="00AD16FD" w:rsidRPr="00AD16FD" w:rsidTr="00AD16FD">
        <w:tc>
          <w:tcPr>
            <w:tcW w:w="4258" w:type="dxa"/>
            <w:vAlign w:val="center"/>
          </w:tcPr>
          <w:p w:rsidR="00AD16FD" w:rsidRPr="00AD16FD" w:rsidRDefault="00AD16FD" w:rsidP="00766801">
            <w:pPr>
              <w:spacing w:before="60" w:after="60"/>
              <w:ind w:left="57"/>
              <w:rPr>
                <w:szCs w:val="22"/>
              </w:rPr>
            </w:pPr>
            <w:r w:rsidRPr="00AD16FD">
              <w:rPr>
                <w:szCs w:val="22"/>
              </w:rPr>
              <w:t>GST payments to the states and territories</w:t>
            </w:r>
          </w:p>
        </w:tc>
        <w:tc>
          <w:tcPr>
            <w:tcW w:w="1020" w:type="dxa"/>
            <w:vAlign w:val="center"/>
          </w:tcPr>
          <w:p w:rsidR="00AD16FD" w:rsidRPr="00AD16FD" w:rsidRDefault="00AD16FD" w:rsidP="00766801">
            <w:pPr>
              <w:spacing w:before="60" w:after="60"/>
              <w:ind w:right="57"/>
              <w:jc w:val="right"/>
              <w:rPr>
                <w:szCs w:val="22"/>
              </w:rPr>
            </w:pPr>
            <w:r>
              <w:rPr>
                <w:szCs w:val="22"/>
              </w:rPr>
              <w:t>-</w:t>
            </w:r>
          </w:p>
        </w:tc>
        <w:tc>
          <w:tcPr>
            <w:tcW w:w="1020" w:type="dxa"/>
          </w:tcPr>
          <w:p w:rsidR="00AD16FD" w:rsidRPr="00AD16FD" w:rsidRDefault="00AD16FD" w:rsidP="00766801">
            <w:pPr>
              <w:spacing w:before="60" w:after="60"/>
              <w:ind w:right="57"/>
              <w:jc w:val="right"/>
              <w:rPr>
                <w:szCs w:val="22"/>
              </w:rPr>
            </w:pPr>
            <w:r>
              <w:rPr>
                <w:szCs w:val="22"/>
              </w:rPr>
              <w:t>-</w:t>
            </w:r>
          </w:p>
        </w:tc>
        <w:tc>
          <w:tcPr>
            <w:tcW w:w="1020" w:type="dxa"/>
            <w:vAlign w:val="center"/>
          </w:tcPr>
          <w:p w:rsidR="00AD16FD" w:rsidRPr="00AD16FD" w:rsidRDefault="00AD16FD" w:rsidP="00766801">
            <w:pPr>
              <w:spacing w:before="60" w:after="60"/>
              <w:ind w:right="57"/>
              <w:jc w:val="right"/>
              <w:rPr>
                <w:szCs w:val="22"/>
              </w:rPr>
            </w:pPr>
            <w:r>
              <w:rPr>
                <w:szCs w:val="22"/>
              </w:rPr>
              <w:t>-297</w:t>
            </w:r>
          </w:p>
        </w:tc>
        <w:tc>
          <w:tcPr>
            <w:tcW w:w="1020" w:type="dxa"/>
            <w:vAlign w:val="center"/>
          </w:tcPr>
          <w:p w:rsidR="00AD16FD" w:rsidRPr="00AD16FD" w:rsidRDefault="00AD16FD">
            <w:pPr>
              <w:spacing w:before="60" w:after="60"/>
              <w:ind w:right="57"/>
              <w:jc w:val="right"/>
              <w:rPr>
                <w:szCs w:val="22"/>
              </w:rPr>
            </w:pPr>
            <w:r>
              <w:rPr>
                <w:szCs w:val="22"/>
              </w:rPr>
              <w:t>-</w:t>
            </w:r>
            <w:r w:rsidR="002E6F12">
              <w:rPr>
                <w:szCs w:val="22"/>
              </w:rPr>
              <w:t>297</w:t>
            </w:r>
          </w:p>
        </w:tc>
        <w:tc>
          <w:tcPr>
            <w:tcW w:w="1020" w:type="dxa"/>
            <w:vAlign w:val="center"/>
          </w:tcPr>
          <w:p w:rsidR="00AD16FD" w:rsidRPr="00AD16FD" w:rsidRDefault="00AD16FD">
            <w:pPr>
              <w:spacing w:before="60" w:after="60"/>
              <w:ind w:right="57"/>
              <w:jc w:val="right"/>
              <w:rPr>
                <w:b/>
                <w:szCs w:val="22"/>
              </w:rPr>
            </w:pPr>
            <w:r>
              <w:rPr>
                <w:b/>
                <w:szCs w:val="22"/>
              </w:rPr>
              <w:t>-</w:t>
            </w:r>
            <w:r w:rsidR="002E6F12">
              <w:rPr>
                <w:b/>
                <w:szCs w:val="22"/>
              </w:rPr>
              <w:t>594</w:t>
            </w:r>
          </w:p>
        </w:tc>
      </w:tr>
      <w:tr w:rsidR="00AD16FD" w:rsidRPr="00AD16FD" w:rsidTr="00AD16FD">
        <w:tc>
          <w:tcPr>
            <w:tcW w:w="4258" w:type="dxa"/>
            <w:vAlign w:val="center"/>
          </w:tcPr>
          <w:p w:rsidR="00AD16FD" w:rsidRPr="00AD16FD" w:rsidRDefault="0010225A" w:rsidP="0010225A">
            <w:pPr>
              <w:spacing w:before="60" w:after="60"/>
              <w:ind w:left="57"/>
              <w:rPr>
                <w:szCs w:val="22"/>
              </w:rPr>
            </w:pPr>
            <w:r>
              <w:rPr>
                <w:szCs w:val="22"/>
              </w:rPr>
              <w:t>ATO a</w:t>
            </w:r>
            <w:r w:rsidR="00AD16FD" w:rsidRPr="00AD16FD">
              <w:rPr>
                <w:szCs w:val="22"/>
              </w:rPr>
              <w:t>dministration expenses</w:t>
            </w:r>
          </w:p>
        </w:tc>
        <w:tc>
          <w:tcPr>
            <w:tcW w:w="1020" w:type="dxa"/>
            <w:vAlign w:val="center"/>
          </w:tcPr>
          <w:p w:rsidR="00AD16FD" w:rsidRPr="00AD16FD" w:rsidRDefault="00AD16FD" w:rsidP="00766801">
            <w:pPr>
              <w:spacing w:before="60" w:after="60"/>
              <w:ind w:right="57"/>
              <w:jc w:val="right"/>
              <w:rPr>
                <w:szCs w:val="22"/>
              </w:rPr>
            </w:pPr>
            <w:r>
              <w:rPr>
                <w:szCs w:val="22"/>
              </w:rPr>
              <w:t>-</w:t>
            </w:r>
          </w:p>
        </w:tc>
        <w:tc>
          <w:tcPr>
            <w:tcW w:w="1020" w:type="dxa"/>
          </w:tcPr>
          <w:p w:rsidR="00AD16FD" w:rsidRPr="00AD16FD" w:rsidRDefault="00AD16FD" w:rsidP="00766801">
            <w:pPr>
              <w:spacing w:before="60" w:after="60"/>
              <w:ind w:right="57"/>
              <w:jc w:val="right"/>
              <w:rPr>
                <w:szCs w:val="22"/>
              </w:rPr>
            </w:pPr>
            <w:r>
              <w:rPr>
                <w:szCs w:val="22"/>
              </w:rPr>
              <w:t>-</w:t>
            </w:r>
          </w:p>
        </w:tc>
        <w:tc>
          <w:tcPr>
            <w:tcW w:w="1020" w:type="dxa"/>
            <w:vAlign w:val="center"/>
          </w:tcPr>
          <w:p w:rsidR="00AD16FD" w:rsidRPr="00AD16FD" w:rsidRDefault="00666972" w:rsidP="00766801">
            <w:pPr>
              <w:spacing w:before="60" w:after="60"/>
              <w:ind w:right="57"/>
              <w:jc w:val="right"/>
              <w:rPr>
                <w:szCs w:val="22"/>
              </w:rPr>
            </w:pPr>
            <w:r>
              <w:rPr>
                <w:szCs w:val="22"/>
              </w:rPr>
              <w:t>-</w:t>
            </w:r>
            <w:r w:rsidR="00AD16FD">
              <w:rPr>
                <w:szCs w:val="22"/>
              </w:rPr>
              <w:t>3</w:t>
            </w:r>
          </w:p>
        </w:tc>
        <w:tc>
          <w:tcPr>
            <w:tcW w:w="1020" w:type="dxa"/>
            <w:vAlign w:val="center"/>
          </w:tcPr>
          <w:p w:rsidR="00AD16FD" w:rsidRPr="00AD16FD" w:rsidRDefault="00666972" w:rsidP="00766801">
            <w:pPr>
              <w:spacing w:before="60" w:after="60"/>
              <w:ind w:right="57"/>
              <w:jc w:val="right"/>
              <w:rPr>
                <w:szCs w:val="22"/>
              </w:rPr>
            </w:pPr>
            <w:r>
              <w:rPr>
                <w:szCs w:val="22"/>
              </w:rPr>
              <w:t>-</w:t>
            </w:r>
            <w:r w:rsidR="00AD16FD">
              <w:rPr>
                <w:szCs w:val="22"/>
              </w:rPr>
              <w:t>3</w:t>
            </w:r>
          </w:p>
        </w:tc>
        <w:tc>
          <w:tcPr>
            <w:tcW w:w="1020" w:type="dxa"/>
            <w:vAlign w:val="center"/>
          </w:tcPr>
          <w:p w:rsidR="00AD16FD" w:rsidRPr="00AD16FD" w:rsidRDefault="00666972" w:rsidP="00766801">
            <w:pPr>
              <w:spacing w:before="60" w:after="60"/>
              <w:ind w:right="57"/>
              <w:jc w:val="right"/>
              <w:rPr>
                <w:b/>
                <w:szCs w:val="22"/>
              </w:rPr>
            </w:pPr>
            <w:r>
              <w:rPr>
                <w:b/>
                <w:szCs w:val="22"/>
              </w:rPr>
              <w:t>-</w:t>
            </w:r>
            <w:r w:rsidR="00AD16FD">
              <w:rPr>
                <w:b/>
                <w:szCs w:val="22"/>
              </w:rPr>
              <w:t>6</w:t>
            </w:r>
          </w:p>
        </w:tc>
      </w:tr>
      <w:tr w:rsidR="00F62D14" w:rsidRPr="00AD16FD" w:rsidTr="008C3F95">
        <w:tc>
          <w:tcPr>
            <w:tcW w:w="4258" w:type="dxa"/>
            <w:shd w:val="clear" w:color="auto" w:fill="F2F2F2" w:themeFill="background1" w:themeFillShade="F2"/>
            <w:vAlign w:val="center"/>
          </w:tcPr>
          <w:p w:rsidR="00F62D14" w:rsidRDefault="00BD3039">
            <w:pPr>
              <w:spacing w:before="60" w:after="60"/>
              <w:ind w:left="57"/>
              <w:rPr>
                <w:szCs w:val="22"/>
              </w:rPr>
            </w:pPr>
            <w:r>
              <w:rPr>
                <w:b/>
                <w:bCs/>
                <w:color w:val="000000"/>
              </w:rPr>
              <w:t>Net GST impact</w:t>
            </w:r>
          </w:p>
        </w:tc>
        <w:tc>
          <w:tcPr>
            <w:tcW w:w="1020" w:type="dxa"/>
            <w:shd w:val="clear" w:color="auto" w:fill="F2F2F2" w:themeFill="background1" w:themeFillShade="F2"/>
            <w:vAlign w:val="center"/>
          </w:tcPr>
          <w:p w:rsidR="00F62D14" w:rsidRPr="008C3F95" w:rsidRDefault="00F62D14" w:rsidP="00766801">
            <w:pPr>
              <w:spacing w:before="60" w:after="60"/>
              <w:ind w:right="57"/>
              <w:jc w:val="right"/>
              <w:rPr>
                <w:b/>
                <w:szCs w:val="22"/>
              </w:rPr>
            </w:pPr>
            <w:r w:rsidRPr="008C3F95">
              <w:rPr>
                <w:b/>
                <w:szCs w:val="22"/>
              </w:rPr>
              <w:t>-</w:t>
            </w:r>
          </w:p>
        </w:tc>
        <w:tc>
          <w:tcPr>
            <w:tcW w:w="1020" w:type="dxa"/>
            <w:shd w:val="clear" w:color="auto" w:fill="F2F2F2" w:themeFill="background1" w:themeFillShade="F2"/>
          </w:tcPr>
          <w:p w:rsidR="00F62D14" w:rsidRPr="008C3F95" w:rsidRDefault="00F62D14" w:rsidP="00766801">
            <w:pPr>
              <w:spacing w:before="60" w:after="60"/>
              <w:ind w:right="57"/>
              <w:jc w:val="right"/>
              <w:rPr>
                <w:b/>
                <w:szCs w:val="22"/>
              </w:rPr>
            </w:pPr>
            <w:r w:rsidRPr="008C3F95">
              <w:rPr>
                <w:b/>
                <w:szCs w:val="22"/>
              </w:rPr>
              <w:t>-</w:t>
            </w:r>
          </w:p>
        </w:tc>
        <w:tc>
          <w:tcPr>
            <w:tcW w:w="1020" w:type="dxa"/>
            <w:shd w:val="clear" w:color="auto" w:fill="F2F2F2" w:themeFill="background1" w:themeFillShade="F2"/>
            <w:vAlign w:val="center"/>
          </w:tcPr>
          <w:p w:rsidR="00F62D14" w:rsidRPr="008C3F95" w:rsidRDefault="00F62D14" w:rsidP="00766801">
            <w:pPr>
              <w:spacing w:before="60" w:after="60"/>
              <w:ind w:right="57"/>
              <w:jc w:val="right"/>
              <w:rPr>
                <w:b/>
                <w:szCs w:val="22"/>
              </w:rPr>
            </w:pPr>
            <w:r w:rsidRPr="008C3F95">
              <w:rPr>
                <w:b/>
                <w:szCs w:val="22"/>
              </w:rPr>
              <w:t>-</w:t>
            </w:r>
          </w:p>
        </w:tc>
        <w:tc>
          <w:tcPr>
            <w:tcW w:w="1020" w:type="dxa"/>
            <w:shd w:val="clear" w:color="auto" w:fill="F2F2F2" w:themeFill="background1" w:themeFillShade="F2"/>
            <w:vAlign w:val="center"/>
          </w:tcPr>
          <w:p w:rsidR="00F62D14" w:rsidRPr="008C3F95" w:rsidRDefault="00F62D14" w:rsidP="00766801">
            <w:pPr>
              <w:spacing w:before="60" w:after="60"/>
              <w:ind w:right="57"/>
              <w:jc w:val="right"/>
              <w:rPr>
                <w:b/>
                <w:szCs w:val="22"/>
              </w:rPr>
            </w:pPr>
            <w:r w:rsidRPr="008C3F95">
              <w:rPr>
                <w:b/>
                <w:szCs w:val="22"/>
              </w:rPr>
              <w:t>-</w:t>
            </w:r>
          </w:p>
        </w:tc>
        <w:tc>
          <w:tcPr>
            <w:tcW w:w="1020" w:type="dxa"/>
            <w:shd w:val="clear" w:color="auto" w:fill="F2F2F2" w:themeFill="background1" w:themeFillShade="F2"/>
            <w:vAlign w:val="center"/>
          </w:tcPr>
          <w:p w:rsidR="00F62D14" w:rsidRPr="005B1F6A" w:rsidRDefault="00F62D14" w:rsidP="00766801">
            <w:pPr>
              <w:spacing w:before="60" w:after="60"/>
              <w:ind w:right="57"/>
              <w:jc w:val="right"/>
              <w:rPr>
                <w:b/>
                <w:szCs w:val="22"/>
              </w:rPr>
            </w:pPr>
            <w:r w:rsidRPr="005B1F6A">
              <w:rPr>
                <w:b/>
                <w:szCs w:val="22"/>
              </w:rPr>
              <w:t>-</w:t>
            </w:r>
          </w:p>
        </w:tc>
      </w:tr>
      <w:tr w:rsidR="00F62D14" w:rsidRPr="00AD16FD" w:rsidTr="00AD16FD">
        <w:tc>
          <w:tcPr>
            <w:tcW w:w="4258" w:type="dxa"/>
            <w:vAlign w:val="center"/>
          </w:tcPr>
          <w:p w:rsidR="00F62D14" w:rsidRDefault="00F62D14" w:rsidP="0010225A">
            <w:pPr>
              <w:spacing w:before="60" w:after="60"/>
              <w:ind w:left="57"/>
              <w:rPr>
                <w:szCs w:val="22"/>
              </w:rPr>
            </w:pPr>
            <w:r>
              <w:rPr>
                <w:szCs w:val="22"/>
              </w:rPr>
              <w:t>Reduction in funding for AFP</w:t>
            </w:r>
          </w:p>
        </w:tc>
        <w:tc>
          <w:tcPr>
            <w:tcW w:w="1020" w:type="dxa"/>
            <w:vAlign w:val="center"/>
          </w:tcPr>
          <w:p w:rsidR="00F62D14" w:rsidRDefault="00F62D14" w:rsidP="00766801">
            <w:pPr>
              <w:spacing w:before="60" w:after="60"/>
              <w:ind w:right="57"/>
              <w:jc w:val="right"/>
              <w:rPr>
                <w:szCs w:val="22"/>
              </w:rPr>
            </w:pPr>
            <w:r>
              <w:rPr>
                <w:szCs w:val="22"/>
              </w:rPr>
              <w:t>-</w:t>
            </w:r>
          </w:p>
        </w:tc>
        <w:tc>
          <w:tcPr>
            <w:tcW w:w="1020" w:type="dxa"/>
          </w:tcPr>
          <w:p w:rsidR="00F62D14" w:rsidRDefault="00F62D14" w:rsidP="00766801">
            <w:pPr>
              <w:spacing w:before="60" w:after="60"/>
              <w:ind w:right="57"/>
              <w:jc w:val="right"/>
              <w:rPr>
                <w:szCs w:val="22"/>
              </w:rPr>
            </w:pPr>
            <w:r>
              <w:rPr>
                <w:szCs w:val="22"/>
              </w:rPr>
              <w:t>-</w:t>
            </w:r>
          </w:p>
        </w:tc>
        <w:tc>
          <w:tcPr>
            <w:tcW w:w="1020" w:type="dxa"/>
            <w:vAlign w:val="center"/>
          </w:tcPr>
          <w:p w:rsidR="00F62D14" w:rsidRDefault="00611CD0" w:rsidP="0010609E">
            <w:pPr>
              <w:spacing w:before="60" w:after="60"/>
              <w:ind w:right="57"/>
              <w:jc w:val="right"/>
              <w:rPr>
                <w:szCs w:val="22"/>
              </w:rPr>
            </w:pPr>
            <w:r>
              <w:rPr>
                <w:szCs w:val="22"/>
              </w:rPr>
              <w:t>5</w:t>
            </w:r>
            <w:r w:rsidR="0010609E">
              <w:rPr>
                <w:szCs w:val="22"/>
              </w:rPr>
              <w:t>4</w:t>
            </w:r>
          </w:p>
        </w:tc>
        <w:tc>
          <w:tcPr>
            <w:tcW w:w="1020" w:type="dxa"/>
            <w:vAlign w:val="center"/>
          </w:tcPr>
          <w:p w:rsidR="00F62D14" w:rsidRDefault="00611CD0" w:rsidP="0010609E">
            <w:pPr>
              <w:spacing w:before="60" w:after="60"/>
              <w:ind w:right="57"/>
              <w:jc w:val="right"/>
              <w:rPr>
                <w:szCs w:val="22"/>
              </w:rPr>
            </w:pPr>
            <w:r>
              <w:rPr>
                <w:szCs w:val="22"/>
              </w:rPr>
              <w:t>5</w:t>
            </w:r>
            <w:r w:rsidR="0010609E">
              <w:rPr>
                <w:szCs w:val="22"/>
              </w:rPr>
              <w:t>4</w:t>
            </w:r>
          </w:p>
        </w:tc>
        <w:tc>
          <w:tcPr>
            <w:tcW w:w="1020" w:type="dxa"/>
            <w:vAlign w:val="center"/>
          </w:tcPr>
          <w:p w:rsidR="00F62D14" w:rsidRDefault="00A67365" w:rsidP="0010609E">
            <w:pPr>
              <w:spacing w:before="60" w:after="60"/>
              <w:ind w:right="57"/>
              <w:jc w:val="right"/>
              <w:rPr>
                <w:b/>
                <w:szCs w:val="22"/>
              </w:rPr>
            </w:pPr>
            <w:r>
              <w:rPr>
                <w:b/>
                <w:szCs w:val="22"/>
              </w:rPr>
              <w:t>1</w:t>
            </w:r>
            <w:r w:rsidR="0010609E">
              <w:rPr>
                <w:b/>
                <w:szCs w:val="22"/>
              </w:rPr>
              <w:t>08</w:t>
            </w:r>
          </w:p>
        </w:tc>
      </w:tr>
      <w:tr w:rsidR="00F62D14" w:rsidRPr="00AD16FD" w:rsidTr="00AD16FD">
        <w:tc>
          <w:tcPr>
            <w:tcW w:w="4258" w:type="dxa"/>
            <w:vAlign w:val="center"/>
          </w:tcPr>
          <w:p w:rsidR="00F62D14" w:rsidRDefault="00F62D14" w:rsidP="0010225A">
            <w:pPr>
              <w:spacing w:before="60" w:after="60"/>
              <w:ind w:left="57"/>
              <w:rPr>
                <w:szCs w:val="22"/>
              </w:rPr>
            </w:pPr>
            <w:r>
              <w:rPr>
                <w:szCs w:val="22"/>
              </w:rPr>
              <w:t>Reduction in funding for ABF</w:t>
            </w:r>
          </w:p>
        </w:tc>
        <w:tc>
          <w:tcPr>
            <w:tcW w:w="1020" w:type="dxa"/>
            <w:vAlign w:val="center"/>
          </w:tcPr>
          <w:p w:rsidR="00F62D14" w:rsidRDefault="00F62D14" w:rsidP="00766801">
            <w:pPr>
              <w:spacing w:before="60" w:after="60"/>
              <w:ind w:right="57"/>
              <w:jc w:val="right"/>
              <w:rPr>
                <w:szCs w:val="22"/>
              </w:rPr>
            </w:pPr>
            <w:r>
              <w:rPr>
                <w:szCs w:val="22"/>
              </w:rPr>
              <w:t>-</w:t>
            </w:r>
          </w:p>
        </w:tc>
        <w:tc>
          <w:tcPr>
            <w:tcW w:w="1020" w:type="dxa"/>
          </w:tcPr>
          <w:p w:rsidR="00F62D14" w:rsidRDefault="00F62D14" w:rsidP="00766801">
            <w:pPr>
              <w:spacing w:before="60" w:after="60"/>
              <w:ind w:right="57"/>
              <w:jc w:val="right"/>
              <w:rPr>
                <w:szCs w:val="22"/>
              </w:rPr>
            </w:pPr>
            <w:r>
              <w:rPr>
                <w:szCs w:val="22"/>
              </w:rPr>
              <w:t>-</w:t>
            </w:r>
          </w:p>
        </w:tc>
        <w:tc>
          <w:tcPr>
            <w:tcW w:w="1020" w:type="dxa"/>
            <w:vAlign w:val="center"/>
          </w:tcPr>
          <w:p w:rsidR="00F62D14" w:rsidRDefault="00611CD0" w:rsidP="00766801">
            <w:pPr>
              <w:spacing w:before="60" w:after="60"/>
              <w:ind w:right="57"/>
              <w:jc w:val="right"/>
              <w:rPr>
                <w:szCs w:val="22"/>
              </w:rPr>
            </w:pPr>
            <w:r>
              <w:rPr>
                <w:szCs w:val="22"/>
              </w:rPr>
              <w:t>5</w:t>
            </w:r>
            <w:r w:rsidR="00BD3039">
              <w:rPr>
                <w:szCs w:val="22"/>
              </w:rPr>
              <w:t>0</w:t>
            </w:r>
          </w:p>
        </w:tc>
        <w:tc>
          <w:tcPr>
            <w:tcW w:w="1020" w:type="dxa"/>
            <w:vAlign w:val="center"/>
          </w:tcPr>
          <w:p w:rsidR="00F62D14" w:rsidRDefault="00611CD0" w:rsidP="0010609E">
            <w:pPr>
              <w:spacing w:before="60" w:after="60"/>
              <w:ind w:right="57"/>
              <w:jc w:val="right"/>
              <w:rPr>
                <w:szCs w:val="22"/>
              </w:rPr>
            </w:pPr>
            <w:r>
              <w:rPr>
                <w:szCs w:val="22"/>
              </w:rPr>
              <w:t>5</w:t>
            </w:r>
            <w:r w:rsidR="0010609E">
              <w:rPr>
                <w:szCs w:val="22"/>
              </w:rPr>
              <w:t>1</w:t>
            </w:r>
          </w:p>
        </w:tc>
        <w:tc>
          <w:tcPr>
            <w:tcW w:w="1020" w:type="dxa"/>
            <w:vAlign w:val="center"/>
          </w:tcPr>
          <w:p w:rsidR="00F62D14" w:rsidRDefault="00611CD0" w:rsidP="0010609E">
            <w:pPr>
              <w:spacing w:before="60" w:after="60"/>
              <w:ind w:right="57"/>
              <w:jc w:val="right"/>
              <w:rPr>
                <w:b/>
                <w:szCs w:val="22"/>
              </w:rPr>
            </w:pPr>
            <w:r>
              <w:rPr>
                <w:b/>
                <w:szCs w:val="22"/>
              </w:rPr>
              <w:t>1</w:t>
            </w:r>
            <w:r w:rsidR="0010609E">
              <w:rPr>
                <w:b/>
                <w:szCs w:val="22"/>
              </w:rPr>
              <w:t>01</w:t>
            </w:r>
          </w:p>
        </w:tc>
      </w:tr>
      <w:tr w:rsidR="00F62D14" w:rsidRPr="00AD16FD" w:rsidTr="008C3F95">
        <w:tc>
          <w:tcPr>
            <w:tcW w:w="4258" w:type="dxa"/>
            <w:shd w:val="clear" w:color="auto" w:fill="F2F2F2" w:themeFill="background1" w:themeFillShade="F2"/>
            <w:vAlign w:val="center"/>
          </w:tcPr>
          <w:p w:rsidR="00F62D14" w:rsidRDefault="00BD3039">
            <w:pPr>
              <w:spacing w:before="60" w:after="60"/>
              <w:ind w:left="57"/>
              <w:rPr>
                <w:szCs w:val="22"/>
              </w:rPr>
            </w:pPr>
            <w:r>
              <w:rPr>
                <w:b/>
                <w:bCs/>
                <w:color w:val="000000"/>
              </w:rPr>
              <w:t>Net law enforcement impact</w:t>
            </w:r>
          </w:p>
        </w:tc>
        <w:tc>
          <w:tcPr>
            <w:tcW w:w="1020" w:type="dxa"/>
            <w:shd w:val="clear" w:color="auto" w:fill="F2F2F2" w:themeFill="background1" w:themeFillShade="F2"/>
            <w:vAlign w:val="center"/>
          </w:tcPr>
          <w:p w:rsidR="00F62D14" w:rsidRDefault="00F62D14" w:rsidP="00766801">
            <w:pPr>
              <w:spacing w:before="60" w:after="60"/>
              <w:ind w:right="57"/>
              <w:jc w:val="right"/>
              <w:rPr>
                <w:szCs w:val="22"/>
              </w:rPr>
            </w:pPr>
            <w:r>
              <w:rPr>
                <w:szCs w:val="22"/>
              </w:rPr>
              <w:t>-</w:t>
            </w:r>
          </w:p>
        </w:tc>
        <w:tc>
          <w:tcPr>
            <w:tcW w:w="1020" w:type="dxa"/>
            <w:shd w:val="clear" w:color="auto" w:fill="F2F2F2" w:themeFill="background1" w:themeFillShade="F2"/>
          </w:tcPr>
          <w:p w:rsidR="00F62D14" w:rsidRPr="008C3F95" w:rsidRDefault="00F62D14" w:rsidP="00766801">
            <w:pPr>
              <w:spacing w:before="60" w:after="60"/>
              <w:ind w:right="57"/>
              <w:jc w:val="right"/>
              <w:rPr>
                <w:b/>
                <w:szCs w:val="22"/>
              </w:rPr>
            </w:pPr>
            <w:r w:rsidRPr="008C3F95">
              <w:rPr>
                <w:b/>
                <w:szCs w:val="22"/>
              </w:rPr>
              <w:t>-</w:t>
            </w:r>
          </w:p>
        </w:tc>
        <w:tc>
          <w:tcPr>
            <w:tcW w:w="1020" w:type="dxa"/>
            <w:shd w:val="clear" w:color="auto" w:fill="F2F2F2" w:themeFill="background1" w:themeFillShade="F2"/>
            <w:vAlign w:val="center"/>
          </w:tcPr>
          <w:p w:rsidR="00F62D14" w:rsidRPr="008C3F95" w:rsidRDefault="0010609E" w:rsidP="00766801">
            <w:pPr>
              <w:spacing w:before="60" w:after="60"/>
              <w:ind w:right="57"/>
              <w:jc w:val="right"/>
              <w:rPr>
                <w:b/>
                <w:szCs w:val="22"/>
              </w:rPr>
            </w:pPr>
            <w:r>
              <w:rPr>
                <w:b/>
                <w:szCs w:val="22"/>
              </w:rPr>
              <w:t>104</w:t>
            </w:r>
          </w:p>
        </w:tc>
        <w:tc>
          <w:tcPr>
            <w:tcW w:w="1020" w:type="dxa"/>
            <w:shd w:val="clear" w:color="auto" w:fill="F2F2F2" w:themeFill="background1" w:themeFillShade="F2"/>
            <w:vAlign w:val="center"/>
          </w:tcPr>
          <w:p w:rsidR="00F62D14" w:rsidRPr="008C3F95" w:rsidRDefault="00611CD0" w:rsidP="0010609E">
            <w:pPr>
              <w:spacing w:before="60" w:after="60"/>
              <w:ind w:right="57"/>
              <w:jc w:val="right"/>
              <w:rPr>
                <w:b/>
                <w:szCs w:val="22"/>
              </w:rPr>
            </w:pPr>
            <w:r>
              <w:rPr>
                <w:b/>
                <w:szCs w:val="22"/>
              </w:rPr>
              <w:t>1</w:t>
            </w:r>
            <w:r w:rsidR="0010609E">
              <w:rPr>
                <w:b/>
                <w:szCs w:val="22"/>
              </w:rPr>
              <w:t>05</w:t>
            </w:r>
          </w:p>
        </w:tc>
        <w:tc>
          <w:tcPr>
            <w:tcW w:w="1020" w:type="dxa"/>
            <w:shd w:val="clear" w:color="auto" w:fill="F2F2F2" w:themeFill="background1" w:themeFillShade="F2"/>
            <w:vAlign w:val="center"/>
          </w:tcPr>
          <w:p w:rsidR="00F62D14" w:rsidRPr="005B1F6A" w:rsidRDefault="00A67365" w:rsidP="0010609E">
            <w:pPr>
              <w:spacing w:before="60" w:after="60"/>
              <w:ind w:right="57"/>
              <w:jc w:val="right"/>
              <w:rPr>
                <w:b/>
                <w:szCs w:val="22"/>
              </w:rPr>
            </w:pPr>
            <w:r>
              <w:rPr>
                <w:b/>
                <w:szCs w:val="22"/>
              </w:rPr>
              <w:t>2</w:t>
            </w:r>
            <w:r w:rsidR="0010609E">
              <w:rPr>
                <w:b/>
                <w:szCs w:val="22"/>
              </w:rPr>
              <w:t>09</w:t>
            </w:r>
          </w:p>
        </w:tc>
      </w:tr>
      <w:tr w:rsidR="00F62D14" w:rsidRPr="00AD16FD" w:rsidTr="00AD16FD">
        <w:tc>
          <w:tcPr>
            <w:tcW w:w="4258" w:type="dxa"/>
            <w:tcBorders>
              <w:top w:val="double" w:sz="4" w:space="0" w:color="A6A6A6" w:themeColor="background1" w:themeShade="A6"/>
            </w:tcBorders>
            <w:vAlign w:val="center"/>
          </w:tcPr>
          <w:p w:rsidR="00F62D14" w:rsidRPr="00AD16FD" w:rsidRDefault="00F62D14" w:rsidP="00766801">
            <w:pPr>
              <w:spacing w:before="60" w:after="60"/>
              <w:ind w:left="57"/>
              <w:rPr>
                <w:b/>
                <w:szCs w:val="22"/>
              </w:rPr>
            </w:pPr>
            <w:r w:rsidRPr="00AD16FD">
              <w:rPr>
                <w:b/>
                <w:szCs w:val="22"/>
              </w:rPr>
              <w:t xml:space="preserve">Net financial implications </w:t>
            </w:r>
          </w:p>
        </w:tc>
        <w:tc>
          <w:tcPr>
            <w:tcW w:w="1020" w:type="dxa"/>
            <w:tcBorders>
              <w:top w:val="double" w:sz="4" w:space="0" w:color="A6A6A6" w:themeColor="background1" w:themeShade="A6"/>
            </w:tcBorders>
            <w:vAlign w:val="center"/>
          </w:tcPr>
          <w:p w:rsidR="00F62D14" w:rsidRPr="00AD16FD" w:rsidRDefault="00F62D14" w:rsidP="00766801">
            <w:pPr>
              <w:spacing w:before="60" w:after="60"/>
              <w:ind w:right="57"/>
              <w:jc w:val="right"/>
              <w:rPr>
                <w:szCs w:val="22"/>
              </w:rPr>
            </w:pPr>
            <w:r w:rsidRPr="00AD16FD">
              <w:rPr>
                <w:szCs w:val="22"/>
              </w:rPr>
              <w:t>-</w:t>
            </w:r>
          </w:p>
        </w:tc>
        <w:tc>
          <w:tcPr>
            <w:tcW w:w="1020" w:type="dxa"/>
            <w:tcBorders>
              <w:top w:val="double" w:sz="4" w:space="0" w:color="A6A6A6" w:themeColor="background1" w:themeShade="A6"/>
            </w:tcBorders>
          </w:tcPr>
          <w:p w:rsidR="00F62D14" w:rsidRPr="00AD16FD" w:rsidRDefault="00F62D14" w:rsidP="00766801">
            <w:pPr>
              <w:spacing w:before="60" w:after="60"/>
              <w:ind w:right="57"/>
              <w:jc w:val="right"/>
              <w:rPr>
                <w:szCs w:val="22"/>
              </w:rPr>
            </w:pPr>
            <w:r>
              <w:rPr>
                <w:szCs w:val="22"/>
              </w:rPr>
              <w:t>-</w:t>
            </w:r>
          </w:p>
        </w:tc>
        <w:tc>
          <w:tcPr>
            <w:tcW w:w="1020" w:type="dxa"/>
            <w:tcBorders>
              <w:top w:val="double" w:sz="4" w:space="0" w:color="A6A6A6" w:themeColor="background1" w:themeShade="A6"/>
            </w:tcBorders>
            <w:vAlign w:val="center"/>
          </w:tcPr>
          <w:p w:rsidR="00F62D14" w:rsidRPr="008C3F95" w:rsidRDefault="00000FD7" w:rsidP="0010609E">
            <w:pPr>
              <w:spacing w:before="60" w:after="60"/>
              <w:ind w:right="57"/>
              <w:jc w:val="right"/>
              <w:rPr>
                <w:b/>
                <w:szCs w:val="22"/>
              </w:rPr>
            </w:pPr>
            <w:r w:rsidRPr="008C3F95">
              <w:rPr>
                <w:b/>
                <w:szCs w:val="22"/>
              </w:rPr>
              <w:t>1</w:t>
            </w:r>
            <w:r w:rsidR="0010609E">
              <w:rPr>
                <w:b/>
                <w:szCs w:val="22"/>
              </w:rPr>
              <w:t>04</w:t>
            </w:r>
          </w:p>
        </w:tc>
        <w:tc>
          <w:tcPr>
            <w:tcW w:w="1020" w:type="dxa"/>
            <w:tcBorders>
              <w:top w:val="double" w:sz="4" w:space="0" w:color="A6A6A6" w:themeColor="background1" w:themeShade="A6"/>
            </w:tcBorders>
            <w:vAlign w:val="center"/>
          </w:tcPr>
          <w:p w:rsidR="00F62D14" w:rsidRPr="008C3F95" w:rsidRDefault="00000FD7" w:rsidP="0010609E">
            <w:pPr>
              <w:spacing w:before="60" w:after="60"/>
              <w:ind w:right="57"/>
              <w:jc w:val="right"/>
              <w:rPr>
                <w:b/>
                <w:szCs w:val="22"/>
              </w:rPr>
            </w:pPr>
            <w:r>
              <w:rPr>
                <w:b/>
                <w:szCs w:val="22"/>
              </w:rPr>
              <w:t>1</w:t>
            </w:r>
            <w:r w:rsidR="0010609E">
              <w:rPr>
                <w:b/>
                <w:szCs w:val="22"/>
              </w:rPr>
              <w:t>05</w:t>
            </w:r>
          </w:p>
        </w:tc>
        <w:tc>
          <w:tcPr>
            <w:tcW w:w="1020" w:type="dxa"/>
            <w:tcBorders>
              <w:top w:val="double" w:sz="4" w:space="0" w:color="A6A6A6" w:themeColor="background1" w:themeShade="A6"/>
            </w:tcBorders>
            <w:vAlign w:val="center"/>
          </w:tcPr>
          <w:p w:rsidR="00F62D14" w:rsidRPr="005B1F6A" w:rsidRDefault="00A67365" w:rsidP="0010609E">
            <w:pPr>
              <w:spacing w:before="60" w:after="60"/>
              <w:ind w:right="57"/>
              <w:jc w:val="right"/>
              <w:rPr>
                <w:b/>
                <w:szCs w:val="22"/>
              </w:rPr>
            </w:pPr>
            <w:r>
              <w:rPr>
                <w:b/>
                <w:szCs w:val="22"/>
              </w:rPr>
              <w:t>2</w:t>
            </w:r>
            <w:r w:rsidR="0010609E">
              <w:rPr>
                <w:b/>
                <w:szCs w:val="22"/>
              </w:rPr>
              <w:t>09</w:t>
            </w:r>
          </w:p>
        </w:tc>
      </w:tr>
    </w:tbl>
    <w:p w:rsidR="00A67365" w:rsidRPr="00055A2A" w:rsidRDefault="0096239A" w:rsidP="00055A2A">
      <w:pPr>
        <w:pStyle w:val="ChartandTableFootnoteAlpha"/>
        <w:numPr>
          <w:ilvl w:val="0"/>
          <w:numId w:val="35"/>
        </w:numPr>
        <w:spacing w:before="60" w:after="60"/>
        <w:rPr>
          <w:rFonts w:ascii="Times New Roman" w:hAnsi="Times New Roman"/>
          <w:sz w:val="18"/>
          <w:szCs w:val="18"/>
        </w:rPr>
      </w:pPr>
      <w:r w:rsidRPr="00055A2A">
        <w:rPr>
          <w:rFonts w:ascii="Times New Roman" w:hAnsi="Times New Roman"/>
          <w:sz w:val="18"/>
          <w:szCs w:val="18"/>
        </w:rPr>
        <w:t>A positive number for the underlying cash balance indicates an increase in revenue or a decrease in expenses in cash terms.  A negative number for the underlying cash balance indicates a decrease in revenue or an increase in expenses in cash terms</w:t>
      </w:r>
      <w:r w:rsidR="00A67365" w:rsidRPr="00055A2A">
        <w:rPr>
          <w:rFonts w:ascii="Times New Roman" w:hAnsi="Times New Roman"/>
          <w:sz w:val="18"/>
          <w:szCs w:val="18"/>
        </w:rPr>
        <w:t>.</w:t>
      </w:r>
    </w:p>
    <w:p w:rsidR="00AD16FD" w:rsidRDefault="00F62D14">
      <w:pPr>
        <w:pStyle w:val="Bullet1"/>
        <w:numPr>
          <w:ilvl w:val="0"/>
          <w:numId w:val="0"/>
        </w:numPr>
      </w:pPr>
      <w:r w:rsidRPr="00F62D14">
        <w:t>The following table provides a breakdown of the estimated impacts of legalising marijuana from 1</w:t>
      </w:r>
      <w:r w:rsidR="00DA4325">
        <w:t> </w:t>
      </w:r>
      <w:r w:rsidRPr="00F62D14">
        <w:t>July</w:t>
      </w:r>
      <w:r w:rsidR="00DA4325">
        <w:t> </w:t>
      </w:r>
      <w:r w:rsidRPr="00F62D14">
        <w:t xml:space="preserve">2017 over the 2015-16 Budget forward estimates period on </w:t>
      </w:r>
      <w:r w:rsidR="00AD16FD" w:rsidRPr="00AC4ABD">
        <w:t>a</w:t>
      </w:r>
      <w:r w:rsidR="00AD16FD">
        <w:t xml:space="preserve"> fiscal balance </w:t>
      </w:r>
      <w:r w:rsidR="00AD16FD" w:rsidRPr="00AC4ABD">
        <w:t>basis.</w:t>
      </w:r>
    </w:p>
    <w:p w:rsidR="00AD16FD" w:rsidRPr="00B92135" w:rsidRDefault="00AD16FD" w:rsidP="002D0E41">
      <w:pPr>
        <w:pStyle w:val="Heading2"/>
        <w:spacing w:after="120"/>
        <w:rPr>
          <w:b w:val="0"/>
        </w:rPr>
      </w:pPr>
      <w:r>
        <w:t>Table A2</w:t>
      </w:r>
      <w:r w:rsidR="00F62D14">
        <w:t>:</w:t>
      </w:r>
      <w:r>
        <w:t xml:space="preserve"> </w:t>
      </w:r>
      <w:r w:rsidR="00F62D14">
        <w:t xml:space="preserve">Legalising marijuana from 1 July 2017 </w:t>
      </w:r>
      <w:r>
        <w:t>(fiscal balance</w:t>
      </w:r>
      <w:proofErr w:type="gramStart"/>
      <w:r>
        <w:t>)</w:t>
      </w:r>
      <w:r w:rsidRPr="002537AA">
        <w:rPr>
          <w:sz w:val="22"/>
          <w:szCs w:val="22"/>
          <w:vertAlign w:val="superscript"/>
        </w:rPr>
        <w:t>(</w:t>
      </w:r>
      <w:proofErr w:type="gramEnd"/>
      <w:r w:rsidRPr="002537AA">
        <w:rPr>
          <w:sz w:val="22"/>
          <w:szCs w:val="22"/>
          <w:vertAlign w:val="superscript"/>
        </w:rPr>
        <w:t>a)</w:t>
      </w:r>
    </w:p>
    <w:tbl>
      <w:tblPr>
        <w:tblStyle w:val="TableGrid"/>
        <w:tblW w:w="935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4258"/>
        <w:gridCol w:w="1020"/>
        <w:gridCol w:w="1020"/>
        <w:gridCol w:w="1020"/>
        <w:gridCol w:w="1020"/>
        <w:gridCol w:w="1020"/>
      </w:tblGrid>
      <w:tr w:rsidR="00AD16FD" w:rsidRPr="00AD16FD" w:rsidTr="00766801">
        <w:tc>
          <w:tcPr>
            <w:tcW w:w="4258" w:type="dxa"/>
            <w:shd w:val="pct15" w:color="auto" w:fill="FFFFFF" w:themeFill="background1"/>
            <w:vAlign w:val="center"/>
          </w:tcPr>
          <w:p w:rsidR="00AD16FD" w:rsidRPr="00AD16FD" w:rsidRDefault="00AD16FD" w:rsidP="00766801">
            <w:pPr>
              <w:spacing w:before="120" w:after="120"/>
              <w:ind w:left="57"/>
              <w:rPr>
                <w:i/>
                <w:szCs w:val="22"/>
              </w:rPr>
            </w:pPr>
            <w:r w:rsidRPr="00AD16FD">
              <w:rPr>
                <w:i/>
                <w:szCs w:val="22"/>
              </w:rPr>
              <w:t>GST impacts</w:t>
            </w:r>
          </w:p>
        </w:tc>
        <w:tc>
          <w:tcPr>
            <w:tcW w:w="1020" w:type="dxa"/>
            <w:shd w:val="pct15" w:color="auto" w:fill="FFFFFF" w:themeFill="background1"/>
            <w:vAlign w:val="center"/>
          </w:tcPr>
          <w:p w:rsidR="00AD16FD" w:rsidRPr="00AD16FD" w:rsidRDefault="00AC6FA3" w:rsidP="00AC6FA3">
            <w:pPr>
              <w:spacing w:before="120" w:after="120"/>
              <w:ind w:right="57"/>
              <w:jc w:val="right"/>
              <w:rPr>
                <w:szCs w:val="20"/>
              </w:rPr>
            </w:pPr>
            <w:r w:rsidRPr="00AD16FD">
              <w:rPr>
                <w:szCs w:val="20"/>
              </w:rPr>
              <w:t>201</w:t>
            </w:r>
            <w:r>
              <w:rPr>
                <w:szCs w:val="20"/>
              </w:rPr>
              <w:t>5</w:t>
            </w:r>
            <w:r w:rsidR="00AD16FD">
              <w:rPr>
                <w:szCs w:val="20"/>
              </w:rPr>
              <w:t>-</w:t>
            </w:r>
            <w:r w:rsidRPr="00AD16FD">
              <w:rPr>
                <w:szCs w:val="20"/>
              </w:rPr>
              <w:t>1</w:t>
            </w:r>
            <w:r>
              <w:rPr>
                <w:szCs w:val="20"/>
              </w:rPr>
              <w:t>6</w:t>
            </w:r>
          </w:p>
        </w:tc>
        <w:tc>
          <w:tcPr>
            <w:tcW w:w="1020" w:type="dxa"/>
            <w:shd w:val="pct15" w:color="auto" w:fill="FFFFFF" w:themeFill="background1"/>
          </w:tcPr>
          <w:p w:rsidR="00AD16FD" w:rsidRPr="00AD16FD" w:rsidRDefault="00AD16FD" w:rsidP="00766801">
            <w:pPr>
              <w:spacing w:before="120" w:after="120"/>
              <w:ind w:right="57"/>
              <w:jc w:val="right"/>
              <w:rPr>
                <w:szCs w:val="20"/>
              </w:rPr>
            </w:pPr>
            <w:r w:rsidRPr="00AD16FD">
              <w:rPr>
                <w:szCs w:val="20"/>
              </w:rPr>
              <w:t>2016</w:t>
            </w:r>
            <w:r>
              <w:rPr>
                <w:szCs w:val="20"/>
              </w:rPr>
              <w:t>-</w:t>
            </w:r>
            <w:r w:rsidRPr="00AD16FD">
              <w:rPr>
                <w:szCs w:val="20"/>
              </w:rPr>
              <w:t>17</w:t>
            </w:r>
          </w:p>
        </w:tc>
        <w:tc>
          <w:tcPr>
            <w:tcW w:w="1020" w:type="dxa"/>
            <w:shd w:val="pct15" w:color="auto" w:fill="FFFFFF" w:themeFill="background1"/>
            <w:vAlign w:val="center"/>
          </w:tcPr>
          <w:p w:rsidR="00AD16FD" w:rsidRPr="00AD16FD" w:rsidRDefault="00AD16FD" w:rsidP="00766801">
            <w:pPr>
              <w:spacing w:before="120" w:after="120"/>
              <w:ind w:right="57"/>
              <w:jc w:val="right"/>
              <w:rPr>
                <w:szCs w:val="20"/>
              </w:rPr>
            </w:pPr>
            <w:r w:rsidRPr="00AD16FD">
              <w:rPr>
                <w:szCs w:val="20"/>
              </w:rPr>
              <w:t>2017</w:t>
            </w:r>
            <w:r>
              <w:rPr>
                <w:szCs w:val="20"/>
              </w:rPr>
              <w:t>-</w:t>
            </w:r>
            <w:r w:rsidRPr="00AD16FD">
              <w:rPr>
                <w:szCs w:val="20"/>
              </w:rPr>
              <w:t>18</w:t>
            </w:r>
          </w:p>
        </w:tc>
        <w:tc>
          <w:tcPr>
            <w:tcW w:w="1020" w:type="dxa"/>
            <w:shd w:val="pct15" w:color="auto" w:fill="FFFFFF" w:themeFill="background1"/>
            <w:vAlign w:val="center"/>
          </w:tcPr>
          <w:p w:rsidR="00AD16FD" w:rsidRPr="00AD16FD" w:rsidRDefault="00AD16FD" w:rsidP="00766801">
            <w:pPr>
              <w:spacing w:before="120" w:after="120"/>
              <w:ind w:right="57"/>
              <w:jc w:val="right"/>
              <w:rPr>
                <w:szCs w:val="20"/>
              </w:rPr>
            </w:pPr>
            <w:r w:rsidRPr="00AD16FD">
              <w:rPr>
                <w:szCs w:val="20"/>
              </w:rPr>
              <w:t>2018</w:t>
            </w:r>
            <w:r>
              <w:rPr>
                <w:szCs w:val="20"/>
              </w:rPr>
              <w:t>-</w:t>
            </w:r>
            <w:r w:rsidRPr="00AD16FD">
              <w:rPr>
                <w:szCs w:val="20"/>
              </w:rPr>
              <w:t>19</w:t>
            </w:r>
          </w:p>
        </w:tc>
        <w:tc>
          <w:tcPr>
            <w:tcW w:w="1020" w:type="dxa"/>
            <w:shd w:val="pct15" w:color="auto" w:fill="FFFFFF" w:themeFill="background1"/>
            <w:vAlign w:val="center"/>
          </w:tcPr>
          <w:p w:rsidR="00AD16FD" w:rsidRPr="00AD16FD" w:rsidRDefault="00AD16FD" w:rsidP="00766801">
            <w:pPr>
              <w:spacing w:before="120" w:after="120"/>
              <w:ind w:right="57"/>
              <w:jc w:val="right"/>
              <w:rPr>
                <w:b/>
                <w:szCs w:val="22"/>
              </w:rPr>
            </w:pPr>
            <w:r w:rsidRPr="00AD16FD">
              <w:rPr>
                <w:b/>
                <w:szCs w:val="22"/>
              </w:rPr>
              <w:t>Total</w:t>
            </w:r>
          </w:p>
        </w:tc>
      </w:tr>
      <w:tr w:rsidR="00AD16FD" w:rsidRPr="00AD16FD" w:rsidTr="00766801">
        <w:tc>
          <w:tcPr>
            <w:tcW w:w="4258" w:type="dxa"/>
            <w:vAlign w:val="center"/>
          </w:tcPr>
          <w:p w:rsidR="00AD16FD" w:rsidRPr="00AD16FD" w:rsidRDefault="00AD16FD">
            <w:pPr>
              <w:spacing w:before="60" w:after="60"/>
              <w:ind w:left="57"/>
              <w:rPr>
                <w:szCs w:val="22"/>
              </w:rPr>
            </w:pPr>
            <w:r w:rsidRPr="00AD16FD">
              <w:rPr>
                <w:szCs w:val="22"/>
              </w:rPr>
              <w:t>GST re</w:t>
            </w:r>
            <w:r w:rsidR="003652D2">
              <w:rPr>
                <w:szCs w:val="22"/>
              </w:rPr>
              <w:t>venue</w:t>
            </w:r>
          </w:p>
        </w:tc>
        <w:tc>
          <w:tcPr>
            <w:tcW w:w="1020" w:type="dxa"/>
            <w:vAlign w:val="center"/>
          </w:tcPr>
          <w:p w:rsidR="00AD16FD" w:rsidRPr="00AD16FD" w:rsidRDefault="00AD16FD" w:rsidP="00766801">
            <w:pPr>
              <w:spacing w:before="60" w:after="60"/>
              <w:ind w:right="57"/>
              <w:jc w:val="right"/>
              <w:rPr>
                <w:szCs w:val="22"/>
              </w:rPr>
            </w:pPr>
            <w:r>
              <w:rPr>
                <w:szCs w:val="22"/>
              </w:rPr>
              <w:t>-</w:t>
            </w:r>
          </w:p>
        </w:tc>
        <w:tc>
          <w:tcPr>
            <w:tcW w:w="1020" w:type="dxa"/>
          </w:tcPr>
          <w:p w:rsidR="00AD16FD" w:rsidRPr="00AD16FD" w:rsidRDefault="00AD16FD" w:rsidP="00766801">
            <w:pPr>
              <w:spacing w:before="60" w:after="60"/>
              <w:ind w:right="57"/>
              <w:jc w:val="right"/>
              <w:rPr>
                <w:szCs w:val="22"/>
              </w:rPr>
            </w:pPr>
            <w:r>
              <w:rPr>
                <w:szCs w:val="22"/>
              </w:rPr>
              <w:t>-</w:t>
            </w:r>
          </w:p>
        </w:tc>
        <w:tc>
          <w:tcPr>
            <w:tcW w:w="1020" w:type="dxa"/>
            <w:vAlign w:val="center"/>
          </w:tcPr>
          <w:p w:rsidR="00AD16FD" w:rsidRPr="00AD16FD" w:rsidRDefault="00AD16FD" w:rsidP="00AD16FD">
            <w:pPr>
              <w:spacing w:before="60" w:after="60"/>
              <w:ind w:right="57"/>
              <w:jc w:val="right"/>
              <w:rPr>
                <w:szCs w:val="22"/>
              </w:rPr>
            </w:pPr>
            <w:r>
              <w:rPr>
                <w:szCs w:val="22"/>
              </w:rPr>
              <w:t>350</w:t>
            </w:r>
          </w:p>
        </w:tc>
        <w:tc>
          <w:tcPr>
            <w:tcW w:w="1020" w:type="dxa"/>
            <w:vAlign w:val="center"/>
          </w:tcPr>
          <w:p w:rsidR="00AD16FD" w:rsidRPr="00AD16FD" w:rsidRDefault="002E6F12" w:rsidP="002E6F12">
            <w:pPr>
              <w:spacing w:before="60" w:after="60"/>
              <w:ind w:right="57"/>
              <w:jc w:val="right"/>
              <w:rPr>
                <w:szCs w:val="22"/>
              </w:rPr>
            </w:pPr>
            <w:r>
              <w:rPr>
                <w:szCs w:val="22"/>
              </w:rPr>
              <w:t>300</w:t>
            </w:r>
          </w:p>
        </w:tc>
        <w:tc>
          <w:tcPr>
            <w:tcW w:w="1020" w:type="dxa"/>
            <w:vAlign w:val="center"/>
          </w:tcPr>
          <w:p w:rsidR="00AD16FD" w:rsidRPr="00AD16FD" w:rsidRDefault="002E6F12" w:rsidP="00766801">
            <w:pPr>
              <w:spacing w:before="60" w:after="60"/>
              <w:ind w:right="57"/>
              <w:jc w:val="right"/>
              <w:rPr>
                <w:b/>
                <w:szCs w:val="22"/>
              </w:rPr>
            </w:pPr>
            <w:r>
              <w:rPr>
                <w:b/>
                <w:szCs w:val="22"/>
              </w:rPr>
              <w:t>650</w:t>
            </w:r>
          </w:p>
        </w:tc>
      </w:tr>
      <w:tr w:rsidR="00AD16FD" w:rsidRPr="00AD16FD" w:rsidTr="00766801">
        <w:tc>
          <w:tcPr>
            <w:tcW w:w="4258" w:type="dxa"/>
            <w:vAlign w:val="center"/>
          </w:tcPr>
          <w:p w:rsidR="00AD16FD" w:rsidRPr="00AD16FD" w:rsidRDefault="00AD16FD" w:rsidP="00766801">
            <w:pPr>
              <w:spacing w:before="60" w:after="60"/>
              <w:ind w:left="57"/>
              <w:rPr>
                <w:szCs w:val="22"/>
              </w:rPr>
            </w:pPr>
            <w:r w:rsidRPr="00AD16FD">
              <w:rPr>
                <w:szCs w:val="22"/>
              </w:rPr>
              <w:t>GST payments to the states and territories</w:t>
            </w:r>
          </w:p>
        </w:tc>
        <w:tc>
          <w:tcPr>
            <w:tcW w:w="1020" w:type="dxa"/>
            <w:vAlign w:val="center"/>
          </w:tcPr>
          <w:p w:rsidR="00AD16FD" w:rsidRPr="00AD16FD" w:rsidRDefault="00AD16FD" w:rsidP="00766801">
            <w:pPr>
              <w:spacing w:before="60" w:after="60"/>
              <w:ind w:right="57"/>
              <w:jc w:val="right"/>
              <w:rPr>
                <w:szCs w:val="22"/>
              </w:rPr>
            </w:pPr>
            <w:r>
              <w:rPr>
                <w:szCs w:val="22"/>
              </w:rPr>
              <w:t>-</w:t>
            </w:r>
          </w:p>
        </w:tc>
        <w:tc>
          <w:tcPr>
            <w:tcW w:w="1020" w:type="dxa"/>
          </w:tcPr>
          <w:p w:rsidR="00AD16FD" w:rsidRPr="00AD16FD" w:rsidRDefault="00AD16FD" w:rsidP="00766801">
            <w:pPr>
              <w:spacing w:before="60" w:after="60"/>
              <w:ind w:right="57"/>
              <w:jc w:val="right"/>
              <w:rPr>
                <w:szCs w:val="22"/>
              </w:rPr>
            </w:pPr>
            <w:r>
              <w:rPr>
                <w:szCs w:val="22"/>
              </w:rPr>
              <w:t>-</w:t>
            </w:r>
          </w:p>
        </w:tc>
        <w:tc>
          <w:tcPr>
            <w:tcW w:w="1020" w:type="dxa"/>
            <w:vAlign w:val="center"/>
          </w:tcPr>
          <w:p w:rsidR="00AD16FD" w:rsidRPr="00AD16FD" w:rsidRDefault="00AD16FD" w:rsidP="00766801">
            <w:pPr>
              <w:spacing w:before="60" w:after="60"/>
              <w:ind w:right="57"/>
              <w:jc w:val="right"/>
              <w:rPr>
                <w:szCs w:val="22"/>
              </w:rPr>
            </w:pPr>
            <w:r>
              <w:rPr>
                <w:szCs w:val="22"/>
              </w:rPr>
              <w:t>-297</w:t>
            </w:r>
          </w:p>
        </w:tc>
        <w:tc>
          <w:tcPr>
            <w:tcW w:w="1020" w:type="dxa"/>
            <w:vAlign w:val="center"/>
          </w:tcPr>
          <w:p w:rsidR="00AD16FD" w:rsidRPr="00AD16FD" w:rsidRDefault="00AD16FD" w:rsidP="00766801">
            <w:pPr>
              <w:spacing w:before="60" w:after="60"/>
              <w:ind w:right="57"/>
              <w:jc w:val="right"/>
              <w:rPr>
                <w:szCs w:val="22"/>
              </w:rPr>
            </w:pPr>
            <w:r>
              <w:rPr>
                <w:szCs w:val="22"/>
              </w:rPr>
              <w:t>-</w:t>
            </w:r>
            <w:r w:rsidR="002E6F12">
              <w:rPr>
                <w:szCs w:val="22"/>
              </w:rPr>
              <w:t>297</w:t>
            </w:r>
          </w:p>
        </w:tc>
        <w:tc>
          <w:tcPr>
            <w:tcW w:w="1020" w:type="dxa"/>
            <w:vAlign w:val="center"/>
          </w:tcPr>
          <w:p w:rsidR="00AD16FD" w:rsidRPr="00AD16FD" w:rsidRDefault="002E6F12" w:rsidP="002E6F12">
            <w:pPr>
              <w:spacing w:before="60" w:after="60"/>
              <w:ind w:right="57"/>
              <w:jc w:val="right"/>
              <w:rPr>
                <w:b/>
                <w:szCs w:val="22"/>
              </w:rPr>
            </w:pPr>
            <w:r>
              <w:rPr>
                <w:b/>
                <w:szCs w:val="22"/>
              </w:rPr>
              <w:t>-594</w:t>
            </w:r>
          </w:p>
        </w:tc>
      </w:tr>
      <w:tr w:rsidR="00AD16FD" w:rsidRPr="00AD16FD" w:rsidTr="00766801">
        <w:tc>
          <w:tcPr>
            <w:tcW w:w="4258" w:type="dxa"/>
            <w:vAlign w:val="center"/>
          </w:tcPr>
          <w:p w:rsidR="00AD16FD" w:rsidRPr="00AD16FD" w:rsidRDefault="0010225A" w:rsidP="0010225A">
            <w:pPr>
              <w:spacing w:before="60" w:after="60"/>
              <w:ind w:left="57"/>
              <w:rPr>
                <w:szCs w:val="22"/>
              </w:rPr>
            </w:pPr>
            <w:r>
              <w:rPr>
                <w:szCs w:val="22"/>
              </w:rPr>
              <w:t>ATO a</w:t>
            </w:r>
            <w:r w:rsidR="00AD16FD" w:rsidRPr="00AD16FD">
              <w:rPr>
                <w:szCs w:val="22"/>
              </w:rPr>
              <w:t>dministration expenses</w:t>
            </w:r>
          </w:p>
        </w:tc>
        <w:tc>
          <w:tcPr>
            <w:tcW w:w="1020" w:type="dxa"/>
            <w:vAlign w:val="center"/>
          </w:tcPr>
          <w:p w:rsidR="00AD16FD" w:rsidRPr="00AD16FD" w:rsidRDefault="00AD16FD" w:rsidP="00766801">
            <w:pPr>
              <w:spacing w:before="60" w:after="60"/>
              <w:ind w:right="57"/>
              <w:jc w:val="right"/>
              <w:rPr>
                <w:szCs w:val="22"/>
              </w:rPr>
            </w:pPr>
            <w:r>
              <w:rPr>
                <w:szCs w:val="22"/>
              </w:rPr>
              <w:t>-</w:t>
            </w:r>
          </w:p>
        </w:tc>
        <w:tc>
          <w:tcPr>
            <w:tcW w:w="1020" w:type="dxa"/>
          </w:tcPr>
          <w:p w:rsidR="00AD16FD" w:rsidRPr="00AD16FD" w:rsidRDefault="00AD16FD" w:rsidP="00766801">
            <w:pPr>
              <w:spacing w:before="60" w:after="60"/>
              <w:ind w:right="57"/>
              <w:jc w:val="right"/>
              <w:rPr>
                <w:szCs w:val="22"/>
              </w:rPr>
            </w:pPr>
            <w:r>
              <w:rPr>
                <w:szCs w:val="22"/>
              </w:rPr>
              <w:t>-</w:t>
            </w:r>
          </w:p>
        </w:tc>
        <w:tc>
          <w:tcPr>
            <w:tcW w:w="1020" w:type="dxa"/>
            <w:vAlign w:val="center"/>
          </w:tcPr>
          <w:p w:rsidR="00AD16FD" w:rsidRPr="00AD16FD" w:rsidRDefault="00666972" w:rsidP="00766801">
            <w:pPr>
              <w:spacing w:before="60" w:after="60"/>
              <w:ind w:right="57"/>
              <w:jc w:val="right"/>
              <w:rPr>
                <w:szCs w:val="22"/>
              </w:rPr>
            </w:pPr>
            <w:r>
              <w:rPr>
                <w:szCs w:val="22"/>
              </w:rPr>
              <w:t>-</w:t>
            </w:r>
            <w:r w:rsidR="00AD16FD">
              <w:rPr>
                <w:szCs w:val="22"/>
              </w:rPr>
              <w:t>3</w:t>
            </w:r>
          </w:p>
        </w:tc>
        <w:tc>
          <w:tcPr>
            <w:tcW w:w="1020" w:type="dxa"/>
            <w:vAlign w:val="center"/>
          </w:tcPr>
          <w:p w:rsidR="00AD16FD" w:rsidRPr="00AD16FD" w:rsidRDefault="00666972" w:rsidP="00766801">
            <w:pPr>
              <w:spacing w:before="60" w:after="60"/>
              <w:ind w:right="57"/>
              <w:jc w:val="right"/>
              <w:rPr>
                <w:szCs w:val="22"/>
              </w:rPr>
            </w:pPr>
            <w:r>
              <w:rPr>
                <w:szCs w:val="22"/>
              </w:rPr>
              <w:t>-</w:t>
            </w:r>
            <w:r w:rsidR="00AD16FD">
              <w:rPr>
                <w:szCs w:val="22"/>
              </w:rPr>
              <w:t>3</w:t>
            </w:r>
          </w:p>
        </w:tc>
        <w:tc>
          <w:tcPr>
            <w:tcW w:w="1020" w:type="dxa"/>
            <w:vAlign w:val="center"/>
          </w:tcPr>
          <w:p w:rsidR="00AD16FD" w:rsidRPr="00AD16FD" w:rsidRDefault="00666972" w:rsidP="00766801">
            <w:pPr>
              <w:spacing w:before="60" w:after="60"/>
              <w:ind w:right="57"/>
              <w:jc w:val="right"/>
              <w:rPr>
                <w:b/>
                <w:szCs w:val="22"/>
              </w:rPr>
            </w:pPr>
            <w:r>
              <w:rPr>
                <w:b/>
                <w:szCs w:val="22"/>
              </w:rPr>
              <w:t>-</w:t>
            </w:r>
            <w:r w:rsidR="00AD16FD">
              <w:rPr>
                <w:b/>
                <w:szCs w:val="22"/>
              </w:rPr>
              <w:t>6</w:t>
            </w:r>
          </w:p>
        </w:tc>
      </w:tr>
      <w:tr w:rsidR="00F62D14" w:rsidRPr="00AD16FD" w:rsidTr="008C3F95">
        <w:tc>
          <w:tcPr>
            <w:tcW w:w="4258" w:type="dxa"/>
            <w:shd w:val="clear" w:color="auto" w:fill="F2F2F2" w:themeFill="background1" w:themeFillShade="F2"/>
            <w:vAlign w:val="center"/>
          </w:tcPr>
          <w:p w:rsidR="00F62D14" w:rsidRPr="008C3F95" w:rsidRDefault="00BD3039">
            <w:pPr>
              <w:spacing w:before="60" w:after="60"/>
              <w:ind w:left="57"/>
              <w:rPr>
                <w:b/>
                <w:szCs w:val="22"/>
              </w:rPr>
            </w:pPr>
            <w:r w:rsidRPr="005B1F6A">
              <w:rPr>
                <w:b/>
                <w:bCs/>
                <w:color w:val="000000"/>
              </w:rPr>
              <w:t>Net GST impact</w:t>
            </w:r>
          </w:p>
        </w:tc>
        <w:tc>
          <w:tcPr>
            <w:tcW w:w="1020" w:type="dxa"/>
            <w:shd w:val="clear" w:color="auto" w:fill="F2F2F2" w:themeFill="background1" w:themeFillShade="F2"/>
            <w:vAlign w:val="center"/>
          </w:tcPr>
          <w:p w:rsidR="00F62D14" w:rsidRPr="008C3F95" w:rsidRDefault="00F62D14" w:rsidP="00766801">
            <w:pPr>
              <w:spacing w:before="60" w:after="60"/>
              <w:ind w:right="57"/>
              <w:jc w:val="right"/>
              <w:rPr>
                <w:b/>
                <w:szCs w:val="22"/>
              </w:rPr>
            </w:pPr>
            <w:r w:rsidRPr="008C3F95">
              <w:rPr>
                <w:b/>
                <w:szCs w:val="22"/>
              </w:rPr>
              <w:t>-</w:t>
            </w:r>
          </w:p>
        </w:tc>
        <w:tc>
          <w:tcPr>
            <w:tcW w:w="1020" w:type="dxa"/>
            <w:shd w:val="clear" w:color="auto" w:fill="F2F2F2" w:themeFill="background1" w:themeFillShade="F2"/>
          </w:tcPr>
          <w:p w:rsidR="00F62D14" w:rsidRPr="008C3F95" w:rsidRDefault="00F62D14" w:rsidP="00766801">
            <w:pPr>
              <w:spacing w:before="60" w:after="60"/>
              <w:ind w:right="57"/>
              <w:jc w:val="right"/>
              <w:rPr>
                <w:b/>
                <w:szCs w:val="22"/>
              </w:rPr>
            </w:pPr>
            <w:r w:rsidRPr="008C3F95">
              <w:rPr>
                <w:b/>
                <w:szCs w:val="22"/>
              </w:rPr>
              <w:t>-</w:t>
            </w:r>
          </w:p>
        </w:tc>
        <w:tc>
          <w:tcPr>
            <w:tcW w:w="1020" w:type="dxa"/>
            <w:shd w:val="clear" w:color="auto" w:fill="F2F2F2" w:themeFill="background1" w:themeFillShade="F2"/>
            <w:vAlign w:val="center"/>
          </w:tcPr>
          <w:p w:rsidR="00F62D14" w:rsidRPr="008C3F95" w:rsidRDefault="00F62D14" w:rsidP="00766801">
            <w:pPr>
              <w:spacing w:before="60" w:after="60"/>
              <w:ind w:right="57"/>
              <w:jc w:val="right"/>
              <w:rPr>
                <w:b/>
                <w:szCs w:val="22"/>
              </w:rPr>
            </w:pPr>
            <w:r w:rsidRPr="008C3F95">
              <w:rPr>
                <w:b/>
                <w:szCs w:val="22"/>
              </w:rPr>
              <w:t>50</w:t>
            </w:r>
          </w:p>
        </w:tc>
        <w:tc>
          <w:tcPr>
            <w:tcW w:w="1020" w:type="dxa"/>
            <w:shd w:val="clear" w:color="auto" w:fill="F2F2F2" w:themeFill="background1" w:themeFillShade="F2"/>
            <w:vAlign w:val="center"/>
          </w:tcPr>
          <w:p w:rsidR="00F62D14" w:rsidRPr="008C3F95" w:rsidRDefault="00F62D14" w:rsidP="00766801">
            <w:pPr>
              <w:spacing w:before="60" w:after="60"/>
              <w:ind w:right="57"/>
              <w:jc w:val="right"/>
              <w:rPr>
                <w:b/>
                <w:szCs w:val="22"/>
              </w:rPr>
            </w:pPr>
            <w:r w:rsidRPr="008C3F95">
              <w:rPr>
                <w:b/>
                <w:szCs w:val="22"/>
              </w:rPr>
              <w:t>..</w:t>
            </w:r>
          </w:p>
        </w:tc>
        <w:tc>
          <w:tcPr>
            <w:tcW w:w="1020" w:type="dxa"/>
            <w:shd w:val="clear" w:color="auto" w:fill="F2F2F2" w:themeFill="background1" w:themeFillShade="F2"/>
            <w:vAlign w:val="center"/>
          </w:tcPr>
          <w:p w:rsidR="00F62D14" w:rsidRPr="005B1F6A" w:rsidRDefault="00F62D14" w:rsidP="00766801">
            <w:pPr>
              <w:spacing w:before="60" w:after="60"/>
              <w:ind w:right="57"/>
              <w:jc w:val="right"/>
              <w:rPr>
                <w:b/>
                <w:szCs w:val="22"/>
              </w:rPr>
            </w:pPr>
            <w:r w:rsidRPr="005B1F6A">
              <w:rPr>
                <w:b/>
                <w:szCs w:val="22"/>
              </w:rPr>
              <w:t>50</w:t>
            </w:r>
          </w:p>
        </w:tc>
      </w:tr>
      <w:tr w:rsidR="0010609E" w:rsidRPr="00AD16FD" w:rsidTr="00282EA9">
        <w:tc>
          <w:tcPr>
            <w:tcW w:w="4258" w:type="dxa"/>
            <w:vAlign w:val="center"/>
          </w:tcPr>
          <w:p w:rsidR="0010609E" w:rsidRDefault="0010609E" w:rsidP="0010225A">
            <w:pPr>
              <w:spacing w:before="60" w:after="60"/>
              <w:ind w:left="57"/>
              <w:rPr>
                <w:szCs w:val="22"/>
              </w:rPr>
            </w:pPr>
            <w:r>
              <w:rPr>
                <w:szCs w:val="22"/>
              </w:rPr>
              <w:t>Reduction in funding for AFP</w:t>
            </w:r>
          </w:p>
        </w:tc>
        <w:tc>
          <w:tcPr>
            <w:tcW w:w="1020" w:type="dxa"/>
            <w:vAlign w:val="center"/>
          </w:tcPr>
          <w:p w:rsidR="0010609E" w:rsidRDefault="0010609E" w:rsidP="00766801">
            <w:pPr>
              <w:spacing w:before="60" w:after="60"/>
              <w:ind w:right="57"/>
              <w:jc w:val="right"/>
              <w:rPr>
                <w:szCs w:val="22"/>
              </w:rPr>
            </w:pPr>
            <w:r>
              <w:rPr>
                <w:szCs w:val="22"/>
              </w:rPr>
              <w:t>-</w:t>
            </w:r>
          </w:p>
        </w:tc>
        <w:tc>
          <w:tcPr>
            <w:tcW w:w="1020" w:type="dxa"/>
          </w:tcPr>
          <w:p w:rsidR="0010609E" w:rsidRDefault="0010609E" w:rsidP="00766801">
            <w:pPr>
              <w:spacing w:before="60" w:after="60"/>
              <w:ind w:right="57"/>
              <w:jc w:val="right"/>
              <w:rPr>
                <w:szCs w:val="22"/>
              </w:rPr>
            </w:pPr>
            <w:r>
              <w:rPr>
                <w:szCs w:val="22"/>
              </w:rPr>
              <w:t>-</w:t>
            </w:r>
          </w:p>
        </w:tc>
        <w:tc>
          <w:tcPr>
            <w:tcW w:w="1020" w:type="dxa"/>
            <w:vAlign w:val="center"/>
          </w:tcPr>
          <w:p w:rsidR="0010609E" w:rsidRDefault="0010609E" w:rsidP="00F64A8A">
            <w:pPr>
              <w:spacing w:before="60" w:after="60"/>
              <w:ind w:right="57"/>
              <w:jc w:val="right"/>
              <w:rPr>
                <w:szCs w:val="22"/>
              </w:rPr>
            </w:pPr>
            <w:r>
              <w:rPr>
                <w:szCs w:val="22"/>
              </w:rPr>
              <w:t>54</w:t>
            </w:r>
          </w:p>
        </w:tc>
        <w:tc>
          <w:tcPr>
            <w:tcW w:w="1020" w:type="dxa"/>
            <w:vAlign w:val="center"/>
          </w:tcPr>
          <w:p w:rsidR="0010609E" w:rsidRDefault="0010609E" w:rsidP="00F64A8A">
            <w:pPr>
              <w:spacing w:before="60" w:after="60"/>
              <w:ind w:right="57"/>
              <w:jc w:val="right"/>
              <w:rPr>
                <w:szCs w:val="22"/>
              </w:rPr>
            </w:pPr>
            <w:r>
              <w:rPr>
                <w:szCs w:val="22"/>
              </w:rPr>
              <w:t>54</w:t>
            </w:r>
          </w:p>
        </w:tc>
        <w:tc>
          <w:tcPr>
            <w:tcW w:w="1020" w:type="dxa"/>
            <w:vAlign w:val="center"/>
          </w:tcPr>
          <w:p w:rsidR="0010609E" w:rsidRDefault="0010609E" w:rsidP="00F64A8A">
            <w:pPr>
              <w:spacing w:before="60" w:after="60"/>
              <w:ind w:right="57"/>
              <w:jc w:val="right"/>
              <w:rPr>
                <w:b/>
                <w:szCs w:val="22"/>
              </w:rPr>
            </w:pPr>
            <w:r>
              <w:rPr>
                <w:b/>
                <w:szCs w:val="22"/>
              </w:rPr>
              <w:t>108</w:t>
            </w:r>
          </w:p>
        </w:tc>
      </w:tr>
      <w:tr w:rsidR="0010609E" w:rsidRPr="00AD16FD" w:rsidTr="00282EA9">
        <w:tc>
          <w:tcPr>
            <w:tcW w:w="4258" w:type="dxa"/>
            <w:vAlign w:val="center"/>
          </w:tcPr>
          <w:p w:rsidR="0010609E" w:rsidRDefault="0010609E" w:rsidP="0010225A">
            <w:pPr>
              <w:spacing w:before="60" w:after="60"/>
              <w:ind w:left="57"/>
              <w:rPr>
                <w:szCs w:val="22"/>
              </w:rPr>
            </w:pPr>
            <w:r>
              <w:rPr>
                <w:szCs w:val="22"/>
              </w:rPr>
              <w:t>Reduction in funding for ABF</w:t>
            </w:r>
          </w:p>
        </w:tc>
        <w:tc>
          <w:tcPr>
            <w:tcW w:w="1020" w:type="dxa"/>
            <w:vAlign w:val="center"/>
          </w:tcPr>
          <w:p w:rsidR="0010609E" w:rsidRDefault="0010609E" w:rsidP="00766801">
            <w:pPr>
              <w:spacing w:before="60" w:after="60"/>
              <w:ind w:right="57"/>
              <w:jc w:val="right"/>
              <w:rPr>
                <w:szCs w:val="22"/>
              </w:rPr>
            </w:pPr>
            <w:r>
              <w:rPr>
                <w:szCs w:val="22"/>
              </w:rPr>
              <w:t>-</w:t>
            </w:r>
          </w:p>
        </w:tc>
        <w:tc>
          <w:tcPr>
            <w:tcW w:w="1020" w:type="dxa"/>
          </w:tcPr>
          <w:p w:rsidR="0010609E" w:rsidRDefault="0010609E" w:rsidP="00766801">
            <w:pPr>
              <w:spacing w:before="60" w:after="60"/>
              <w:ind w:right="57"/>
              <w:jc w:val="right"/>
              <w:rPr>
                <w:szCs w:val="22"/>
              </w:rPr>
            </w:pPr>
            <w:r>
              <w:rPr>
                <w:szCs w:val="22"/>
              </w:rPr>
              <w:t>-</w:t>
            </w:r>
          </w:p>
        </w:tc>
        <w:tc>
          <w:tcPr>
            <w:tcW w:w="1020" w:type="dxa"/>
            <w:vAlign w:val="center"/>
          </w:tcPr>
          <w:p w:rsidR="0010609E" w:rsidRDefault="0010609E" w:rsidP="00F64A8A">
            <w:pPr>
              <w:spacing w:before="60" w:after="60"/>
              <w:ind w:right="57"/>
              <w:jc w:val="right"/>
              <w:rPr>
                <w:szCs w:val="22"/>
              </w:rPr>
            </w:pPr>
            <w:r>
              <w:rPr>
                <w:szCs w:val="22"/>
              </w:rPr>
              <w:t>50</w:t>
            </w:r>
          </w:p>
        </w:tc>
        <w:tc>
          <w:tcPr>
            <w:tcW w:w="1020" w:type="dxa"/>
            <w:vAlign w:val="center"/>
          </w:tcPr>
          <w:p w:rsidR="0010609E" w:rsidRDefault="0010609E" w:rsidP="00F64A8A">
            <w:pPr>
              <w:spacing w:before="60" w:after="60"/>
              <w:ind w:right="57"/>
              <w:jc w:val="right"/>
              <w:rPr>
                <w:szCs w:val="22"/>
              </w:rPr>
            </w:pPr>
            <w:r>
              <w:rPr>
                <w:szCs w:val="22"/>
              </w:rPr>
              <w:t>51</w:t>
            </w:r>
          </w:p>
        </w:tc>
        <w:tc>
          <w:tcPr>
            <w:tcW w:w="1020" w:type="dxa"/>
            <w:vAlign w:val="center"/>
          </w:tcPr>
          <w:p w:rsidR="0010609E" w:rsidRDefault="0010609E" w:rsidP="00F64A8A">
            <w:pPr>
              <w:spacing w:before="60" w:after="60"/>
              <w:ind w:right="57"/>
              <w:jc w:val="right"/>
              <w:rPr>
                <w:b/>
                <w:szCs w:val="22"/>
              </w:rPr>
            </w:pPr>
            <w:r>
              <w:rPr>
                <w:b/>
                <w:szCs w:val="22"/>
              </w:rPr>
              <w:t>101</w:t>
            </w:r>
          </w:p>
        </w:tc>
      </w:tr>
      <w:tr w:rsidR="0010609E" w:rsidRPr="00AD16FD" w:rsidTr="00282EA9">
        <w:tc>
          <w:tcPr>
            <w:tcW w:w="4258" w:type="dxa"/>
            <w:shd w:val="clear" w:color="auto" w:fill="F2F2F2" w:themeFill="background1" w:themeFillShade="F2"/>
            <w:vAlign w:val="center"/>
          </w:tcPr>
          <w:p w:rsidR="0010609E" w:rsidRPr="008C3F95" w:rsidRDefault="0010609E">
            <w:pPr>
              <w:spacing w:before="60" w:after="60"/>
              <w:ind w:left="57"/>
              <w:rPr>
                <w:b/>
                <w:szCs w:val="22"/>
              </w:rPr>
            </w:pPr>
            <w:r w:rsidRPr="005B1F6A">
              <w:rPr>
                <w:b/>
                <w:bCs/>
                <w:color w:val="000000"/>
              </w:rPr>
              <w:t>Net law enforcement impact</w:t>
            </w:r>
          </w:p>
        </w:tc>
        <w:tc>
          <w:tcPr>
            <w:tcW w:w="1020" w:type="dxa"/>
            <w:shd w:val="clear" w:color="auto" w:fill="F2F2F2" w:themeFill="background1" w:themeFillShade="F2"/>
            <w:vAlign w:val="center"/>
          </w:tcPr>
          <w:p w:rsidR="0010609E" w:rsidRPr="008C3F95" w:rsidRDefault="0010609E" w:rsidP="00766801">
            <w:pPr>
              <w:spacing w:before="60" w:after="60"/>
              <w:ind w:right="57"/>
              <w:jc w:val="right"/>
              <w:rPr>
                <w:b/>
                <w:szCs w:val="22"/>
              </w:rPr>
            </w:pPr>
            <w:r w:rsidRPr="008C3F95">
              <w:rPr>
                <w:b/>
                <w:szCs w:val="22"/>
              </w:rPr>
              <w:t>-</w:t>
            </w:r>
          </w:p>
        </w:tc>
        <w:tc>
          <w:tcPr>
            <w:tcW w:w="1020" w:type="dxa"/>
            <w:shd w:val="clear" w:color="auto" w:fill="F2F2F2" w:themeFill="background1" w:themeFillShade="F2"/>
          </w:tcPr>
          <w:p w:rsidR="0010609E" w:rsidRPr="008C3F95" w:rsidRDefault="0010609E" w:rsidP="00766801">
            <w:pPr>
              <w:spacing w:before="60" w:after="60"/>
              <w:ind w:right="57"/>
              <w:jc w:val="right"/>
              <w:rPr>
                <w:b/>
                <w:szCs w:val="22"/>
              </w:rPr>
            </w:pPr>
            <w:r w:rsidRPr="008C3F95">
              <w:rPr>
                <w:b/>
                <w:szCs w:val="22"/>
              </w:rPr>
              <w:t>-</w:t>
            </w:r>
          </w:p>
        </w:tc>
        <w:tc>
          <w:tcPr>
            <w:tcW w:w="1020" w:type="dxa"/>
            <w:shd w:val="clear" w:color="auto" w:fill="F2F2F2" w:themeFill="background1" w:themeFillShade="F2"/>
            <w:vAlign w:val="center"/>
          </w:tcPr>
          <w:p w:rsidR="0010609E" w:rsidRPr="008C3F95" w:rsidRDefault="0010609E" w:rsidP="00F64A8A">
            <w:pPr>
              <w:spacing w:before="60" w:after="60"/>
              <w:ind w:right="57"/>
              <w:jc w:val="right"/>
              <w:rPr>
                <w:b/>
                <w:szCs w:val="22"/>
              </w:rPr>
            </w:pPr>
            <w:r>
              <w:rPr>
                <w:b/>
                <w:szCs w:val="22"/>
              </w:rPr>
              <w:t>104</w:t>
            </w:r>
          </w:p>
        </w:tc>
        <w:tc>
          <w:tcPr>
            <w:tcW w:w="1020" w:type="dxa"/>
            <w:shd w:val="clear" w:color="auto" w:fill="F2F2F2" w:themeFill="background1" w:themeFillShade="F2"/>
            <w:vAlign w:val="center"/>
          </w:tcPr>
          <w:p w:rsidR="0010609E" w:rsidRPr="008C3F95" w:rsidRDefault="0010609E" w:rsidP="00F64A8A">
            <w:pPr>
              <w:spacing w:before="60" w:after="60"/>
              <w:ind w:right="57"/>
              <w:jc w:val="right"/>
              <w:rPr>
                <w:b/>
                <w:szCs w:val="22"/>
              </w:rPr>
            </w:pPr>
            <w:r>
              <w:rPr>
                <w:b/>
                <w:szCs w:val="22"/>
              </w:rPr>
              <w:t>105</w:t>
            </w:r>
          </w:p>
        </w:tc>
        <w:tc>
          <w:tcPr>
            <w:tcW w:w="1020" w:type="dxa"/>
            <w:shd w:val="clear" w:color="auto" w:fill="F2F2F2" w:themeFill="background1" w:themeFillShade="F2"/>
            <w:vAlign w:val="center"/>
          </w:tcPr>
          <w:p w:rsidR="0010609E" w:rsidRPr="005B1F6A" w:rsidRDefault="0010609E" w:rsidP="00F64A8A">
            <w:pPr>
              <w:spacing w:before="60" w:after="60"/>
              <w:ind w:right="57"/>
              <w:jc w:val="right"/>
              <w:rPr>
                <w:b/>
                <w:szCs w:val="22"/>
              </w:rPr>
            </w:pPr>
            <w:r>
              <w:rPr>
                <w:b/>
                <w:szCs w:val="22"/>
              </w:rPr>
              <w:t>209</w:t>
            </w:r>
          </w:p>
        </w:tc>
      </w:tr>
      <w:tr w:rsidR="00BD3039" w:rsidRPr="00AD16FD" w:rsidTr="00766801">
        <w:tc>
          <w:tcPr>
            <w:tcW w:w="4258" w:type="dxa"/>
            <w:tcBorders>
              <w:top w:val="double" w:sz="4" w:space="0" w:color="A6A6A6" w:themeColor="background1" w:themeShade="A6"/>
            </w:tcBorders>
            <w:vAlign w:val="center"/>
          </w:tcPr>
          <w:p w:rsidR="00BD3039" w:rsidRPr="00AD16FD" w:rsidRDefault="00BD3039" w:rsidP="00766801">
            <w:pPr>
              <w:spacing w:before="60" w:after="60"/>
              <w:ind w:left="57"/>
              <w:rPr>
                <w:b/>
                <w:szCs w:val="22"/>
              </w:rPr>
            </w:pPr>
            <w:r w:rsidRPr="00AD16FD">
              <w:rPr>
                <w:b/>
                <w:szCs w:val="22"/>
              </w:rPr>
              <w:t xml:space="preserve">Net financial implications </w:t>
            </w:r>
          </w:p>
        </w:tc>
        <w:tc>
          <w:tcPr>
            <w:tcW w:w="1020" w:type="dxa"/>
            <w:tcBorders>
              <w:top w:val="double" w:sz="4" w:space="0" w:color="A6A6A6" w:themeColor="background1" w:themeShade="A6"/>
            </w:tcBorders>
            <w:vAlign w:val="center"/>
          </w:tcPr>
          <w:p w:rsidR="00BD3039" w:rsidRPr="00AD16FD" w:rsidRDefault="00BD3039" w:rsidP="00766801">
            <w:pPr>
              <w:spacing w:before="60" w:after="60"/>
              <w:ind w:right="57"/>
              <w:jc w:val="right"/>
              <w:rPr>
                <w:szCs w:val="22"/>
              </w:rPr>
            </w:pPr>
            <w:r w:rsidRPr="00AD16FD">
              <w:rPr>
                <w:szCs w:val="22"/>
              </w:rPr>
              <w:t>-</w:t>
            </w:r>
          </w:p>
        </w:tc>
        <w:tc>
          <w:tcPr>
            <w:tcW w:w="1020" w:type="dxa"/>
            <w:tcBorders>
              <w:top w:val="double" w:sz="4" w:space="0" w:color="A6A6A6" w:themeColor="background1" w:themeShade="A6"/>
            </w:tcBorders>
          </w:tcPr>
          <w:p w:rsidR="00BD3039" w:rsidRPr="00AD16FD" w:rsidRDefault="00BD3039" w:rsidP="00766801">
            <w:pPr>
              <w:spacing w:before="60" w:after="60"/>
              <w:ind w:right="57"/>
              <w:jc w:val="right"/>
              <w:rPr>
                <w:szCs w:val="22"/>
              </w:rPr>
            </w:pPr>
            <w:r>
              <w:rPr>
                <w:szCs w:val="22"/>
              </w:rPr>
              <w:t>-</w:t>
            </w:r>
          </w:p>
        </w:tc>
        <w:tc>
          <w:tcPr>
            <w:tcW w:w="1020" w:type="dxa"/>
            <w:tcBorders>
              <w:top w:val="double" w:sz="4" w:space="0" w:color="A6A6A6" w:themeColor="background1" w:themeShade="A6"/>
            </w:tcBorders>
            <w:vAlign w:val="center"/>
          </w:tcPr>
          <w:p w:rsidR="00BD3039" w:rsidRPr="008C3F95" w:rsidRDefault="0010609E" w:rsidP="00766801">
            <w:pPr>
              <w:spacing w:before="60" w:after="60"/>
              <w:ind w:right="57"/>
              <w:jc w:val="right"/>
              <w:rPr>
                <w:b/>
                <w:szCs w:val="22"/>
              </w:rPr>
            </w:pPr>
            <w:r>
              <w:rPr>
                <w:b/>
                <w:szCs w:val="22"/>
              </w:rPr>
              <w:t>154</w:t>
            </w:r>
          </w:p>
        </w:tc>
        <w:tc>
          <w:tcPr>
            <w:tcW w:w="1020" w:type="dxa"/>
            <w:tcBorders>
              <w:top w:val="double" w:sz="4" w:space="0" w:color="A6A6A6" w:themeColor="background1" w:themeShade="A6"/>
            </w:tcBorders>
            <w:vAlign w:val="center"/>
          </w:tcPr>
          <w:p w:rsidR="00BD3039" w:rsidRPr="008C3F95" w:rsidRDefault="00000FD7" w:rsidP="0010609E">
            <w:pPr>
              <w:spacing w:before="60" w:after="60"/>
              <w:ind w:right="57"/>
              <w:jc w:val="right"/>
              <w:rPr>
                <w:b/>
                <w:szCs w:val="22"/>
              </w:rPr>
            </w:pPr>
            <w:r>
              <w:rPr>
                <w:b/>
                <w:szCs w:val="22"/>
              </w:rPr>
              <w:t>1</w:t>
            </w:r>
            <w:r w:rsidR="0010609E">
              <w:rPr>
                <w:b/>
                <w:szCs w:val="22"/>
              </w:rPr>
              <w:t>05</w:t>
            </w:r>
          </w:p>
        </w:tc>
        <w:tc>
          <w:tcPr>
            <w:tcW w:w="1020" w:type="dxa"/>
            <w:tcBorders>
              <w:top w:val="double" w:sz="4" w:space="0" w:color="A6A6A6" w:themeColor="background1" w:themeShade="A6"/>
            </w:tcBorders>
            <w:vAlign w:val="center"/>
          </w:tcPr>
          <w:p w:rsidR="00BD3039" w:rsidRPr="005B1F6A" w:rsidRDefault="0010609E" w:rsidP="00A67365">
            <w:pPr>
              <w:spacing w:before="60" w:after="60"/>
              <w:ind w:right="57"/>
              <w:jc w:val="right"/>
              <w:rPr>
                <w:b/>
                <w:szCs w:val="22"/>
              </w:rPr>
            </w:pPr>
            <w:r>
              <w:rPr>
                <w:b/>
                <w:szCs w:val="22"/>
              </w:rPr>
              <w:t>259</w:t>
            </w:r>
          </w:p>
        </w:tc>
      </w:tr>
    </w:tbl>
    <w:p w:rsidR="00A67365" w:rsidRDefault="0096239A" w:rsidP="00663EA7">
      <w:pPr>
        <w:pStyle w:val="ChartandTableFootnoteAlpha"/>
        <w:numPr>
          <w:ilvl w:val="0"/>
          <w:numId w:val="21"/>
        </w:numPr>
        <w:spacing w:before="60" w:after="60"/>
        <w:rPr>
          <w:rFonts w:ascii="Times New Roman" w:hAnsi="Times New Roman"/>
          <w:sz w:val="18"/>
          <w:szCs w:val="18"/>
        </w:rPr>
      </w:pPr>
      <w:r w:rsidRPr="008C3F95">
        <w:rPr>
          <w:rFonts w:ascii="Times New Roman" w:hAnsi="Times New Roman"/>
          <w:sz w:val="18"/>
          <w:szCs w:val="18"/>
        </w:rPr>
        <w:t>A positive number for the fiscal balance indicates an increase in revenue or a decrease in expenses in accrual terms.</w:t>
      </w:r>
      <w:r w:rsidR="00563548" w:rsidRPr="008C3F95">
        <w:rPr>
          <w:rFonts w:ascii="Times New Roman" w:hAnsi="Times New Roman"/>
          <w:sz w:val="18"/>
          <w:szCs w:val="18"/>
        </w:rPr>
        <w:t xml:space="preserve"> </w:t>
      </w:r>
      <w:r w:rsidR="00F84199">
        <w:rPr>
          <w:rFonts w:ascii="Times New Roman" w:hAnsi="Times New Roman"/>
          <w:sz w:val="18"/>
          <w:szCs w:val="18"/>
        </w:rPr>
        <w:t xml:space="preserve"> </w:t>
      </w:r>
      <w:r w:rsidRPr="008C3F95">
        <w:rPr>
          <w:rFonts w:ascii="Times New Roman" w:hAnsi="Times New Roman"/>
          <w:sz w:val="18"/>
          <w:szCs w:val="18"/>
        </w:rPr>
        <w:t>A negative number for the fiscal balance indicates a decrease in revenue or an increase in expenses in accrual terms</w:t>
      </w:r>
      <w:r w:rsidR="00A67365">
        <w:rPr>
          <w:rFonts w:ascii="Times New Roman" w:hAnsi="Times New Roman"/>
          <w:sz w:val="18"/>
          <w:szCs w:val="18"/>
        </w:rPr>
        <w:t>.</w:t>
      </w:r>
    </w:p>
    <w:p w:rsidR="009509BF" w:rsidRPr="00C4585B" w:rsidRDefault="00AD16FD" w:rsidP="00663EA7">
      <w:pPr>
        <w:pStyle w:val="ChartandTableFootnoteAlpha"/>
        <w:numPr>
          <w:ilvl w:val="0"/>
          <w:numId w:val="0"/>
        </w:numPr>
        <w:spacing w:before="60" w:after="60"/>
        <w:ind w:left="284" w:hanging="284"/>
        <w:rPr>
          <w:rFonts w:ascii="Times New Roman" w:hAnsi="Times New Roman"/>
          <w:sz w:val="18"/>
          <w:szCs w:val="18"/>
        </w:rPr>
      </w:pPr>
      <w:r w:rsidRPr="008C3F95">
        <w:rPr>
          <w:rFonts w:ascii="Times New Roman" w:hAnsi="Times New Roman"/>
          <w:sz w:val="18"/>
          <w:szCs w:val="18"/>
        </w:rPr>
        <w:t>‘..’</w:t>
      </w:r>
      <w:r w:rsidR="00FF2335">
        <w:rPr>
          <w:rFonts w:ascii="Times New Roman" w:hAnsi="Times New Roman"/>
          <w:sz w:val="18"/>
          <w:szCs w:val="18"/>
        </w:rPr>
        <w:tab/>
        <w:t>I</w:t>
      </w:r>
      <w:r w:rsidRPr="008C3F95">
        <w:rPr>
          <w:rFonts w:ascii="Times New Roman" w:hAnsi="Times New Roman"/>
          <w:sz w:val="18"/>
          <w:szCs w:val="18"/>
        </w:rPr>
        <w:t>ndicates not zero, but rounded to zero</w:t>
      </w:r>
      <w:r w:rsidR="00FF2335">
        <w:rPr>
          <w:rFonts w:ascii="Times New Roman" w:hAnsi="Times New Roman"/>
          <w:sz w:val="18"/>
          <w:szCs w:val="18"/>
        </w:rPr>
        <w:t>.</w:t>
      </w:r>
    </w:p>
    <w:sectPr w:rsidR="009509BF" w:rsidRPr="00C4585B" w:rsidSect="008C3F95">
      <w:headerReference w:type="first" r:id="rId15"/>
      <w:footerReference w:type="first" r:id="rId16"/>
      <w:pgSz w:w="11906" w:h="16838" w:code="9"/>
      <w:pgMar w:top="1134" w:right="1416"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30E" w:rsidRDefault="0000430E" w:rsidP="00E95CCF">
      <w:r>
        <w:separator/>
      </w:r>
    </w:p>
  </w:endnote>
  <w:endnote w:type="continuationSeparator" w:id="0">
    <w:p w:rsidR="0000430E" w:rsidRDefault="0000430E" w:rsidP="00E9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4C" w:rsidRPr="00DA345E" w:rsidRDefault="005F274C" w:rsidP="00DA345E">
    <w:pPr>
      <w:spacing w:before="0" w:after="120"/>
      <w:jc w:val="center"/>
      <w:rPr>
        <w:bCs/>
        <w:spacing w:val="5"/>
        <w:sz w:val="20"/>
        <w:szCs w:val="20"/>
      </w:rPr>
    </w:pPr>
    <w:r w:rsidRPr="00537EA9">
      <w:rPr>
        <w:rStyle w:val="IntenseReference"/>
        <w:rFonts w:ascii="Times New Roman" w:hAnsi="Times New Roman"/>
        <w:b w:val="0"/>
        <w:color w:val="auto"/>
        <w:sz w:val="20"/>
        <w:szCs w:val="20"/>
      </w:rPr>
      <w:t xml:space="preserve">Page </w:t>
    </w:r>
    <w:r w:rsidRPr="00537EA9">
      <w:rPr>
        <w:rStyle w:val="IntenseReference"/>
        <w:rFonts w:ascii="Times New Roman" w:hAnsi="Times New Roman"/>
        <w:b w:val="0"/>
        <w:color w:val="auto"/>
        <w:sz w:val="20"/>
        <w:szCs w:val="20"/>
      </w:rPr>
      <w:fldChar w:fldCharType="begin"/>
    </w:r>
    <w:r w:rsidRPr="00537EA9">
      <w:rPr>
        <w:rStyle w:val="IntenseReference"/>
        <w:rFonts w:ascii="Times New Roman" w:hAnsi="Times New Roman"/>
        <w:b w:val="0"/>
        <w:color w:val="auto"/>
        <w:sz w:val="20"/>
        <w:szCs w:val="20"/>
      </w:rPr>
      <w:instrText xml:space="preserve"> PAGE   \* MERGEFORMAT </w:instrText>
    </w:r>
    <w:r w:rsidRPr="00537EA9">
      <w:rPr>
        <w:rStyle w:val="IntenseReference"/>
        <w:rFonts w:ascii="Times New Roman" w:hAnsi="Times New Roman"/>
        <w:b w:val="0"/>
        <w:color w:val="auto"/>
        <w:sz w:val="20"/>
        <w:szCs w:val="20"/>
      </w:rPr>
      <w:fldChar w:fldCharType="separate"/>
    </w:r>
    <w:r w:rsidR="00FF65F6">
      <w:rPr>
        <w:rStyle w:val="IntenseReference"/>
        <w:rFonts w:ascii="Times New Roman" w:hAnsi="Times New Roman"/>
        <w:b w:val="0"/>
        <w:noProof/>
        <w:color w:val="auto"/>
        <w:sz w:val="20"/>
        <w:szCs w:val="20"/>
      </w:rPr>
      <w:t>3</w:t>
    </w:r>
    <w:r w:rsidRPr="00537EA9">
      <w:rPr>
        <w:rStyle w:val="IntenseReference"/>
        <w:rFonts w:ascii="Times New Roman" w:hAnsi="Times New Roman"/>
        <w:b w:val="0"/>
        <w:color w:val="auto"/>
        <w:sz w:val="20"/>
        <w:szCs w:val="20"/>
      </w:rPr>
      <w:fldChar w:fldCharType="end"/>
    </w:r>
    <w:r w:rsidRPr="00537EA9">
      <w:rPr>
        <w:rStyle w:val="IntenseReference"/>
        <w:rFonts w:ascii="Times New Roman" w:hAnsi="Times New Roman"/>
        <w:b w:val="0"/>
        <w:color w:val="auto"/>
        <w:sz w:val="20"/>
        <w:szCs w:val="20"/>
      </w:rPr>
      <w:t xml:space="preserve"> of </w:t>
    </w:r>
    <w:r w:rsidR="00103C8E">
      <w:rPr>
        <w:rStyle w:val="IntenseReference"/>
        <w:rFonts w:ascii="Times New Roman" w:hAnsi="Times New Roman"/>
        <w:b w:val="0"/>
        <w:color w:val="auto"/>
        <w:sz w:val="20"/>
        <w:szCs w:val="20"/>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CF" w:rsidRDefault="003811CF" w:rsidP="00103C8E">
    <w:pPr>
      <w:pStyle w:val="Footer"/>
      <w:spacing w:before="0"/>
      <w:ind w:right="-619" w:hanging="709"/>
      <w:jc w:val="center"/>
      <w:rPr>
        <w:rFonts w:ascii="Arial" w:hAnsi="Arial" w:cs="Arial"/>
        <w:sz w:val="17"/>
        <w:szCs w:val="17"/>
      </w:rPr>
    </w:pPr>
    <w:r w:rsidRPr="00EF6EEC">
      <w:rPr>
        <w:rFonts w:ascii="Arial" w:hAnsi="Arial" w:cs="Arial"/>
        <w:sz w:val="17"/>
        <w:szCs w:val="17"/>
      </w:rPr>
      <w:t>Parliamentary Budget Office</w:t>
    </w:r>
    <w:r>
      <w:rPr>
        <w:rFonts w:ascii="Arial" w:hAnsi="Arial" w:cs="Arial"/>
        <w:sz w:val="17"/>
        <w:szCs w:val="17"/>
      </w:rPr>
      <w:t xml:space="preserve"> </w:t>
    </w:r>
    <w:r w:rsidRPr="00EF6EEC">
      <w:rPr>
        <w:rFonts w:ascii="Arial" w:hAnsi="Arial" w:cs="Arial"/>
        <w:sz w:val="17"/>
        <w:szCs w:val="17"/>
      </w:rPr>
      <w:t xml:space="preserve">  PO Box 6010</w:t>
    </w:r>
    <w:r>
      <w:rPr>
        <w:rFonts w:ascii="Arial" w:hAnsi="Arial" w:cs="Arial"/>
        <w:sz w:val="17"/>
        <w:szCs w:val="17"/>
      </w:rPr>
      <w:t xml:space="preserve"> </w:t>
    </w:r>
    <w:r w:rsidRPr="00EF6EEC">
      <w:rPr>
        <w:rFonts w:ascii="Arial" w:hAnsi="Arial" w:cs="Arial"/>
        <w:sz w:val="17"/>
        <w:szCs w:val="17"/>
      </w:rPr>
      <w:t xml:space="preserve">  Parliament House </w:t>
    </w:r>
    <w:r>
      <w:rPr>
        <w:rFonts w:ascii="Arial" w:hAnsi="Arial" w:cs="Arial"/>
        <w:sz w:val="17"/>
        <w:szCs w:val="17"/>
      </w:rPr>
      <w:t xml:space="preserve"> </w:t>
    </w:r>
    <w:r w:rsidRPr="00EF6EEC">
      <w:rPr>
        <w:rFonts w:ascii="Arial" w:hAnsi="Arial" w:cs="Arial"/>
        <w:sz w:val="17"/>
        <w:szCs w:val="17"/>
      </w:rPr>
      <w:t xml:space="preserve"> Canberra ACT 2600 </w:t>
    </w:r>
    <w:r>
      <w:rPr>
        <w:rFonts w:ascii="Arial" w:hAnsi="Arial" w:cs="Arial"/>
        <w:sz w:val="17"/>
        <w:szCs w:val="17"/>
      </w:rPr>
      <w:t xml:space="preserve"> </w:t>
    </w:r>
    <w:r w:rsidRPr="00EF6EEC">
      <w:rPr>
        <w:rFonts w:ascii="Arial" w:hAnsi="Arial" w:cs="Arial"/>
        <w:sz w:val="17"/>
        <w:szCs w:val="17"/>
      </w:rPr>
      <w:t xml:space="preserve"> Tel: 02 6277 9500</w:t>
    </w:r>
  </w:p>
  <w:p w:rsidR="007E181D" w:rsidRPr="00103C8E" w:rsidRDefault="007E181D" w:rsidP="00103C8E">
    <w:pPr>
      <w:pStyle w:val="Footer"/>
      <w:spacing w:before="0"/>
      <w:ind w:right="-618"/>
      <w:rPr>
        <w:rStyle w:val="IntenseReference"/>
        <w:rFonts w:cs="Arial"/>
        <w:b w:val="0"/>
        <w:bCs w:val="0"/>
        <w:color w:val="auto"/>
        <w:spacing w:val="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CF" w:rsidRPr="003811CF" w:rsidRDefault="003811CF" w:rsidP="0047605C">
    <w:pPr>
      <w:pStyle w:val="Footer"/>
      <w:jc w:val="center"/>
      <w:rPr>
        <w:rStyle w:val="IntenseReference"/>
        <w:color w:val="aut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FBC" w:rsidRPr="00DA345E" w:rsidRDefault="00C87FBC" w:rsidP="00DA345E">
    <w:pPr>
      <w:spacing w:before="0" w:after="120"/>
      <w:jc w:val="center"/>
      <w:rPr>
        <w:rStyle w:val="IntenseReference"/>
        <w:rFonts w:ascii="Times New Roman" w:hAnsi="Times New Roman"/>
        <w:b w:val="0"/>
        <w:color w:val="auto"/>
        <w:sz w:val="20"/>
        <w:szCs w:val="20"/>
      </w:rPr>
    </w:pPr>
    <w:r w:rsidRPr="00537EA9">
      <w:rPr>
        <w:rStyle w:val="IntenseReference"/>
        <w:rFonts w:ascii="Times New Roman" w:hAnsi="Times New Roman"/>
        <w:b w:val="0"/>
        <w:color w:val="auto"/>
        <w:sz w:val="20"/>
        <w:szCs w:val="20"/>
      </w:rPr>
      <w:t xml:space="preserve">Page </w:t>
    </w:r>
    <w:r w:rsidRPr="00537EA9">
      <w:rPr>
        <w:rStyle w:val="IntenseReference"/>
        <w:rFonts w:ascii="Times New Roman" w:hAnsi="Times New Roman"/>
        <w:b w:val="0"/>
        <w:color w:val="auto"/>
        <w:sz w:val="20"/>
        <w:szCs w:val="20"/>
      </w:rPr>
      <w:fldChar w:fldCharType="begin"/>
    </w:r>
    <w:r w:rsidRPr="00537EA9">
      <w:rPr>
        <w:rStyle w:val="IntenseReference"/>
        <w:rFonts w:ascii="Times New Roman" w:hAnsi="Times New Roman"/>
        <w:b w:val="0"/>
        <w:color w:val="auto"/>
        <w:sz w:val="20"/>
        <w:szCs w:val="20"/>
      </w:rPr>
      <w:instrText xml:space="preserve"> PAGE   \* MERGEFORMAT </w:instrText>
    </w:r>
    <w:r w:rsidRPr="00537EA9">
      <w:rPr>
        <w:rStyle w:val="IntenseReference"/>
        <w:rFonts w:ascii="Times New Roman" w:hAnsi="Times New Roman"/>
        <w:b w:val="0"/>
        <w:color w:val="auto"/>
        <w:sz w:val="20"/>
        <w:szCs w:val="20"/>
      </w:rPr>
      <w:fldChar w:fldCharType="separate"/>
    </w:r>
    <w:r w:rsidR="00FF65F6">
      <w:rPr>
        <w:rStyle w:val="IntenseReference"/>
        <w:rFonts w:ascii="Times New Roman" w:hAnsi="Times New Roman"/>
        <w:b w:val="0"/>
        <w:noProof/>
        <w:color w:val="auto"/>
        <w:sz w:val="20"/>
        <w:szCs w:val="20"/>
      </w:rPr>
      <w:t>5</w:t>
    </w:r>
    <w:r w:rsidRPr="00537EA9">
      <w:rPr>
        <w:rStyle w:val="IntenseReference"/>
        <w:rFonts w:ascii="Times New Roman" w:hAnsi="Times New Roman"/>
        <w:b w:val="0"/>
        <w:color w:val="auto"/>
        <w:sz w:val="20"/>
        <w:szCs w:val="20"/>
      </w:rPr>
      <w:fldChar w:fldCharType="end"/>
    </w:r>
    <w:r w:rsidRPr="00537EA9">
      <w:rPr>
        <w:rStyle w:val="IntenseReference"/>
        <w:rFonts w:ascii="Times New Roman" w:hAnsi="Times New Roman"/>
        <w:b w:val="0"/>
        <w:color w:val="auto"/>
        <w:sz w:val="20"/>
        <w:szCs w:val="20"/>
      </w:rPr>
      <w:t xml:space="preserve"> of </w:t>
    </w:r>
    <w:r w:rsidR="00103C8E">
      <w:rPr>
        <w:rStyle w:val="IntenseReference"/>
        <w:rFonts w:ascii="Times New Roman" w:hAnsi="Times New Roman"/>
        <w:b w:val="0"/>
        <w:color w:val="auto"/>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30E" w:rsidRDefault="0000430E" w:rsidP="00E95CCF">
      <w:r>
        <w:separator/>
      </w:r>
    </w:p>
  </w:footnote>
  <w:footnote w:type="continuationSeparator" w:id="0">
    <w:p w:rsidR="0000430E" w:rsidRDefault="0000430E" w:rsidP="00E95CCF">
      <w:r>
        <w:continuationSeparator/>
      </w:r>
    </w:p>
  </w:footnote>
  <w:footnote w:id="1">
    <w:p w:rsidR="0015423A" w:rsidRPr="003811CF" w:rsidRDefault="0015423A">
      <w:pPr>
        <w:pStyle w:val="FootnoteText"/>
        <w:rPr>
          <w:lang w:val="fr-FR"/>
        </w:rPr>
      </w:pPr>
      <w:r>
        <w:rPr>
          <w:rStyle w:val="FootnoteReference"/>
        </w:rPr>
        <w:footnoteRef/>
      </w:r>
      <w:r w:rsidRPr="003811CF">
        <w:rPr>
          <w:lang w:val="fr-FR"/>
        </w:rPr>
        <w:t xml:space="preserve"> </w:t>
      </w:r>
      <w:proofErr w:type="spellStart"/>
      <w:r w:rsidR="00651983" w:rsidRPr="003811CF">
        <w:rPr>
          <w:lang w:val="fr-FR"/>
        </w:rPr>
        <w:t>Clements</w:t>
      </w:r>
      <w:proofErr w:type="spellEnd"/>
      <w:r w:rsidR="00651983" w:rsidRPr="003811CF">
        <w:rPr>
          <w:lang w:val="fr-FR"/>
        </w:rPr>
        <w:t xml:space="preserve"> et al</w:t>
      </w:r>
      <w:r w:rsidRPr="003811CF">
        <w:rPr>
          <w:lang w:val="fr-FR"/>
        </w:rPr>
        <w:t xml:space="preserve"> (</w:t>
      </w:r>
      <w:r w:rsidR="00651983" w:rsidRPr="003811CF">
        <w:rPr>
          <w:lang w:val="fr-FR"/>
        </w:rPr>
        <w:t>2010</w:t>
      </w:r>
      <w:r w:rsidRPr="003811CF">
        <w:rPr>
          <w:lang w:val="fr-FR"/>
        </w:rPr>
        <w:t>).</w:t>
      </w:r>
    </w:p>
  </w:footnote>
  <w:footnote w:id="2">
    <w:p w:rsidR="00D32930" w:rsidRPr="003811CF" w:rsidRDefault="00D32930" w:rsidP="00D32930">
      <w:pPr>
        <w:pStyle w:val="FootnoteText"/>
        <w:rPr>
          <w:lang w:val="fr-FR"/>
        </w:rPr>
      </w:pPr>
      <w:r>
        <w:rPr>
          <w:rStyle w:val="FootnoteReference"/>
        </w:rPr>
        <w:footnoteRef/>
      </w:r>
      <w:r w:rsidRPr="003811CF">
        <w:rPr>
          <w:lang w:val="fr-FR"/>
        </w:rPr>
        <w:t xml:space="preserve"> Crawford et al (2012)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215" w:rsidRPr="005F274C" w:rsidRDefault="005F274C" w:rsidP="00C87FBC">
    <w:pPr>
      <w:pStyle w:val="Header"/>
      <w:spacing w:before="120" w:after="240"/>
      <w:jc w:val="center"/>
      <w:rPr>
        <w:rFonts w:ascii="Arial" w:hAnsi="Arial" w:cs="Arial"/>
        <w:b/>
      </w:rPr>
    </w:pPr>
    <w:r w:rsidRPr="005F274C">
      <w:rPr>
        <w:rFonts w:ascii="Arial" w:hAnsi="Arial" w:cs="Arial"/>
        <w:b/>
      </w:rPr>
      <w:t>POLICY COSTING – OUTSIDE THE CARETAKER PERIOD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CF" w:rsidRPr="003811CF" w:rsidRDefault="003811CF" w:rsidP="009E105C">
    <w:pPr>
      <w:pStyle w:val="Header"/>
      <w:spacing w:after="480"/>
      <w:rPr>
        <w:rFonts w:ascii="Calibri" w:hAnsi="Calibri"/>
        <w:sz w:val="22"/>
        <w:szCs w:val="22"/>
      </w:rPr>
    </w:pPr>
    <w:r w:rsidRPr="003811CF">
      <w:rPr>
        <w:rFonts w:ascii="Calibri" w:hAnsi="Calibri"/>
        <w:noProof/>
        <w:sz w:val="22"/>
        <w:szCs w:val="22"/>
        <w:lang w:eastAsia="en-AU"/>
      </w:rPr>
      <w:drawing>
        <wp:inline distT="0" distB="0" distL="0" distR="0" wp14:anchorId="07B287CF" wp14:editId="6710BDC1">
          <wp:extent cx="3132000" cy="6660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2000" cy="666000"/>
                  </a:xfrm>
                  <a:prstGeom prst="rect">
                    <a:avLst/>
                  </a:prstGeom>
                </pic:spPr>
              </pic:pic>
            </a:graphicData>
          </a:graphic>
        </wp:inline>
      </w:drawing>
    </w:r>
  </w:p>
  <w:p w:rsidR="003811CF" w:rsidRPr="009030A0" w:rsidRDefault="003811CF" w:rsidP="003811CF">
    <w:pPr>
      <w:pStyle w:val="Header"/>
      <w:tabs>
        <w:tab w:val="clear" w:pos="4513"/>
        <w:tab w:val="clear" w:pos="9026"/>
      </w:tabs>
      <w:spacing w:before="0"/>
      <w:ind w:left="5954"/>
      <w:rPr>
        <w:rFonts w:ascii="Arial" w:hAnsi="Arial" w:cs="Arial"/>
        <w:b/>
        <w:sz w:val="18"/>
        <w:szCs w:val="18"/>
      </w:rPr>
    </w:pPr>
    <w:r w:rsidRPr="009030A0">
      <w:rPr>
        <w:rFonts w:ascii="Arial" w:hAnsi="Arial" w:cs="Arial"/>
        <w:b/>
        <w:sz w:val="18"/>
        <w:szCs w:val="18"/>
      </w:rPr>
      <w:t>Phil Bowen PSM FCPA</w:t>
    </w:r>
  </w:p>
  <w:p w:rsidR="003811CF" w:rsidRPr="009030A0" w:rsidRDefault="003811CF" w:rsidP="009E105C">
    <w:pPr>
      <w:pStyle w:val="Header"/>
      <w:tabs>
        <w:tab w:val="clear" w:pos="4513"/>
        <w:tab w:val="clear" w:pos="9026"/>
      </w:tabs>
      <w:spacing w:before="0" w:after="480"/>
      <w:ind w:left="5954"/>
      <w:rPr>
        <w:rFonts w:ascii="Arial" w:hAnsi="Arial" w:cs="Arial"/>
        <w:b/>
        <w:sz w:val="18"/>
        <w:szCs w:val="18"/>
      </w:rPr>
    </w:pPr>
    <w:r w:rsidRPr="009030A0">
      <w:rPr>
        <w:rFonts w:ascii="Arial" w:hAnsi="Arial" w:cs="Arial"/>
        <w:b/>
        <w:sz w:val="18"/>
        <w:szCs w:val="18"/>
      </w:rPr>
      <w:t>Parliamentary Budget Officer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CF" w:rsidRPr="003811CF" w:rsidRDefault="003811CF" w:rsidP="0047605C">
    <w:pPr>
      <w:pStyle w:val="Footer"/>
      <w:jc w:val="center"/>
      <w:rPr>
        <w:rStyle w:val="IntenseReference"/>
        <w:color w:val="auto"/>
      </w:rPr>
    </w:pPr>
    <w:r w:rsidRPr="003811CF">
      <w:rPr>
        <w:rStyle w:val="CommentTextChar"/>
        <w:noProof/>
        <w:lang w:eastAsia="en-AU"/>
      </w:rPr>
      <w:drawing>
        <wp:anchor distT="0" distB="0" distL="114300" distR="114300" simplePos="0" relativeHeight="251661312" behindDoc="0" locked="0" layoutInCell="1" allowOverlap="1" wp14:anchorId="0901D14B" wp14:editId="25C6E37E">
          <wp:simplePos x="0" y="0"/>
          <wp:positionH relativeFrom="column">
            <wp:posOffset>-251460</wp:posOffset>
          </wp:positionH>
          <wp:positionV relativeFrom="paragraph">
            <wp:posOffset>-121920</wp:posOffset>
          </wp:positionV>
          <wp:extent cx="2696845" cy="57213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anchor>
      </w:drawing>
    </w:r>
  </w:p>
  <w:p w:rsidR="003811CF" w:rsidRPr="005F274C" w:rsidRDefault="003811CF" w:rsidP="005F274C">
    <w:pPr>
      <w:pStyle w:val="Footer"/>
      <w:spacing w:before="0"/>
      <w:jc w:val="center"/>
      <w:rPr>
        <w:rStyle w:val="IntenseReference"/>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FBC" w:rsidRPr="00C87FBC" w:rsidRDefault="00C87FBC" w:rsidP="00C87FBC">
    <w:pPr>
      <w:pStyle w:val="Header"/>
      <w:spacing w:before="120" w:after="240"/>
      <w:jc w:val="center"/>
      <w:rPr>
        <w:rStyle w:val="IntenseReference"/>
        <w:rFonts w:cs="Arial"/>
        <w:bCs w:val="0"/>
        <w:color w:val="auto"/>
        <w:spacing w:val="0"/>
        <w:sz w:val="24"/>
        <w:szCs w:val="24"/>
      </w:rPr>
    </w:pPr>
    <w:r w:rsidRPr="005F274C">
      <w:rPr>
        <w:rFonts w:ascii="Arial" w:hAnsi="Arial" w:cs="Arial"/>
        <w:b/>
      </w:rPr>
      <w:t>POLICY COSTING – OUTSIDE THE CARETAKER PERIOD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609A"/>
    <w:multiLevelType w:val="hybridMultilevel"/>
    <w:tmpl w:val="13B43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FF4CC9"/>
    <w:multiLevelType w:val="hybridMultilevel"/>
    <w:tmpl w:val="16C4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155BAD"/>
    <w:multiLevelType w:val="hybridMultilevel"/>
    <w:tmpl w:val="AD16D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7025BDA"/>
    <w:multiLevelType w:val="hybridMultilevel"/>
    <w:tmpl w:val="F9606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BE23F9F"/>
    <w:multiLevelType w:val="hybridMultilevel"/>
    <w:tmpl w:val="706C45E6"/>
    <w:lvl w:ilvl="0" w:tplc="61906A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CCD6076"/>
    <w:multiLevelType w:val="hybridMultilevel"/>
    <w:tmpl w:val="BC0A5F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F1A21DB"/>
    <w:multiLevelType w:val="hybridMultilevel"/>
    <w:tmpl w:val="0B1688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2CB5B0D"/>
    <w:multiLevelType w:val="hybridMultilevel"/>
    <w:tmpl w:val="90DE1BDA"/>
    <w:lvl w:ilvl="0" w:tplc="B19E69B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42452E"/>
    <w:multiLevelType w:val="hybridMultilevel"/>
    <w:tmpl w:val="EA86CD2C"/>
    <w:lvl w:ilvl="0" w:tplc="A31E4EA4">
      <w:start w:val="1"/>
      <w:numFmt w:val="bullet"/>
      <w:pStyle w:val="PBObullet"/>
      <w:lvlText w:val=""/>
      <w:lvlJc w:val="left"/>
      <w:pPr>
        <w:ind w:left="92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3A6A4473"/>
    <w:multiLevelType w:val="hybridMultilevel"/>
    <w:tmpl w:val="5706E0C2"/>
    <w:lvl w:ilvl="0" w:tplc="C1F464DA">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B2E19AC"/>
    <w:multiLevelType w:val="singleLevel"/>
    <w:tmpl w:val="032CEB48"/>
    <w:lvl w:ilvl="0">
      <w:start w:val="1"/>
      <w:numFmt w:val="lowerLetter"/>
      <w:lvlRestart w:val="0"/>
      <w:pStyle w:val="ChartandTableFootnoteAlpha"/>
      <w:lvlText w:val="(%1)"/>
      <w:lvlJc w:val="left"/>
      <w:pPr>
        <w:tabs>
          <w:tab w:val="num" w:pos="284"/>
        </w:tabs>
        <w:ind w:left="284" w:hanging="284"/>
      </w:pPr>
      <w:rPr>
        <w:rFonts w:ascii="Times New Roman" w:hAnsi="Times New Roman" w:cs="Times New Roman" w:hint="default"/>
        <w:b w:val="0"/>
        <w:i w:val="0"/>
        <w:color w:val="000000"/>
        <w:sz w:val="18"/>
        <w:szCs w:val="18"/>
      </w:rPr>
    </w:lvl>
  </w:abstractNum>
  <w:abstractNum w:abstractNumId="12">
    <w:nsid w:val="4A666362"/>
    <w:multiLevelType w:val="hybridMultilevel"/>
    <w:tmpl w:val="543AAAEE"/>
    <w:lvl w:ilvl="0" w:tplc="84C2A14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665E7B5A"/>
    <w:multiLevelType w:val="hybridMultilevel"/>
    <w:tmpl w:val="D822236E"/>
    <w:lvl w:ilvl="0" w:tplc="926CBE88">
      <w:start w:val="1"/>
      <w:numFmt w:val="bullet"/>
      <w:lvlText w:val=""/>
      <w:lvlJc w:val="left"/>
      <w:pPr>
        <w:ind w:left="360" w:hanging="360"/>
      </w:pPr>
      <w:rPr>
        <w:rFonts w:ascii="Symbol" w:hAnsi="Symbol" w:hint="default"/>
      </w:rPr>
    </w:lvl>
    <w:lvl w:ilvl="1" w:tplc="9CA266AC">
      <w:start w:val="1"/>
      <w:numFmt w:val="bullet"/>
      <w:pStyle w:val="Bullet2"/>
      <w:lvlText w:val="-"/>
      <w:lvlJc w:val="left"/>
      <w:pPr>
        <w:ind w:left="1080" w:hanging="360"/>
      </w:pPr>
      <w:rPr>
        <w:rFonts w:ascii="Times New Roman" w:hAnsi="Times New Roman" w:cs="Times New Roman" w:hint="default"/>
      </w:rPr>
    </w:lvl>
    <w:lvl w:ilvl="2" w:tplc="91389894">
      <w:start w:val="1"/>
      <w:numFmt w:val="bullet"/>
      <w:pStyle w:val="Bullet4"/>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A6E5490"/>
    <w:multiLevelType w:val="hybridMultilevel"/>
    <w:tmpl w:val="E14C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45C3AB2"/>
    <w:multiLevelType w:val="hybridMultilevel"/>
    <w:tmpl w:val="5EB0E89C"/>
    <w:lvl w:ilvl="0" w:tplc="661CA760">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9E805DB"/>
    <w:multiLevelType w:val="hybridMultilevel"/>
    <w:tmpl w:val="B79C51E8"/>
    <w:lvl w:ilvl="0" w:tplc="B19E69B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C080122"/>
    <w:multiLevelType w:val="hybridMultilevel"/>
    <w:tmpl w:val="28548164"/>
    <w:lvl w:ilvl="0" w:tplc="E2C078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0"/>
  </w:num>
  <w:num w:numId="3">
    <w:abstractNumId w:val="12"/>
  </w:num>
  <w:num w:numId="4">
    <w:abstractNumId w:val="11"/>
    <w:lvlOverride w:ilvl="0">
      <w:startOverride w:val="1"/>
    </w:lvlOverride>
  </w:num>
  <w:num w:numId="5">
    <w:abstractNumId w:val="7"/>
  </w:num>
  <w:num w:numId="6">
    <w:abstractNumId w:val="5"/>
  </w:num>
  <w:num w:numId="7">
    <w:abstractNumId w:val="13"/>
  </w:num>
  <w:num w:numId="8">
    <w:abstractNumId w:val="3"/>
  </w:num>
  <w:num w:numId="9">
    <w:abstractNumId w:val="16"/>
  </w:num>
  <w:num w:numId="10">
    <w:abstractNumId w:val="8"/>
  </w:num>
  <w:num w:numId="11">
    <w:abstractNumId w:val="1"/>
  </w:num>
  <w:num w:numId="12">
    <w:abstractNumId w:val="0"/>
  </w:num>
  <w:num w:numId="13">
    <w:abstractNumId w:val="14"/>
  </w:num>
  <w:num w:numId="14">
    <w:abstractNumId w:val="15"/>
  </w:num>
  <w:num w:numId="15">
    <w:abstractNumId w:val="4"/>
  </w:num>
  <w:num w:numId="16">
    <w:abstractNumId w:val="9"/>
  </w:num>
  <w:num w:numId="17">
    <w:abstractNumId w:val="11"/>
    <w:lvlOverride w:ilvl="0">
      <w:startOverride w:val="1"/>
    </w:lvlOverride>
  </w:num>
  <w:num w:numId="18">
    <w:abstractNumId w:val="9"/>
    <w:lvlOverride w:ilvl="0">
      <w:startOverride w:val="1"/>
    </w:lvlOverride>
  </w:num>
  <w:num w:numId="19">
    <w:abstractNumId w:val="17"/>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15"/>
  </w:num>
  <w:num w:numId="24">
    <w:abstractNumId w:val="15"/>
  </w:num>
  <w:num w:numId="25">
    <w:abstractNumId w:val="15"/>
  </w:num>
  <w:num w:numId="26">
    <w:abstractNumId w:val="15"/>
  </w:num>
  <w:num w:numId="27">
    <w:abstractNumId w:val="13"/>
  </w:num>
  <w:num w:numId="28">
    <w:abstractNumId w:val="13"/>
  </w:num>
  <w:num w:numId="29">
    <w:abstractNumId w:val="13"/>
  </w:num>
  <w:num w:numId="30">
    <w:abstractNumId w:val="6"/>
  </w:num>
  <w:num w:numId="31">
    <w:abstractNumId w:val="13"/>
  </w:num>
  <w:num w:numId="32">
    <w:abstractNumId w:val="13"/>
  </w:num>
  <w:num w:numId="33">
    <w:abstractNumId w:val="13"/>
  </w:num>
  <w:num w:numId="34">
    <w:abstractNumId w:val="13"/>
  </w:num>
  <w:num w:numId="3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proofState w:spelling="clean" w:grammar="clean"/>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0E"/>
    <w:rsid w:val="00000FD7"/>
    <w:rsid w:val="0000430E"/>
    <w:rsid w:val="000111EE"/>
    <w:rsid w:val="000122B9"/>
    <w:rsid w:val="0001283E"/>
    <w:rsid w:val="00030FEA"/>
    <w:rsid w:val="00036DC8"/>
    <w:rsid w:val="00044C48"/>
    <w:rsid w:val="00055A1A"/>
    <w:rsid w:val="00055A2A"/>
    <w:rsid w:val="00065F0C"/>
    <w:rsid w:val="00074CD6"/>
    <w:rsid w:val="00083A28"/>
    <w:rsid w:val="00090E38"/>
    <w:rsid w:val="000B085E"/>
    <w:rsid w:val="000B2356"/>
    <w:rsid w:val="000B495B"/>
    <w:rsid w:val="000B6D4A"/>
    <w:rsid w:val="000C1468"/>
    <w:rsid w:val="000F7A13"/>
    <w:rsid w:val="0010225A"/>
    <w:rsid w:val="00103C8E"/>
    <w:rsid w:val="0010609E"/>
    <w:rsid w:val="001129C7"/>
    <w:rsid w:val="00121BBF"/>
    <w:rsid w:val="001225B8"/>
    <w:rsid w:val="00133456"/>
    <w:rsid w:val="00134CFB"/>
    <w:rsid w:val="00142986"/>
    <w:rsid w:val="001465C5"/>
    <w:rsid w:val="0015423A"/>
    <w:rsid w:val="001656BC"/>
    <w:rsid w:val="001745DF"/>
    <w:rsid w:val="001749B8"/>
    <w:rsid w:val="00175825"/>
    <w:rsid w:val="0017718A"/>
    <w:rsid w:val="00186577"/>
    <w:rsid w:val="00192F55"/>
    <w:rsid w:val="001936F7"/>
    <w:rsid w:val="001A1883"/>
    <w:rsid w:val="001A7140"/>
    <w:rsid w:val="001B0DC3"/>
    <w:rsid w:val="001B20D5"/>
    <w:rsid w:val="001C3789"/>
    <w:rsid w:val="001D08C5"/>
    <w:rsid w:val="001E383A"/>
    <w:rsid w:val="001F02D4"/>
    <w:rsid w:val="001F48A7"/>
    <w:rsid w:val="00201339"/>
    <w:rsid w:val="00206221"/>
    <w:rsid w:val="002079F7"/>
    <w:rsid w:val="0021005C"/>
    <w:rsid w:val="00214952"/>
    <w:rsid w:val="00226528"/>
    <w:rsid w:val="00226C01"/>
    <w:rsid w:val="00226EA7"/>
    <w:rsid w:val="00236AFC"/>
    <w:rsid w:val="00237463"/>
    <w:rsid w:val="00243330"/>
    <w:rsid w:val="00261A2C"/>
    <w:rsid w:val="00264BEB"/>
    <w:rsid w:val="00284315"/>
    <w:rsid w:val="002879B1"/>
    <w:rsid w:val="002B1B5F"/>
    <w:rsid w:val="002B3FDE"/>
    <w:rsid w:val="002C196C"/>
    <w:rsid w:val="002C3EF5"/>
    <w:rsid w:val="002C7D46"/>
    <w:rsid w:val="002D08FC"/>
    <w:rsid w:val="002D0E41"/>
    <w:rsid w:val="002D4753"/>
    <w:rsid w:val="002D4A0F"/>
    <w:rsid w:val="002E152A"/>
    <w:rsid w:val="002E56DA"/>
    <w:rsid w:val="002E60CA"/>
    <w:rsid w:val="002E6F12"/>
    <w:rsid w:val="002F05AB"/>
    <w:rsid w:val="002F1296"/>
    <w:rsid w:val="002F2123"/>
    <w:rsid w:val="002F5257"/>
    <w:rsid w:val="003070FC"/>
    <w:rsid w:val="0030775B"/>
    <w:rsid w:val="00314090"/>
    <w:rsid w:val="0031720D"/>
    <w:rsid w:val="00340EBF"/>
    <w:rsid w:val="00342C87"/>
    <w:rsid w:val="00344EE4"/>
    <w:rsid w:val="00355B18"/>
    <w:rsid w:val="00360F5A"/>
    <w:rsid w:val="003652D2"/>
    <w:rsid w:val="003762B7"/>
    <w:rsid w:val="003811CF"/>
    <w:rsid w:val="00382DE2"/>
    <w:rsid w:val="00383F59"/>
    <w:rsid w:val="00390AB0"/>
    <w:rsid w:val="00390FD6"/>
    <w:rsid w:val="00392B85"/>
    <w:rsid w:val="003B65C7"/>
    <w:rsid w:val="003D4AC5"/>
    <w:rsid w:val="003F0DAB"/>
    <w:rsid w:val="003F3820"/>
    <w:rsid w:val="003F58A4"/>
    <w:rsid w:val="004004A6"/>
    <w:rsid w:val="00401340"/>
    <w:rsid w:val="00406CD5"/>
    <w:rsid w:val="00407957"/>
    <w:rsid w:val="0041785D"/>
    <w:rsid w:val="0042115D"/>
    <w:rsid w:val="004220BF"/>
    <w:rsid w:val="00431934"/>
    <w:rsid w:val="00432C1A"/>
    <w:rsid w:val="0043487A"/>
    <w:rsid w:val="0044085F"/>
    <w:rsid w:val="004465B9"/>
    <w:rsid w:val="00453538"/>
    <w:rsid w:val="004636A5"/>
    <w:rsid w:val="0046481B"/>
    <w:rsid w:val="00473C8F"/>
    <w:rsid w:val="0047605C"/>
    <w:rsid w:val="004773E9"/>
    <w:rsid w:val="00477FBD"/>
    <w:rsid w:val="004918A5"/>
    <w:rsid w:val="004924F3"/>
    <w:rsid w:val="004964F6"/>
    <w:rsid w:val="004A28D7"/>
    <w:rsid w:val="004B0AC0"/>
    <w:rsid w:val="004B189C"/>
    <w:rsid w:val="004C68E9"/>
    <w:rsid w:val="004D71AF"/>
    <w:rsid w:val="004F7AA9"/>
    <w:rsid w:val="005019AC"/>
    <w:rsid w:val="00537EA9"/>
    <w:rsid w:val="005447FD"/>
    <w:rsid w:val="00544D0F"/>
    <w:rsid w:val="005517EE"/>
    <w:rsid w:val="00563548"/>
    <w:rsid w:val="00574762"/>
    <w:rsid w:val="00577D9B"/>
    <w:rsid w:val="00582512"/>
    <w:rsid w:val="005837B8"/>
    <w:rsid w:val="00590C26"/>
    <w:rsid w:val="00594156"/>
    <w:rsid w:val="00597875"/>
    <w:rsid w:val="00597F72"/>
    <w:rsid w:val="005A4C66"/>
    <w:rsid w:val="005B1F6A"/>
    <w:rsid w:val="005B22EF"/>
    <w:rsid w:val="005B280A"/>
    <w:rsid w:val="005B475A"/>
    <w:rsid w:val="005B7137"/>
    <w:rsid w:val="005C1365"/>
    <w:rsid w:val="005C1F39"/>
    <w:rsid w:val="005C3C5F"/>
    <w:rsid w:val="005C714C"/>
    <w:rsid w:val="005D2AEB"/>
    <w:rsid w:val="005D47B3"/>
    <w:rsid w:val="005D5EF6"/>
    <w:rsid w:val="005F274C"/>
    <w:rsid w:val="005F7DF1"/>
    <w:rsid w:val="006000DF"/>
    <w:rsid w:val="006022DF"/>
    <w:rsid w:val="00611CD0"/>
    <w:rsid w:val="00620403"/>
    <w:rsid w:val="00621DF6"/>
    <w:rsid w:val="00623B08"/>
    <w:rsid w:val="00624390"/>
    <w:rsid w:val="0062545A"/>
    <w:rsid w:val="006301D0"/>
    <w:rsid w:val="00632830"/>
    <w:rsid w:val="00646745"/>
    <w:rsid w:val="00646F75"/>
    <w:rsid w:val="00651983"/>
    <w:rsid w:val="006609B9"/>
    <w:rsid w:val="00662E1C"/>
    <w:rsid w:val="00663EA7"/>
    <w:rsid w:val="00666972"/>
    <w:rsid w:val="00672953"/>
    <w:rsid w:val="00676898"/>
    <w:rsid w:val="0069763B"/>
    <w:rsid w:val="006B4532"/>
    <w:rsid w:val="006B5CD8"/>
    <w:rsid w:val="006C4109"/>
    <w:rsid w:val="006C4345"/>
    <w:rsid w:val="006C4A71"/>
    <w:rsid w:val="006D237A"/>
    <w:rsid w:val="006E50D3"/>
    <w:rsid w:val="006E5C2C"/>
    <w:rsid w:val="006F1A48"/>
    <w:rsid w:val="00700D10"/>
    <w:rsid w:val="00710B36"/>
    <w:rsid w:val="00711FBC"/>
    <w:rsid w:val="00716818"/>
    <w:rsid w:val="00722BC9"/>
    <w:rsid w:val="00722DE3"/>
    <w:rsid w:val="0072480A"/>
    <w:rsid w:val="00727745"/>
    <w:rsid w:val="007309CB"/>
    <w:rsid w:val="0073626A"/>
    <w:rsid w:val="00751DA5"/>
    <w:rsid w:val="007602CD"/>
    <w:rsid w:val="0078747A"/>
    <w:rsid w:val="00790031"/>
    <w:rsid w:val="00793A65"/>
    <w:rsid w:val="00796433"/>
    <w:rsid w:val="007A479B"/>
    <w:rsid w:val="007A7320"/>
    <w:rsid w:val="007B3D06"/>
    <w:rsid w:val="007C231D"/>
    <w:rsid w:val="007D455F"/>
    <w:rsid w:val="007E181D"/>
    <w:rsid w:val="007E3EC8"/>
    <w:rsid w:val="007F2ED4"/>
    <w:rsid w:val="007F3071"/>
    <w:rsid w:val="007F4633"/>
    <w:rsid w:val="00813B19"/>
    <w:rsid w:val="008166A5"/>
    <w:rsid w:val="00825204"/>
    <w:rsid w:val="00832BF0"/>
    <w:rsid w:val="0083582E"/>
    <w:rsid w:val="0083645A"/>
    <w:rsid w:val="00843D7B"/>
    <w:rsid w:val="008463F5"/>
    <w:rsid w:val="00851C71"/>
    <w:rsid w:val="008553AE"/>
    <w:rsid w:val="00857980"/>
    <w:rsid w:val="008655C3"/>
    <w:rsid w:val="00867AD2"/>
    <w:rsid w:val="00870B72"/>
    <w:rsid w:val="00874424"/>
    <w:rsid w:val="0087456D"/>
    <w:rsid w:val="008830AA"/>
    <w:rsid w:val="008A0C52"/>
    <w:rsid w:val="008A2830"/>
    <w:rsid w:val="008A2866"/>
    <w:rsid w:val="008A5F5A"/>
    <w:rsid w:val="008B4555"/>
    <w:rsid w:val="008B6C4B"/>
    <w:rsid w:val="008B7395"/>
    <w:rsid w:val="008C3F95"/>
    <w:rsid w:val="008D2C67"/>
    <w:rsid w:val="008D3CC7"/>
    <w:rsid w:val="008E23ED"/>
    <w:rsid w:val="008E3215"/>
    <w:rsid w:val="008E3D3F"/>
    <w:rsid w:val="008F3D50"/>
    <w:rsid w:val="008F5AA5"/>
    <w:rsid w:val="00937D39"/>
    <w:rsid w:val="009443B0"/>
    <w:rsid w:val="00945A5B"/>
    <w:rsid w:val="009509BF"/>
    <w:rsid w:val="00961462"/>
    <w:rsid w:val="0096239A"/>
    <w:rsid w:val="00964FA7"/>
    <w:rsid w:val="0098008A"/>
    <w:rsid w:val="009810D1"/>
    <w:rsid w:val="009878B4"/>
    <w:rsid w:val="00991988"/>
    <w:rsid w:val="00992C79"/>
    <w:rsid w:val="009B5CEC"/>
    <w:rsid w:val="009C4811"/>
    <w:rsid w:val="009C6FD6"/>
    <w:rsid w:val="009D0803"/>
    <w:rsid w:val="009D0844"/>
    <w:rsid w:val="009E105C"/>
    <w:rsid w:val="009E754D"/>
    <w:rsid w:val="009E794B"/>
    <w:rsid w:val="00A04719"/>
    <w:rsid w:val="00A1099F"/>
    <w:rsid w:val="00A10D25"/>
    <w:rsid w:val="00A164B0"/>
    <w:rsid w:val="00A33375"/>
    <w:rsid w:val="00A4457F"/>
    <w:rsid w:val="00A46E61"/>
    <w:rsid w:val="00A5293C"/>
    <w:rsid w:val="00A55B5D"/>
    <w:rsid w:val="00A5724B"/>
    <w:rsid w:val="00A63772"/>
    <w:rsid w:val="00A64227"/>
    <w:rsid w:val="00A67365"/>
    <w:rsid w:val="00A9795C"/>
    <w:rsid w:val="00AB5CD3"/>
    <w:rsid w:val="00AC6FA3"/>
    <w:rsid w:val="00AC73B2"/>
    <w:rsid w:val="00AD16FD"/>
    <w:rsid w:val="00AD3DE5"/>
    <w:rsid w:val="00AD450C"/>
    <w:rsid w:val="00AD4EB3"/>
    <w:rsid w:val="00AE61EB"/>
    <w:rsid w:val="00B053F2"/>
    <w:rsid w:val="00B141FA"/>
    <w:rsid w:val="00B30CAE"/>
    <w:rsid w:val="00B365BD"/>
    <w:rsid w:val="00B7604B"/>
    <w:rsid w:val="00B76A00"/>
    <w:rsid w:val="00B86F0B"/>
    <w:rsid w:val="00BA0CDF"/>
    <w:rsid w:val="00BA31A1"/>
    <w:rsid w:val="00BD0987"/>
    <w:rsid w:val="00BD3039"/>
    <w:rsid w:val="00BE1D01"/>
    <w:rsid w:val="00BE5761"/>
    <w:rsid w:val="00BF4AEC"/>
    <w:rsid w:val="00BF56DD"/>
    <w:rsid w:val="00BF60F8"/>
    <w:rsid w:val="00C14C8E"/>
    <w:rsid w:val="00C20E35"/>
    <w:rsid w:val="00C40912"/>
    <w:rsid w:val="00C4585B"/>
    <w:rsid w:val="00C517C8"/>
    <w:rsid w:val="00C534AC"/>
    <w:rsid w:val="00C62EA7"/>
    <w:rsid w:val="00C722F0"/>
    <w:rsid w:val="00C776E4"/>
    <w:rsid w:val="00C87FBC"/>
    <w:rsid w:val="00C904AA"/>
    <w:rsid w:val="00C9752D"/>
    <w:rsid w:val="00CB0AF9"/>
    <w:rsid w:val="00CB50B2"/>
    <w:rsid w:val="00CB5C71"/>
    <w:rsid w:val="00CB6E98"/>
    <w:rsid w:val="00CC3B5B"/>
    <w:rsid w:val="00CC713A"/>
    <w:rsid w:val="00CE0C57"/>
    <w:rsid w:val="00D038E7"/>
    <w:rsid w:val="00D16844"/>
    <w:rsid w:val="00D32930"/>
    <w:rsid w:val="00D3798D"/>
    <w:rsid w:val="00D44A64"/>
    <w:rsid w:val="00D60813"/>
    <w:rsid w:val="00D66369"/>
    <w:rsid w:val="00D821CB"/>
    <w:rsid w:val="00D84F71"/>
    <w:rsid w:val="00D90E76"/>
    <w:rsid w:val="00D9258F"/>
    <w:rsid w:val="00DA345E"/>
    <w:rsid w:val="00DA4325"/>
    <w:rsid w:val="00DA5181"/>
    <w:rsid w:val="00DB2B22"/>
    <w:rsid w:val="00DB6B29"/>
    <w:rsid w:val="00DC4026"/>
    <w:rsid w:val="00DD0DAB"/>
    <w:rsid w:val="00DD1BC5"/>
    <w:rsid w:val="00DD307F"/>
    <w:rsid w:val="00DE5194"/>
    <w:rsid w:val="00DE5D03"/>
    <w:rsid w:val="00DF2F85"/>
    <w:rsid w:val="00DF5D58"/>
    <w:rsid w:val="00E078AA"/>
    <w:rsid w:val="00E12C1E"/>
    <w:rsid w:val="00E21DC1"/>
    <w:rsid w:val="00E24A2E"/>
    <w:rsid w:val="00E31503"/>
    <w:rsid w:val="00E34F17"/>
    <w:rsid w:val="00E40C0E"/>
    <w:rsid w:val="00E5212F"/>
    <w:rsid w:val="00E55AEA"/>
    <w:rsid w:val="00E77D9E"/>
    <w:rsid w:val="00E84F36"/>
    <w:rsid w:val="00E95CCF"/>
    <w:rsid w:val="00E95FCF"/>
    <w:rsid w:val="00EA02AF"/>
    <w:rsid w:val="00EB084A"/>
    <w:rsid w:val="00EB36E3"/>
    <w:rsid w:val="00EB6B85"/>
    <w:rsid w:val="00EC470B"/>
    <w:rsid w:val="00ED464B"/>
    <w:rsid w:val="00ED723F"/>
    <w:rsid w:val="00EF7458"/>
    <w:rsid w:val="00F0218F"/>
    <w:rsid w:val="00F053C4"/>
    <w:rsid w:val="00F12629"/>
    <w:rsid w:val="00F147F6"/>
    <w:rsid w:val="00F222AC"/>
    <w:rsid w:val="00F300EE"/>
    <w:rsid w:val="00F45529"/>
    <w:rsid w:val="00F53DA5"/>
    <w:rsid w:val="00F62717"/>
    <w:rsid w:val="00F62D14"/>
    <w:rsid w:val="00F82FB7"/>
    <w:rsid w:val="00F84199"/>
    <w:rsid w:val="00F91FFB"/>
    <w:rsid w:val="00FA35BA"/>
    <w:rsid w:val="00FC484C"/>
    <w:rsid w:val="00FC4B96"/>
    <w:rsid w:val="00FD3EFC"/>
    <w:rsid w:val="00FD54CC"/>
    <w:rsid w:val="00FD5624"/>
    <w:rsid w:val="00FD711F"/>
    <w:rsid w:val="00FF2335"/>
    <w:rsid w:val="00FF3BC8"/>
    <w:rsid w:val="00FF6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F4633"/>
    <w:pPr>
      <w:spacing w:before="240" w:after="0" w:line="240" w:lineRule="auto"/>
    </w:pPr>
    <w:rPr>
      <w:rFonts w:ascii="Times New Roman" w:hAnsi="Times New Roman" w:cs="Times New Roman"/>
      <w:sz w:val="24"/>
      <w:szCs w:val="24"/>
    </w:rPr>
  </w:style>
  <w:style w:type="paragraph" w:styleId="Heading1">
    <w:name w:val="heading 1"/>
    <w:basedOn w:val="AppendixHeading"/>
    <w:next w:val="Normal"/>
    <w:link w:val="Heading1Char"/>
    <w:uiPriority w:val="9"/>
    <w:qFormat/>
    <w:rsid w:val="00030FEA"/>
    <w:pPr>
      <w:outlineLvl w:val="0"/>
    </w:pPr>
    <w:rPr>
      <w:caps/>
      <w:smallCaps w:val="0"/>
    </w:rPr>
  </w:style>
  <w:style w:type="paragraph" w:styleId="Heading2">
    <w:name w:val="heading 2"/>
    <w:basedOn w:val="Normal"/>
    <w:next w:val="Normal"/>
    <w:link w:val="Heading2Char"/>
    <w:uiPriority w:val="9"/>
    <w:unhideWhenUsed/>
    <w:qFormat/>
    <w:rsid w:val="006E50D3"/>
    <w:pPr>
      <w:keepNext/>
      <w:outlineLvl w:val="1"/>
    </w:pPr>
    <w:rPr>
      <w:b/>
    </w:rPr>
  </w:style>
  <w:style w:type="paragraph" w:styleId="Heading3">
    <w:name w:val="heading 3"/>
    <w:basedOn w:val="Normal"/>
    <w:next w:val="Normal"/>
    <w:link w:val="Heading3Char"/>
    <w:uiPriority w:val="9"/>
    <w:unhideWhenUsed/>
    <w:qFormat/>
    <w:rsid w:val="00E95CCF"/>
    <w:pPr>
      <w:keepNext/>
      <w:keepLines/>
      <w:spacing w:before="200"/>
      <w:outlineLvl w:val="2"/>
    </w:pPr>
    <w:rPr>
      <w:rFonts w:eastAsiaTheme="majorEastAsia" w:cstheme="majorBidi"/>
      <w:b/>
      <w:bCs/>
      <w:i/>
    </w:rPr>
  </w:style>
  <w:style w:type="paragraph" w:styleId="Heading4">
    <w:name w:val="heading 4"/>
    <w:basedOn w:val="Heading3"/>
    <w:next w:val="Normal"/>
    <w:link w:val="Heading4Char"/>
    <w:uiPriority w:val="9"/>
    <w:unhideWhenUsed/>
    <w:qFormat/>
    <w:rsid w:val="001B20D5"/>
    <w:pPr>
      <w:outlineLvl w:val="3"/>
    </w:pPr>
    <w:rPr>
      <w:rFonts w:asciiTheme="majorHAnsi" w:hAnsiTheme="majorHAnsi"/>
      <w:b w:val="0"/>
      <w:bCs w:val="0"/>
      <w:iCs/>
    </w:rPr>
  </w:style>
  <w:style w:type="paragraph" w:styleId="Heading5">
    <w:name w:val="heading 5"/>
    <w:basedOn w:val="Normal"/>
    <w:next w:val="Normal"/>
    <w:link w:val="Heading5Char"/>
    <w:uiPriority w:val="9"/>
    <w:unhideWhenUsed/>
    <w:rsid w:val="001B20D5"/>
    <w:pPr>
      <w:keepNext/>
      <w:keepLines/>
      <w:spacing w:before="200"/>
      <w:outlineLvl w:val="4"/>
    </w:pPr>
    <w:rPr>
      <w:rFonts w:eastAsiaTheme="majorEastAsia" w:cstheme="majorBidi"/>
      <w:u w:val="single"/>
    </w:rPr>
  </w:style>
  <w:style w:type="paragraph" w:styleId="Heading6">
    <w:name w:val="heading 6"/>
    <w:basedOn w:val="Normal"/>
    <w:next w:val="Normal"/>
    <w:link w:val="Heading6Char"/>
    <w:uiPriority w:val="9"/>
    <w:unhideWhenUsed/>
    <w:rsid w:val="000043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0043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AC5"/>
    <w:pPr>
      <w:tabs>
        <w:tab w:val="center" w:pos="4513"/>
        <w:tab w:val="right" w:pos="9026"/>
      </w:tabs>
    </w:pPr>
  </w:style>
  <w:style w:type="character" w:customStyle="1" w:styleId="HeaderChar">
    <w:name w:val="Header Char"/>
    <w:basedOn w:val="DefaultParagraphFont"/>
    <w:link w:val="Header"/>
    <w:uiPriority w:val="99"/>
    <w:rsid w:val="003D4AC5"/>
  </w:style>
  <w:style w:type="paragraph" w:styleId="Footer">
    <w:name w:val="footer"/>
    <w:basedOn w:val="Normal"/>
    <w:link w:val="FooterChar"/>
    <w:uiPriority w:val="99"/>
    <w:unhideWhenUsed/>
    <w:rsid w:val="003D4AC5"/>
    <w:pPr>
      <w:tabs>
        <w:tab w:val="center" w:pos="4513"/>
        <w:tab w:val="right" w:pos="9026"/>
      </w:tabs>
    </w:pPr>
  </w:style>
  <w:style w:type="character" w:customStyle="1" w:styleId="FooterChar">
    <w:name w:val="Footer Char"/>
    <w:basedOn w:val="DefaultParagraphFont"/>
    <w:link w:val="Footer"/>
    <w:uiPriority w:val="99"/>
    <w:rsid w:val="003D4AC5"/>
  </w:style>
  <w:style w:type="paragraph" w:styleId="BalloonText">
    <w:name w:val="Balloon Text"/>
    <w:basedOn w:val="Normal"/>
    <w:link w:val="BalloonTextChar"/>
    <w:uiPriority w:val="99"/>
    <w:semiHidden/>
    <w:unhideWhenUsed/>
    <w:rsid w:val="003D4AC5"/>
    <w:rPr>
      <w:rFonts w:ascii="Tahoma" w:hAnsi="Tahoma" w:cs="Tahoma"/>
      <w:sz w:val="16"/>
      <w:szCs w:val="16"/>
    </w:rPr>
  </w:style>
  <w:style w:type="character" w:customStyle="1" w:styleId="BalloonTextChar">
    <w:name w:val="Balloon Text Char"/>
    <w:basedOn w:val="DefaultParagraphFont"/>
    <w:link w:val="BalloonText"/>
    <w:uiPriority w:val="99"/>
    <w:semiHidden/>
    <w:rsid w:val="003D4AC5"/>
    <w:rPr>
      <w:rFonts w:ascii="Tahoma" w:hAnsi="Tahoma" w:cs="Tahoma"/>
      <w:sz w:val="16"/>
      <w:szCs w:val="16"/>
    </w:rPr>
  </w:style>
  <w:style w:type="paragraph" w:customStyle="1" w:styleId="AppendixHeading">
    <w:name w:val="Appendix Heading"/>
    <w:basedOn w:val="Normal"/>
    <w:rsid w:val="003D4AC5"/>
    <w:pPr>
      <w:keepNext/>
      <w:spacing w:after="240"/>
      <w:jc w:val="center"/>
      <w:outlineLvl w:val="3"/>
    </w:pPr>
    <w:rPr>
      <w:rFonts w:ascii="Arial" w:eastAsia="Times New Roman" w:hAnsi="Arial"/>
      <w:b/>
      <w:smallCaps/>
      <w:sz w:val="30"/>
      <w:szCs w:val="20"/>
      <w:lang w:eastAsia="en-AU"/>
    </w:rPr>
  </w:style>
  <w:style w:type="table" w:styleId="TableGrid">
    <w:name w:val="Table Grid"/>
    <w:basedOn w:val="TableNormal"/>
    <w:uiPriority w:val="59"/>
    <w:rsid w:val="00192F55"/>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text">
    <w:name w:val="Pro forma text"/>
    <w:basedOn w:val="Normal"/>
    <w:rsid w:val="005D2AEB"/>
    <w:pPr>
      <w:spacing w:before="80" w:after="80" w:line="260" w:lineRule="exact"/>
    </w:pPr>
    <w:rPr>
      <w:rFonts w:ascii="Book Antiqua" w:eastAsia="Times New Roman" w:hAnsi="Book Antiqua"/>
      <w:sz w:val="20"/>
      <w:szCs w:val="20"/>
      <w:lang w:eastAsia="en-AU"/>
    </w:rPr>
  </w:style>
  <w:style w:type="paragraph" w:customStyle="1" w:styleId="Proformabullet">
    <w:name w:val="Pro forma bullet"/>
    <w:basedOn w:val="Normal"/>
    <w:link w:val="ProformabulletChar"/>
    <w:rsid w:val="00473C8F"/>
    <w:pPr>
      <w:spacing w:before="80" w:after="80" w:line="260" w:lineRule="exact"/>
    </w:pPr>
    <w:rPr>
      <w:rFonts w:eastAsia="Times New Roman"/>
      <w:szCs w:val="20"/>
      <w:lang w:eastAsia="en-AU"/>
    </w:rPr>
  </w:style>
  <w:style w:type="paragraph" w:styleId="Caption">
    <w:name w:val="caption"/>
    <w:basedOn w:val="Normal"/>
    <w:next w:val="Normal"/>
    <w:link w:val="CaptionChar"/>
    <w:rsid w:val="00DE5D03"/>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DE5D03"/>
    <w:rPr>
      <w:rFonts w:ascii="Times New Roman" w:eastAsia="Times New Roman" w:hAnsi="Times New Roman" w:cs="Times New Roman"/>
      <w:b/>
      <w:bCs/>
      <w:sz w:val="24"/>
      <w:szCs w:val="20"/>
      <w:lang w:eastAsia="en-AU"/>
    </w:rPr>
  </w:style>
  <w:style w:type="paragraph" w:styleId="ListParagraph">
    <w:name w:val="List Paragraph"/>
    <w:basedOn w:val="Normal"/>
    <w:link w:val="ListParagraphChar"/>
    <w:uiPriority w:val="34"/>
    <w:rsid w:val="00036DC8"/>
    <w:pPr>
      <w:ind w:left="720"/>
      <w:contextualSpacing/>
    </w:pPr>
  </w:style>
  <w:style w:type="paragraph" w:customStyle="1" w:styleId="ChartandTableFootnoteAlpha">
    <w:name w:val="Chart and Table Footnote Alpha"/>
    <w:basedOn w:val="Normal"/>
    <w:next w:val="Normal"/>
    <w:link w:val="ChartandTableFootnoteAlphaChar"/>
    <w:rsid w:val="00DE5D03"/>
    <w:pPr>
      <w:keepLines/>
      <w:numPr>
        <w:numId w:val="4"/>
      </w:numPr>
      <w:jc w:val="both"/>
    </w:pPr>
    <w:rPr>
      <w:rFonts w:ascii="Arial" w:eastAsia="Times New Roman" w:hAnsi="Arial"/>
      <w:sz w:val="16"/>
      <w:szCs w:val="20"/>
      <w:lang w:eastAsia="en-AU"/>
    </w:rPr>
  </w:style>
  <w:style w:type="paragraph" w:customStyle="1" w:styleId="SingleParagraph">
    <w:name w:val="Single Paragraph"/>
    <w:basedOn w:val="Normal"/>
    <w:rsid w:val="0083645A"/>
    <w:pPr>
      <w:spacing w:line="260" w:lineRule="exact"/>
      <w:jc w:val="both"/>
    </w:pPr>
    <w:rPr>
      <w:rFonts w:ascii="Book Antiqua" w:eastAsia="Times New Roman" w:hAnsi="Book Antiqua"/>
      <w:sz w:val="20"/>
      <w:szCs w:val="20"/>
      <w:lang w:eastAsia="en-AU"/>
    </w:rPr>
  </w:style>
  <w:style w:type="character" w:styleId="CommentReference">
    <w:name w:val="annotation reference"/>
    <w:basedOn w:val="DefaultParagraphFont"/>
    <w:uiPriority w:val="99"/>
    <w:semiHidden/>
    <w:unhideWhenUsed/>
    <w:rsid w:val="002F2123"/>
    <w:rPr>
      <w:sz w:val="16"/>
      <w:szCs w:val="16"/>
    </w:rPr>
  </w:style>
  <w:style w:type="paragraph" w:styleId="CommentText">
    <w:name w:val="annotation text"/>
    <w:basedOn w:val="Normal"/>
    <w:link w:val="CommentTextChar"/>
    <w:uiPriority w:val="99"/>
    <w:semiHidden/>
    <w:unhideWhenUsed/>
    <w:rsid w:val="002F2123"/>
    <w:rPr>
      <w:sz w:val="20"/>
      <w:szCs w:val="20"/>
    </w:rPr>
  </w:style>
  <w:style w:type="character" w:customStyle="1" w:styleId="CommentTextChar">
    <w:name w:val="Comment Text Char"/>
    <w:basedOn w:val="DefaultParagraphFont"/>
    <w:link w:val="CommentText"/>
    <w:uiPriority w:val="99"/>
    <w:semiHidden/>
    <w:rsid w:val="002F2123"/>
    <w:rPr>
      <w:sz w:val="20"/>
      <w:szCs w:val="20"/>
    </w:rPr>
  </w:style>
  <w:style w:type="paragraph" w:styleId="CommentSubject">
    <w:name w:val="annotation subject"/>
    <w:basedOn w:val="CommentText"/>
    <w:next w:val="CommentText"/>
    <w:link w:val="CommentSubjectChar"/>
    <w:uiPriority w:val="99"/>
    <w:semiHidden/>
    <w:unhideWhenUsed/>
    <w:rsid w:val="002F2123"/>
    <w:rPr>
      <w:b/>
      <w:bCs/>
    </w:rPr>
  </w:style>
  <w:style w:type="character" w:customStyle="1" w:styleId="CommentSubjectChar">
    <w:name w:val="Comment Subject Char"/>
    <w:basedOn w:val="CommentTextChar"/>
    <w:link w:val="CommentSubject"/>
    <w:uiPriority w:val="99"/>
    <w:semiHidden/>
    <w:rsid w:val="002F2123"/>
    <w:rPr>
      <w:b/>
      <w:bCs/>
      <w:sz w:val="20"/>
      <w:szCs w:val="20"/>
    </w:rPr>
  </w:style>
  <w:style w:type="character" w:customStyle="1" w:styleId="Heading1Char">
    <w:name w:val="Heading 1 Char"/>
    <w:basedOn w:val="DefaultParagraphFont"/>
    <w:link w:val="Heading1"/>
    <w:uiPriority w:val="9"/>
    <w:rsid w:val="00030FEA"/>
    <w:rPr>
      <w:rFonts w:ascii="Arial" w:eastAsia="Times New Roman" w:hAnsi="Arial" w:cs="Times New Roman"/>
      <w:b/>
      <w:caps/>
      <w:sz w:val="30"/>
      <w:szCs w:val="20"/>
      <w:lang w:eastAsia="en-AU"/>
    </w:rPr>
  </w:style>
  <w:style w:type="character" w:customStyle="1" w:styleId="Heading2Char">
    <w:name w:val="Heading 2 Char"/>
    <w:basedOn w:val="DefaultParagraphFont"/>
    <w:link w:val="Heading2"/>
    <w:uiPriority w:val="9"/>
    <w:rsid w:val="006E50D3"/>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95CCF"/>
    <w:rPr>
      <w:rFonts w:ascii="Times New Roman" w:eastAsiaTheme="majorEastAsia" w:hAnsi="Times New Roman" w:cstheme="majorBidi"/>
      <w:b/>
      <w:bCs/>
      <w:i/>
      <w:sz w:val="24"/>
      <w:szCs w:val="24"/>
    </w:rPr>
  </w:style>
  <w:style w:type="character" w:customStyle="1" w:styleId="Heading4Char">
    <w:name w:val="Heading 4 Char"/>
    <w:basedOn w:val="DefaultParagraphFont"/>
    <w:link w:val="Heading4"/>
    <w:uiPriority w:val="9"/>
    <w:rsid w:val="001B20D5"/>
    <w:rPr>
      <w:rFonts w:asciiTheme="majorHAnsi" w:eastAsiaTheme="majorEastAsia" w:hAnsiTheme="majorHAnsi" w:cstheme="majorBidi"/>
      <w:i/>
      <w:iCs/>
      <w:sz w:val="24"/>
      <w:szCs w:val="24"/>
    </w:rPr>
  </w:style>
  <w:style w:type="character" w:styleId="IntenseReference">
    <w:name w:val="Intense Reference"/>
    <w:aliases w:val="DLM format"/>
    <w:basedOn w:val="DefaultParagraphFont"/>
    <w:uiPriority w:val="32"/>
    <w:qFormat/>
    <w:rsid w:val="0000430E"/>
    <w:rPr>
      <w:rFonts w:ascii="Arial" w:hAnsi="Arial"/>
      <w:b/>
      <w:bCs/>
      <w:color w:val="FF0000"/>
      <w:spacing w:val="5"/>
      <w:sz w:val="28"/>
      <w:szCs w:val="28"/>
    </w:rPr>
  </w:style>
  <w:style w:type="character" w:customStyle="1" w:styleId="Heading5Char">
    <w:name w:val="Heading 5 Char"/>
    <w:basedOn w:val="DefaultParagraphFont"/>
    <w:link w:val="Heading5"/>
    <w:uiPriority w:val="9"/>
    <w:rsid w:val="001B20D5"/>
    <w:rPr>
      <w:rFonts w:ascii="Times New Roman" w:eastAsiaTheme="majorEastAsia" w:hAnsi="Times New Roman" w:cstheme="majorBidi"/>
      <w:sz w:val="24"/>
      <w:szCs w:val="24"/>
      <w:u w:val="single"/>
    </w:rPr>
  </w:style>
  <w:style w:type="character" w:customStyle="1" w:styleId="Heading6Char">
    <w:name w:val="Heading 6 Char"/>
    <w:basedOn w:val="DefaultParagraphFont"/>
    <w:link w:val="Heading6"/>
    <w:uiPriority w:val="9"/>
    <w:rsid w:val="0000430E"/>
    <w:rPr>
      <w:rFonts w:asciiTheme="majorHAnsi" w:eastAsiaTheme="majorEastAsia" w:hAnsiTheme="majorHAnsi" w:cstheme="majorBidi"/>
      <w:i/>
      <w:iCs/>
      <w:color w:val="243F60" w:themeColor="accent1" w:themeShade="7F"/>
      <w:sz w:val="24"/>
      <w:szCs w:val="24"/>
    </w:rPr>
  </w:style>
  <w:style w:type="paragraph" w:styleId="Title">
    <w:name w:val="Title"/>
    <w:basedOn w:val="Normal"/>
    <w:next w:val="Normal"/>
    <w:link w:val="TitleChar"/>
    <w:uiPriority w:val="10"/>
    <w:rsid w:val="000043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430E"/>
    <w:rPr>
      <w:rFonts w:asciiTheme="majorHAnsi" w:eastAsiaTheme="majorEastAsia" w:hAnsiTheme="majorHAnsi" w:cstheme="majorBidi"/>
      <w:color w:val="17365D" w:themeColor="text2" w:themeShade="BF"/>
      <w:spacing w:val="5"/>
      <w:kern w:val="28"/>
      <w:sz w:val="52"/>
      <w:szCs w:val="52"/>
    </w:rPr>
  </w:style>
  <w:style w:type="character" w:customStyle="1" w:styleId="Heading7Char">
    <w:name w:val="Heading 7 Char"/>
    <w:basedOn w:val="DefaultParagraphFont"/>
    <w:link w:val="Heading7"/>
    <w:uiPriority w:val="9"/>
    <w:rsid w:val="0000430E"/>
    <w:rPr>
      <w:rFonts w:asciiTheme="majorHAnsi" w:eastAsiaTheme="majorEastAsia" w:hAnsiTheme="majorHAnsi" w:cstheme="majorBidi"/>
      <w:i/>
      <w:iCs/>
      <w:color w:val="404040" w:themeColor="text1" w:themeTint="BF"/>
      <w:sz w:val="24"/>
      <w:szCs w:val="24"/>
    </w:rPr>
  </w:style>
  <w:style w:type="paragraph" w:customStyle="1" w:styleId="Bullet1">
    <w:name w:val="Bullet 1"/>
    <w:basedOn w:val="ListParagraph"/>
    <w:link w:val="Bullet1Char"/>
    <w:qFormat/>
    <w:rsid w:val="007F4633"/>
    <w:pPr>
      <w:keepNext/>
      <w:keepLines/>
      <w:numPr>
        <w:numId w:val="14"/>
      </w:numPr>
      <w:contextualSpacing w:val="0"/>
    </w:pPr>
  </w:style>
  <w:style w:type="paragraph" w:customStyle="1" w:styleId="Bullet2">
    <w:name w:val="Bullet 2"/>
    <w:basedOn w:val="Proformabullet"/>
    <w:link w:val="Bullet2Char"/>
    <w:qFormat/>
    <w:rsid w:val="00FF2335"/>
    <w:pPr>
      <w:numPr>
        <w:ilvl w:val="1"/>
        <w:numId w:val="7"/>
      </w:numPr>
      <w:spacing w:before="120" w:after="0" w:line="240" w:lineRule="auto"/>
    </w:pPr>
  </w:style>
  <w:style w:type="character" w:customStyle="1" w:styleId="ListParagraphChar">
    <w:name w:val="List Paragraph Char"/>
    <w:basedOn w:val="DefaultParagraphFont"/>
    <w:link w:val="ListParagraph"/>
    <w:uiPriority w:val="34"/>
    <w:rsid w:val="0000430E"/>
    <w:rPr>
      <w:rFonts w:ascii="Times New Roman" w:hAnsi="Times New Roman" w:cs="Times New Roman"/>
      <w:sz w:val="24"/>
      <w:szCs w:val="24"/>
    </w:rPr>
  </w:style>
  <w:style w:type="character" w:customStyle="1" w:styleId="Bullet1Char">
    <w:name w:val="Bullet 1 Char"/>
    <w:basedOn w:val="ListParagraphChar"/>
    <w:link w:val="Bullet1"/>
    <w:rsid w:val="007F4633"/>
    <w:rPr>
      <w:rFonts w:ascii="Times New Roman" w:hAnsi="Times New Roman" w:cs="Times New Roman"/>
      <w:sz w:val="24"/>
      <w:szCs w:val="24"/>
    </w:rPr>
  </w:style>
  <w:style w:type="paragraph" w:customStyle="1" w:styleId="Bullet4">
    <w:name w:val="Bullet 4"/>
    <w:basedOn w:val="Proformabullet"/>
    <w:link w:val="Bullet4Char"/>
    <w:qFormat/>
    <w:rsid w:val="00DE5194"/>
    <w:pPr>
      <w:numPr>
        <w:ilvl w:val="2"/>
        <w:numId w:val="7"/>
      </w:numPr>
      <w:spacing w:before="120" w:after="0" w:line="240" w:lineRule="auto"/>
      <w:ind w:left="1135" w:hanging="284"/>
    </w:pPr>
  </w:style>
  <w:style w:type="character" w:customStyle="1" w:styleId="ProformabulletChar">
    <w:name w:val="Pro forma bullet Char"/>
    <w:basedOn w:val="DefaultParagraphFont"/>
    <w:link w:val="Proformabullet"/>
    <w:rsid w:val="0000430E"/>
    <w:rPr>
      <w:rFonts w:ascii="Times New Roman" w:eastAsia="Times New Roman" w:hAnsi="Times New Roman" w:cs="Times New Roman"/>
      <w:sz w:val="24"/>
      <w:szCs w:val="20"/>
      <w:lang w:eastAsia="en-AU"/>
    </w:rPr>
  </w:style>
  <w:style w:type="character" w:customStyle="1" w:styleId="Bullet2Char">
    <w:name w:val="Bullet 2 Char"/>
    <w:basedOn w:val="ProformabulletChar"/>
    <w:link w:val="Bullet2"/>
    <w:rsid w:val="00FF2335"/>
    <w:rPr>
      <w:rFonts w:ascii="Times New Roman" w:eastAsia="Times New Roman" w:hAnsi="Times New Roman" w:cs="Times New Roman"/>
      <w:sz w:val="24"/>
      <w:szCs w:val="20"/>
      <w:lang w:eastAsia="en-AU"/>
    </w:rPr>
  </w:style>
  <w:style w:type="paragraph" w:customStyle="1" w:styleId="Bullet3">
    <w:name w:val="Bullet 3"/>
    <w:basedOn w:val="PBObullet"/>
    <w:link w:val="Bullet3Char"/>
    <w:qFormat/>
    <w:rsid w:val="00DE5194"/>
    <w:pPr>
      <w:spacing w:before="120"/>
      <w:ind w:left="851" w:hanging="284"/>
    </w:pPr>
  </w:style>
  <w:style w:type="character" w:customStyle="1" w:styleId="Bullet4Char">
    <w:name w:val="Bullet 4 Char"/>
    <w:basedOn w:val="ProformabulletChar"/>
    <w:link w:val="Bullet4"/>
    <w:rsid w:val="00DE5194"/>
    <w:rPr>
      <w:rFonts w:ascii="Times New Roman" w:eastAsia="Times New Roman" w:hAnsi="Times New Roman" w:cs="Times New Roman"/>
      <w:sz w:val="24"/>
      <w:szCs w:val="20"/>
      <w:lang w:eastAsia="en-AU"/>
    </w:rPr>
  </w:style>
  <w:style w:type="paragraph" w:customStyle="1" w:styleId="Tableheading">
    <w:name w:val="Table heading"/>
    <w:basedOn w:val="Caption"/>
    <w:link w:val="TableheadingChar"/>
    <w:qFormat/>
    <w:rsid w:val="006E50D3"/>
  </w:style>
  <w:style w:type="character" w:customStyle="1" w:styleId="Bullet3Char">
    <w:name w:val="Bullet 3 Char"/>
    <w:basedOn w:val="ProformabulletChar"/>
    <w:link w:val="Bullet3"/>
    <w:rsid w:val="00DE5194"/>
    <w:rPr>
      <w:rFonts w:ascii="Times New Roman" w:eastAsia="Times New Roman" w:hAnsi="Times New Roman" w:cs="Times New Roman"/>
      <w:sz w:val="24"/>
      <w:szCs w:val="24"/>
      <w:lang w:eastAsia="en-AU"/>
    </w:rPr>
  </w:style>
  <w:style w:type="paragraph" w:styleId="Quote">
    <w:name w:val="Quote"/>
    <w:basedOn w:val="Normal"/>
    <w:next w:val="Normal"/>
    <w:link w:val="QuoteChar"/>
    <w:uiPriority w:val="29"/>
    <w:rsid w:val="006E50D3"/>
    <w:rPr>
      <w:i/>
      <w:iCs/>
      <w:color w:val="000000" w:themeColor="text1"/>
    </w:rPr>
  </w:style>
  <w:style w:type="character" w:customStyle="1" w:styleId="TableheadingChar">
    <w:name w:val="Table heading Char"/>
    <w:basedOn w:val="CaptionChar"/>
    <w:link w:val="Tableheading"/>
    <w:rsid w:val="006E50D3"/>
    <w:rPr>
      <w:rFonts w:ascii="Times New Roman" w:eastAsia="Times New Roman" w:hAnsi="Times New Roman" w:cs="Times New Roman"/>
      <w:b/>
      <w:bCs/>
      <w:sz w:val="24"/>
      <w:szCs w:val="20"/>
      <w:lang w:eastAsia="en-AU"/>
    </w:rPr>
  </w:style>
  <w:style w:type="character" w:customStyle="1" w:styleId="QuoteChar">
    <w:name w:val="Quote Char"/>
    <w:basedOn w:val="DefaultParagraphFont"/>
    <w:link w:val="Quote"/>
    <w:uiPriority w:val="29"/>
    <w:rsid w:val="006E50D3"/>
    <w:rPr>
      <w:rFonts w:ascii="Times New Roman" w:hAnsi="Times New Roman" w:cs="Times New Roman"/>
      <w:i/>
      <w:iCs/>
      <w:color w:val="000000" w:themeColor="text1"/>
      <w:sz w:val="24"/>
      <w:szCs w:val="24"/>
    </w:rPr>
  </w:style>
  <w:style w:type="paragraph" w:customStyle="1" w:styleId="Tablefootnote">
    <w:name w:val="Table footnote"/>
    <w:basedOn w:val="ChartandTableFootnoteAlpha"/>
    <w:link w:val="TablefootnoteChar"/>
    <w:qFormat/>
    <w:rsid w:val="006E50D3"/>
  </w:style>
  <w:style w:type="character" w:customStyle="1" w:styleId="ChartandTableFootnoteAlphaChar">
    <w:name w:val="Chart and Table Footnote Alpha Char"/>
    <w:basedOn w:val="DefaultParagraphFont"/>
    <w:link w:val="ChartandTableFootnoteAlpha"/>
    <w:rsid w:val="006E50D3"/>
    <w:rPr>
      <w:rFonts w:ascii="Arial" w:eastAsia="Times New Roman" w:hAnsi="Arial" w:cs="Times New Roman"/>
      <w:sz w:val="16"/>
      <w:szCs w:val="20"/>
      <w:lang w:eastAsia="en-AU"/>
    </w:rPr>
  </w:style>
  <w:style w:type="character" w:customStyle="1" w:styleId="TablefootnoteChar">
    <w:name w:val="Table footnote Char"/>
    <w:basedOn w:val="ChartandTableFootnoteAlphaChar"/>
    <w:link w:val="Tablefootnote"/>
    <w:rsid w:val="006E50D3"/>
    <w:rPr>
      <w:rFonts w:ascii="Arial" w:eastAsia="Times New Roman" w:hAnsi="Arial" w:cs="Times New Roman"/>
      <w:sz w:val="16"/>
      <w:szCs w:val="20"/>
      <w:lang w:eastAsia="en-AU"/>
    </w:rPr>
  </w:style>
  <w:style w:type="paragraph" w:customStyle="1" w:styleId="PBObullet">
    <w:name w:val="PBO bullet"/>
    <w:basedOn w:val="Normal"/>
    <w:rsid w:val="00DE5194"/>
    <w:pPr>
      <w:numPr>
        <w:numId w:val="16"/>
      </w:numPr>
    </w:pPr>
  </w:style>
  <w:style w:type="paragraph" w:styleId="FootnoteText">
    <w:name w:val="footnote text"/>
    <w:basedOn w:val="Normal"/>
    <w:link w:val="FootnoteTextChar"/>
    <w:uiPriority w:val="99"/>
    <w:semiHidden/>
    <w:unhideWhenUsed/>
    <w:rsid w:val="0015423A"/>
    <w:pPr>
      <w:spacing w:before="0"/>
    </w:pPr>
    <w:rPr>
      <w:sz w:val="20"/>
      <w:szCs w:val="20"/>
    </w:rPr>
  </w:style>
  <w:style w:type="character" w:customStyle="1" w:styleId="FootnoteTextChar">
    <w:name w:val="Footnote Text Char"/>
    <w:basedOn w:val="DefaultParagraphFont"/>
    <w:link w:val="FootnoteText"/>
    <w:uiPriority w:val="99"/>
    <w:semiHidden/>
    <w:rsid w:val="0015423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5423A"/>
    <w:rPr>
      <w:vertAlign w:val="superscript"/>
    </w:rPr>
  </w:style>
  <w:style w:type="paragraph" w:styleId="Revision">
    <w:name w:val="Revision"/>
    <w:hidden/>
    <w:uiPriority w:val="99"/>
    <w:semiHidden/>
    <w:rsid w:val="00344EE4"/>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F4633"/>
    <w:pPr>
      <w:spacing w:before="240" w:after="0" w:line="240" w:lineRule="auto"/>
    </w:pPr>
    <w:rPr>
      <w:rFonts w:ascii="Times New Roman" w:hAnsi="Times New Roman" w:cs="Times New Roman"/>
      <w:sz w:val="24"/>
      <w:szCs w:val="24"/>
    </w:rPr>
  </w:style>
  <w:style w:type="paragraph" w:styleId="Heading1">
    <w:name w:val="heading 1"/>
    <w:basedOn w:val="AppendixHeading"/>
    <w:next w:val="Normal"/>
    <w:link w:val="Heading1Char"/>
    <w:uiPriority w:val="9"/>
    <w:qFormat/>
    <w:rsid w:val="00030FEA"/>
    <w:pPr>
      <w:outlineLvl w:val="0"/>
    </w:pPr>
    <w:rPr>
      <w:caps/>
      <w:smallCaps w:val="0"/>
    </w:rPr>
  </w:style>
  <w:style w:type="paragraph" w:styleId="Heading2">
    <w:name w:val="heading 2"/>
    <w:basedOn w:val="Normal"/>
    <w:next w:val="Normal"/>
    <w:link w:val="Heading2Char"/>
    <w:uiPriority w:val="9"/>
    <w:unhideWhenUsed/>
    <w:qFormat/>
    <w:rsid w:val="006E50D3"/>
    <w:pPr>
      <w:keepNext/>
      <w:outlineLvl w:val="1"/>
    </w:pPr>
    <w:rPr>
      <w:b/>
    </w:rPr>
  </w:style>
  <w:style w:type="paragraph" w:styleId="Heading3">
    <w:name w:val="heading 3"/>
    <w:basedOn w:val="Normal"/>
    <w:next w:val="Normal"/>
    <w:link w:val="Heading3Char"/>
    <w:uiPriority w:val="9"/>
    <w:unhideWhenUsed/>
    <w:qFormat/>
    <w:rsid w:val="00E95CCF"/>
    <w:pPr>
      <w:keepNext/>
      <w:keepLines/>
      <w:spacing w:before="200"/>
      <w:outlineLvl w:val="2"/>
    </w:pPr>
    <w:rPr>
      <w:rFonts w:eastAsiaTheme="majorEastAsia" w:cstheme="majorBidi"/>
      <w:b/>
      <w:bCs/>
      <w:i/>
    </w:rPr>
  </w:style>
  <w:style w:type="paragraph" w:styleId="Heading4">
    <w:name w:val="heading 4"/>
    <w:basedOn w:val="Heading3"/>
    <w:next w:val="Normal"/>
    <w:link w:val="Heading4Char"/>
    <w:uiPriority w:val="9"/>
    <w:unhideWhenUsed/>
    <w:qFormat/>
    <w:rsid w:val="001B20D5"/>
    <w:pPr>
      <w:outlineLvl w:val="3"/>
    </w:pPr>
    <w:rPr>
      <w:rFonts w:asciiTheme="majorHAnsi" w:hAnsiTheme="majorHAnsi"/>
      <w:b w:val="0"/>
      <w:bCs w:val="0"/>
      <w:iCs/>
    </w:rPr>
  </w:style>
  <w:style w:type="paragraph" w:styleId="Heading5">
    <w:name w:val="heading 5"/>
    <w:basedOn w:val="Normal"/>
    <w:next w:val="Normal"/>
    <w:link w:val="Heading5Char"/>
    <w:uiPriority w:val="9"/>
    <w:unhideWhenUsed/>
    <w:rsid w:val="001B20D5"/>
    <w:pPr>
      <w:keepNext/>
      <w:keepLines/>
      <w:spacing w:before="200"/>
      <w:outlineLvl w:val="4"/>
    </w:pPr>
    <w:rPr>
      <w:rFonts w:eastAsiaTheme="majorEastAsia" w:cstheme="majorBidi"/>
      <w:u w:val="single"/>
    </w:rPr>
  </w:style>
  <w:style w:type="paragraph" w:styleId="Heading6">
    <w:name w:val="heading 6"/>
    <w:basedOn w:val="Normal"/>
    <w:next w:val="Normal"/>
    <w:link w:val="Heading6Char"/>
    <w:uiPriority w:val="9"/>
    <w:unhideWhenUsed/>
    <w:rsid w:val="000043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0043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AC5"/>
    <w:pPr>
      <w:tabs>
        <w:tab w:val="center" w:pos="4513"/>
        <w:tab w:val="right" w:pos="9026"/>
      </w:tabs>
    </w:pPr>
  </w:style>
  <w:style w:type="character" w:customStyle="1" w:styleId="HeaderChar">
    <w:name w:val="Header Char"/>
    <w:basedOn w:val="DefaultParagraphFont"/>
    <w:link w:val="Header"/>
    <w:uiPriority w:val="99"/>
    <w:rsid w:val="003D4AC5"/>
  </w:style>
  <w:style w:type="paragraph" w:styleId="Footer">
    <w:name w:val="footer"/>
    <w:basedOn w:val="Normal"/>
    <w:link w:val="FooterChar"/>
    <w:uiPriority w:val="99"/>
    <w:unhideWhenUsed/>
    <w:rsid w:val="003D4AC5"/>
    <w:pPr>
      <w:tabs>
        <w:tab w:val="center" w:pos="4513"/>
        <w:tab w:val="right" w:pos="9026"/>
      </w:tabs>
    </w:pPr>
  </w:style>
  <w:style w:type="character" w:customStyle="1" w:styleId="FooterChar">
    <w:name w:val="Footer Char"/>
    <w:basedOn w:val="DefaultParagraphFont"/>
    <w:link w:val="Footer"/>
    <w:uiPriority w:val="99"/>
    <w:rsid w:val="003D4AC5"/>
  </w:style>
  <w:style w:type="paragraph" w:styleId="BalloonText">
    <w:name w:val="Balloon Text"/>
    <w:basedOn w:val="Normal"/>
    <w:link w:val="BalloonTextChar"/>
    <w:uiPriority w:val="99"/>
    <w:semiHidden/>
    <w:unhideWhenUsed/>
    <w:rsid w:val="003D4AC5"/>
    <w:rPr>
      <w:rFonts w:ascii="Tahoma" w:hAnsi="Tahoma" w:cs="Tahoma"/>
      <w:sz w:val="16"/>
      <w:szCs w:val="16"/>
    </w:rPr>
  </w:style>
  <w:style w:type="character" w:customStyle="1" w:styleId="BalloonTextChar">
    <w:name w:val="Balloon Text Char"/>
    <w:basedOn w:val="DefaultParagraphFont"/>
    <w:link w:val="BalloonText"/>
    <w:uiPriority w:val="99"/>
    <w:semiHidden/>
    <w:rsid w:val="003D4AC5"/>
    <w:rPr>
      <w:rFonts w:ascii="Tahoma" w:hAnsi="Tahoma" w:cs="Tahoma"/>
      <w:sz w:val="16"/>
      <w:szCs w:val="16"/>
    </w:rPr>
  </w:style>
  <w:style w:type="paragraph" w:customStyle="1" w:styleId="AppendixHeading">
    <w:name w:val="Appendix Heading"/>
    <w:basedOn w:val="Normal"/>
    <w:rsid w:val="003D4AC5"/>
    <w:pPr>
      <w:keepNext/>
      <w:spacing w:after="240"/>
      <w:jc w:val="center"/>
      <w:outlineLvl w:val="3"/>
    </w:pPr>
    <w:rPr>
      <w:rFonts w:ascii="Arial" w:eastAsia="Times New Roman" w:hAnsi="Arial"/>
      <w:b/>
      <w:smallCaps/>
      <w:sz w:val="30"/>
      <w:szCs w:val="20"/>
      <w:lang w:eastAsia="en-AU"/>
    </w:rPr>
  </w:style>
  <w:style w:type="table" w:styleId="TableGrid">
    <w:name w:val="Table Grid"/>
    <w:basedOn w:val="TableNormal"/>
    <w:uiPriority w:val="59"/>
    <w:rsid w:val="00192F55"/>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text">
    <w:name w:val="Pro forma text"/>
    <w:basedOn w:val="Normal"/>
    <w:rsid w:val="005D2AEB"/>
    <w:pPr>
      <w:spacing w:before="80" w:after="80" w:line="260" w:lineRule="exact"/>
    </w:pPr>
    <w:rPr>
      <w:rFonts w:ascii="Book Antiqua" w:eastAsia="Times New Roman" w:hAnsi="Book Antiqua"/>
      <w:sz w:val="20"/>
      <w:szCs w:val="20"/>
      <w:lang w:eastAsia="en-AU"/>
    </w:rPr>
  </w:style>
  <w:style w:type="paragraph" w:customStyle="1" w:styleId="Proformabullet">
    <w:name w:val="Pro forma bullet"/>
    <w:basedOn w:val="Normal"/>
    <w:link w:val="ProformabulletChar"/>
    <w:rsid w:val="00473C8F"/>
    <w:pPr>
      <w:spacing w:before="80" w:after="80" w:line="260" w:lineRule="exact"/>
    </w:pPr>
    <w:rPr>
      <w:rFonts w:eastAsia="Times New Roman"/>
      <w:szCs w:val="20"/>
      <w:lang w:eastAsia="en-AU"/>
    </w:rPr>
  </w:style>
  <w:style w:type="paragraph" w:styleId="Caption">
    <w:name w:val="caption"/>
    <w:basedOn w:val="Normal"/>
    <w:next w:val="Normal"/>
    <w:link w:val="CaptionChar"/>
    <w:rsid w:val="00DE5D03"/>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DE5D03"/>
    <w:rPr>
      <w:rFonts w:ascii="Times New Roman" w:eastAsia="Times New Roman" w:hAnsi="Times New Roman" w:cs="Times New Roman"/>
      <w:b/>
      <w:bCs/>
      <w:sz w:val="24"/>
      <w:szCs w:val="20"/>
      <w:lang w:eastAsia="en-AU"/>
    </w:rPr>
  </w:style>
  <w:style w:type="paragraph" w:styleId="ListParagraph">
    <w:name w:val="List Paragraph"/>
    <w:basedOn w:val="Normal"/>
    <w:link w:val="ListParagraphChar"/>
    <w:uiPriority w:val="34"/>
    <w:rsid w:val="00036DC8"/>
    <w:pPr>
      <w:ind w:left="720"/>
      <w:contextualSpacing/>
    </w:pPr>
  </w:style>
  <w:style w:type="paragraph" w:customStyle="1" w:styleId="ChartandTableFootnoteAlpha">
    <w:name w:val="Chart and Table Footnote Alpha"/>
    <w:basedOn w:val="Normal"/>
    <w:next w:val="Normal"/>
    <w:link w:val="ChartandTableFootnoteAlphaChar"/>
    <w:rsid w:val="00DE5D03"/>
    <w:pPr>
      <w:keepLines/>
      <w:numPr>
        <w:numId w:val="4"/>
      </w:numPr>
      <w:jc w:val="both"/>
    </w:pPr>
    <w:rPr>
      <w:rFonts w:ascii="Arial" w:eastAsia="Times New Roman" w:hAnsi="Arial"/>
      <w:sz w:val="16"/>
      <w:szCs w:val="20"/>
      <w:lang w:eastAsia="en-AU"/>
    </w:rPr>
  </w:style>
  <w:style w:type="paragraph" w:customStyle="1" w:styleId="SingleParagraph">
    <w:name w:val="Single Paragraph"/>
    <w:basedOn w:val="Normal"/>
    <w:rsid w:val="0083645A"/>
    <w:pPr>
      <w:spacing w:line="260" w:lineRule="exact"/>
      <w:jc w:val="both"/>
    </w:pPr>
    <w:rPr>
      <w:rFonts w:ascii="Book Antiqua" w:eastAsia="Times New Roman" w:hAnsi="Book Antiqua"/>
      <w:sz w:val="20"/>
      <w:szCs w:val="20"/>
      <w:lang w:eastAsia="en-AU"/>
    </w:rPr>
  </w:style>
  <w:style w:type="character" w:styleId="CommentReference">
    <w:name w:val="annotation reference"/>
    <w:basedOn w:val="DefaultParagraphFont"/>
    <w:uiPriority w:val="99"/>
    <w:semiHidden/>
    <w:unhideWhenUsed/>
    <w:rsid w:val="002F2123"/>
    <w:rPr>
      <w:sz w:val="16"/>
      <w:szCs w:val="16"/>
    </w:rPr>
  </w:style>
  <w:style w:type="paragraph" w:styleId="CommentText">
    <w:name w:val="annotation text"/>
    <w:basedOn w:val="Normal"/>
    <w:link w:val="CommentTextChar"/>
    <w:uiPriority w:val="99"/>
    <w:semiHidden/>
    <w:unhideWhenUsed/>
    <w:rsid w:val="002F2123"/>
    <w:rPr>
      <w:sz w:val="20"/>
      <w:szCs w:val="20"/>
    </w:rPr>
  </w:style>
  <w:style w:type="character" w:customStyle="1" w:styleId="CommentTextChar">
    <w:name w:val="Comment Text Char"/>
    <w:basedOn w:val="DefaultParagraphFont"/>
    <w:link w:val="CommentText"/>
    <w:uiPriority w:val="99"/>
    <w:semiHidden/>
    <w:rsid w:val="002F2123"/>
    <w:rPr>
      <w:sz w:val="20"/>
      <w:szCs w:val="20"/>
    </w:rPr>
  </w:style>
  <w:style w:type="paragraph" w:styleId="CommentSubject">
    <w:name w:val="annotation subject"/>
    <w:basedOn w:val="CommentText"/>
    <w:next w:val="CommentText"/>
    <w:link w:val="CommentSubjectChar"/>
    <w:uiPriority w:val="99"/>
    <w:semiHidden/>
    <w:unhideWhenUsed/>
    <w:rsid w:val="002F2123"/>
    <w:rPr>
      <w:b/>
      <w:bCs/>
    </w:rPr>
  </w:style>
  <w:style w:type="character" w:customStyle="1" w:styleId="CommentSubjectChar">
    <w:name w:val="Comment Subject Char"/>
    <w:basedOn w:val="CommentTextChar"/>
    <w:link w:val="CommentSubject"/>
    <w:uiPriority w:val="99"/>
    <w:semiHidden/>
    <w:rsid w:val="002F2123"/>
    <w:rPr>
      <w:b/>
      <w:bCs/>
      <w:sz w:val="20"/>
      <w:szCs w:val="20"/>
    </w:rPr>
  </w:style>
  <w:style w:type="character" w:customStyle="1" w:styleId="Heading1Char">
    <w:name w:val="Heading 1 Char"/>
    <w:basedOn w:val="DefaultParagraphFont"/>
    <w:link w:val="Heading1"/>
    <w:uiPriority w:val="9"/>
    <w:rsid w:val="00030FEA"/>
    <w:rPr>
      <w:rFonts w:ascii="Arial" w:eastAsia="Times New Roman" w:hAnsi="Arial" w:cs="Times New Roman"/>
      <w:b/>
      <w:caps/>
      <w:sz w:val="30"/>
      <w:szCs w:val="20"/>
      <w:lang w:eastAsia="en-AU"/>
    </w:rPr>
  </w:style>
  <w:style w:type="character" w:customStyle="1" w:styleId="Heading2Char">
    <w:name w:val="Heading 2 Char"/>
    <w:basedOn w:val="DefaultParagraphFont"/>
    <w:link w:val="Heading2"/>
    <w:uiPriority w:val="9"/>
    <w:rsid w:val="006E50D3"/>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95CCF"/>
    <w:rPr>
      <w:rFonts w:ascii="Times New Roman" w:eastAsiaTheme="majorEastAsia" w:hAnsi="Times New Roman" w:cstheme="majorBidi"/>
      <w:b/>
      <w:bCs/>
      <w:i/>
      <w:sz w:val="24"/>
      <w:szCs w:val="24"/>
    </w:rPr>
  </w:style>
  <w:style w:type="character" w:customStyle="1" w:styleId="Heading4Char">
    <w:name w:val="Heading 4 Char"/>
    <w:basedOn w:val="DefaultParagraphFont"/>
    <w:link w:val="Heading4"/>
    <w:uiPriority w:val="9"/>
    <w:rsid w:val="001B20D5"/>
    <w:rPr>
      <w:rFonts w:asciiTheme="majorHAnsi" w:eastAsiaTheme="majorEastAsia" w:hAnsiTheme="majorHAnsi" w:cstheme="majorBidi"/>
      <w:i/>
      <w:iCs/>
      <w:sz w:val="24"/>
      <w:szCs w:val="24"/>
    </w:rPr>
  </w:style>
  <w:style w:type="character" w:styleId="IntenseReference">
    <w:name w:val="Intense Reference"/>
    <w:aliases w:val="DLM format"/>
    <w:basedOn w:val="DefaultParagraphFont"/>
    <w:uiPriority w:val="32"/>
    <w:qFormat/>
    <w:rsid w:val="0000430E"/>
    <w:rPr>
      <w:rFonts w:ascii="Arial" w:hAnsi="Arial"/>
      <w:b/>
      <w:bCs/>
      <w:color w:val="FF0000"/>
      <w:spacing w:val="5"/>
      <w:sz w:val="28"/>
      <w:szCs w:val="28"/>
    </w:rPr>
  </w:style>
  <w:style w:type="character" w:customStyle="1" w:styleId="Heading5Char">
    <w:name w:val="Heading 5 Char"/>
    <w:basedOn w:val="DefaultParagraphFont"/>
    <w:link w:val="Heading5"/>
    <w:uiPriority w:val="9"/>
    <w:rsid w:val="001B20D5"/>
    <w:rPr>
      <w:rFonts w:ascii="Times New Roman" w:eastAsiaTheme="majorEastAsia" w:hAnsi="Times New Roman" w:cstheme="majorBidi"/>
      <w:sz w:val="24"/>
      <w:szCs w:val="24"/>
      <w:u w:val="single"/>
    </w:rPr>
  </w:style>
  <w:style w:type="character" w:customStyle="1" w:styleId="Heading6Char">
    <w:name w:val="Heading 6 Char"/>
    <w:basedOn w:val="DefaultParagraphFont"/>
    <w:link w:val="Heading6"/>
    <w:uiPriority w:val="9"/>
    <w:rsid w:val="0000430E"/>
    <w:rPr>
      <w:rFonts w:asciiTheme="majorHAnsi" w:eastAsiaTheme="majorEastAsia" w:hAnsiTheme="majorHAnsi" w:cstheme="majorBidi"/>
      <w:i/>
      <w:iCs/>
      <w:color w:val="243F60" w:themeColor="accent1" w:themeShade="7F"/>
      <w:sz w:val="24"/>
      <w:szCs w:val="24"/>
    </w:rPr>
  </w:style>
  <w:style w:type="paragraph" w:styleId="Title">
    <w:name w:val="Title"/>
    <w:basedOn w:val="Normal"/>
    <w:next w:val="Normal"/>
    <w:link w:val="TitleChar"/>
    <w:uiPriority w:val="10"/>
    <w:rsid w:val="000043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430E"/>
    <w:rPr>
      <w:rFonts w:asciiTheme="majorHAnsi" w:eastAsiaTheme="majorEastAsia" w:hAnsiTheme="majorHAnsi" w:cstheme="majorBidi"/>
      <w:color w:val="17365D" w:themeColor="text2" w:themeShade="BF"/>
      <w:spacing w:val="5"/>
      <w:kern w:val="28"/>
      <w:sz w:val="52"/>
      <w:szCs w:val="52"/>
    </w:rPr>
  </w:style>
  <w:style w:type="character" w:customStyle="1" w:styleId="Heading7Char">
    <w:name w:val="Heading 7 Char"/>
    <w:basedOn w:val="DefaultParagraphFont"/>
    <w:link w:val="Heading7"/>
    <w:uiPriority w:val="9"/>
    <w:rsid w:val="0000430E"/>
    <w:rPr>
      <w:rFonts w:asciiTheme="majorHAnsi" w:eastAsiaTheme="majorEastAsia" w:hAnsiTheme="majorHAnsi" w:cstheme="majorBidi"/>
      <w:i/>
      <w:iCs/>
      <w:color w:val="404040" w:themeColor="text1" w:themeTint="BF"/>
      <w:sz w:val="24"/>
      <w:szCs w:val="24"/>
    </w:rPr>
  </w:style>
  <w:style w:type="paragraph" w:customStyle="1" w:styleId="Bullet1">
    <w:name w:val="Bullet 1"/>
    <w:basedOn w:val="ListParagraph"/>
    <w:link w:val="Bullet1Char"/>
    <w:qFormat/>
    <w:rsid w:val="007F4633"/>
    <w:pPr>
      <w:keepNext/>
      <w:keepLines/>
      <w:numPr>
        <w:numId w:val="14"/>
      </w:numPr>
      <w:contextualSpacing w:val="0"/>
    </w:pPr>
  </w:style>
  <w:style w:type="paragraph" w:customStyle="1" w:styleId="Bullet2">
    <w:name w:val="Bullet 2"/>
    <w:basedOn w:val="Proformabullet"/>
    <w:link w:val="Bullet2Char"/>
    <w:qFormat/>
    <w:rsid w:val="00FF2335"/>
    <w:pPr>
      <w:numPr>
        <w:ilvl w:val="1"/>
        <w:numId w:val="7"/>
      </w:numPr>
      <w:spacing w:before="120" w:after="0" w:line="240" w:lineRule="auto"/>
    </w:pPr>
  </w:style>
  <w:style w:type="character" w:customStyle="1" w:styleId="ListParagraphChar">
    <w:name w:val="List Paragraph Char"/>
    <w:basedOn w:val="DefaultParagraphFont"/>
    <w:link w:val="ListParagraph"/>
    <w:uiPriority w:val="34"/>
    <w:rsid w:val="0000430E"/>
    <w:rPr>
      <w:rFonts w:ascii="Times New Roman" w:hAnsi="Times New Roman" w:cs="Times New Roman"/>
      <w:sz w:val="24"/>
      <w:szCs w:val="24"/>
    </w:rPr>
  </w:style>
  <w:style w:type="character" w:customStyle="1" w:styleId="Bullet1Char">
    <w:name w:val="Bullet 1 Char"/>
    <w:basedOn w:val="ListParagraphChar"/>
    <w:link w:val="Bullet1"/>
    <w:rsid w:val="007F4633"/>
    <w:rPr>
      <w:rFonts w:ascii="Times New Roman" w:hAnsi="Times New Roman" w:cs="Times New Roman"/>
      <w:sz w:val="24"/>
      <w:szCs w:val="24"/>
    </w:rPr>
  </w:style>
  <w:style w:type="paragraph" w:customStyle="1" w:styleId="Bullet4">
    <w:name w:val="Bullet 4"/>
    <w:basedOn w:val="Proformabullet"/>
    <w:link w:val="Bullet4Char"/>
    <w:qFormat/>
    <w:rsid w:val="00DE5194"/>
    <w:pPr>
      <w:numPr>
        <w:ilvl w:val="2"/>
        <w:numId w:val="7"/>
      </w:numPr>
      <w:spacing w:before="120" w:after="0" w:line="240" w:lineRule="auto"/>
      <w:ind w:left="1135" w:hanging="284"/>
    </w:pPr>
  </w:style>
  <w:style w:type="character" w:customStyle="1" w:styleId="ProformabulletChar">
    <w:name w:val="Pro forma bullet Char"/>
    <w:basedOn w:val="DefaultParagraphFont"/>
    <w:link w:val="Proformabullet"/>
    <w:rsid w:val="0000430E"/>
    <w:rPr>
      <w:rFonts w:ascii="Times New Roman" w:eastAsia="Times New Roman" w:hAnsi="Times New Roman" w:cs="Times New Roman"/>
      <w:sz w:val="24"/>
      <w:szCs w:val="20"/>
      <w:lang w:eastAsia="en-AU"/>
    </w:rPr>
  </w:style>
  <w:style w:type="character" w:customStyle="1" w:styleId="Bullet2Char">
    <w:name w:val="Bullet 2 Char"/>
    <w:basedOn w:val="ProformabulletChar"/>
    <w:link w:val="Bullet2"/>
    <w:rsid w:val="00FF2335"/>
    <w:rPr>
      <w:rFonts w:ascii="Times New Roman" w:eastAsia="Times New Roman" w:hAnsi="Times New Roman" w:cs="Times New Roman"/>
      <w:sz w:val="24"/>
      <w:szCs w:val="20"/>
      <w:lang w:eastAsia="en-AU"/>
    </w:rPr>
  </w:style>
  <w:style w:type="paragraph" w:customStyle="1" w:styleId="Bullet3">
    <w:name w:val="Bullet 3"/>
    <w:basedOn w:val="PBObullet"/>
    <w:link w:val="Bullet3Char"/>
    <w:qFormat/>
    <w:rsid w:val="00DE5194"/>
    <w:pPr>
      <w:spacing w:before="120"/>
      <w:ind w:left="851" w:hanging="284"/>
    </w:pPr>
  </w:style>
  <w:style w:type="character" w:customStyle="1" w:styleId="Bullet4Char">
    <w:name w:val="Bullet 4 Char"/>
    <w:basedOn w:val="ProformabulletChar"/>
    <w:link w:val="Bullet4"/>
    <w:rsid w:val="00DE5194"/>
    <w:rPr>
      <w:rFonts w:ascii="Times New Roman" w:eastAsia="Times New Roman" w:hAnsi="Times New Roman" w:cs="Times New Roman"/>
      <w:sz w:val="24"/>
      <w:szCs w:val="20"/>
      <w:lang w:eastAsia="en-AU"/>
    </w:rPr>
  </w:style>
  <w:style w:type="paragraph" w:customStyle="1" w:styleId="Tableheading">
    <w:name w:val="Table heading"/>
    <w:basedOn w:val="Caption"/>
    <w:link w:val="TableheadingChar"/>
    <w:qFormat/>
    <w:rsid w:val="006E50D3"/>
  </w:style>
  <w:style w:type="character" w:customStyle="1" w:styleId="Bullet3Char">
    <w:name w:val="Bullet 3 Char"/>
    <w:basedOn w:val="ProformabulletChar"/>
    <w:link w:val="Bullet3"/>
    <w:rsid w:val="00DE5194"/>
    <w:rPr>
      <w:rFonts w:ascii="Times New Roman" w:eastAsia="Times New Roman" w:hAnsi="Times New Roman" w:cs="Times New Roman"/>
      <w:sz w:val="24"/>
      <w:szCs w:val="24"/>
      <w:lang w:eastAsia="en-AU"/>
    </w:rPr>
  </w:style>
  <w:style w:type="paragraph" w:styleId="Quote">
    <w:name w:val="Quote"/>
    <w:basedOn w:val="Normal"/>
    <w:next w:val="Normal"/>
    <w:link w:val="QuoteChar"/>
    <w:uiPriority w:val="29"/>
    <w:rsid w:val="006E50D3"/>
    <w:rPr>
      <w:i/>
      <w:iCs/>
      <w:color w:val="000000" w:themeColor="text1"/>
    </w:rPr>
  </w:style>
  <w:style w:type="character" w:customStyle="1" w:styleId="TableheadingChar">
    <w:name w:val="Table heading Char"/>
    <w:basedOn w:val="CaptionChar"/>
    <w:link w:val="Tableheading"/>
    <w:rsid w:val="006E50D3"/>
    <w:rPr>
      <w:rFonts w:ascii="Times New Roman" w:eastAsia="Times New Roman" w:hAnsi="Times New Roman" w:cs="Times New Roman"/>
      <w:b/>
      <w:bCs/>
      <w:sz w:val="24"/>
      <w:szCs w:val="20"/>
      <w:lang w:eastAsia="en-AU"/>
    </w:rPr>
  </w:style>
  <w:style w:type="character" w:customStyle="1" w:styleId="QuoteChar">
    <w:name w:val="Quote Char"/>
    <w:basedOn w:val="DefaultParagraphFont"/>
    <w:link w:val="Quote"/>
    <w:uiPriority w:val="29"/>
    <w:rsid w:val="006E50D3"/>
    <w:rPr>
      <w:rFonts w:ascii="Times New Roman" w:hAnsi="Times New Roman" w:cs="Times New Roman"/>
      <w:i/>
      <w:iCs/>
      <w:color w:val="000000" w:themeColor="text1"/>
      <w:sz w:val="24"/>
      <w:szCs w:val="24"/>
    </w:rPr>
  </w:style>
  <w:style w:type="paragraph" w:customStyle="1" w:styleId="Tablefootnote">
    <w:name w:val="Table footnote"/>
    <w:basedOn w:val="ChartandTableFootnoteAlpha"/>
    <w:link w:val="TablefootnoteChar"/>
    <w:qFormat/>
    <w:rsid w:val="006E50D3"/>
  </w:style>
  <w:style w:type="character" w:customStyle="1" w:styleId="ChartandTableFootnoteAlphaChar">
    <w:name w:val="Chart and Table Footnote Alpha Char"/>
    <w:basedOn w:val="DefaultParagraphFont"/>
    <w:link w:val="ChartandTableFootnoteAlpha"/>
    <w:rsid w:val="006E50D3"/>
    <w:rPr>
      <w:rFonts w:ascii="Arial" w:eastAsia="Times New Roman" w:hAnsi="Arial" w:cs="Times New Roman"/>
      <w:sz w:val="16"/>
      <w:szCs w:val="20"/>
      <w:lang w:eastAsia="en-AU"/>
    </w:rPr>
  </w:style>
  <w:style w:type="character" w:customStyle="1" w:styleId="TablefootnoteChar">
    <w:name w:val="Table footnote Char"/>
    <w:basedOn w:val="ChartandTableFootnoteAlphaChar"/>
    <w:link w:val="Tablefootnote"/>
    <w:rsid w:val="006E50D3"/>
    <w:rPr>
      <w:rFonts w:ascii="Arial" w:eastAsia="Times New Roman" w:hAnsi="Arial" w:cs="Times New Roman"/>
      <w:sz w:val="16"/>
      <w:szCs w:val="20"/>
      <w:lang w:eastAsia="en-AU"/>
    </w:rPr>
  </w:style>
  <w:style w:type="paragraph" w:customStyle="1" w:styleId="PBObullet">
    <w:name w:val="PBO bullet"/>
    <w:basedOn w:val="Normal"/>
    <w:rsid w:val="00DE5194"/>
    <w:pPr>
      <w:numPr>
        <w:numId w:val="16"/>
      </w:numPr>
    </w:pPr>
  </w:style>
  <w:style w:type="paragraph" w:styleId="FootnoteText">
    <w:name w:val="footnote text"/>
    <w:basedOn w:val="Normal"/>
    <w:link w:val="FootnoteTextChar"/>
    <w:uiPriority w:val="99"/>
    <w:semiHidden/>
    <w:unhideWhenUsed/>
    <w:rsid w:val="0015423A"/>
    <w:pPr>
      <w:spacing w:before="0"/>
    </w:pPr>
    <w:rPr>
      <w:sz w:val="20"/>
      <w:szCs w:val="20"/>
    </w:rPr>
  </w:style>
  <w:style w:type="character" w:customStyle="1" w:styleId="FootnoteTextChar">
    <w:name w:val="Footnote Text Char"/>
    <w:basedOn w:val="DefaultParagraphFont"/>
    <w:link w:val="FootnoteText"/>
    <w:uiPriority w:val="99"/>
    <w:semiHidden/>
    <w:rsid w:val="0015423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5423A"/>
    <w:rPr>
      <w:vertAlign w:val="superscript"/>
    </w:rPr>
  </w:style>
  <w:style w:type="paragraph" w:styleId="Revision">
    <w:name w:val="Revision"/>
    <w:hidden/>
    <w:uiPriority w:val="99"/>
    <w:semiHidden/>
    <w:rsid w:val="00344EE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7947">
      <w:bodyDiv w:val="1"/>
      <w:marLeft w:val="0"/>
      <w:marRight w:val="0"/>
      <w:marTop w:val="0"/>
      <w:marBottom w:val="0"/>
      <w:divBdr>
        <w:top w:val="none" w:sz="0" w:space="0" w:color="auto"/>
        <w:left w:val="none" w:sz="0" w:space="0" w:color="auto"/>
        <w:bottom w:val="none" w:sz="0" w:space="0" w:color="auto"/>
        <w:right w:val="none" w:sz="0" w:space="0" w:color="auto"/>
      </w:divBdr>
    </w:div>
    <w:div w:id="682052336">
      <w:bodyDiv w:val="1"/>
      <w:marLeft w:val="0"/>
      <w:marRight w:val="0"/>
      <w:marTop w:val="0"/>
      <w:marBottom w:val="0"/>
      <w:divBdr>
        <w:top w:val="none" w:sz="0" w:space="0" w:color="auto"/>
        <w:left w:val="none" w:sz="0" w:space="0" w:color="auto"/>
        <w:bottom w:val="none" w:sz="0" w:space="0" w:color="auto"/>
        <w:right w:val="none" w:sz="0" w:space="0" w:color="auto"/>
      </w:divBdr>
      <w:divsChild>
        <w:div w:id="1213538551">
          <w:marLeft w:val="0"/>
          <w:marRight w:val="0"/>
          <w:marTop w:val="0"/>
          <w:marBottom w:val="0"/>
          <w:divBdr>
            <w:top w:val="none" w:sz="0" w:space="0" w:color="auto"/>
            <w:left w:val="none" w:sz="0" w:space="0" w:color="auto"/>
            <w:bottom w:val="none" w:sz="0" w:space="0" w:color="auto"/>
            <w:right w:val="none" w:sz="0" w:space="0" w:color="auto"/>
          </w:divBdr>
          <w:divsChild>
            <w:div w:id="738793405">
              <w:marLeft w:val="0"/>
              <w:marRight w:val="0"/>
              <w:marTop w:val="0"/>
              <w:marBottom w:val="0"/>
              <w:divBdr>
                <w:top w:val="none" w:sz="0" w:space="0" w:color="auto"/>
                <w:left w:val="none" w:sz="0" w:space="0" w:color="auto"/>
                <w:bottom w:val="none" w:sz="0" w:space="0" w:color="auto"/>
                <w:right w:val="none" w:sz="0" w:space="0" w:color="auto"/>
              </w:divBdr>
              <w:divsChild>
                <w:div w:id="810708664">
                  <w:marLeft w:val="0"/>
                  <w:marRight w:val="0"/>
                  <w:marTop w:val="0"/>
                  <w:marBottom w:val="0"/>
                  <w:divBdr>
                    <w:top w:val="none" w:sz="0" w:space="0" w:color="auto"/>
                    <w:left w:val="none" w:sz="0" w:space="0" w:color="auto"/>
                    <w:bottom w:val="none" w:sz="0" w:space="0" w:color="auto"/>
                    <w:right w:val="none" w:sz="0" w:space="0" w:color="auto"/>
                  </w:divBdr>
                  <w:divsChild>
                    <w:div w:id="900168847">
                      <w:marLeft w:val="0"/>
                      <w:marRight w:val="0"/>
                      <w:marTop w:val="0"/>
                      <w:marBottom w:val="0"/>
                      <w:divBdr>
                        <w:top w:val="none" w:sz="0" w:space="0" w:color="auto"/>
                        <w:left w:val="none" w:sz="0" w:space="0" w:color="auto"/>
                        <w:bottom w:val="none" w:sz="0" w:space="0" w:color="auto"/>
                        <w:right w:val="none" w:sz="0" w:space="0" w:color="auto"/>
                      </w:divBdr>
                      <w:divsChild>
                        <w:div w:id="1487279163">
                          <w:marLeft w:val="0"/>
                          <w:marRight w:val="0"/>
                          <w:marTop w:val="0"/>
                          <w:marBottom w:val="0"/>
                          <w:divBdr>
                            <w:top w:val="none" w:sz="0" w:space="0" w:color="auto"/>
                            <w:left w:val="none" w:sz="0" w:space="0" w:color="auto"/>
                            <w:bottom w:val="none" w:sz="0" w:space="0" w:color="auto"/>
                            <w:right w:val="none" w:sz="0" w:space="0" w:color="auto"/>
                          </w:divBdr>
                          <w:divsChild>
                            <w:div w:id="490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28E1E-84E9-4F5E-910B-E6C8508C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PBO Costing response_Legalising marijuana</vt:lpstr>
    </vt:vector>
  </TitlesOfParts>
  <LinksUpToDate>false</LinksUpToDate>
  <CharactersWithSpaces>10424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Costing response_Legalising marijuana</dc:title>
  <dc:creator/>
  <cp:lastModifiedBy/>
  <cp:revision>1</cp:revision>
  <dcterms:created xsi:type="dcterms:W3CDTF">2016-06-09T05:29:00Z</dcterms:created>
  <dcterms:modified xsi:type="dcterms:W3CDTF">2016-06-09T05:30:00Z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