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51" w:rsidRDefault="00FB1F3B" w:rsidP="009D193E">
      <w:pPr>
        <w:pStyle w:val="BodyText"/>
      </w:pPr>
      <w:bookmarkStart w:id="0" w:name="_GoBack"/>
      <w:bookmarkEnd w:id="0"/>
      <w:r>
        <w:t>Senator</w:t>
      </w:r>
      <w:r w:rsidR="009D193E">
        <w:t xml:space="preserve"> </w:t>
      </w:r>
      <w:r>
        <w:t>David</w:t>
      </w:r>
      <w:r w:rsidR="009D193E">
        <w:t xml:space="preserve"> </w:t>
      </w:r>
      <w:r>
        <w:t>Leyonhjelm</w:t>
      </w:r>
    </w:p>
    <w:p w:rsidR="009D193E" w:rsidRDefault="00D01F13" w:rsidP="009D193E">
      <w:pPr>
        <w:pStyle w:val="BodyText"/>
        <w:spacing w:before="0"/>
      </w:pPr>
      <w:r>
        <w:t>Chair</w:t>
      </w:r>
    </w:p>
    <w:p w:rsidR="009D193E" w:rsidRDefault="00D01F13" w:rsidP="009D193E">
      <w:pPr>
        <w:pStyle w:val="BodyText"/>
        <w:spacing w:before="0"/>
      </w:pPr>
      <w:r>
        <w:t>Senate Select Committee on Red Tape</w:t>
      </w:r>
    </w:p>
    <w:p w:rsidR="009D193E" w:rsidRDefault="00D01F13" w:rsidP="009D193E">
      <w:pPr>
        <w:pStyle w:val="BodyText"/>
        <w:spacing w:before="0"/>
      </w:pPr>
      <w:r>
        <w:t>PO Box 6100</w:t>
      </w:r>
    </w:p>
    <w:p w:rsidR="009D193E" w:rsidRDefault="00D01F13" w:rsidP="009D193E">
      <w:pPr>
        <w:pStyle w:val="BodyText"/>
        <w:spacing w:before="0"/>
      </w:pPr>
      <w:r>
        <w:t>Parliament House</w:t>
      </w:r>
    </w:p>
    <w:p w:rsidR="009D193E" w:rsidRDefault="00D01F13" w:rsidP="009D193E">
      <w:pPr>
        <w:pStyle w:val="BodyText"/>
        <w:spacing w:before="0"/>
      </w:pPr>
      <w:proofErr w:type="gramStart"/>
      <w:r>
        <w:t>C</w:t>
      </w:r>
      <w:r w:rsidR="002E6855">
        <w:t>ANBERRA</w:t>
      </w:r>
      <w:r w:rsidR="009D193E">
        <w:t xml:space="preserve">  </w:t>
      </w:r>
      <w:r>
        <w:t>ACT</w:t>
      </w:r>
      <w:proofErr w:type="gramEnd"/>
      <w:r w:rsidR="009D193E">
        <w:t xml:space="preserve">  </w:t>
      </w:r>
      <w:r>
        <w:t>2600</w:t>
      </w:r>
    </w:p>
    <w:p w:rsidR="009D193E" w:rsidRDefault="009D193E" w:rsidP="009D193E">
      <w:pPr>
        <w:pStyle w:val="BodyText"/>
        <w:spacing w:before="480"/>
      </w:pPr>
      <w:r>
        <w:t xml:space="preserve">Dear </w:t>
      </w:r>
      <w:r w:rsidR="002820B5">
        <w:t>Senator Leyonhjelm</w:t>
      </w:r>
      <w:r>
        <w:t xml:space="preserve"> </w:t>
      </w:r>
    </w:p>
    <w:p w:rsidR="009D193E" w:rsidRDefault="001C0C16" w:rsidP="009D193E">
      <w:pPr>
        <w:pStyle w:val="BodyText"/>
      </w:pPr>
      <w:r>
        <w:t>In response to your letter of 2</w:t>
      </w:r>
      <w:r w:rsidR="007D0927">
        <w:t xml:space="preserve"> March 2017</w:t>
      </w:r>
      <w:r w:rsidR="004305A3">
        <w:t>, attached is a</w:t>
      </w:r>
      <w:r w:rsidR="007D0927">
        <w:t>n</w:t>
      </w:r>
      <w:r w:rsidR="004305A3">
        <w:t xml:space="preserve"> </w:t>
      </w:r>
      <w:r w:rsidR="007D0927">
        <w:t xml:space="preserve">update of </w:t>
      </w:r>
      <w:r w:rsidR="002820B5">
        <w:t>Table</w:t>
      </w:r>
      <w:r w:rsidR="007D0927">
        <w:t> </w:t>
      </w:r>
      <w:r w:rsidR="002820B5">
        <w:t>3-2 and Figure 3-2 from the Parliamentary Budget Office’s 2015</w:t>
      </w:r>
      <w:r w:rsidR="007D0927">
        <w:t> </w:t>
      </w:r>
      <w:r w:rsidR="002820B5">
        <w:t>report</w:t>
      </w:r>
      <w:r w:rsidR="002E6855">
        <w:t>,</w:t>
      </w:r>
      <w:r w:rsidR="002820B5">
        <w:t xml:space="preserve"> </w:t>
      </w:r>
      <w:r w:rsidR="002820B5" w:rsidRPr="002820B5">
        <w:rPr>
          <w:i/>
        </w:rPr>
        <w:t>Alcohol taxation in Australia</w:t>
      </w:r>
      <w:r w:rsidR="002820B5">
        <w:t>.</w:t>
      </w:r>
    </w:p>
    <w:p w:rsidR="009D193E" w:rsidRPr="009D193E" w:rsidRDefault="002820B5" w:rsidP="009D193E">
      <w:pPr>
        <w:pStyle w:val="BodyText"/>
      </w:pPr>
      <w:r>
        <w:t xml:space="preserve">The </w:t>
      </w:r>
      <w:r w:rsidR="00557106">
        <w:t>information has been</w:t>
      </w:r>
      <w:r>
        <w:t xml:space="preserve"> updated to include excise </w:t>
      </w:r>
      <w:r w:rsidR="001D68F6">
        <w:t>and excise</w:t>
      </w:r>
      <w:r w:rsidR="001D68F6">
        <w:noBreakHyphen/>
        <w:t xml:space="preserve">equivalent </w:t>
      </w:r>
      <w:r w:rsidR="007C3053">
        <w:t>customs duty</w:t>
      </w:r>
      <w:r w:rsidR="00E64E45">
        <w:t xml:space="preserve"> and Wine Equalisation Tax receipts</w:t>
      </w:r>
      <w:r w:rsidR="001D68F6">
        <w:t xml:space="preserve"> </w:t>
      </w:r>
      <w:r>
        <w:t xml:space="preserve">for the 2015-16 financial </w:t>
      </w:r>
      <w:proofErr w:type="gramStart"/>
      <w:r>
        <w:t>year</w:t>
      </w:r>
      <w:proofErr w:type="gramEnd"/>
      <w:r>
        <w:t>.  For your reference, we have also included an update of Table 3-1 which shows the statutory excise rates</w:t>
      </w:r>
      <w:r w:rsidR="001D68F6">
        <w:t xml:space="preserve"> </w:t>
      </w:r>
      <w:r>
        <w:t xml:space="preserve">by beverage and alcohol content as at </w:t>
      </w:r>
      <w:r w:rsidR="00597E40">
        <w:t xml:space="preserve">30 </w:t>
      </w:r>
      <w:r>
        <w:t xml:space="preserve">June 2016.  </w:t>
      </w:r>
    </w:p>
    <w:p w:rsidR="007A2521" w:rsidRPr="007A2521" w:rsidRDefault="007A2521" w:rsidP="009D193E">
      <w:pPr>
        <w:pStyle w:val="BodyText"/>
      </w:pPr>
      <w:r>
        <w:t xml:space="preserve">As required by </w:t>
      </w:r>
      <w:r w:rsidR="0081639B">
        <w:t>s</w:t>
      </w:r>
      <w:r>
        <w:t xml:space="preserve">ection </w:t>
      </w:r>
      <w:proofErr w:type="gramStart"/>
      <w:r>
        <w:t>64</w:t>
      </w:r>
      <w:r w:rsidR="00A2744F">
        <w:t>U</w:t>
      </w:r>
      <w:r>
        <w:t>(</w:t>
      </w:r>
      <w:proofErr w:type="gramEnd"/>
      <w:r>
        <w:t xml:space="preserve">d) of the </w:t>
      </w:r>
      <w:r>
        <w:rPr>
          <w:i/>
        </w:rPr>
        <w:t>Parliamentary Service Act 1999</w:t>
      </w:r>
      <w:r>
        <w:t>, we will publish your request and this response on the Parliamentary Budget Office’s website.</w:t>
      </w:r>
    </w:p>
    <w:p w:rsidR="009D193E" w:rsidRDefault="00974710" w:rsidP="009D193E">
      <w:pPr>
        <w:pStyle w:val="BodyText"/>
      </w:pPr>
      <w:r>
        <w:t>If you have any questions regarding this information please contact Colin Brown on (02) 6277 9530</w:t>
      </w:r>
      <w:r w:rsidR="00D87905">
        <w:t xml:space="preserve"> or David Tellis on (02) 6277 9542</w:t>
      </w:r>
      <w:r>
        <w:t xml:space="preserve">. </w:t>
      </w:r>
    </w:p>
    <w:p w:rsidR="009D193E" w:rsidRDefault="009D193E" w:rsidP="009D193E">
      <w:pPr>
        <w:pStyle w:val="BodyText"/>
      </w:pPr>
      <w:r>
        <w:t>Yours sincerely</w:t>
      </w:r>
    </w:p>
    <w:p w:rsidR="009D193E" w:rsidRDefault="009D193E" w:rsidP="002E6855">
      <w:pPr>
        <w:pStyle w:val="BodyText"/>
        <w:spacing w:before="960"/>
      </w:pPr>
      <w:r>
        <w:t>Phil Bowen</w:t>
      </w:r>
    </w:p>
    <w:p w:rsidR="00C86C42" w:rsidRDefault="000C7C0F" w:rsidP="002E6855">
      <w:pPr>
        <w:pStyle w:val="BodyText"/>
        <w:spacing w:before="120"/>
        <w:ind w:left="397"/>
      </w:pPr>
      <w:r>
        <w:t>March 2017</w:t>
      </w:r>
    </w:p>
    <w:p w:rsidR="00405544" w:rsidRDefault="00405544" w:rsidP="00C86C42">
      <w:pPr>
        <w:pStyle w:val="BodyText"/>
        <w:ind w:left="397"/>
      </w:pPr>
    </w:p>
    <w:p w:rsidR="002E6855" w:rsidRDefault="002E6855">
      <w:pPr>
        <w:rPr>
          <w:b/>
          <w:bCs/>
          <w:color w:val="2B3B5F" w:themeColor="text2"/>
          <w:spacing w:val="-4"/>
          <w:u w:val="single"/>
        </w:rPr>
      </w:pPr>
      <w:r>
        <w:rPr>
          <w:u w:val="single"/>
        </w:rPr>
        <w:br w:type="page"/>
      </w:r>
    </w:p>
    <w:p w:rsidR="00405544" w:rsidRPr="002E6855" w:rsidRDefault="004E61EE" w:rsidP="002E6855">
      <w:pPr>
        <w:pStyle w:val="Heading8"/>
        <w:rPr>
          <w:sz w:val="32"/>
        </w:rPr>
      </w:pPr>
      <w:r w:rsidRPr="002E6855">
        <w:rPr>
          <w:sz w:val="32"/>
        </w:rPr>
        <w:lastRenderedPageBreak/>
        <w:t>Attachment A</w:t>
      </w:r>
      <w:r w:rsidR="001D68F6" w:rsidRPr="002E6855">
        <w:rPr>
          <w:sz w:val="32"/>
        </w:rPr>
        <w:t xml:space="preserve">: </w:t>
      </w:r>
      <w:r w:rsidR="001C0C16" w:rsidRPr="002E6855">
        <w:rPr>
          <w:sz w:val="32"/>
        </w:rPr>
        <w:t>Update of Table</w:t>
      </w:r>
      <w:r w:rsidR="00272EFE" w:rsidRPr="002E6855">
        <w:rPr>
          <w:sz w:val="32"/>
        </w:rPr>
        <w:t> 3-1, Table</w:t>
      </w:r>
      <w:r w:rsidR="001C0C16" w:rsidRPr="002E6855">
        <w:rPr>
          <w:sz w:val="32"/>
        </w:rPr>
        <w:t> 3-2 and Figure 3</w:t>
      </w:r>
      <w:r w:rsidR="001C0C16" w:rsidRPr="002E6855">
        <w:rPr>
          <w:sz w:val="32"/>
        </w:rPr>
        <w:noBreakHyphen/>
        <w:t>2 from the Parliamentary Budget Office’s 2015 report</w:t>
      </w:r>
      <w:r w:rsidR="002E6855" w:rsidRPr="002E6855">
        <w:rPr>
          <w:sz w:val="32"/>
        </w:rPr>
        <w:t>,</w:t>
      </w:r>
      <w:r w:rsidR="001C0C16" w:rsidRPr="002E6855">
        <w:rPr>
          <w:sz w:val="32"/>
        </w:rPr>
        <w:t xml:space="preserve"> </w:t>
      </w:r>
      <w:r w:rsidR="001C0C16" w:rsidRPr="002E6855">
        <w:rPr>
          <w:i/>
          <w:sz w:val="32"/>
        </w:rPr>
        <w:t>Alcohol taxation in Australia</w:t>
      </w:r>
    </w:p>
    <w:p w:rsidR="00591F82" w:rsidRPr="00205ABC" w:rsidRDefault="008334F8" w:rsidP="00591F82">
      <w:pPr>
        <w:pStyle w:val="BodyText"/>
        <w:rPr>
          <w:rFonts w:asciiTheme="minorHAnsi" w:hAnsiTheme="minorHAnsi"/>
          <w:sz w:val="22"/>
        </w:rPr>
      </w:pPr>
      <w:proofErr w:type="gramStart"/>
      <w:r w:rsidRPr="00205ABC">
        <w:rPr>
          <w:rFonts w:asciiTheme="minorHAnsi" w:hAnsiTheme="minorHAnsi"/>
          <w:sz w:val="22"/>
        </w:rPr>
        <w:t>Table 3</w:t>
      </w:r>
      <w:r w:rsidR="00965ACA">
        <w:rPr>
          <w:rFonts w:asciiTheme="minorHAnsi" w:hAnsiTheme="minorHAnsi"/>
          <w:sz w:val="22"/>
        </w:rPr>
        <w:t>-</w:t>
      </w:r>
      <w:r w:rsidRPr="00205ABC">
        <w:rPr>
          <w:rFonts w:asciiTheme="minorHAnsi" w:hAnsiTheme="minorHAnsi"/>
          <w:sz w:val="22"/>
        </w:rPr>
        <w:t>1 below shows the statutory excise rates for beer and spirits as at 30 June 201</w:t>
      </w:r>
      <w:r w:rsidRPr="00B75F15">
        <w:rPr>
          <w:rFonts w:asciiTheme="minorHAnsi" w:hAnsiTheme="minorHAnsi"/>
          <w:sz w:val="22"/>
        </w:rPr>
        <w:t>6.</w:t>
      </w:r>
      <w:proofErr w:type="gramEnd"/>
    </w:p>
    <w:p w:rsidR="004E61EE" w:rsidRDefault="004E61EE" w:rsidP="004E61EE">
      <w:pPr>
        <w:pStyle w:val="Caption"/>
      </w:pPr>
      <w:bookmarkStart w:id="1" w:name="_Ref430681473"/>
      <w:bookmarkStart w:id="2" w:name="_Toc432492400"/>
      <w:r>
        <w:t xml:space="preserve">Table </w:t>
      </w:r>
      <w:r w:rsidR="009B2A57">
        <w:t>3</w:t>
      </w:r>
      <w:r w:rsidR="00965ACA">
        <w:t>-</w:t>
      </w:r>
      <w:fldSimple w:instr=" SEQ Table \* ARABIC \s 1 ">
        <w:r w:rsidR="0081639B">
          <w:rPr>
            <w:noProof/>
          </w:rPr>
          <w:t>1</w:t>
        </w:r>
      </w:fldSimple>
      <w:bookmarkEnd w:id="1"/>
      <w:r>
        <w:t xml:space="preserve">: Statutory excise rates by beverage and alcohol content, as at </w:t>
      </w:r>
      <w:bookmarkEnd w:id="2"/>
      <w:r w:rsidR="00F97162">
        <w:t>30 June 2016</w:t>
      </w:r>
      <w:r w:rsidR="00E95BBC">
        <w:rPr>
          <w:rStyle w:val="FootnoteReference"/>
        </w:rPr>
        <w:t>(</w:t>
      </w:r>
      <w:r w:rsidR="00E95BBC" w:rsidRPr="00E95BBC">
        <w:rPr>
          <w:vertAlign w:val="superscript"/>
        </w:rPr>
        <w:t>a)</w:t>
      </w:r>
    </w:p>
    <w:tbl>
      <w:tblPr>
        <w:tblStyle w:val="TableGrid"/>
        <w:tblW w:w="3752" w:type="pct"/>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Layout w:type="fixed"/>
        <w:tblLook w:val="04A0" w:firstRow="1" w:lastRow="0" w:firstColumn="1" w:lastColumn="0" w:noHBand="0" w:noVBand="1"/>
      </w:tblPr>
      <w:tblGrid>
        <w:gridCol w:w="3979"/>
        <w:gridCol w:w="2273"/>
      </w:tblGrid>
      <w:tr w:rsidR="002E6855" w:rsidTr="00E95BB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18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DE9" w:themeFill="accent3"/>
            <w:hideMark/>
          </w:tcPr>
          <w:p w:rsidR="004E61EE" w:rsidRPr="003A73B9" w:rsidRDefault="004E61EE">
            <w:pPr>
              <w:pStyle w:val="TableHeading"/>
              <w:rPr>
                <w:b w:val="0"/>
              </w:rPr>
            </w:pPr>
            <w:r w:rsidRPr="003A73B9">
              <w:rPr>
                <w:b w:val="0"/>
                <w:color w:val="auto"/>
              </w:rPr>
              <w:t>Alcohol type</w:t>
            </w:r>
          </w:p>
        </w:tc>
        <w:tc>
          <w:tcPr>
            <w:tcW w:w="181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DE9" w:themeFill="accent3"/>
            <w:hideMark/>
          </w:tcPr>
          <w:p w:rsidR="004E61EE" w:rsidRPr="003A73B9" w:rsidRDefault="004E61EE" w:rsidP="00E95BBC">
            <w:pPr>
              <w:pStyle w:val="TableHeadingCentred"/>
              <w:cnfStyle w:val="100000000000" w:firstRow="1" w:lastRow="0" w:firstColumn="0" w:lastColumn="0" w:oddVBand="0" w:evenVBand="0" w:oddHBand="0" w:evenHBand="0" w:firstRowFirstColumn="0" w:firstRowLastColumn="0" w:lastRowFirstColumn="0" w:lastRowLastColumn="0"/>
              <w:rPr>
                <w:b w:val="0"/>
              </w:rPr>
            </w:pPr>
            <w:r w:rsidRPr="003A73B9">
              <w:rPr>
                <w:b w:val="0"/>
              </w:rPr>
              <w:t>Excise rate ($/Lal)</w:t>
            </w:r>
            <w:r w:rsidR="00E95BBC" w:rsidRPr="003A73B9">
              <w:rPr>
                <w:b w:val="0"/>
                <w:vertAlign w:val="superscript"/>
              </w:rPr>
              <w:t>(b)</w:t>
            </w:r>
          </w:p>
        </w:tc>
      </w:tr>
      <w:tr w:rsidR="002E6855"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4E61EE">
            <w:pPr>
              <w:pStyle w:val="TableText"/>
            </w:pPr>
            <w:r>
              <w:t>Non-commercial beer, low-strength</w:t>
            </w:r>
          </w:p>
        </w:tc>
        <w:tc>
          <w:tcPr>
            <w:tcW w:w="181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176B32">
            <w:pPr>
              <w:pStyle w:val="TableTextCentred"/>
              <w:cnfStyle w:val="000000100000" w:firstRow="0" w:lastRow="0" w:firstColumn="0" w:lastColumn="0" w:oddVBand="0" w:evenVBand="0" w:oddHBand="1" w:evenHBand="0" w:firstRowFirstColumn="0" w:firstRowLastColumn="0" w:lastRowFirstColumn="0" w:lastRowLastColumn="0"/>
            </w:pPr>
            <w:r>
              <w:t>2.88</w:t>
            </w:r>
          </w:p>
        </w:tc>
      </w:tr>
      <w:tr w:rsidR="002E6855" w:rsidTr="00E95BBC">
        <w:trPr>
          <w:cantSplit/>
        </w:trPr>
        <w:tc>
          <w:tcPr>
            <w:cnfStyle w:val="001000000000" w:firstRow="0" w:lastRow="0" w:firstColumn="1" w:lastColumn="0" w:oddVBand="0" w:evenVBand="0" w:oddHBand="0" w:evenHBand="0" w:firstRowFirstColumn="0" w:firstRowLastColumn="0" w:lastRowFirstColumn="0" w:lastRowLastColumn="0"/>
            <w:tcW w:w="3182" w:type="pct"/>
            <w:shd w:val="clear" w:color="auto" w:fill="auto"/>
            <w:hideMark/>
          </w:tcPr>
          <w:p w:rsidR="004E61EE" w:rsidRDefault="004E61EE">
            <w:pPr>
              <w:pStyle w:val="TableText"/>
            </w:pPr>
            <w:r>
              <w:t>Non-commercial beer, mid- to full-strength</w:t>
            </w:r>
          </w:p>
        </w:tc>
        <w:tc>
          <w:tcPr>
            <w:tcW w:w="1818" w:type="pct"/>
            <w:shd w:val="clear" w:color="auto" w:fill="auto"/>
            <w:hideMark/>
          </w:tcPr>
          <w:p w:rsidR="004E61EE" w:rsidRDefault="00176B32">
            <w:pPr>
              <w:pStyle w:val="TableTextCentred"/>
              <w:cnfStyle w:val="000000000000" w:firstRow="0" w:lastRow="0" w:firstColumn="0" w:lastColumn="0" w:oddVBand="0" w:evenVBand="0" w:oddHBand="0" w:evenHBand="0" w:firstRowFirstColumn="0" w:firstRowLastColumn="0" w:lastRowFirstColumn="0" w:lastRowLastColumn="0"/>
            </w:pPr>
            <w:r>
              <w:t>3.34</w:t>
            </w:r>
          </w:p>
        </w:tc>
      </w:tr>
      <w:tr w:rsidR="002E6855"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4E61EE">
            <w:pPr>
              <w:pStyle w:val="TableText"/>
            </w:pPr>
            <w:r>
              <w:t>Draught beer, low-strength</w:t>
            </w:r>
          </w:p>
        </w:tc>
        <w:tc>
          <w:tcPr>
            <w:tcW w:w="181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176B32">
            <w:pPr>
              <w:pStyle w:val="TableTextCentred"/>
              <w:cnfStyle w:val="000000100000" w:firstRow="0" w:lastRow="0" w:firstColumn="0" w:lastColumn="0" w:oddVBand="0" w:evenVBand="0" w:oddHBand="1" w:evenHBand="0" w:firstRowFirstColumn="0" w:firstRowLastColumn="0" w:lastRowFirstColumn="0" w:lastRowLastColumn="0"/>
            </w:pPr>
            <w:r>
              <w:t>8.21</w:t>
            </w:r>
          </w:p>
        </w:tc>
      </w:tr>
      <w:tr w:rsidR="002E6855" w:rsidTr="00E95BBC">
        <w:trPr>
          <w:cantSplit/>
        </w:trPr>
        <w:tc>
          <w:tcPr>
            <w:cnfStyle w:val="001000000000" w:firstRow="0" w:lastRow="0" w:firstColumn="1" w:lastColumn="0" w:oddVBand="0" w:evenVBand="0" w:oddHBand="0" w:evenHBand="0" w:firstRowFirstColumn="0" w:firstRowLastColumn="0" w:lastRowFirstColumn="0" w:lastRowLastColumn="0"/>
            <w:tcW w:w="3182" w:type="pct"/>
            <w:shd w:val="clear" w:color="auto" w:fill="auto"/>
            <w:hideMark/>
          </w:tcPr>
          <w:p w:rsidR="004E61EE" w:rsidRDefault="004E61EE">
            <w:pPr>
              <w:pStyle w:val="TableText"/>
            </w:pPr>
            <w:r>
              <w:t>Draught beer, mid-strength</w:t>
            </w:r>
          </w:p>
        </w:tc>
        <w:tc>
          <w:tcPr>
            <w:tcW w:w="1818" w:type="pct"/>
            <w:shd w:val="clear" w:color="auto" w:fill="auto"/>
            <w:hideMark/>
          </w:tcPr>
          <w:p w:rsidR="004E61EE" w:rsidRDefault="00176B32">
            <w:pPr>
              <w:pStyle w:val="TableTextCentred"/>
              <w:cnfStyle w:val="000000000000" w:firstRow="0" w:lastRow="0" w:firstColumn="0" w:lastColumn="0" w:oddVBand="0" w:evenVBand="0" w:oddHBand="0" w:evenHBand="0" w:firstRowFirstColumn="0" w:firstRowLastColumn="0" w:lastRowFirstColumn="0" w:lastRowLastColumn="0"/>
            </w:pPr>
            <w:r>
              <w:t>25.73</w:t>
            </w:r>
          </w:p>
        </w:tc>
      </w:tr>
      <w:tr w:rsidR="002E6855"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4E61EE">
            <w:pPr>
              <w:pStyle w:val="TableText"/>
            </w:pPr>
            <w:r>
              <w:t>Draught beer, full-strength</w:t>
            </w:r>
          </w:p>
        </w:tc>
        <w:tc>
          <w:tcPr>
            <w:tcW w:w="181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176B32">
            <w:pPr>
              <w:pStyle w:val="TableTextCentred"/>
              <w:cnfStyle w:val="000000100000" w:firstRow="0" w:lastRow="0" w:firstColumn="0" w:lastColumn="0" w:oddVBand="0" w:evenVBand="0" w:oddHBand="1" w:evenHBand="0" w:firstRowFirstColumn="0" w:firstRowLastColumn="0" w:lastRowFirstColumn="0" w:lastRowLastColumn="0"/>
            </w:pPr>
            <w:r>
              <w:t>33.70</w:t>
            </w:r>
          </w:p>
        </w:tc>
      </w:tr>
      <w:tr w:rsidR="002E6855" w:rsidTr="00E95BBC">
        <w:trPr>
          <w:cantSplit/>
        </w:trPr>
        <w:tc>
          <w:tcPr>
            <w:cnfStyle w:val="001000000000" w:firstRow="0" w:lastRow="0" w:firstColumn="1" w:lastColumn="0" w:oddVBand="0" w:evenVBand="0" w:oddHBand="0" w:evenHBand="0" w:firstRowFirstColumn="0" w:firstRowLastColumn="0" w:lastRowFirstColumn="0" w:lastRowLastColumn="0"/>
            <w:tcW w:w="3182" w:type="pct"/>
            <w:shd w:val="clear" w:color="auto" w:fill="auto"/>
            <w:hideMark/>
          </w:tcPr>
          <w:p w:rsidR="004E61EE" w:rsidRDefault="004E61EE">
            <w:pPr>
              <w:pStyle w:val="TableText"/>
            </w:pPr>
            <w:r>
              <w:t>Packaged beer, low-strength</w:t>
            </w:r>
          </w:p>
        </w:tc>
        <w:tc>
          <w:tcPr>
            <w:tcW w:w="1818" w:type="pct"/>
            <w:shd w:val="clear" w:color="auto" w:fill="auto"/>
            <w:hideMark/>
          </w:tcPr>
          <w:p w:rsidR="004E61EE" w:rsidRDefault="009749DE">
            <w:pPr>
              <w:pStyle w:val="TableTextCentred"/>
              <w:cnfStyle w:val="000000000000" w:firstRow="0" w:lastRow="0" w:firstColumn="0" w:lastColumn="0" w:oddVBand="0" w:evenVBand="0" w:oddHBand="0" w:evenHBand="0" w:firstRowFirstColumn="0" w:firstRowLastColumn="0" w:lastRowFirstColumn="0" w:lastRowLastColumn="0"/>
            </w:pPr>
            <w:r>
              <w:t>41.08</w:t>
            </w:r>
          </w:p>
        </w:tc>
      </w:tr>
      <w:tr w:rsidR="002E6855"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4E61EE">
            <w:pPr>
              <w:pStyle w:val="TableText"/>
            </w:pPr>
            <w:r>
              <w:t>Packaged beer, mid-strength</w:t>
            </w:r>
          </w:p>
        </w:tc>
        <w:tc>
          <w:tcPr>
            <w:tcW w:w="181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69563E">
            <w:pPr>
              <w:pStyle w:val="TableTextCentred"/>
              <w:cnfStyle w:val="000000100000" w:firstRow="0" w:lastRow="0" w:firstColumn="0" w:lastColumn="0" w:oddVBand="0" w:evenVBand="0" w:oddHBand="1" w:evenHBand="0" w:firstRowFirstColumn="0" w:firstRowLastColumn="0" w:lastRowFirstColumn="0" w:lastRowLastColumn="0"/>
            </w:pPr>
            <w:r>
              <w:t>47.85</w:t>
            </w:r>
          </w:p>
        </w:tc>
      </w:tr>
      <w:tr w:rsidR="002E6855" w:rsidTr="00E95BBC">
        <w:trPr>
          <w:cantSplit/>
        </w:trPr>
        <w:tc>
          <w:tcPr>
            <w:cnfStyle w:val="001000000000" w:firstRow="0" w:lastRow="0" w:firstColumn="1" w:lastColumn="0" w:oddVBand="0" w:evenVBand="0" w:oddHBand="0" w:evenHBand="0" w:firstRowFirstColumn="0" w:firstRowLastColumn="0" w:lastRowFirstColumn="0" w:lastRowLastColumn="0"/>
            <w:tcW w:w="3182" w:type="pct"/>
            <w:shd w:val="clear" w:color="auto" w:fill="auto"/>
            <w:hideMark/>
          </w:tcPr>
          <w:p w:rsidR="004E61EE" w:rsidRDefault="004E61EE">
            <w:pPr>
              <w:pStyle w:val="TableText"/>
            </w:pPr>
            <w:r>
              <w:t>Packaged beer, full-strength</w:t>
            </w:r>
          </w:p>
        </w:tc>
        <w:tc>
          <w:tcPr>
            <w:tcW w:w="1818" w:type="pct"/>
            <w:shd w:val="clear" w:color="auto" w:fill="auto"/>
            <w:hideMark/>
          </w:tcPr>
          <w:p w:rsidR="004E61EE" w:rsidRDefault="00E47B63">
            <w:pPr>
              <w:pStyle w:val="TableTextCentred"/>
              <w:cnfStyle w:val="000000000000" w:firstRow="0" w:lastRow="0" w:firstColumn="0" w:lastColumn="0" w:oddVBand="0" w:evenVBand="0" w:oddHBand="0" w:evenHBand="0" w:firstRowFirstColumn="0" w:firstRowLastColumn="0" w:lastRowFirstColumn="0" w:lastRowLastColumn="0"/>
            </w:pPr>
            <w:r>
              <w:t>47.85</w:t>
            </w:r>
          </w:p>
        </w:tc>
      </w:tr>
      <w:tr w:rsidR="002E6855"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4E61EE">
            <w:pPr>
              <w:pStyle w:val="TableText"/>
            </w:pPr>
            <w:r>
              <w:t>Brandy</w:t>
            </w:r>
          </w:p>
        </w:tc>
        <w:tc>
          <w:tcPr>
            <w:tcW w:w="181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5E1372">
            <w:pPr>
              <w:pStyle w:val="TableTextCentred"/>
              <w:cnfStyle w:val="000000100000" w:firstRow="0" w:lastRow="0" w:firstColumn="0" w:lastColumn="0" w:oddVBand="0" w:evenVBand="0" w:oddHBand="1" w:evenHBand="0" w:firstRowFirstColumn="0" w:firstRowLastColumn="0" w:lastRowFirstColumn="0" w:lastRowLastColumn="0"/>
            </w:pPr>
            <w:r>
              <w:t>75.70</w:t>
            </w:r>
          </w:p>
        </w:tc>
      </w:tr>
      <w:tr w:rsidR="002E6855" w:rsidTr="00E95BBC">
        <w:trPr>
          <w:cantSplit/>
        </w:trPr>
        <w:tc>
          <w:tcPr>
            <w:cnfStyle w:val="001000000000" w:firstRow="0" w:lastRow="0" w:firstColumn="1" w:lastColumn="0" w:oddVBand="0" w:evenVBand="0" w:oddHBand="0" w:evenHBand="0" w:firstRowFirstColumn="0" w:firstRowLastColumn="0" w:lastRowFirstColumn="0" w:lastRowLastColumn="0"/>
            <w:tcW w:w="3182" w:type="pct"/>
            <w:shd w:val="clear" w:color="auto" w:fill="auto"/>
            <w:hideMark/>
          </w:tcPr>
          <w:p w:rsidR="004E61EE" w:rsidRDefault="004E61EE">
            <w:pPr>
              <w:pStyle w:val="TableText"/>
            </w:pPr>
            <w:r>
              <w:t>Spirits</w:t>
            </w:r>
          </w:p>
        </w:tc>
        <w:tc>
          <w:tcPr>
            <w:tcW w:w="1818" w:type="pct"/>
            <w:shd w:val="clear" w:color="auto" w:fill="auto"/>
            <w:hideMark/>
          </w:tcPr>
          <w:p w:rsidR="004E61EE" w:rsidRDefault="00B54D93">
            <w:pPr>
              <w:pStyle w:val="TableTextCentred"/>
              <w:cnfStyle w:val="000000000000" w:firstRow="0" w:lastRow="0" w:firstColumn="0" w:lastColumn="0" w:oddVBand="0" w:evenVBand="0" w:oddHBand="0" w:evenHBand="0" w:firstRowFirstColumn="0" w:firstRowLastColumn="0" w:lastRowFirstColumn="0" w:lastRowLastColumn="0"/>
            </w:pPr>
            <w:r>
              <w:t>81.05</w:t>
            </w:r>
          </w:p>
        </w:tc>
      </w:tr>
      <w:tr w:rsidR="002E6855"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3006D8" w:rsidP="00205ABC">
            <w:pPr>
              <w:pStyle w:val="TableText"/>
            </w:pPr>
            <w:r>
              <w:t>Ready</w:t>
            </w:r>
            <w:r>
              <w:noBreakHyphen/>
              <w:t>to</w:t>
            </w:r>
            <w:r>
              <w:noBreakHyphen/>
              <w:t>drink</w:t>
            </w:r>
            <w:r w:rsidR="005D192D">
              <w:t xml:space="preserve"> beverages</w:t>
            </w:r>
          </w:p>
        </w:tc>
        <w:tc>
          <w:tcPr>
            <w:tcW w:w="181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4E61EE" w:rsidRDefault="004F5CB6">
            <w:pPr>
              <w:pStyle w:val="TableTextCentred"/>
              <w:cnfStyle w:val="000000100000" w:firstRow="0" w:lastRow="0" w:firstColumn="0" w:lastColumn="0" w:oddVBand="0" w:evenVBand="0" w:oddHBand="1" w:evenHBand="0" w:firstRowFirstColumn="0" w:firstRowLastColumn="0" w:lastRowFirstColumn="0" w:lastRowLastColumn="0"/>
            </w:pPr>
            <w:r>
              <w:t>81.05</w:t>
            </w:r>
          </w:p>
        </w:tc>
      </w:tr>
    </w:tbl>
    <w:p w:rsidR="004E61EE" w:rsidRPr="002E6855" w:rsidRDefault="004E61EE" w:rsidP="004E61EE">
      <w:pPr>
        <w:pStyle w:val="Source"/>
        <w:rPr>
          <w:color w:val="auto"/>
        </w:rPr>
      </w:pPr>
      <w:r w:rsidRPr="002E6855">
        <w:rPr>
          <w:color w:val="auto"/>
        </w:rPr>
        <w:t xml:space="preserve">Source: Schedule to the </w:t>
      </w:r>
      <w:r w:rsidRPr="002E6855">
        <w:rPr>
          <w:i/>
          <w:color w:val="auto"/>
        </w:rPr>
        <w:t>Excise Tariff Act 1921</w:t>
      </w:r>
      <w:r w:rsidRPr="002E6855">
        <w:rPr>
          <w:color w:val="auto"/>
        </w:rPr>
        <w:t>.</w:t>
      </w:r>
    </w:p>
    <w:p w:rsidR="00E95BBC" w:rsidRPr="00E95BBC" w:rsidRDefault="00E95BBC" w:rsidP="003A73B9">
      <w:pPr>
        <w:pStyle w:val="TableFootnotes"/>
        <w:numPr>
          <w:ilvl w:val="0"/>
          <w:numId w:val="10"/>
        </w:numPr>
        <w:spacing w:line="260" w:lineRule="atLeast"/>
        <w:ind w:left="284" w:hanging="284"/>
        <w:contextualSpacing/>
        <w:rPr>
          <w:color w:val="auto"/>
        </w:rPr>
      </w:pPr>
      <w:r w:rsidRPr="00E95BBC">
        <w:rPr>
          <w:color w:val="auto"/>
        </w:rPr>
        <w:t xml:space="preserve">Excise rates for alcohol are indexed in line with the Consumer Price Index generally in February and August each year.  </w:t>
      </w:r>
    </w:p>
    <w:p w:rsidR="004E61EE" w:rsidRPr="00E95BBC" w:rsidRDefault="004E61EE" w:rsidP="003A73B9">
      <w:pPr>
        <w:pStyle w:val="TableFootnotes"/>
        <w:numPr>
          <w:ilvl w:val="0"/>
          <w:numId w:val="10"/>
        </w:numPr>
        <w:spacing w:line="260" w:lineRule="atLeast"/>
        <w:ind w:left="284" w:hanging="284"/>
        <w:contextualSpacing/>
        <w:rPr>
          <w:color w:val="auto"/>
        </w:rPr>
      </w:pPr>
      <w:r w:rsidRPr="00E95BBC">
        <w:rPr>
          <w:color w:val="auto"/>
        </w:rPr>
        <w:t>The effective excise rates for all beer categories are lower than the statutory rates listed because the first 1.15 per cent of alcohol content is untaxed.</w:t>
      </w:r>
    </w:p>
    <w:p w:rsidR="002E6855" w:rsidRPr="002E6855" w:rsidRDefault="002E6855">
      <w:pPr>
        <w:rPr>
          <w:rFonts w:cs="Times New Roman"/>
          <w:spacing w:val="-1"/>
        </w:rPr>
      </w:pPr>
      <w:r w:rsidRPr="002E6855">
        <w:br w:type="page"/>
      </w:r>
    </w:p>
    <w:p w:rsidR="00C421DA" w:rsidRDefault="008334F8" w:rsidP="002E6855">
      <w:pPr>
        <w:pStyle w:val="BodyText"/>
        <w:keepNext/>
        <w:rPr>
          <w:rFonts w:asciiTheme="minorHAnsi" w:hAnsiTheme="minorHAnsi"/>
          <w:sz w:val="22"/>
        </w:rPr>
      </w:pPr>
      <w:r w:rsidRPr="00205ABC">
        <w:rPr>
          <w:rFonts w:asciiTheme="minorHAnsi" w:hAnsiTheme="minorHAnsi"/>
          <w:sz w:val="22"/>
        </w:rPr>
        <w:lastRenderedPageBreak/>
        <w:t>Table 3</w:t>
      </w:r>
      <w:r w:rsidR="00965ACA">
        <w:rPr>
          <w:rFonts w:asciiTheme="minorHAnsi" w:hAnsiTheme="minorHAnsi"/>
          <w:sz w:val="22"/>
        </w:rPr>
        <w:t>-</w:t>
      </w:r>
      <w:r w:rsidRPr="00205ABC">
        <w:rPr>
          <w:rFonts w:asciiTheme="minorHAnsi" w:hAnsiTheme="minorHAnsi"/>
          <w:sz w:val="22"/>
        </w:rPr>
        <w:t>2 below provides the effective excise rates</w:t>
      </w:r>
      <w:r w:rsidRPr="00205ABC">
        <w:rPr>
          <w:rStyle w:val="FootnoteReference"/>
          <w:sz w:val="22"/>
        </w:rPr>
        <w:footnoteReference w:id="1"/>
      </w:r>
      <w:r w:rsidRPr="00205ABC">
        <w:rPr>
          <w:rFonts w:asciiTheme="minorHAnsi" w:hAnsiTheme="minorHAnsi"/>
          <w:sz w:val="22"/>
        </w:rPr>
        <w:t>, quantities and tax receipts that are included in Figure 3</w:t>
      </w:r>
      <w:r w:rsidR="00965ACA">
        <w:rPr>
          <w:rFonts w:asciiTheme="minorHAnsi" w:hAnsiTheme="minorHAnsi"/>
          <w:sz w:val="22"/>
        </w:rPr>
        <w:t>-</w:t>
      </w:r>
      <w:r w:rsidRPr="00205ABC">
        <w:rPr>
          <w:rFonts w:asciiTheme="minorHAnsi" w:hAnsiTheme="minorHAnsi"/>
          <w:sz w:val="22"/>
        </w:rPr>
        <w:t>2.</w:t>
      </w:r>
    </w:p>
    <w:p w:rsidR="00F97162" w:rsidRDefault="00F97162" w:rsidP="00F97162">
      <w:pPr>
        <w:pStyle w:val="Caption"/>
      </w:pPr>
      <w:bookmarkStart w:id="3" w:name="_Ref430683138"/>
      <w:bookmarkStart w:id="4" w:name="_Toc432492401"/>
      <w:r>
        <w:t xml:space="preserve">Table </w:t>
      </w:r>
      <w:r w:rsidR="009B2A57">
        <w:t>3</w:t>
      </w:r>
      <w:r w:rsidR="00965ACA">
        <w:t>-</w:t>
      </w:r>
      <w:fldSimple w:instr=" SEQ Table \* ARABIC \s 1 ">
        <w:r w:rsidR="0081639B">
          <w:rPr>
            <w:noProof/>
          </w:rPr>
          <w:t>2</w:t>
        </w:r>
      </w:fldSimple>
      <w:bookmarkEnd w:id="3"/>
      <w:r>
        <w:t xml:space="preserve">: Effective excise rates, quantities and revenue by alcohol type in </w:t>
      </w:r>
      <w:bookmarkEnd w:id="4"/>
      <w:r w:rsidR="00C73A69">
        <w:t>2015-16</w:t>
      </w:r>
    </w:p>
    <w:tbl>
      <w:tblPr>
        <w:tblStyle w:val="TableGrid"/>
        <w:tblW w:w="5000" w:type="pct"/>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Look w:val="04A0" w:firstRow="1" w:lastRow="0" w:firstColumn="1" w:lastColumn="0" w:noHBand="0" w:noVBand="1"/>
      </w:tblPr>
      <w:tblGrid>
        <w:gridCol w:w="3695"/>
        <w:gridCol w:w="1563"/>
        <w:gridCol w:w="1563"/>
        <w:gridCol w:w="1511"/>
      </w:tblGrid>
      <w:tr w:rsidR="00F97162" w:rsidTr="00E95BB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DE9" w:themeFill="accent3"/>
            <w:vAlign w:val="center"/>
            <w:hideMark/>
          </w:tcPr>
          <w:p w:rsidR="00F97162" w:rsidRPr="003A73B9" w:rsidRDefault="00F97162" w:rsidP="00E95BBC">
            <w:pPr>
              <w:pStyle w:val="TableHeading"/>
              <w:rPr>
                <w:b w:val="0"/>
                <w:color w:val="auto"/>
              </w:rPr>
            </w:pPr>
            <w:r w:rsidRPr="003A73B9">
              <w:rPr>
                <w:b w:val="0"/>
                <w:color w:val="auto"/>
              </w:rPr>
              <w:t>Alcohol type</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DE9" w:themeFill="accent3"/>
            <w:vAlign w:val="center"/>
            <w:hideMark/>
          </w:tcPr>
          <w:p w:rsidR="00F97162" w:rsidRPr="003A73B9" w:rsidRDefault="00F97162" w:rsidP="003A73B9">
            <w:pPr>
              <w:pStyle w:val="TableHeadingCentred"/>
              <w:jc w:val="right"/>
              <w:cnfStyle w:val="100000000000" w:firstRow="1" w:lastRow="0" w:firstColumn="0" w:lastColumn="0" w:oddVBand="0" w:evenVBand="0" w:oddHBand="0" w:evenHBand="0" w:firstRowFirstColumn="0" w:firstRowLastColumn="0" w:lastRowFirstColumn="0" w:lastRowLastColumn="0"/>
              <w:rPr>
                <w:b w:val="0"/>
                <w:vertAlign w:val="superscript"/>
              </w:rPr>
            </w:pPr>
            <w:r w:rsidRPr="003A73B9">
              <w:rPr>
                <w:b w:val="0"/>
              </w:rPr>
              <w:t>Effective rate ($/Lal)</w:t>
            </w:r>
            <w:r w:rsidR="00E95BBC" w:rsidRPr="003A73B9">
              <w:rPr>
                <w:b w:val="0"/>
                <w:vertAlign w:val="superscript"/>
              </w:rPr>
              <w:t>(a)(b)</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DE9" w:themeFill="accent3"/>
            <w:vAlign w:val="center"/>
            <w:hideMark/>
          </w:tcPr>
          <w:p w:rsidR="00F97162" w:rsidRPr="003A73B9" w:rsidRDefault="00F97162" w:rsidP="003A73B9">
            <w:pPr>
              <w:pStyle w:val="TableHeadingCentred"/>
              <w:jc w:val="right"/>
              <w:cnfStyle w:val="100000000000" w:firstRow="1" w:lastRow="0" w:firstColumn="0" w:lastColumn="0" w:oddVBand="0" w:evenVBand="0" w:oddHBand="0" w:evenHBand="0" w:firstRowFirstColumn="0" w:firstRowLastColumn="0" w:lastRowFirstColumn="0" w:lastRowLastColumn="0"/>
              <w:rPr>
                <w:b w:val="0"/>
                <w:vertAlign w:val="superscript"/>
              </w:rPr>
            </w:pPr>
            <w:r w:rsidRPr="003A73B9">
              <w:rPr>
                <w:b w:val="0"/>
              </w:rPr>
              <w:t>Quantity (ML)</w:t>
            </w:r>
            <w:r w:rsidR="00E95BBC" w:rsidRPr="003A73B9">
              <w:rPr>
                <w:b w:val="0"/>
                <w:vertAlign w:val="superscript"/>
              </w:rPr>
              <w:t>(b)</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DE9" w:themeFill="accent3"/>
            <w:vAlign w:val="center"/>
            <w:hideMark/>
          </w:tcPr>
          <w:p w:rsidR="00F97162" w:rsidRPr="003A73B9" w:rsidRDefault="00F97162" w:rsidP="003A73B9">
            <w:pPr>
              <w:pStyle w:val="TableHeadingCentred"/>
              <w:jc w:val="right"/>
              <w:cnfStyle w:val="100000000000" w:firstRow="1" w:lastRow="0" w:firstColumn="0" w:lastColumn="0" w:oddVBand="0" w:evenVBand="0" w:oddHBand="0" w:evenHBand="0" w:firstRowFirstColumn="0" w:firstRowLastColumn="0" w:lastRowFirstColumn="0" w:lastRowLastColumn="0"/>
              <w:rPr>
                <w:b w:val="0"/>
              </w:rPr>
            </w:pPr>
            <w:r w:rsidRPr="003A73B9">
              <w:rPr>
                <w:b w:val="0"/>
              </w:rPr>
              <w:t>Receipts ($ million)</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E95BBC">
            <w:pPr>
              <w:pStyle w:val="TableText"/>
              <w:rPr>
                <w:vertAlign w:val="superscript"/>
              </w:rPr>
            </w:pPr>
            <w:r w:rsidRPr="00205ABC">
              <w:t>Non-commercial beer, low-strength</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1.</w:t>
            </w:r>
            <w:r w:rsidR="00BE38B9" w:rsidRPr="00205ABC">
              <w:t>73</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Right"/>
              <w:cnfStyle w:val="000000100000" w:firstRow="0" w:lastRow="0" w:firstColumn="0" w:lastColumn="0" w:oddVBand="0" w:evenVBand="0" w:oddHBand="1" w:evenHBand="0" w:firstRowFirstColumn="0" w:firstRowLastColumn="0" w:lastRowFirstColumn="0" w:lastRowLastColumn="0"/>
            </w:pPr>
            <w:r w:rsidRPr="00205ABC">
              <w:t>..</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Right"/>
              <w:cnfStyle w:val="000000100000" w:firstRow="0" w:lastRow="0" w:firstColumn="0" w:lastColumn="0" w:oddVBand="0" w:evenVBand="0" w:oddHBand="1" w:evenHBand="0" w:firstRowFirstColumn="0" w:firstRowLastColumn="0" w:lastRowFirstColumn="0" w:lastRowLastColumn="0"/>
            </w:pPr>
            <w:r w:rsidRPr="00205ABC">
              <w:t>..</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pPr>
              <w:pStyle w:val="TableText"/>
              <w:spacing w:after="0"/>
            </w:pPr>
            <w:r w:rsidRPr="00205ABC">
              <w:t xml:space="preserve">Non-commercial beer, </w:t>
            </w:r>
          </w:p>
          <w:p w:rsidR="00F97162" w:rsidRPr="00205ABC" w:rsidRDefault="00F97162">
            <w:pPr>
              <w:pStyle w:val="TableText"/>
              <w:spacing w:before="0"/>
            </w:pPr>
            <w:r w:rsidRPr="00205ABC">
              <w:t>mid- to full-strength</w:t>
            </w:r>
          </w:p>
        </w:tc>
        <w:tc>
          <w:tcPr>
            <w:tcW w:w="938"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2.</w:t>
            </w:r>
            <w:r w:rsidR="00BE38B9" w:rsidRPr="00205ABC">
              <w:t>56</w:t>
            </w:r>
          </w:p>
        </w:tc>
        <w:tc>
          <w:tcPr>
            <w:tcW w:w="938" w:type="pct"/>
            <w:shd w:val="clear" w:color="auto" w:fill="auto"/>
            <w:hideMark/>
          </w:tcPr>
          <w:p w:rsidR="00F97162" w:rsidRPr="00205ABC" w:rsidRDefault="00F97162">
            <w:pPr>
              <w:pStyle w:val="TableTextRight"/>
              <w:cnfStyle w:val="000000000000" w:firstRow="0" w:lastRow="0" w:firstColumn="0" w:lastColumn="0" w:oddVBand="0" w:evenVBand="0" w:oddHBand="0" w:evenHBand="0" w:firstRowFirstColumn="0" w:firstRowLastColumn="0" w:lastRowFirstColumn="0" w:lastRowLastColumn="0"/>
            </w:pPr>
            <w:r w:rsidRPr="00205ABC">
              <w:t>0.1</w:t>
            </w:r>
          </w:p>
        </w:tc>
        <w:tc>
          <w:tcPr>
            <w:tcW w:w="907" w:type="pct"/>
            <w:shd w:val="clear" w:color="auto" w:fill="auto"/>
            <w:hideMark/>
          </w:tcPr>
          <w:p w:rsidR="00F97162" w:rsidRPr="00205ABC" w:rsidRDefault="00F97162">
            <w:pPr>
              <w:pStyle w:val="TableTextRight"/>
              <w:cnfStyle w:val="000000000000" w:firstRow="0" w:lastRow="0" w:firstColumn="0" w:lastColumn="0" w:oddVBand="0" w:evenVBand="0" w:oddHBand="0" w:evenHBand="0" w:firstRowFirstColumn="0" w:firstRowLastColumn="0" w:lastRowFirstColumn="0" w:lastRowLastColumn="0"/>
            </w:pPr>
            <w:r w:rsidRPr="00205ABC">
              <w:t>0.3</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
            </w:pPr>
            <w:r w:rsidRPr="00205ABC">
              <w:t>Draught beer, low-strength</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4.</w:t>
            </w:r>
            <w:r w:rsidR="00BE38B9" w:rsidRPr="00205ABC">
              <w:t>93</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0.</w:t>
            </w:r>
            <w:r w:rsidR="00BE38B9" w:rsidRPr="00205ABC">
              <w:t>3</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1.</w:t>
            </w:r>
            <w:r w:rsidR="00BE38B9" w:rsidRPr="00205ABC">
              <w:t>6</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pPr>
              <w:pStyle w:val="TableText"/>
            </w:pPr>
            <w:r w:rsidRPr="00205ABC">
              <w:t>Draught beer, mid-strength</w:t>
            </w:r>
          </w:p>
        </w:tc>
        <w:tc>
          <w:tcPr>
            <w:tcW w:w="938"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17.19</w:t>
            </w:r>
          </w:p>
        </w:tc>
        <w:tc>
          <w:tcPr>
            <w:tcW w:w="938"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2.</w:t>
            </w:r>
            <w:r w:rsidR="00BE38B9" w:rsidRPr="00205ABC">
              <w:t>1</w:t>
            </w:r>
          </w:p>
        </w:tc>
        <w:tc>
          <w:tcPr>
            <w:tcW w:w="907"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36.5</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
            </w:pPr>
            <w:r w:rsidRPr="00205ABC">
              <w:t>Draught beer, full-strength</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25.</w:t>
            </w:r>
            <w:r w:rsidR="00BE38B9" w:rsidRPr="00205ABC">
              <w:t>81</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Right"/>
              <w:cnfStyle w:val="000000100000" w:firstRow="0" w:lastRow="0" w:firstColumn="0" w:lastColumn="0" w:oddVBand="0" w:evenVBand="0" w:oddHBand="1" w:evenHBand="0" w:firstRowFirstColumn="0" w:firstRowLastColumn="0" w:lastRowFirstColumn="0" w:lastRowLastColumn="0"/>
            </w:pPr>
            <w:r w:rsidRPr="00205ABC">
              <w:t>11.3</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290.4</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pPr>
              <w:pStyle w:val="TableText"/>
            </w:pPr>
            <w:r w:rsidRPr="00205ABC">
              <w:t>Packaged beer, low-strength</w:t>
            </w:r>
          </w:p>
        </w:tc>
        <w:tc>
          <w:tcPr>
            <w:tcW w:w="938"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24.</w:t>
            </w:r>
            <w:r w:rsidR="00BE38B9" w:rsidRPr="00205ABC">
              <w:t>66</w:t>
            </w:r>
          </w:p>
        </w:tc>
        <w:tc>
          <w:tcPr>
            <w:tcW w:w="938"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1.</w:t>
            </w:r>
            <w:r w:rsidR="00BE38B9" w:rsidRPr="00205ABC">
              <w:t>2</w:t>
            </w:r>
          </w:p>
        </w:tc>
        <w:tc>
          <w:tcPr>
            <w:tcW w:w="907"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30.0</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
            </w:pPr>
            <w:r w:rsidRPr="00205ABC">
              <w:t>Packaged beer, mid-strength</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31.</w:t>
            </w:r>
            <w:r w:rsidR="00BE38B9" w:rsidRPr="00205ABC">
              <w:t>96</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9.</w:t>
            </w:r>
            <w:r w:rsidR="00BE38B9" w:rsidRPr="00205ABC">
              <w:t>8</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311.6</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pPr>
              <w:pStyle w:val="TableText"/>
            </w:pPr>
            <w:r w:rsidRPr="00205ABC">
              <w:t>Packaged beer, full-strength</w:t>
            </w:r>
          </w:p>
        </w:tc>
        <w:tc>
          <w:tcPr>
            <w:tcW w:w="938"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36.</w:t>
            </w:r>
            <w:r w:rsidR="00BE38B9" w:rsidRPr="00205ABC">
              <w:t>65</w:t>
            </w:r>
          </w:p>
        </w:tc>
        <w:tc>
          <w:tcPr>
            <w:tcW w:w="938"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46.</w:t>
            </w:r>
            <w:r w:rsidR="00BE38B9" w:rsidRPr="00205ABC">
              <w:t>5</w:t>
            </w:r>
          </w:p>
        </w:tc>
        <w:tc>
          <w:tcPr>
            <w:tcW w:w="907"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1,</w:t>
            </w:r>
            <w:r w:rsidR="00BE38B9" w:rsidRPr="00205ABC">
              <w:t>702.6</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
            </w:pPr>
            <w:r w:rsidRPr="00205ABC">
              <w:t>Brandy</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75.30</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Right"/>
              <w:cnfStyle w:val="000000100000" w:firstRow="0" w:lastRow="0" w:firstColumn="0" w:lastColumn="0" w:oddVBand="0" w:evenVBand="0" w:oddHBand="1" w:evenHBand="0" w:firstRowFirstColumn="0" w:firstRowLastColumn="0" w:lastRowFirstColumn="0" w:lastRowLastColumn="0"/>
            </w:pPr>
            <w:r w:rsidRPr="00205ABC">
              <w:t>0.9</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66.9</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pPr>
              <w:pStyle w:val="TableText"/>
            </w:pPr>
            <w:r w:rsidRPr="00205ABC">
              <w:t>Spirits</w:t>
            </w:r>
          </w:p>
        </w:tc>
        <w:tc>
          <w:tcPr>
            <w:tcW w:w="938"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80.62</w:t>
            </w:r>
          </w:p>
        </w:tc>
        <w:tc>
          <w:tcPr>
            <w:tcW w:w="938" w:type="pct"/>
            <w:shd w:val="clear" w:color="auto" w:fill="auto"/>
            <w:hideMark/>
          </w:tcPr>
          <w:p w:rsidR="00F97162" w:rsidRPr="00205ABC" w:rsidRDefault="00F97162" w:rsidP="00BE38B9">
            <w:pPr>
              <w:pStyle w:val="TableTextRight"/>
              <w:cnfStyle w:val="000000000000" w:firstRow="0" w:lastRow="0" w:firstColumn="0" w:lastColumn="0" w:oddVBand="0" w:evenVBand="0" w:oddHBand="0" w:evenHBand="0" w:firstRowFirstColumn="0" w:firstRowLastColumn="0" w:lastRowFirstColumn="0" w:lastRowLastColumn="0"/>
            </w:pPr>
            <w:r w:rsidRPr="00205ABC">
              <w:t>24.</w:t>
            </w:r>
            <w:r w:rsidR="00BE38B9" w:rsidRPr="00205ABC">
              <w:t>8</w:t>
            </w:r>
          </w:p>
        </w:tc>
        <w:tc>
          <w:tcPr>
            <w:tcW w:w="907"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2,001.1</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5D192D">
            <w:pPr>
              <w:pStyle w:val="TableText"/>
            </w:pPr>
            <w:r w:rsidRPr="00205ABC">
              <w:t>Ready</w:t>
            </w:r>
            <w:r w:rsidRPr="00205ABC">
              <w:noBreakHyphen/>
              <w:t>to</w:t>
            </w:r>
            <w:r w:rsidRPr="00205ABC">
              <w:noBreakHyphen/>
              <w:t>drink beverages</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80.62</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Right"/>
              <w:cnfStyle w:val="000000100000" w:firstRow="0" w:lastRow="0" w:firstColumn="0" w:lastColumn="0" w:oddVBand="0" w:evenVBand="0" w:oddHBand="1" w:evenHBand="0" w:firstRowFirstColumn="0" w:firstRowLastColumn="0" w:lastRowFirstColumn="0" w:lastRowLastColumn="0"/>
            </w:pPr>
            <w:r w:rsidRPr="00205ABC">
              <w:t>11.3</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912.0</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rsidP="00E95BBC">
            <w:pPr>
              <w:pStyle w:val="TableText"/>
              <w:rPr>
                <w:vertAlign w:val="superscript"/>
              </w:rPr>
            </w:pPr>
            <w:r w:rsidRPr="00205ABC">
              <w:t>Wine, $15 cask (4L)</w:t>
            </w:r>
            <w:r w:rsidR="00E95BBC">
              <w:rPr>
                <w:vertAlign w:val="superscript"/>
              </w:rPr>
              <w:t>(c)</w:t>
            </w:r>
          </w:p>
        </w:tc>
        <w:tc>
          <w:tcPr>
            <w:tcW w:w="938" w:type="pct"/>
            <w:shd w:val="clear" w:color="auto" w:fill="auto"/>
            <w:hideMark/>
          </w:tcPr>
          <w:p w:rsidR="00F97162" w:rsidRPr="00205ABC" w:rsidRDefault="00F97162">
            <w:pPr>
              <w:pStyle w:val="TableTextRight"/>
              <w:cnfStyle w:val="000000000000" w:firstRow="0" w:lastRow="0" w:firstColumn="0" w:lastColumn="0" w:oddVBand="0" w:evenVBand="0" w:oddHBand="0" w:evenHBand="0" w:firstRowFirstColumn="0" w:firstRowLastColumn="0" w:lastRowFirstColumn="0" w:lastRowLastColumn="0"/>
            </w:pPr>
            <w:r w:rsidRPr="00205ABC">
              <w:t>2.99</w:t>
            </w:r>
          </w:p>
        </w:tc>
        <w:tc>
          <w:tcPr>
            <w:tcW w:w="938"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13.6</w:t>
            </w:r>
          </w:p>
        </w:tc>
        <w:tc>
          <w:tcPr>
            <w:tcW w:w="907"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40</w:t>
            </w:r>
            <w:r w:rsidR="00F97162" w:rsidRPr="00205ABC">
              <w:t>.8</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E95BBC">
            <w:pPr>
              <w:pStyle w:val="TableText"/>
            </w:pPr>
            <w:r w:rsidRPr="00205ABC">
              <w:t>Wine, $7 bottle</w:t>
            </w:r>
            <w:r w:rsidR="00E95BBC">
              <w:rPr>
                <w:vertAlign w:val="superscript"/>
              </w:rPr>
              <w:t>(c)</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Right"/>
              <w:cnfStyle w:val="000000100000" w:firstRow="0" w:lastRow="0" w:firstColumn="0" w:lastColumn="0" w:oddVBand="0" w:evenVBand="0" w:oddHBand="1" w:evenHBand="0" w:firstRowFirstColumn="0" w:firstRowLastColumn="0" w:lastRowFirstColumn="0" w:lastRowLastColumn="0"/>
            </w:pPr>
            <w:r w:rsidRPr="00205ABC">
              <w:t>7.97</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13.0</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103.8</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rsidP="00E95BBC">
            <w:pPr>
              <w:pStyle w:val="TableText"/>
            </w:pPr>
            <w:r w:rsidRPr="00205ABC">
              <w:t>Wine, $15 bottle</w:t>
            </w:r>
            <w:r w:rsidR="00E95BBC" w:rsidRPr="00E95BBC">
              <w:rPr>
                <w:vertAlign w:val="superscript"/>
              </w:rPr>
              <w:t>(</w:t>
            </w:r>
            <w:r w:rsidR="00E95BBC">
              <w:rPr>
                <w:vertAlign w:val="superscript"/>
              </w:rPr>
              <w:t>c</w:t>
            </w:r>
            <w:r w:rsidR="00E95BBC" w:rsidRPr="00E95BBC">
              <w:rPr>
                <w:vertAlign w:val="superscript"/>
              </w:rPr>
              <w:t>)</w:t>
            </w:r>
          </w:p>
        </w:tc>
        <w:tc>
          <w:tcPr>
            <w:tcW w:w="938" w:type="pct"/>
            <w:shd w:val="clear" w:color="auto" w:fill="auto"/>
            <w:hideMark/>
          </w:tcPr>
          <w:p w:rsidR="00F97162" w:rsidRPr="00205ABC" w:rsidRDefault="00F97162">
            <w:pPr>
              <w:pStyle w:val="TableTextRight"/>
              <w:cnfStyle w:val="000000000000" w:firstRow="0" w:lastRow="0" w:firstColumn="0" w:lastColumn="0" w:oddVBand="0" w:evenVBand="0" w:oddHBand="0" w:evenHBand="0" w:firstRowFirstColumn="0" w:firstRowLastColumn="0" w:lastRowFirstColumn="0" w:lastRowLastColumn="0"/>
            </w:pPr>
            <w:r w:rsidRPr="00205ABC">
              <w:t>17.07</w:t>
            </w:r>
          </w:p>
        </w:tc>
        <w:tc>
          <w:tcPr>
            <w:tcW w:w="938"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31.6</w:t>
            </w:r>
          </w:p>
        </w:tc>
        <w:tc>
          <w:tcPr>
            <w:tcW w:w="907" w:type="pct"/>
            <w:shd w:val="clear" w:color="auto" w:fill="auto"/>
            <w:hideMark/>
          </w:tcPr>
          <w:p w:rsidR="00F97162" w:rsidRPr="00205ABC" w:rsidRDefault="00BE38B9">
            <w:pPr>
              <w:pStyle w:val="TableTextRight"/>
              <w:cnfStyle w:val="000000000000" w:firstRow="0" w:lastRow="0" w:firstColumn="0" w:lastColumn="0" w:oddVBand="0" w:evenVBand="0" w:oddHBand="0" w:evenHBand="0" w:firstRowFirstColumn="0" w:firstRowLastColumn="0" w:lastRowFirstColumn="0" w:lastRowLastColumn="0"/>
            </w:pPr>
            <w:r w:rsidRPr="00205ABC">
              <w:t>540.0</w:t>
            </w:r>
          </w:p>
        </w:tc>
      </w:tr>
      <w:tr w:rsidR="00F97162" w:rsidRPr="00205ABC" w:rsidTr="00E95B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E95BBC">
            <w:pPr>
              <w:pStyle w:val="TableText"/>
            </w:pPr>
            <w:r w:rsidRPr="00205ABC">
              <w:t>Wine, $40 bottle</w:t>
            </w:r>
            <w:r w:rsidR="00E95BBC">
              <w:rPr>
                <w:vertAlign w:val="superscript"/>
              </w:rPr>
              <w:t>(c)</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pPr>
              <w:pStyle w:val="TableTextRight"/>
              <w:cnfStyle w:val="000000100000" w:firstRow="0" w:lastRow="0" w:firstColumn="0" w:lastColumn="0" w:oddVBand="0" w:evenVBand="0" w:oddHBand="1" w:evenHBand="0" w:firstRowFirstColumn="0" w:firstRowLastColumn="0" w:lastRowFirstColumn="0" w:lastRowLastColumn="0"/>
            </w:pPr>
            <w:r w:rsidRPr="00205ABC">
              <w:t>45.52</w:t>
            </w:r>
          </w:p>
        </w:tc>
        <w:tc>
          <w:tcPr>
            <w:tcW w:w="93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F97162" w:rsidP="00BE38B9">
            <w:pPr>
              <w:pStyle w:val="TableTextRight"/>
              <w:cnfStyle w:val="000000100000" w:firstRow="0" w:lastRow="0" w:firstColumn="0" w:lastColumn="0" w:oddVBand="0" w:evenVBand="0" w:oddHBand="1" w:evenHBand="0" w:firstRowFirstColumn="0" w:firstRowLastColumn="0" w:lastRowFirstColumn="0" w:lastRowLastColumn="0"/>
            </w:pPr>
            <w:r w:rsidRPr="00205ABC">
              <w:t>3.</w:t>
            </w:r>
            <w:r w:rsidR="00BE38B9" w:rsidRPr="00205ABC">
              <w:t>7</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rsidR="00F97162" w:rsidRPr="00205ABC" w:rsidRDefault="00BE38B9">
            <w:pPr>
              <w:pStyle w:val="TableTextRight"/>
              <w:cnfStyle w:val="000000100000" w:firstRow="0" w:lastRow="0" w:firstColumn="0" w:lastColumn="0" w:oddVBand="0" w:evenVBand="0" w:oddHBand="1" w:evenHBand="0" w:firstRowFirstColumn="0" w:firstRowLastColumn="0" w:lastRowFirstColumn="0" w:lastRowLastColumn="0"/>
            </w:pPr>
            <w:r w:rsidRPr="00205ABC">
              <w:t>169.4</w:t>
            </w:r>
          </w:p>
        </w:tc>
      </w:tr>
      <w:tr w:rsidR="00F97162" w:rsidRPr="00205ABC" w:rsidTr="00E95BBC">
        <w:trPr>
          <w:cantSplit/>
        </w:trPr>
        <w:tc>
          <w:tcPr>
            <w:cnfStyle w:val="001000000000" w:firstRow="0" w:lastRow="0" w:firstColumn="1" w:lastColumn="0" w:oddVBand="0" w:evenVBand="0" w:oddHBand="0" w:evenHBand="0" w:firstRowFirstColumn="0" w:firstRowLastColumn="0" w:lastRowFirstColumn="0" w:lastRowLastColumn="0"/>
            <w:tcW w:w="2217" w:type="pct"/>
            <w:shd w:val="clear" w:color="auto" w:fill="auto"/>
            <w:hideMark/>
          </w:tcPr>
          <w:p w:rsidR="00F97162" w:rsidRPr="00205ABC" w:rsidRDefault="00F97162" w:rsidP="00E95BBC">
            <w:pPr>
              <w:pStyle w:val="TableText"/>
              <w:rPr>
                <w:b/>
                <w:vertAlign w:val="superscript"/>
              </w:rPr>
            </w:pPr>
            <w:r w:rsidRPr="00205ABC">
              <w:rPr>
                <w:b/>
              </w:rPr>
              <w:t>Total alcohol</w:t>
            </w:r>
            <w:r w:rsidR="00E95BBC" w:rsidRPr="00E95BBC">
              <w:rPr>
                <w:vertAlign w:val="superscript"/>
              </w:rPr>
              <w:t>(</w:t>
            </w:r>
            <w:r w:rsidR="00E95BBC">
              <w:rPr>
                <w:vertAlign w:val="superscript"/>
              </w:rPr>
              <w:t>d</w:t>
            </w:r>
            <w:r w:rsidR="00E95BBC" w:rsidRPr="00E95BBC">
              <w:rPr>
                <w:vertAlign w:val="superscript"/>
              </w:rPr>
              <w:t>)</w:t>
            </w:r>
          </w:p>
        </w:tc>
        <w:tc>
          <w:tcPr>
            <w:tcW w:w="938" w:type="pct"/>
            <w:shd w:val="clear" w:color="auto" w:fill="auto"/>
            <w:hideMark/>
          </w:tcPr>
          <w:p w:rsidR="00F97162" w:rsidRPr="00205ABC" w:rsidRDefault="00F97162">
            <w:pPr>
              <w:pStyle w:val="TableTextRight"/>
              <w:cnfStyle w:val="000000000000" w:firstRow="0" w:lastRow="0" w:firstColumn="0" w:lastColumn="0" w:oddVBand="0" w:evenVBand="0" w:oddHBand="0" w:evenHBand="0" w:firstRowFirstColumn="0" w:firstRowLastColumn="0" w:lastRowFirstColumn="0" w:lastRowLastColumn="0"/>
              <w:rPr>
                <w:b/>
              </w:rPr>
            </w:pPr>
            <w:r w:rsidRPr="00205ABC">
              <w:rPr>
                <w:b/>
              </w:rPr>
              <w:t>36.50</w:t>
            </w:r>
          </w:p>
        </w:tc>
        <w:tc>
          <w:tcPr>
            <w:tcW w:w="938" w:type="pct"/>
            <w:shd w:val="clear" w:color="auto" w:fill="auto"/>
            <w:hideMark/>
          </w:tcPr>
          <w:p w:rsidR="00F97162" w:rsidRPr="00205ABC" w:rsidRDefault="00C96016" w:rsidP="00850939">
            <w:pPr>
              <w:pStyle w:val="TableTextRight"/>
              <w:cnfStyle w:val="000000000000" w:firstRow="0" w:lastRow="0" w:firstColumn="0" w:lastColumn="0" w:oddVBand="0" w:evenVBand="0" w:oddHBand="0" w:evenHBand="0" w:firstRowFirstColumn="0" w:firstRowLastColumn="0" w:lastRowFirstColumn="0" w:lastRowLastColumn="0"/>
              <w:rPr>
                <w:b/>
              </w:rPr>
            </w:pPr>
            <w:r w:rsidRPr="00205ABC">
              <w:rPr>
                <w:b/>
              </w:rPr>
              <w:t>170.</w:t>
            </w:r>
            <w:r w:rsidR="00850939">
              <w:rPr>
                <w:b/>
              </w:rPr>
              <w:t>0</w:t>
            </w:r>
          </w:p>
        </w:tc>
        <w:tc>
          <w:tcPr>
            <w:tcW w:w="907" w:type="pct"/>
            <w:shd w:val="clear" w:color="auto" w:fill="auto"/>
            <w:hideMark/>
          </w:tcPr>
          <w:p w:rsidR="00F97162" w:rsidRPr="00205ABC" w:rsidRDefault="00C96016">
            <w:pPr>
              <w:pStyle w:val="TableTextRight"/>
              <w:cnfStyle w:val="000000000000" w:firstRow="0" w:lastRow="0" w:firstColumn="0" w:lastColumn="0" w:oddVBand="0" w:evenVBand="0" w:oddHBand="0" w:evenHBand="0" w:firstRowFirstColumn="0" w:firstRowLastColumn="0" w:lastRowFirstColumn="0" w:lastRowLastColumn="0"/>
              <w:rPr>
                <w:b/>
              </w:rPr>
            </w:pPr>
            <w:r w:rsidRPr="00205ABC">
              <w:rPr>
                <w:b/>
              </w:rPr>
              <w:t>6,207.0</w:t>
            </w:r>
          </w:p>
        </w:tc>
      </w:tr>
    </w:tbl>
    <w:p w:rsidR="00F97162" w:rsidRPr="002E6855" w:rsidRDefault="00F97162" w:rsidP="00F97162">
      <w:pPr>
        <w:pStyle w:val="Source"/>
        <w:rPr>
          <w:color w:val="auto"/>
        </w:rPr>
      </w:pPr>
      <w:r w:rsidRPr="002E6855">
        <w:rPr>
          <w:color w:val="auto"/>
        </w:rPr>
        <w:t>Source: PBO estimates base</w:t>
      </w:r>
      <w:r w:rsidR="00795C33" w:rsidRPr="002E6855">
        <w:rPr>
          <w:color w:val="auto"/>
        </w:rPr>
        <w:t>d on</w:t>
      </w:r>
      <w:r w:rsidR="00E64E45" w:rsidRPr="002E6855">
        <w:rPr>
          <w:color w:val="auto"/>
        </w:rPr>
        <w:t xml:space="preserve"> the</w:t>
      </w:r>
      <w:r w:rsidR="00795C33" w:rsidRPr="002E6855">
        <w:rPr>
          <w:color w:val="auto"/>
        </w:rPr>
        <w:t xml:space="preserve"> </w:t>
      </w:r>
      <w:r w:rsidR="005D0F23" w:rsidRPr="002E6855">
        <w:rPr>
          <w:color w:val="auto"/>
        </w:rPr>
        <w:t>2015</w:t>
      </w:r>
      <w:r w:rsidR="005D0F23" w:rsidRPr="002E6855">
        <w:rPr>
          <w:color w:val="auto"/>
        </w:rPr>
        <w:noBreakHyphen/>
        <w:t>16 Final Budget Outcome</w:t>
      </w:r>
      <w:r w:rsidR="00795C33" w:rsidRPr="002E6855">
        <w:rPr>
          <w:color w:val="auto"/>
        </w:rPr>
        <w:t>, ABS</w:t>
      </w:r>
      <w:r w:rsidR="005D0F23" w:rsidRPr="002E6855">
        <w:rPr>
          <w:color w:val="auto"/>
        </w:rPr>
        <w:t xml:space="preserve"> Cat. No. </w:t>
      </w:r>
      <w:r w:rsidR="00C76615" w:rsidRPr="002E6855">
        <w:rPr>
          <w:color w:val="auto"/>
        </w:rPr>
        <w:t>4307.0</w:t>
      </w:r>
      <w:r w:rsidRPr="002E6855">
        <w:rPr>
          <w:color w:val="auto"/>
        </w:rPr>
        <w:t>, and excise and excise</w:t>
      </w:r>
      <w:r w:rsidR="00205ABC" w:rsidRPr="002E6855">
        <w:rPr>
          <w:color w:val="auto"/>
        </w:rPr>
        <w:noBreakHyphen/>
      </w:r>
      <w:r w:rsidRPr="002E6855">
        <w:rPr>
          <w:color w:val="auto"/>
        </w:rPr>
        <w:t xml:space="preserve">equivalent </w:t>
      </w:r>
      <w:r w:rsidR="005A46A1" w:rsidRPr="002E6855">
        <w:rPr>
          <w:color w:val="auto"/>
        </w:rPr>
        <w:t xml:space="preserve">customs duty </w:t>
      </w:r>
      <w:r w:rsidRPr="002E6855">
        <w:rPr>
          <w:color w:val="auto"/>
        </w:rPr>
        <w:t>data</w:t>
      </w:r>
      <w:r w:rsidR="005D0F23" w:rsidRPr="002E6855">
        <w:rPr>
          <w:color w:val="auto"/>
        </w:rPr>
        <w:t xml:space="preserve"> from </w:t>
      </w:r>
      <w:r w:rsidR="00BB46E1" w:rsidRPr="002E6855">
        <w:rPr>
          <w:color w:val="auto"/>
        </w:rPr>
        <w:t xml:space="preserve">the </w:t>
      </w:r>
      <w:r w:rsidR="005D0F23" w:rsidRPr="002E6855">
        <w:rPr>
          <w:color w:val="auto"/>
        </w:rPr>
        <w:t>A</w:t>
      </w:r>
      <w:r w:rsidR="00BB46E1" w:rsidRPr="002E6855">
        <w:rPr>
          <w:color w:val="auto"/>
        </w:rPr>
        <w:t xml:space="preserve">ustralian </w:t>
      </w:r>
      <w:r w:rsidR="005D0F23" w:rsidRPr="002E6855">
        <w:rPr>
          <w:color w:val="auto"/>
        </w:rPr>
        <w:t>T</w:t>
      </w:r>
      <w:r w:rsidR="00BB46E1" w:rsidRPr="002E6855">
        <w:rPr>
          <w:color w:val="auto"/>
        </w:rPr>
        <w:t xml:space="preserve">axation </w:t>
      </w:r>
      <w:r w:rsidR="005D0F23" w:rsidRPr="002E6855">
        <w:rPr>
          <w:color w:val="auto"/>
        </w:rPr>
        <w:t>O</w:t>
      </w:r>
      <w:r w:rsidR="00BB46E1" w:rsidRPr="002E6855">
        <w:rPr>
          <w:color w:val="auto"/>
        </w:rPr>
        <w:t>ffice</w:t>
      </w:r>
      <w:r w:rsidR="005D0F23" w:rsidRPr="002E6855">
        <w:rPr>
          <w:color w:val="auto"/>
        </w:rPr>
        <w:t xml:space="preserve"> and D</w:t>
      </w:r>
      <w:r w:rsidR="00BB46E1" w:rsidRPr="002E6855">
        <w:rPr>
          <w:color w:val="auto"/>
        </w:rPr>
        <w:t xml:space="preserve">epartment of </w:t>
      </w:r>
      <w:r w:rsidR="005D0F23" w:rsidRPr="002E6855">
        <w:rPr>
          <w:color w:val="auto"/>
        </w:rPr>
        <w:t>I</w:t>
      </w:r>
      <w:r w:rsidR="00BB46E1" w:rsidRPr="002E6855">
        <w:rPr>
          <w:color w:val="auto"/>
        </w:rPr>
        <w:t xml:space="preserve">mmigration and </w:t>
      </w:r>
      <w:r w:rsidR="005D0F23" w:rsidRPr="002E6855">
        <w:rPr>
          <w:color w:val="auto"/>
        </w:rPr>
        <w:t>B</w:t>
      </w:r>
      <w:r w:rsidR="00BB46E1" w:rsidRPr="002E6855">
        <w:rPr>
          <w:color w:val="auto"/>
        </w:rPr>
        <w:t xml:space="preserve">order </w:t>
      </w:r>
      <w:r w:rsidR="005D0F23" w:rsidRPr="002E6855">
        <w:rPr>
          <w:color w:val="auto"/>
        </w:rPr>
        <w:t>P</w:t>
      </w:r>
      <w:r w:rsidR="00BB46E1" w:rsidRPr="002E6855">
        <w:rPr>
          <w:color w:val="auto"/>
        </w:rPr>
        <w:t>rotection</w:t>
      </w:r>
      <w:r w:rsidR="005D0F23" w:rsidRPr="002E6855">
        <w:rPr>
          <w:color w:val="auto"/>
        </w:rPr>
        <w:t>, respectively</w:t>
      </w:r>
      <w:r w:rsidRPr="002E6855">
        <w:rPr>
          <w:color w:val="auto"/>
        </w:rPr>
        <w:t>.</w:t>
      </w:r>
    </w:p>
    <w:p w:rsidR="00F97162" w:rsidRPr="00E95BBC" w:rsidRDefault="00F97162" w:rsidP="003A73B9">
      <w:pPr>
        <w:pStyle w:val="TableFootnotes"/>
        <w:numPr>
          <w:ilvl w:val="0"/>
          <w:numId w:val="11"/>
        </w:numPr>
        <w:spacing w:line="260" w:lineRule="atLeast"/>
        <w:ind w:left="284" w:hanging="284"/>
        <w:contextualSpacing/>
        <w:rPr>
          <w:color w:val="auto"/>
        </w:rPr>
      </w:pPr>
      <w:r w:rsidRPr="002E6855">
        <w:rPr>
          <w:color w:val="auto"/>
        </w:rPr>
        <w:t>Th</w:t>
      </w:r>
      <w:r w:rsidRPr="00E95BBC">
        <w:rPr>
          <w:color w:val="auto"/>
        </w:rPr>
        <w:t xml:space="preserve">e effective rates are averages across </w:t>
      </w:r>
      <w:r w:rsidR="005E0EC9" w:rsidRPr="00E95BBC">
        <w:rPr>
          <w:color w:val="auto"/>
        </w:rPr>
        <w:t>2015-16</w:t>
      </w:r>
      <w:r w:rsidRPr="00E95BBC">
        <w:rPr>
          <w:color w:val="auto"/>
        </w:rPr>
        <w:t>, so they include the effect of indexation.</w:t>
      </w:r>
    </w:p>
    <w:p w:rsidR="00926971" w:rsidRPr="00E95BBC" w:rsidRDefault="00F97162" w:rsidP="003A73B9">
      <w:pPr>
        <w:pStyle w:val="TableFootnotes"/>
        <w:numPr>
          <w:ilvl w:val="0"/>
          <w:numId w:val="11"/>
        </w:numPr>
        <w:spacing w:line="260" w:lineRule="atLeast"/>
        <w:ind w:left="284" w:hanging="284"/>
        <w:contextualSpacing/>
        <w:rPr>
          <w:color w:val="auto"/>
        </w:rPr>
      </w:pPr>
      <w:r w:rsidRPr="00E95BBC">
        <w:rPr>
          <w:color w:val="auto"/>
        </w:rPr>
        <w:t xml:space="preserve">Beer quantities include total quantities of alcohol, not just taxable quantities, based on excise and excise-equivalent </w:t>
      </w:r>
      <w:r w:rsidR="00E64E45" w:rsidRPr="00E95BBC">
        <w:rPr>
          <w:color w:val="auto"/>
        </w:rPr>
        <w:t>customs</w:t>
      </w:r>
      <w:r w:rsidR="00B75F15" w:rsidRPr="00E95BBC">
        <w:rPr>
          <w:color w:val="auto"/>
        </w:rPr>
        <w:t xml:space="preserve"> duty</w:t>
      </w:r>
      <w:r w:rsidR="00E64E45" w:rsidRPr="00E95BBC">
        <w:rPr>
          <w:color w:val="auto"/>
        </w:rPr>
        <w:t xml:space="preserve"> </w:t>
      </w:r>
      <w:r w:rsidRPr="00E95BBC">
        <w:rPr>
          <w:color w:val="auto"/>
        </w:rPr>
        <w:t>data.  The statutory excise rates for the eight beer categories have then been adjusted downwards to get an average rate across total alcohol volumes.  The PBO has assumed beer has an alcohol content of 2.9</w:t>
      </w:r>
      <w:r w:rsidR="008334F8" w:rsidRPr="00E95BBC">
        <w:rPr>
          <w:color w:val="auto"/>
        </w:rPr>
        <w:t> per cent</w:t>
      </w:r>
      <w:r w:rsidRPr="00E95BBC">
        <w:rPr>
          <w:color w:val="auto"/>
        </w:rPr>
        <w:t>, 3.5</w:t>
      </w:r>
      <w:r w:rsidR="008334F8" w:rsidRPr="00E95BBC">
        <w:rPr>
          <w:color w:val="auto"/>
        </w:rPr>
        <w:t> per cent</w:t>
      </w:r>
      <w:r w:rsidRPr="00E95BBC">
        <w:rPr>
          <w:color w:val="auto"/>
        </w:rPr>
        <w:t xml:space="preserve"> and 5.0 per cent for low-strength, mid</w:t>
      </w:r>
      <w:r w:rsidRPr="00E95BBC">
        <w:rPr>
          <w:color w:val="auto"/>
        </w:rPr>
        <w:noBreakHyphen/>
        <w:t>strength and full-strength beer, respectively.</w:t>
      </w:r>
    </w:p>
    <w:p w:rsidR="00F97162" w:rsidRPr="00E95BBC" w:rsidRDefault="00F97162" w:rsidP="003A73B9">
      <w:pPr>
        <w:pStyle w:val="TableFootnotes"/>
        <w:numPr>
          <w:ilvl w:val="0"/>
          <w:numId w:val="11"/>
        </w:numPr>
        <w:spacing w:line="260" w:lineRule="atLeast"/>
        <w:ind w:left="284" w:hanging="284"/>
        <w:contextualSpacing/>
        <w:rPr>
          <w:color w:val="auto"/>
        </w:rPr>
      </w:pPr>
      <w:r w:rsidRPr="00E95BBC">
        <w:rPr>
          <w:color w:val="auto"/>
        </w:rPr>
        <w:lastRenderedPageBreak/>
        <w:t xml:space="preserve">Total wine consumption has been split according to four ‘price point’ categories, each of which is assumed to represent a typical price within a range of prices.  The average effective excise rate for each category is calculated by assuming that the excise rates multiplied by the quantities raises the same amount of revenue </w:t>
      </w:r>
      <w:r w:rsidR="0036650E" w:rsidRPr="00E95BBC">
        <w:rPr>
          <w:color w:val="auto"/>
        </w:rPr>
        <w:t xml:space="preserve">as the net </w:t>
      </w:r>
      <w:r w:rsidR="003A73B9">
        <w:rPr>
          <w:color w:val="auto"/>
        </w:rPr>
        <w:t>Wine Equalisation Tax (</w:t>
      </w:r>
      <w:r w:rsidR="0036650E" w:rsidRPr="00E95BBC">
        <w:rPr>
          <w:color w:val="auto"/>
        </w:rPr>
        <w:t>WET</w:t>
      </w:r>
      <w:r w:rsidR="003A73B9">
        <w:rPr>
          <w:color w:val="auto"/>
        </w:rPr>
        <w:t>)</w:t>
      </w:r>
      <w:r w:rsidR="0036650E" w:rsidRPr="00E95BBC">
        <w:rPr>
          <w:color w:val="auto"/>
        </w:rPr>
        <w:t xml:space="preserve"> raised in 2015-16</w:t>
      </w:r>
      <w:r w:rsidRPr="00E95BBC">
        <w:rPr>
          <w:color w:val="auto"/>
        </w:rPr>
        <w:t xml:space="preserve"> (that is, the effective rates have been reduced to take account of the WET producer rebate).  All wine is assumed to have an alcohol content of 12.5 per cent for the purposes of these calculations.</w:t>
      </w:r>
    </w:p>
    <w:p w:rsidR="00F97162" w:rsidRDefault="00F97162" w:rsidP="003A73B9">
      <w:pPr>
        <w:pStyle w:val="TableFootnotes"/>
        <w:numPr>
          <w:ilvl w:val="0"/>
          <w:numId w:val="11"/>
        </w:numPr>
        <w:spacing w:line="260" w:lineRule="atLeast"/>
        <w:ind w:left="284" w:hanging="284"/>
        <w:contextualSpacing/>
        <w:rPr>
          <w:color w:val="auto"/>
        </w:rPr>
      </w:pPr>
      <w:r w:rsidRPr="00E95BBC">
        <w:rPr>
          <w:color w:val="auto"/>
        </w:rPr>
        <w:t xml:space="preserve">Totals </w:t>
      </w:r>
      <w:r w:rsidRPr="002E6855">
        <w:rPr>
          <w:color w:val="auto"/>
        </w:rPr>
        <w:t>may not add due to rounding</w:t>
      </w:r>
      <w:r w:rsidR="005D0F23" w:rsidRPr="002E6855">
        <w:rPr>
          <w:color w:val="auto"/>
        </w:rPr>
        <w:t xml:space="preserve"> and the total effective tax rate is rounded nearest 0.1</w:t>
      </w:r>
      <w:r w:rsidRPr="002E6855">
        <w:rPr>
          <w:color w:val="auto"/>
        </w:rPr>
        <w:t>.</w:t>
      </w:r>
    </w:p>
    <w:p w:rsidR="00E95BBC" w:rsidRPr="00E95BBC" w:rsidRDefault="00E95BBC" w:rsidP="00E95BBC">
      <w:pPr>
        <w:pStyle w:val="TableFootnotes"/>
        <w:spacing w:line="260" w:lineRule="atLeast"/>
        <w:ind w:left="284" w:hanging="284"/>
        <w:contextualSpacing/>
        <w:rPr>
          <w:color w:val="auto"/>
        </w:rPr>
      </w:pPr>
      <w:r>
        <w:rPr>
          <w:color w:val="auto"/>
        </w:rPr>
        <w:t>..</w:t>
      </w:r>
      <w:r>
        <w:rPr>
          <w:color w:val="auto"/>
        </w:rPr>
        <w:tab/>
      </w:r>
      <w:proofErr w:type="gramStart"/>
      <w:r w:rsidRPr="00E95BBC">
        <w:rPr>
          <w:color w:val="auto"/>
        </w:rPr>
        <w:t>means</w:t>
      </w:r>
      <w:proofErr w:type="gramEnd"/>
      <w:r w:rsidRPr="00E95BBC">
        <w:rPr>
          <w:color w:val="auto"/>
        </w:rPr>
        <w:t xml:space="preserve"> not zero but rounded to zero.</w:t>
      </w:r>
    </w:p>
    <w:p w:rsidR="00C421DA" w:rsidRDefault="00C421DA">
      <w:pPr>
        <w:rPr>
          <w:color w:val="788184" w:themeColor="background2"/>
          <w:sz w:val="20"/>
        </w:rPr>
      </w:pPr>
      <w:r>
        <w:br w:type="page"/>
      </w:r>
    </w:p>
    <w:p w:rsidR="00930B91" w:rsidRPr="00930B91" w:rsidRDefault="00771CFA" w:rsidP="00930B91">
      <w:pPr>
        <w:pStyle w:val="BodyText"/>
        <w:rPr>
          <w:rFonts w:asciiTheme="minorHAnsi" w:hAnsiTheme="minorHAnsi"/>
          <w:sz w:val="22"/>
        </w:rPr>
      </w:pPr>
      <w:r>
        <w:rPr>
          <w:rFonts w:asciiTheme="minorHAnsi" w:hAnsiTheme="minorHAnsi"/>
          <w:sz w:val="22"/>
        </w:rPr>
        <w:lastRenderedPageBreak/>
        <w:t xml:space="preserve">Figure </w:t>
      </w:r>
      <w:r w:rsidR="001A6F6F">
        <w:rPr>
          <w:rFonts w:asciiTheme="minorHAnsi" w:hAnsiTheme="minorHAnsi"/>
          <w:sz w:val="22"/>
        </w:rPr>
        <w:t xml:space="preserve">3-2 </w:t>
      </w:r>
      <w:r w:rsidR="00930B91" w:rsidRPr="00930B91">
        <w:rPr>
          <w:rFonts w:asciiTheme="minorHAnsi" w:hAnsiTheme="minorHAnsi"/>
          <w:sz w:val="22"/>
        </w:rPr>
        <w:t xml:space="preserve">below depicts the taxation treatment of alcohol in </w:t>
      </w:r>
      <w:r w:rsidR="00646AA8">
        <w:rPr>
          <w:rFonts w:asciiTheme="minorHAnsi" w:hAnsiTheme="minorHAnsi"/>
          <w:sz w:val="22"/>
        </w:rPr>
        <w:t>2015-16</w:t>
      </w:r>
      <w:r w:rsidR="00930B91" w:rsidRPr="00930B91">
        <w:rPr>
          <w:rFonts w:asciiTheme="minorHAnsi" w:hAnsiTheme="minorHAnsi"/>
          <w:sz w:val="22"/>
        </w:rPr>
        <w:t>, where the vertical axis represents the effective excise rate</w:t>
      </w:r>
      <w:r w:rsidR="00930B91" w:rsidRPr="00930B91">
        <w:rPr>
          <w:rStyle w:val="FootnoteReference"/>
          <w:sz w:val="22"/>
        </w:rPr>
        <w:footnoteReference w:id="2"/>
      </w:r>
      <w:r w:rsidR="00930B91" w:rsidRPr="00930B91">
        <w:rPr>
          <w:rFonts w:asciiTheme="minorHAnsi" w:hAnsiTheme="minorHAnsi"/>
          <w:sz w:val="22"/>
        </w:rPr>
        <w:t xml:space="preserve"> and the horizontal axis represents the quantity of alcohol for each beverage type</w:t>
      </w:r>
      <w:r w:rsidR="00930B91" w:rsidRPr="00930B91">
        <w:rPr>
          <w:rStyle w:val="FootnoteReference"/>
          <w:sz w:val="22"/>
        </w:rPr>
        <w:footnoteReference w:id="3"/>
      </w:r>
      <w:r w:rsidR="00930B91" w:rsidRPr="00930B91">
        <w:rPr>
          <w:rFonts w:asciiTheme="minorHAnsi" w:hAnsiTheme="minorHAnsi"/>
          <w:sz w:val="22"/>
        </w:rPr>
        <w:t xml:space="preserve"> in </w:t>
      </w:r>
      <w:proofErr w:type="spellStart"/>
      <w:r w:rsidR="00930B91" w:rsidRPr="00930B91">
        <w:rPr>
          <w:rFonts w:asciiTheme="minorHAnsi" w:hAnsiTheme="minorHAnsi"/>
          <w:sz w:val="22"/>
        </w:rPr>
        <w:t>megalitres</w:t>
      </w:r>
      <w:proofErr w:type="spellEnd"/>
      <w:r w:rsidR="00930B91" w:rsidRPr="00930B91">
        <w:rPr>
          <w:rFonts w:asciiTheme="minorHAnsi" w:hAnsiTheme="minorHAnsi"/>
          <w:sz w:val="22"/>
        </w:rPr>
        <w:t xml:space="preserve"> (ML).  The area of each bar in the chart represents the total tax revenue for each beverage.</w:t>
      </w:r>
    </w:p>
    <w:p w:rsidR="00930B91" w:rsidRPr="00930B91" w:rsidRDefault="008A37BF" w:rsidP="00E95BBC">
      <w:pPr>
        <w:pStyle w:val="BodyText"/>
        <w:spacing w:after="113"/>
        <w:rPr>
          <w:rFonts w:asciiTheme="minorHAnsi" w:hAnsiTheme="minorHAnsi"/>
          <w:sz w:val="22"/>
        </w:rPr>
      </w:pPr>
      <w:r>
        <w:rPr>
          <w:rFonts w:asciiTheme="minorHAnsi" w:hAnsiTheme="minorHAnsi"/>
          <w:sz w:val="22"/>
        </w:rPr>
        <w:t xml:space="preserve">Figure 3-2 </w:t>
      </w:r>
      <w:r w:rsidR="00930B91" w:rsidRPr="00930B91">
        <w:rPr>
          <w:rFonts w:asciiTheme="minorHAnsi" w:hAnsiTheme="minorHAnsi"/>
          <w:sz w:val="22"/>
        </w:rPr>
        <w:t xml:space="preserve">shows that: </w:t>
      </w:r>
    </w:p>
    <w:p w:rsidR="00930B91" w:rsidRPr="00930B91" w:rsidRDefault="00930B91" w:rsidP="003A73B9">
      <w:pPr>
        <w:pStyle w:val="ListBullet"/>
        <w:numPr>
          <w:ilvl w:val="0"/>
          <w:numId w:val="9"/>
        </w:numPr>
        <w:rPr>
          <w:rFonts w:asciiTheme="minorHAnsi" w:hAnsiTheme="minorHAnsi"/>
          <w:sz w:val="22"/>
        </w:rPr>
      </w:pPr>
      <w:r w:rsidRPr="00930B91">
        <w:rPr>
          <w:rFonts w:asciiTheme="minorHAnsi" w:hAnsiTheme="minorHAnsi"/>
          <w:sz w:val="22"/>
        </w:rPr>
        <w:t>the effective excise rates vary significantly across product types</w:t>
      </w:r>
    </w:p>
    <w:p w:rsidR="00930B91" w:rsidRPr="00205ABC" w:rsidRDefault="00930B91" w:rsidP="003A73B9">
      <w:pPr>
        <w:pStyle w:val="ListBullet"/>
        <w:numPr>
          <w:ilvl w:val="0"/>
          <w:numId w:val="9"/>
        </w:numPr>
        <w:rPr>
          <w:rFonts w:asciiTheme="minorHAnsi" w:hAnsiTheme="minorHAnsi"/>
          <w:sz w:val="22"/>
        </w:rPr>
      </w:pPr>
      <w:r w:rsidRPr="00205ABC">
        <w:rPr>
          <w:rFonts w:asciiTheme="minorHAnsi" w:hAnsiTheme="minorHAnsi"/>
          <w:sz w:val="22"/>
        </w:rPr>
        <w:t>full-strength packaged beer, mid-priced wine and spirits are consumed most, accounting for around 60 per cent of all alcohol consumption</w:t>
      </w:r>
    </w:p>
    <w:p w:rsidR="00930B91" w:rsidRPr="00205ABC" w:rsidRDefault="00930B91" w:rsidP="003A73B9">
      <w:pPr>
        <w:pStyle w:val="ListBullet2"/>
        <w:numPr>
          <w:ilvl w:val="1"/>
          <w:numId w:val="9"/>
        </w:numPr>
        <w:rPr>
          <w:rFonts w:asciiTheme="minorHAnsi" w:hAnsiTheme="minorHAnsi"/>
          <w:sz w:val="22"/>
        </w:rPr>
      </w:pPr>
      <w:r w:rsidRPr="00205ABC">
        <w:rPr>
          <w:rFonts w:asciiTheme="minorHAnsi" w:hAnsiTheme="minorHAnsi"/>
          <w:sz w:val="22"/>
        </w:rPr>
        <w:t>of these, full-strength packaged beer has the highest level of consumption and has an effective excise rate that is very similar to the ‘average effective excise rate’ which is defined below</w:t>
      </w:r>
    </w:p>
    <w:p w:rsidR="00930B91" w:rsidRPr="00205ABC" w:rsidRDefault="00930B91" w:rsidP="003A73B9">
      <w:pPr>
        <w:pStyle w:val="ListBullet"/>
        <w:numPr>
          <w:ilvl w:val="0"/>
          <w:numId w:val="9"/>
        </w:numPr>
        <w:rPr>
          <w:rFonts w:asciiTheme="minorHAnsi" w:hAnsiTheme="minorHAnsi"/>
          <w:sz w:val="22"/>
        </w:rPr>
      </w:pPr>
      <w:r w:rsidRPr="00205ABC">
        <w:rPr>
          <w:rFonts w:asciiTheme="minorHAnsi" w:hAnsiTheme="minorHAnsi"/>
          <w:sz w:val="22"/>
        </w:rPr>
        <w:t>there is very low consumption of certain beverage types, for example, non-commercial beer</w:t>
      </w:r>
      <w:r w:rsidR="00C96016">
        <w:rPr>
          <w:rFonts w:asciiTheme="minorHAnsi" w:hAnsiTheme="minorHAnsi"/>
          <w:sz w:val="22"/>
        </w:rPr>
        <w:t>, low-strength draught beer</w:t>
      </w:r>
      <w:r w:rsidRPr="00205ABC">
        <w:rPr>
          <w:rFonts w:asciiTheme="minorHAnsi" w:hAnsiTheme="minorHAnsi"/>
          <w:sz w:val="22"/>
        </w:rPr>
        <w:t xml:space="preserve"> and brandy, which are represented by very thin bars in the chart</w:t>
      </w:r>
    </w:p>
    <w:p w:rsidR="00930B91" w:rsidRPr="00205ABC" w:rsidRDefault="00930B91" w:rsidP="003A73B9">
      <w:pPr>
        <w:pStyle w:val="ListBullet"/>
        <w:numPr>
          <w:ilvl w:val="0"/>
          <w:numId w:val="9"/>
        </w:numPr>
        <w:rPr>
          <w:rFonts w:asciiTheme="minorHAnsi" w:hAnsiTheme="minorHAnsi"/>
          <w:sz w:val="22"/>
        </w:rPr>
      </w:pPr>
      <w:r w:rsidRPr="00205ABC">
        <w:rPr>
          <w:rFonts w:asciiTheme="minorHAnsi" w:hAnsiTheme="minorHAnsi"/>
          <w:sz w:val="22"/>
        </w:rPr>
        <w:t>the most expensive wine category (assumed to be $40 per bottle) has a relatively high effective excise rate compared to other wine, of around $46 per litre of alcohol, due to this type of wine attracting a relatively larger amount of tax under the WET.</w:t>
      </w:r>
    </w:p>
    <w:p w:rsidR="00F97162" w:rsidRPr="00553082" w:rsidRDefault="00930B91" w:rsidP="00553082">
      <w:pPr>
        <w:pStyle w:val="BodyText"/>
        <w:rPr>
          <w:rFonts w:asciiTheme="minorHAnsi" w:hAnsiTheme="minorHAnsi"/>
          <w:sz w:val="22"/>
        </w:rPr>
      </w:pPr>
      <w:r w:rsidRPr="00930B91">
        <w:rPr>
          <w:rFonts w:asciiTheme="minorHAnsi" w:hAnsiTheme="minorHAnsi"/>
          <w:sz w:val="22"/>
        </w:rPr>
        <w:t xml:space="preserve">To provide a common point of comparison within the chart, a weighted-average effective excise rate (using quantities of alcohol as the weights) has been calculated across all product types (including wine).  The PBO estimates that the average effective excise rate in </w:t>
      </w:r>
      <w:r w:rsidR="00976473">
        <w:rPr>
          <w:rFonts w:asciiTheme="minorHAnsi" w:hAnsiTheme="minorHAnsi"/>
          <w:sz w:val="22"/>
        </w:rPr>
        <w:t>2015-16</w:t>
      </w:r>
      <w:r w:rsidRPr="00930B91">
        <w:rPr>
          <w:rFonts w:asciiTheme="minorHAnsi" w:hAnsiTheme="minorHAnsi"/>
          <w:sz w:val="22"/>
        </w:rPr>
        <w:t xml:space="preserve"> would have been approximately </w:t>
      </w:r>
      <w:r w:rsidRPr="00205ABC">
        <w:rPr>
          <w:rFonts w:asciiTheme="minorHAnsi" w:hAnsiTheme="minorHAnsi"/>
          <w:sz w:val="22"/>
        </w:rPr>
        <w:t>$36.50</w:t>
      </w:r>
      <w:r w:rsidRPr="00930B91">
        <w:rPr>
          <w:rFonts w:asciiTheme="minorHAnsi" w:hAnsiTheme="minorHAnsi"/>
          <w:sz w:val="22"/>
        </w:rPr>
        <w:t xml:space="preserve"> per litre of alcohol</w:t>
      </w:r>
      <w:r w:rsidR="00C76615">
        <w:rPr>
          <w:rFonts w:asciiTheme="minorHAnsi" w:hAnsiTheme="minorHAnsi"/>
          <w:sz w:val="22"/>
        </w:rPr>
        <w:t xml:space="preserve"> (which is unchanged from the 2014</w:t>
      </w:r>
      <w:r w:rsidR="00C76615">
        <w:rPr>
          <w:rFonts w:asciiTheme="minorHAnsi" w:hAnsiTheme="minorHAnsi"/>
          <w:sz w:val="22"/>
        </w:rPr>
        <w:noBreakHyphen/>
        <w:t>15 estimate</w:t>
      </w:r>
      <w:r w:rsidR="00D46C32">
        <w:rPr>
          <w:rFonts w:asciiTheme="minorHAnsi" w:hAnsiTheme="minorHAnsi"/>
          <w:sz w:val="22"/>
        </w:rPr>
        <w:t xml:space="preserve"> due to rounding</w:t>
      </w:r>
      <w:r w:rsidR="00C76615">
        <w:rPr>
          <w:rFonts w:asciiTheme="minorHAnsi" w:hAnsiTheme="minorHAnsi"/>
          <w:sz w:val="22"/>
        </w:rPr>
        <w:t>)</w:t>
      </w:r>
      <w:r w:rsidRPr="00930B91">
        <w:rPr>
          <w:rFonts w:asciiTheme="minorHAnsi" w:hAnsiTheme="minorHAnsi"/>
          <w:sz w:val="22"/>
        </w:rPr>
        <w:t>.</w:t>
      </w:r>
      <w:r w:rsidRPr="00930B91">
        <w:rPr>
          <w:rStyle w:val="FootnoteReference"/>
          <w:sz w:val="22"/>
        </w:rPr>
        <w:footnoteReference w:id="4"/>
      </w:r>
    </w:p>
    <w:p w:rsidR="00553082" w:rsidRDefault="00553082">
      <w:pPr>
        <w:rPr>
          <w:color w:val="788184" w:themeColor="background2"/>
          <w:sz w:val="20"/>
        </w:rPr>
      </w:pPr>
    </w:p>
    <w:p w:rsidR="00B07F03" w:rsidRDefault="00B07F03" w:rsidP="00F97162">
      <w:pPr>
        <w:pStyle w:val="TableFootnotes"/>
        <w:ind w:left="227" w:hanging="227"/>
        <w:sectPr w:rsidR="00B07F03" w:rsidSect="00842A35">
          <w:headerReference w:type="even" r:id="rId9"/>
          <w:footerReference w:type="even" r:id="rId10"/>
          <w:footerReference w:type="default" r:id="rId11"/>
          <w:headerReference w:type="first" r:id="rId12"/>
          <w:footerReference w:type="first" r:id="rId13"/>
          <w:pgSz w:w="11906" w:h="16838" w:code="9"/>
          <w:pgMar w:top="1361" w:right="1797" w:bottom="1474" w:left="1797" w:header="1134" w:footer="709" w:gutter="0"/>
          <w:pgNumType w:start="1"/>
          <w:cols w:space="708"/>
          <w:titlePg/>
          <w:docGrid w:linePitch="360"/>
        </w:sectPr>
      </w:pPr>
    </w:p>
    <w:p w:rsidR="008334F8" w:rsidRDefault="008334F8" w:rsidP="00965ACA">
      <w:pPr>
        <w:pStyle w:val="Caption"/>
        <w:spacing w:before="0"/>
      </w:pPr>
      <w:r w:rsidRPr="006006DB">
        <w:lastRenderedPageBreak/>
        <w:t>Figure 3-2: Effective excise rates by volume in 2015-16</w:t>
      </w:r>
    </w:p>
    <w:p w:rsidR="00B07F03" w:rsidRDefault="00C96016" w:rsidP="00F97162">
      <w:pPr>
        <w:pStyle w:val="TableFootnotes"/>
        <w:ind w:left="227" w:hanging="227"/>
      </w:pPr>
      <w:r>
        <w:rPr>
          <w:noProof/>
          <w:lang w:eastAsia="en-AU"/>
        </w:rPr>
        <w:drawing>
          <wp:inline distT="0" distB="0" distL="0" distR="0" wp14:anchorId="6BC1A3C8" wp14:editId="7EB51209">
            <wp:extent cx="8239125" cy="46714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78860" cy="4694015"/>
                    </a:xfrm>
                    <a:prstGeom prst="rect">
                      <a:avLst/>
                    </a:prstGeom>
                    <a:noFill/>
                    <a:ln>
                      <a:noFill/>
                    </a:ln>
                  </pic:spPr>
                </pic:pic>
              </a:graphicData>
            </a:graphic>
          </wp:inline>
        </w:drawing>
      </w:r>
    </w:p>
    <w:p w:rsidR="008334F8" w:rsidRPr="002E6855" w:rsidRDefault="00FB6603" w:rsidP="003A73B9">
      <w:pPr>
        <w:pStyle w:val="Source"/>
        <w:spacing w:before="120"/>
        <w:rPr>
          <w:color w:val="auto"/>
        </w:rPr>
      </w:pPr>
      <w:r w:rsidRPr="002E6855">
        <w:rPr>
          <w:color w:val="auto"/>
        </w:rPr>
        <w:t xml:space="preserve">Source: PBO estimates based on </w:t>
      </w:r>
      <w:r w:rsidR="00E64E45" w:rsidRPr="002E6855">
        <w:rPr>
          <w:color w:val="auto"/>
        </w:rPr>
        <w:t xml:space="preserve">the </w:t>
      </w:r>
      <w:r w:rsidRPr="002E6855">
        <w:rPr>
          <w:color w:val="auto"/>
        </w:rPr>
        <w:t>2015</w:t>
      </w:r>
      <w:r w:rsidRPr="002E6855">
        <w:rPr>
          <w:color w:val="auto"/>
        </w:rPr>
        <w:noBreakHyphen/>
        <w:t>16 Final Budget Outcome, ABS Cat. No. 4307.0, and excise and excise</w:t>
      </w:r>
      <w:r w:rsidRPr="002E6855">
        <w:rPr>
          <w:color w:val="auto"/>
        </w:rPr>
        <w:noBreakHyphen/>
        <w:t>equivalent customs duty data from the Australian Taxation Office and Department of Immigration and Border Protection, respectively.</w:t>
      </w:r>
    </w:p>
    <w:sectPr w:rsidR="008334F8" w:rsidRPr="002E6855" w:rsidSect="00763BEC">
      <w:headerReference w:type="first" r:id="rId15"/>
      <w:footerReference w:type="first" r:id="rId16"/>
      <w:pgSz w:w="16838" w:h="11906" w:orient="landscape" w:code="9"/>
      <w:pgMar w:top="1440" w:right="1440" w:bottom="1440" w:left="1440"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3B" w:rsidRDefault="00FB1F3B" w:rsidP="00A20802">
      <w:pPr>
        <w:spacing w:line="240" w:lineRule="auto"/>
      </w:pPr>
      <w:r>
        <w:separator/>
      </w:r>
    </w:p>
    <w:p w:rsidR="00FB1F3B" w:rsidRDefault="00FB1F3B"/>
  </w:endnote>
  <w:endnote w:type="continuationSeparator" w:id="0">
    <w:p w:rsidR="00FB1F3B" w:rsidRDefault="00FB1F3B" w:rsidP="00A20802">
      <w:pPr>
        <w:spacing w:line="240" w:lineRule="auto"/>
      </w:pPr>
      <w:r>
        <w:continuationSeparator/>
      </w:r>
    </w:p>
    <w:p w:rsidR="00FB1F3B" w:rsidRDefault="00FB1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842A35" w:rsidRPr="00EB388E" w:rsidTr="00C80200">
      <w:trPr>
        <w:trHeight w:val="340"/>
      </w:trPr>
      <w:tc>
        <w:tcPr>
          <w:tcW w:w="567" w:type="dxa"/>
          <w:tcBorders>
            <w:right w:val="single" w:sz="4" w:space="0" w:color="788184" w:themeColor="background2"/>
          </w:tcBorders>
          <w:vAlign w:val="center"/>
        </w:tcPr>
        <w:p w:rsidR="00842A35" w:rsidRPr="00CB70DF" w:rsidRDefault="00842A35"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81639B">
            <w:rPr>
              <w:noProof/>
            </w:rPr>
            <w:t>1</w:t>
          </w:r>
          <w:r w:rsidRPr="00EB388E">
            <w:fldChar w:fldCharType="end"/>
          </w:r>
        </w:p>
      </w:tc>
      <w:tc>
        <w:tcPr>
          <w:tcW w:w="8164" w:type="dxa"/>
          <w:tcBorders>
            <w:left w:val="single" w:sz="4" w:space="0" w:color="788184" w:themeColor="background2"/>
          </w:tcBorders>
          <w:vAlign w:val="center"/>
        </w:tcPr>
        <w:p w:rsidR="00842A35" w:rsidRPr="00CB70DF" w:rsidRDefault="00842A35" w:rsidP="00C80200">
          <w:pPr>
            <w:pStyle w:val="FooterLeft"/>
            <w:framePr w:wrap="auto" w:vAnchor="margin" w:hAnchor="text" w:yAlign="inline"/>
          </w:pPr>
          <w:r>
            <w:fldChar w:fldCharType="begin"/>
          </w:r>
          <w:r>
            <w:instrText xml:space="preserve"> STYLEREF  Title  \* MERGEFORMAT </w:instrText>
          </w:r>
          <w:r>
            <w:fldChar w:fldCharType="separate"/>
          </w:r>
          <w:r w:rsidR="0081639B">
            <w:rPr>
              <w:b/>
              <w:bCs/>
              <w:noProof/>
              <w:lang w:val="en-US"/>
            </w:rPr>
            <w:t>Error! No text of specified style in document.</w:t>
          </w:r>
          <w:r>
            <w:rPr>
              <w:noProof/>
            </w:rPr>
            <w:fldChar w:fldCharType="end"/>
          </w:r>
        </w:p>
      </w:tc>
    </w:tr>
    <w:tr w:rsidR="00842A35" w:rsidRPr="00EB388E" w:rsidTr="00C80200">
      <w:trPr>
        <w:trHeight w:hRule="exact" w:val="403"/>
      </w:trPr>
      <w:tc>
        <w:tcPr>
          <w:tcW w:w="567" w:type="dxa"/>
          <w:tcMar>
            <w:bottom w:w="284" w:type="dxa"/>
          </w:tcMar>
        </w:tcPr>
        <w:p w:rsidR="00842A35" w:rsidRPr="00EB388E" w:rsidRDefault="00842A35" w:rsidP="00C80200">
          <w:pPr>
            <w:pStyle w:val="FooterRightPageNumber"/>
          </w:pPr>
        </w:p>
      </w:tc>
      <w:tc>
        <w:tcPr>
          <w:tcW w:w="8164" w:type="dxa"/>
          <w:tcMar>
            <w:bottom w:w="284" w:type="dxa"/>
          </w:tcMar>
        </w:tcPr>
        <w:p w:rsidR="00842A35" w:rsidRPr="00090E70" w:rsidRDefault="00842A35" w:rsidP="00C80200"/>
      </w:tc>
    </w:tr>
  </w:tbl>
  <w:p w:rsidR="00842A35" w:rsidRDefault="00842A35">
    <w:pPr>
      <w:pStyle w:val="Footer"/>
    </w:pPr>
  </w:p>
  <w:p w:rsidR="00842A35" w:rsidRPr="004816D7" w:rsidRDefault="00842A35" w:rsidP="00481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C42" w:rsidRDefault="00813E79" w:rsidP="00C86C42">
    <w:pPr>
      <w:pStyle w:val="Footer"/>
    </w:pPr>
    <w:sdt>
      <w:sdtPr>
        <w:id w:val="1162820824"/>
        <w:docPartObj>
          <w:docPartGallery w:val="Page Numbers (Top of Page)"/>
          <w:docPartUnique/>
        </w:docPartObj>
      </w:sdtPr>
      <w:sdtEndPr/>
      <w:sdtContent>
        <w:r w:rsidR="00C86C42" w:rsidRPr="00272CBC">
          <w:t xml:space="preserve">Page </w:t>
        </w:r>
        <w:r w:rsidR="00C86C42" w:rsidRPr="00272CBC">
          <w:fldChar w:fldCharType="begin"/>
        </w:r>
        <w:r w:rsidR="00C86C42" w:rsidRPr="00272CBC">
          <w:instrText xml:space="preserve"> PAGE </w:instrText>
        </w:r>
        <w:r w:rsidR="00C86C42" w:rsidRPr="00272CBC">
          <w:fldChar w:fldCharType="separate"/>
        </w:r>
        <w:r>
          <w:rPr>
            <w:noProof/>
          </w:rPr>
          <w:t>5</w:t>
        </w:r>
        <w:r w:rsidR="00C86C42" w:rsidRPr="00272CBC">
          <w:fldChar w:fldCharType="end"/>
        </w:r>
        <w:r w:rsidR="00C86C42" w:rsidRPr="00272CBC">
          <w:t xml:space="preserve"> of </w:t>
        </w:r>
        <w:fldSimple w:instr=" NUMPAGES  ">
          <w:r>
            <w:rPr>
              <w:noProof/>
            </w:rPr>
            <w:t>6</w:t>
          </w:r>
        </w:fldSimple>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35" w:rsidRPr="0073175B" w:rsidRDefault="00842A35" w:rsidP="00842A35">
    <w:pPr>
      <w:pStyle w:val="Footer"/>
    </w:pPr>
    <w:r w:rsidRPr="0073175B">
      <w:t>Parliamentary Budget Office   PO Box 6010   Parliament House   Canberra ACT 2600</w:t>
    </w:r>
  </w:p>
  <w:p w:rsidR="00842A35" w:rsidRPr="00842A35" w:rsidRDefault="00842A35" w:rsidP="00842A35">
    <w:pPr>
      <w:pStyle w:val="Footer"/>
    </w:pPr>
    <w:r w:rsidRPr="0073175B">
      <w:t>Tel: 02 6277 9500   Web: www.pbo.gov.au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46814"/>
      <w:docPartObj>
        <w:docPartGallery w:val="Page Numbers (Bottom of Page)"/>
        <w:docPartUnique/>
      </w:docPartObj>
    </w:sdtPr>
    <w:sdtEndPr/>
    <w:sdtContent>
      <w:sdt>
        <w:sdtPr>
          <w:id w:val="-1669238322"/>
          <w:docPartObj>
            <w:docPartGallery w:val="Page Numbers (Top of Page)"/>
            <w:docPartUnique/>
          </w:docPartObj>
        </w:sdtPr>
        <w:sdtEndPr/>
        <w:sdtContent>
          <w:p w:rsidR="0086173F" w:rsidRPr="00965ACA" w:rsidRDefault="00813E79" w:rsidP="00965ACA">
            <w:pPr>
              <w:pStyle w:val="Footer"/>
            </w:pPr>
            <w:sdt>
              <w:sdtPr>
                <w:id w:val="243540474"/>
                <w:docPartObj>
                  <w:docPartGallery w:val="Page Numbers (Top of Page)"/>
                  <w:docPartUnique/>
                </w:docPartObj>
              </w:sdtPr>
              <w:sdtEndPr/>
              <w:sdtContent>
                <w:r w:rsidR="00763BEC" w:rsidRPr="00272CBC">
                  <w:t xml:space="preserve">Page </w:t>
                </w:r>
                <w:r w:rsidR="00763BEC" w:rsidRPr="00272CBC">
                  <w:fldChar w:fldCharType="begin"/>
                </w:r>
                <w:r w:rsidR="00763BEC" w:rsidRPr="00272CBC">
                  <w:instrText xml:space="preserve"> PAGE </w:instrText>
                </w:r>
                <w:r w:rsidR="00763BEC" w:rsidRPr="00272CBC">
                  <w:fldChar w:fldCharType="separate"/>
                </w:r>
                <w:r>
                  <w:rPr>
                    <w:noProof/>
                  </w:rPr>
                  <w:t>6</w:t>
                </w:r>
                <w:r w:rsidR="00763BEC" w:rsidRPr="00272CBC">
                  <w:fldChar w:fldCharType="end"/>
                </w:r>
                <w:r w:rsidR="00763BEC" w:rsidRPr="00272CBC">
                  <w:t xml:space="preserve"> of </w:t>
                </w:r>
                <w:r>
                  <w:fldChar w:fldCharType="begin"/>
                </w:r>
                <w:r>
                  <w:instrText xml:space="preserve"> NUMPAGES  </w:instrText>
                </w:r>
                <w:r>
                  <w:fldChar w:fldCharType="separate"/>
                </w:r>
                <w:r>
                  <w:rPr>
                    <w:noProof/>
                  </w:rPr>
                  <w:t>6</w:t>
                </w:r>
                <w:r>
                  <w:rPr>
                    <w:noProof/>
                  </w:rPr>
                  <w:fldChar w:fldCharType="end"/>
                </w:r>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3B" w:rsidRPr="000557A7" w:rsidRDefault="00FB1F3B" w:rsidP="008D5A11">
      <w:pPr>
        <w:pBdr>
          <w:top w:val="single" w:sz="4" w:space="1" w:color="auto"/>
        </w:pBdr>
        <w:spacing w:before="240" w:line="60" w:lineRule="exact"/>
        <w:rPr>
          <w:sz w:val="16"/>
          <w:szCs w:val="16"/>
        </w:rPr>
      </w:pPr>
    </w:p>
  </w:footnote>
  <w:footnote w:type="continuationSeparator" w:id="0">
    <w:p w:rsidR="00FB1F3B" w:rsidRDefault="00FB1F3B" w:rsidP="00A20802">
      <w:pPr>
        <w:spacing w:line="240" w:lineRule="auto"/>
      </w:pPr>
      <w:r>
        <w:continuationSeparator/>
      </w:r>
    </w:p>
    <w:p w:rsidR="00FB1F3B" w:rsidRDefault="00FB1F3B"/>
  </w:footnote>
  <w:footnote w:id="1">
    <w:p w:rsidR="008334F8" w:rsidRDefault="008334F8" w:rsidP="00205ABC">
      <w:pPr>
        <w:pStyle w:val="FootnoteText"/>
        <w:tabs>
          <w:tab w:val="clear" w:pos="425"/>
          <w:tab w:val="left" w:pos="567"/>
        </w:tabs>
        <w:ind w:left="170" w:hanging="170"/>
      </w:pPr>
      <w:r w:rsidRPr="00205ABC">
        <w:footnoteRef/>
      </w:r>
      <w:r>
        <w:t xml:space="preserve"> </w:t>
      </w:r>
      <w:r w:rsidRPr="008334F8">
        <w:t xml:space="preserve">This calculation includes an effective excise rate for wine.  The average effective excise rate in </w:t>
      </w:r>
      <w:r w:rsidRPr="00205ABC">
        <w:t>201</w:t>
      </w:r>
      <w:r w:rsidR="00C421DA" w:rsidRPr="00205ABC">
        <w:t>5</w:t>
      </w:r>
      <w:r w:rsidRPr="00205ABC">
        <w:t>-1</w:t>
      </w:r>
      <w:r w:rsidR="00C421DA" w:rsidRPr="00205ABC">
        <w:t>6</w:t>
      </w:r>
      <w:r w:rsidR="00205ABC">
        <w:t xml:space="preserve"> applying </w:t>
      </w:r>
      <w:r w:rsidRPr="008334F8">
        <w:t>across all wine is approximately $</w:t>
      </w:r>
      <w:r w:rsidRPr="00205ABC">
        <w:t>13.80</w:t>
      </w:r>
      <w:r w:rsidRPr="008334F8">
        <w:t xml:space="preserve">.  This average effective excise rate for wine is calculated by assuming that it is the same for all wine, regardless of value, and raises the same amount of revenue as the net WET raised </w:t>
      </w:r>
      <w:r w:rsidRPr="00205ABC">
        <w:t>in 201</w:t>
      </w:r>
      <w:r w:rsidR="00C421DA" w:rsidRPr="00205ABC">
        <w:t>5</w:t>
      </w:r>
      <w:r w:rsidR="00E95BBC">
        <w:t>-</w:t>
      </w:r>
      <w:r w:rsidRPr="00205ABC">
        <w:t>1</w:t>
      </w:r>
      <w:r w:rsidR="00C421DA" w:rsidRPr="00205ABC">
        <w:t>6</w:t>
      </w:r>
      <w:r w:rsidRPr="00205ABC">
        <w:t xml:space="preserve"> (that is,</w:t>
      </w:r>
      <w:r w:rsidRPr="008334F8">
        <w:t xml:space="preserve"> the effective rates have been reduced to take account of the WET producer rebate).  All wine is assumed to have an alcohol content of 12.5 per cent for the purposes of this calculation</w:t>
      </w:r>
      <w:r w:rsidR="00C421DA">
        <w:t>.</w:t>
      </w:r>
    </w:p>
  </w:footnote>
  <w:footnote w:id="2">
    <w:p w:rsidR="00930B91" w:rsidRDefault="00930B91" w:rsidP="002E6855">
      <w:pPr>
        <w:pStyle w:val="FootnoteText"/>
        <w:tabs>
          <w:tab w:val="clear" w:pos="425"/>
          <w:tab w:val="left" w:pos="567"/>
        </w:tabs>
        <w:ind w:left="170" w:hanging="170"/>
      </w:pPr>
      <w:r>
        <w:footnoteRef/>
      </w:r>
      <w:r>
        <w:tab/>
        <w:t>The equivalent excise rate for wine is calculated for certain types of wine, assumed to be $7, $15 and $40</w:t>
      </w:r>
      <w:r w:rsidR="002E6855">
        <w:t> </w:t>
      </w:r>
      <w:r>
        <w:t>bottles, and $15 cask wine.</w:t>
      </w:r>
    </w:p>
  </w:footnote>
  <w:footnote w:id="3">
    <w:p w:rsidR="00930B91" w:rsidRDefault="00930B91" w:rsidP="002E6855">
      <w:pPr>
        <w:pStyle w:val="FootnoteText"/>
        <w:tabs>
          <w:tab w:val="clear" w:pos="425"/>
          <w:tab w:val="left" w:pos="567"/>
        </w:tabs>
        <w:ind w:left="170" w:hanging="170"/>
      </w:pPr>
      <w:r>
        <w:footnoteRef/>
      </w:r>
      <w:r>
        <w:tab/>
        <w:t>The quantities for beer are total quantities, that is, they have been grossed up to include the 1.15 per cent of alcohol content that is currently untaxed.</w:t>
      </w:r>
    </w:p>
  </w:footnote>
  <w:footnote w:id="4">
    <w:p w:rsidR="00930B91" w:rsidRDefault="00930B91" w:rsidP="002E6855">
      <w:pPr>
        <w:pStyle w:val="FootnoteText"/>
        <w:tabs>
          <w:tab w:val="clear" w:pos="425"/>
          <w:tab w:val="left" w:pos="567"/>
        </w:tabs>
        <w:ind w:left="170" w:hanging="170"/>
      </w:pPr>
      <w:r>
        <w:footnoteRef/>
      </w:r>
      <w:r>
        <w:tab/>
        <w:t>This calculation assumes that beer is taxed on all alcohol content (that is, the 1.15 per cent of alcohol content that is currently untaxed has been included).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35" w:rsidRDefault="00842A35">
    <w:pPr>
      <w:pStyle w:val="Header"/>
    </w:pPr>
    <w:r>
      <w:rPr>
        <w:noProof/>
        <w:lang w:eastAsia="en-AU"/>
      </w:rPr>
      <mc:AlternateContent>
        <mc:Choice Requires="wps">
          <w:drawing>
            <wp:anchor distT="0" distB="0" distL="114300" distR="114300" simplePos="0" relativeHeight="251657216" behindDoc="1" locked="1" layoutInCell="1" allowOverlap="1" wp14:anchorId="61E267B8" wp14:editId="45B1E35F">
              <wp:simplePos x="0" y="0"/>
              <wp:positionH relativeFrom="page">
                <wp:align>center</wp:align>
              </wp:positionH>
              <wp:positionV relativeFrom="page">
                <wp:align>center</wp:align>
              </wp:positionV>
              <wp:extent cx="7560000" cy="1796400"/>
              <wp:effectExtent l="0" t="0" r="0" b="0"/>
              <wp:wrapNone/>
              <wp:docPr id="2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A35" w:rsidRPr="0001226A" w:rsidRDefault="00842A35"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cbuAIAAL0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" filled="f" stroked="f">
              <v:textbox>
                <w:txbxContent>
                  <w:p w:rsidR="00842A35" w:rsidRPr="0001226A" w:rsidRDefault="00842A35"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35" w:rsidRDefault="00842A35" w:rsidP="00553082">
    <w:r>
      <w:rPr>
        <w:noProof/>
        <w:lang w:eastAsia="en-AU"/>
      </w:rPr>
      <w:drawing>
        <wp:inline distT="0" distB="0" distL="0" distR="0" wp14:anchorId="546C9212" wp14:editId="642C9F38">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842A35" w:rsidRDefault="00842A35" w:rsidP="00553082">
    <w:pPr>
      <w:pStyle w:val="Header"/>
      <w:tabs>
        <w:tab w:val="left" w:pos="10382"/>
      </w:tabs>
      <w:spacing w:before="720" w:after="720"/>
      <w:ind w:left="5783"/>
    </w:pPr>
    <w:r>
      <w:t>P</w:t>
    </w:r>
    <w:r w:rsidRPr="009030A0">
      <w:t>hil Bowen PSM FCPA</w:t>
    </w:r>
    <w:r w:rsidR="00553082">
      <w:tab/>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00" w:rsidRDefault="00FF4F00" w:rsidP="00B243EC">
    <w:pPr>
      <w:pStyle w:val="Cap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751"/>
    <w:multiLevelType w:val="multilevel"/>
    <w:tmpl w:val="C282AD50"/>
    <w:lvl w:ilvl="0">
      <w:start w:val="1"/>
      <w:numFmt w:val="lowerLetter"/>
      <w:lvlText w:val="(%1)"/>
      <w:lvlJc w:val="left"/>
      <w:pPr>
        <w:ind w:left="227" w:hanging="227"/>
      </w:pPr>
      <w:rPr>
        <w:rFonts w:ascii="Times New Roman" w:hAnsi="Times New Roman" w:hint="default"/>
        <w:b w:val="0"/>
        <w:i w:val="0"/>
        <w:color w:val="auto"/>
        <w:spacing w:val="0"/>
        <w:sz w:val="20"/>
        <w:szCs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1">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9816F91C"/>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0FB2573F"/>
    <w:multiLevelType w:val="multilevel"/>
    <w:tmpl w:val="93FEDA8E"/>
    <w:name w:val="TableFootnotes"/>
    <w:lvl w:ilvl="0">
      <w:start w:val="1"/>
      <w:numFmt w:val="decimal"/>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4">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3C7D53ED"/>
    <w:multiLevelType w:val="multilevel"/>
    <w:tmpl w:val="C282AD50"/>
    <w:lvl w:ilvl="0">
      <w:start w:val="1"/>
      <w:numFmt w:val="lowerLetter"/>
      <w:lvlText w:val="(%1)"/>
      <w:lvlJc w:val="left"/>
      <w:pPr>
        <w:ind w:left="227" w:hanging="227"/>
      </w:pPr>
      <w:rPr>
        <w:rFonts w:ascii="Times New Roman" w:hAnsi="Times New Roman" w:hint="default"/>
        <w:b w:val="0"/>
        <w:i w:val="0"/>
        <w:color w:val="auto"/>
        <w:spacing w:val="0"/>
        <w:sz w:val="20"/>
        <w:szCs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8">
    <w:nsid w:val="5D0540A9"/>
    <w:multiLevelType w:val="multilevel"/>
    <w:tmpl w:val="27ECDF60"/>
    <w:name w:val="AppendicesNumbering"/>
    <w:lvl w:ilvl="0">
      <w:start w:val="1"/>
      <w:numFmt w:val="upperLetter"/>
      <w:lvlRestart w:val="0"/>
      <w:suff w:val="space"/>
      <w:lvlText w:val="Appendix %1"/>
      <w:lvlJc w:val="left"/>
      <w:pPr>
        <w:ind w:left="0" w:firstLine="0"/>
      </w:pPr>
      <w:rPr>
        <w:rFonts w:hint="default"/>
        <w:b w:val="0"/>
        <w:i w:val="0"/>
        <w:sz w:val="40"/>
      </w:rPr>
    </w:lvl>
    <w:lvl w:ilvl="1">
      <w:start w:val="1"/>
      <w:numFmt w:val="none"/>
      <w:suff w:val="nothing"/>
      <w:lvlText w:val=""/>
      <w:lvlJc w:val="left"/>
      <w:pPr>
        <w:tabs>
          <w:tab w:val="num" w:pos="0"/>
        </w:tabs>
        <w:ind w:left="0" w:firstLine="0"/>
      </w:pPr>
      <w:rPr>
        <w:rFonts w:hint="default"/>
        <w:sz w:val="26"/>
      </w:rPr>
    </w:lvl>
    <w:lvl w:ilvl="2">
      <w:start w:val="1"/>
      <w:numFmt w:val="none"/>
      <w:suff w:val="nothing"/>
      <w:lvlText w:val=""/>
      <w:lvlJc w:val="left"/>
      <w:pPr>
        <w:tabs>
          <w:tab w:val="num" w:pos="0"/>
        </w:tabs>
        <w:ind w:left="0" w:firstLine="0"/>
      </w:pPr>
      <w:rPr>
        <w:rFonts w:hint="default"/>
      </w:rPr>
    </w:lvl>
    <w:lvl w:ilvl="3">
      <w:start w:val="1"/>
      <w:numFmt w:val="none"/>
      <w:lvlRestart w:val="2"/>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9">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
  </w:num>
  <w:num w:numId="2">
    <w:abstractNumId w:val="11"/>
  </w:num>
  <w:num w:numId="3">
    <w:abstractNumId w:val="6"/>
  </w:num>
  <w:num w:numId="4">
    <w:abstractNumId w:val="5"/>
  </w:num>
  <w:num w:numId="5">
    <w:abstractNumId w:val="10"/>
  </w:num>
  <w:num w:numId="6">
    <w:abstractNumId w:val="4"/>
  </w:num>
  <w:num w:numId="7">
    <w:abstractNumId w:val="9"/>
  </w:num>
  <w:num w:numId="8">
    <w:abstractNumId w:val="2"/>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ame" w:val="Appendix"/>
    <w:docVar w:name="Disclaimer" w:val="Fals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True"/>
    <w:docVar w:name="Version" w:val="Version 1"/>
  </w:docVars>
  <w:rsids>
    <w:rsidRoot w:val="00FB1F3B"/>
    <w:rsid w:val="0000322C"/>
    <w:rsid w:val="00003CDD"/>
    <w:rsid w:val="000168A7"/>
    <w:rsid w:val="000278D0"/>
    <w:rsid w:val="00027E62"/>
    <w:rsid w:val="000307C8"/>
    <w:rsid w:val="00030F73"/>
    <w:rsid w:val="00035ADE"/>
    <w:rsid w:val="0004224B"/>
    <w:rsid w:val="00046226"/>
    <w:rsid w:val="000518B3"/>
    <w:rsid w:val="0005330D"/>
    <w:rsid w:val="000557A7"/>
    <w:rsid w:val="00055805"/>
    <w:rsid w:val="00056CB3"/>
    <w:rsid w:val="00066BB8"/>
    <w:rsid w:val="00067A28"/>
    <w:rsid w:val="0007260F"/>
    <w:rsid w:val="000805D5"/>
    <w:rsid w:val="0008103B"/>
    <w:rsid w:val="000853B4"/>
    <w:rsid w:val="00085F97"/>
    <w:rsid w:val="00092A33"/>
    <w:rsid w:val="000A2FEC"/>
    <w:rsid w:val="000A348F"/>
    <w:rsid w:val="000B6942"/>
    <w:rsid w:val="000B6D8D"/>
    <w:rsid w:val="000C09FA"/>
    <w:rsid w:val="000C37A9"/>
    <w:rsid w:val="000C6728"/>
    <w:rsid w:val="000C702E"/>
    <w:rsid w:val="000C7C0F"/>
    <w:rsid w:val="000D15E9"/>
    <w:rsid w:val="000D3182"/>
    <w:rsid w:val="000D45C4"/>
    <w:rsid w:val="000D6550"/>
    <w:rsid w:val="000E18F3"/>
    <w:rsid w:val="000E266E"/>
    <w:rsid w:val="000F1515"/>
    <w:rsid w:val="000F16B5"/>
    <w:rsid w:val="000F2BB5"/>
    <w:rsid w:val="000F616E"/>
    <w:rsid w:val="00110D43"/>
    <w:rsid w:val="001159EA"/>
    <w:rsid w:val="00125410"/>
    <w:rsid w:val="00130858"/>
    <w:rsid w:val="00136C26"/>
    <w:rsid w:val="0014059F"/>
    <w:rsid w:val="00141551"/>
    <w:rsid w:val="001417CE"/>
    <w:rsid w:val="0014479F"/>
    <w:rsid w:val="00154DC5"/>
    <w:rsid w:val="00160C8D"/>
    <w:rsid w:val="001629C0"/>
    <w:rsid w:val="00165122"/>
    <w:rsid w:val="00165854"/>
    <w:rsid w:val="00172C57"/>
    <w:rsid w:val="00173DFD"/>
    <w:rsid w:val="00176B32"/>
    <w:rsid w:val="00180FF9"/>
    <w:rsid w:val="00195228"/>
    <w:rsid w:val="00195696"/>
    <w:rsid w:val="00196532"/>
    <w:rsid w:val="001A1EFC"/>
    <w:rsid w:val="001A3A98"/>
    <w:rsid w:val="001A48EF"/>
    <w:rsid w:val="001A49CC"/>
    <w:rsid w:val="001A5553"/>
    <w:rsid w:val="001A6F6F"/>
    <w:rsid w:val="001A716E"/>
    <w:rsid w:val="001B2C65"/>
    <w:rsid w:val="001B3033"/>
    <w:rsid w:val="001B60C4"/>
    <w:rsid w:val="001B7058"/>
    <w:rsid w:val="001C0C16"/>
    <w:rsid w:val="001C3A4F"/>
    <w:rsid w:val="001C4121"/>
    <w:rsid w:val="001C48DE"/>
    <w:rsid w:val="001D52E3"/>
    <w:rsid w:val="001D576F"/>
    <w:rsid w:val="001D68F6"/>
    <w:rsid w:val="001D7C29"/>
    <w:rsid w:val="001E0475"/>
    <w:rsid w:val="001F5C90"/>
    <w:rsid w:val="001F767C"/>
    <w:rsid w:val="00205ABC"/>
    <w:rsid w:val="00210FCF"/>
    <w:rsid w:val="00222EFF"/>
    <w:rsid w:val="002240D5"/>
    <w:rsid w:val="002261A7"/>
    <w:rsid w:val="00226AEC"/>
    <w:rsid w:val="00227078"/>
    <w:rsid w:val="002545F3"/>
    <w:rsid w:val="0026344F"/>
    <w:rsid w:val="00266A17"/>
    <w:rsid w:val="00270372"/>
    <w:rsid w:val="00272EFE"/>
    <w:rsid w:val="00275534"/>
    <w:rsid w:val="00277075"/>
    <w:rsid w:val="002775D2"/>
    <w:rsid w:val="00281ADD"/>
    <w:rsid w:val="002820B5"/>
    <w:rsid w:val="00293E0D"/>
    <w:rsid w:val="00293E80"/>
    <w:rsid w:val="002973B0"/>
    <w:rsid w:val="00297C14"/>
    <w:rsid w:val="002A220F"/>
    <w:rsid w:val="002A24F1"/>
    <w:rsid w:val="002A5778"/>
    <w:rsid w:val="002B1E84"/>
    <w:rsid w:val="002B2085"/>
    <w:rsid w:val="002B3EC4"/>
    <w:rsid w:val="002C37D5"/>
    <w:rsid w:val="002D34DB"/>
    <w:rsid w:val="002D4B11"/>
    <w:rsid w:val="002E5633"/>
    <w:rsid w:val="002E6855"/>
    <w:rsid w:val="002F1963"/>
    <w:rsid w:val="002F5B6E"/>
    <w:rsid w:val="002F61B5"/>
    <w:rsid w:val="003006D8"/>
    <w:rsid w:val="0030209B"/>
    <w:rsid w:val="003127E4"/>
    <w:rsid w:val="00313215"/>
    <w:rsid w:val="00315C0C"/>
    <w:rsid w:val="003174C3"/>
    <w:rsid w:val="0032557A"/>
    <w:rsid w:val="00340778"/>
    <w:rsid w:val="00344D2C"/>
    <w:rsid w:val="003458CE"/>
    <w:rsid w:val="00345A57"/>
    <w:rsid w:val="00346D90"/>
    <w:rsid w:val="00351F62"/>
    <w:rsid w:val="003601F4"/>
    <w:rsid w:val="0036650E"/>
    <w:rsid w:val="003671E2"/>
    <w:rsid w:val="00372AE6"/>
    <w:rsid w:val="003837E1"/>
    <w:rsid w:val="0038584D"/>
    <w:rsid w:val="0039257F"/>
    <w:rsid w:val="003931DE"/>
    <w:rsid w:val="00397D1A"/>
    <w:rsid w:val="003A163C"/>
    <w:rsid w:val="003A2B4E"/>
    <w:rsid w:val="003A2FBB"/>
    <w:rsid w:val="003A3799"/>
    <w:rsid w:val="003A4913"/>
    <w:rsid w:val="003A54A9"/>
    <w:rsid w:val="003A7083"/>
    <w:rsid w:val="003A73B9"/>
    <w:rsid w:val="003B38B3"/>
    <w:rsid w:val="003B3A97"/>
    <w:rsid w:val="003B3D44"/>
    <w:rsid w:val="003C7CC2"/>
    <w:rsid w:val="003D50B6"/>
    <w:rsid w:val="003E05DF"/>
    <w:rsid w:val="003E12B4"/>
    <w:rsid w:val="003E6085"/>
    <w:rsid w:val="003E6CA3"/>
    <w:rsid w:val="003F4C96"/>
    <w:rsid w:val="00403724"/>
    <w:rsid w:val="00405544"/>
    <w:rsid w:val="00406002"/>
    <w:rsid w:val="00406AD3"/>
    <w:rsid w:val="00412E42"/>
    <w:rsid w:val="00426356"/>
    <w:rsid w:val="00426929"/>
    <w:rsid w:val="004305A3"/>
    <w:rsid w:val="00442C16"/>
    <w:rsid w:val="00446439"/>
    <w:rsid w:val="00450BDA"/>
    <w:rsid w:val="00453A3E"/>
    <w:rsid w:val="0045452F"/>
    <w:rsid w:val="0045766B"/>
    <w:rsid w:val="00474BB7"/>
    <w:rsid w:val="004816D7"/>
    <w:rsid w:val="0048342E"/>
    <w:rsid w:val="00487478"/>
    <w:rsid w:val="0048782D"/>
    <w:rsid w:val="00494DC1"/>
    <w:rsid w:val="004A3F56"/>
    <w:rsid w:val="004A5E21"/>
    <w:rsid w:val="004A666A"/>
    <w:rsid w:val="004B143F"/>
    <w:rsid w:val="004B49A0"/>
    <w:rsid w:val="004C6306"/>
    <w:rsid w:val="004C6F5E"/>
    <w:rsid w:val="004C7E94"/>
    <w:rsid w:val="004D7CF8"/>
    <w:rsid w:val="004D7EDA"/>
    <w:rsid w:val="004E0E49"/>
    <w:rsid w:val="004E197A"/>
    <w:rsid w:val="004E5D52"/>
    <w:rsid w:val="004E61EE"/>
    <w:rsid w:val="004F07D7"/>
    <w:rsid w:val="004F1297"/>
    <w:rsid w:val="004F16DB"/>
    <w:rsid w:val="004F33F5"/>
    <w:rsid w:val="004F4D7E"/>
    <w:rsid w:val="004F5B16"/>
    <w:rsid w:val="004F5CB6"/>
    <w:rsid w:val="004F5D9D"/>
    <w:rsid w:val="004F68E5"/>
    <w:rsid w:val="004F741B"/>
    <w:rsid w:val="00503253"/>
    <w:rsid w:val="00503BB0"/>
    <w:rsid w:val="00503E03"/>
    <w:rsid w:val="00512226"/>
    <w:rsid w:val="005147C6"/>
    <w:rsid w:val="005159B1"/>
    <w:rsid w:val="00522502"/>
    <w:rsid w:val="005255A1"/>
    <w:rsid w:val="0052641C"/>
    <w:rsid w:val="0053795D"/>
    <w:rsid w:val="00544522"/>
    <w:rsid w:val="005468AB"/>
    <w:rsid w:val="005501A0"/>
    <w:rsid w:val="00550831"/>
    <w:rsid w:val="00553082"/>
    <w:rsid w:val="00554273"/>
    <w:rsid w:val="00557106"/>
    <w:rsid w:val="005642B6"/>
    <w:rsid w:val="00570307"/>
    <w:rsid w:val="00571D5E"/>
    <w:rsid w:val="005823D0"/>
    <w:rsid w:val="00591F82"/>
    <w:rsid w:val="00597E40"/>
    <w:rsid w:val="005A2748"/>
    <w:rsid w:val="005A443F"/>
    <w:rsid w:val="005A46A1"/>
    <w:rsid w:val="005B58D4"/>
    <w:rsid w:val="005C07B3"/>
    <w:rsid w:val="005C284E"/>
    <w:rsid w:val="005C47D4"/>
    <w:rsid w:val="005D0177"/>
    <w:rsid w:val="005D0F23"/>
    <w:rsid w:val="005D192D"/>
    <w:rsid w:val="005D51D0"/>
    <w:rsid w:val="005D6F83"/>
    <w:rsid w:val="005D7877"/>
    <w:rsid w:val="005D7CCF"/>
    <w:rsid w:val="005E0EC9"/>
    <w:rsid w:val="005E1372"/>
    <w:rsid w:val="005E58C4"/>
    <w:rsid w:val="005E5D8F"/>
    <w:rsid w:val="005F5A5C"/>
    <w:rsid w:val="005F5CD9"/>
    <w:rsid w:val="0061135C"/>
    <w:rsid w:val="006136DD"/>
    <w:rsid w:val="006149D5"/>
    <w:rsid w:val="006149F0"/>
    <w:rsid w:val="006220A5"/>
    <w:rsid w:val="00624AC8"/>
    <w:rsid w:val="00633C60"/>
    <w:rsid w:val="0064126D"/>
    <w:rsid w:val="006451B8"/>
    <w:rsid w:val="00645722"/>
    <w:rsid w:val="00646AA8"/>
    <w:rsid w:val="00652432"/>
    <w:rsid w:val="00657840"/>
    <w:rsid w:val="0066003C"/>
    <w:rsid w:val="0066041E"/>
    <w:rsid w:val="006609F4"/>
    <w:rsid w:val="00673CCC"/>
    <w:rsid w:val="00675C98"/>
    <w:rsid w:val="0069026B"/>
    <w:rsid w:val="0069563E"/>
    <w:rsid w:val="006956EA"/>
    <w:rsid w:val="006A490C"/>
    <w:rsid w:val="006B4F7D"/>
    <w:rsid w:val="006C114C"/>
    <w:rsid w:val="006C3864"/>
    <w:rsid w:val="006C5383"/>
    <w:rsid w:val="006C5E72"/>
    <w:rsid w:val="006D2AEC"/>
    <w:rsid w:val="006D4C8E"/>
    <w:rsid w:val="006E19D1"/>
    <w:rsid w:val="006E1CBB"/>
    <w:rsid w:val="006F100B"/>
    <w:rsid w:val="006F239A"/>
    <w:rsid w:val="006F2C9D"/>
    <w:rsid w:val="0070637D"/>
    <w:rsid w:val="007071DD"/>
    <w:rsid w:val="0070751E"/>
    <w:rsid w:val="0070771F"/>
    <w:rsid w:val="00712A14"/>
    <w:rsid w:val="00716C04"/>
    <w:rsid w:val="00717180"/>
    <w:rsid w:val="007179D2"/>
    <w:rsid w:val="00720750"/>
    <w:rsid w:val="0072549C"/>
    <w:rsid w:val="00725A80"/>
    <w:rsid w:val="00733970"/>
    <w:rsid w:val="007511CE"/>
    <w:rsid w:val="00754C58"/>
    <w:rsid w:val="00763BEC"/>
    <w:rsid w:val="00771CFA"/>
    <w:rsid w:val="00776E78"/>
    <w:rsid w:val="0078138A"/>
    <w:rsid w:val="00783014"/>
    <w:rsid w:val="007834DC"/>
    <w:rsid w:val="00784EC3"/>
    <w:rsid w:val="007959D8"/>
    <w:rsid w:val="00795C33"/>
    <w:rsid w:val="0079630F"/>
    <w:rsid w:val="007A04C2"/>
    <w:rsid w:val="007A2521"/>
    <w:rsid w:val="007B146A"/>
    <w:rsid w:val="007C0E7C"/>
    <w:rsid w:val="007C0EAA"/>
    <w:rsid w:val="007C3053"/>
    <w:rsid w:val="007C44B2"/>
    <w:rsid w:val="007C6496"/>
    <w:rsid w:val="007C745E"/>
    <w:rsid w:val="007D0927"/>
    <w:rsid w:val="007D1E82"/>
    <w:rsid w:val="007E3F8C"/>
    <w:rsid w:val="007F2058"/>
    <w:rsid w:val="007F7685"/>
    <w:rsid w:val="0080011D"/>
    <w:rsid w:val="00800EA5"/>
    <w:rsid w:val="00801C01"/>
    <w:rsid w:val="008130BB"/>
    <w:rsid w:val="00813E79"/>
    <w:rsid w:val="0081639B"/>
    <w:rsid w:val="008237FA"/>
    <w:rsid w:val="00825D37"/>
    <w:rsid w:val="008334F8"/>
    <w:rsid w:val="008369B0"/>
    <w:rsid w:val="00842A35"/>
    <w:rsid w:val="00850939"/>
    <w:rsid w:val="0085732C"/>
    <w:rsid w:val="00860B45"/>
    <w:rsid w:val="0086173F"/>
    <w:rsid w:val="00863860"/>
    <w:rsid w:val="008638B5"/>
    <w:rsid w:val="00867F41"/>
    <w:rsid w:val="008734DB"/>
    <w:rsid w:val="0087390B"/>
    <w:rsid w:val="008745A1"/>
    <w:rsid w:val="008768E9"/>
    <w:rsid w:val="0087751B"/>
    <w:rsid w:val="0088768D"/>
    <w:rsid w:val="00890995"/>
    <w:rsid w:val="008914FB"/>
    <w:rsid w:val="00896EE5"/>
    <w:rsid w:val="00897E99"/>
    <w:rsid w:val="008A37BF"/>
    <w:rsid w:val="008A4829"/>
    <w:rsid w:val="008B2384"/>
    <w:rsid w:val="008B38D6"/>
    <w:rsid w:val="008B4802"/>
    <w:rsid w:val="008B69E3"/>
    <w:rsid w:val="008C1FD1"/>
    <w:rsid w:val="008C24A8"/>
    <w:rsid w:val="008C35EF"/>
    <w:rsid w:val="008C5996"/>
    <w:rsid w:val="008D5A11"/>
    <w:rsid w:val="008D5E23"/>
    <w:rsid w:val="008E6D59"/>
    <w:rsid w:val="008F5D66"/>
    <w:rsid w:val="009028AA"/>
    <w:rsid w:val="00903E3F"/>
    <w:rsid w:val="009049C3"/>
    <w:rsid w:val="009057D9"/>
    <w:rsid w:val="0090774A"/>
    <w:rsid w:val="00910D07"/>
    <w:rsid w:val="00914B2F"/>
    <w:rsid w:val="009150E6"/>
    <w:rsid w:val="00917F89"/>
    <w:rsid w:val="00921B47"/>
    <w:rsid w:val="009255EE"/>
    <w:rsid w:val="00925603"/>
    <w:rsid w:val="00925F76"/>
    <w:rsid w:val="00926971"/>
    <w:rsid w:val="00930B91"/>
    <w:rsid w:val="00932E89"/>
    <w:rsid w:val="0093359D"/>
    <w:rsid w:val="00933F2B"/>
    <w:rsid w:val="00942EEB"/>
    <w:rsid w:val="0094468E"/>
    <w:rsid w:val="00945261"/>
    <w:rsid w:val="009506A5"/>
    <w:rsid w:val="00953EE5"/>
    <w:rsid w:val="009541CC"/>
    <w:rsid w:val="00956564"/>
    <w:rsid w:val="00956D5A"/>
    <w:rsid w:val="00961B2C"/>
    <w:rsid w:val="00961DBB"/>
    <w:rsid w:val="0096548E"/>
    <w:rsid w:val="00965ACA"/>
    <w:rsid w:val="0096618E"/>
    <w:rsid w:val="00974710"/>
    <w:rsid w:val="009749DE"/>
    <w:rsid w:val="00976473"/>
    <w:rsid w:val="00981433"/>
    <w:rsid w:val="00985C07"/>
    <w:rsid w:val="00995B4F"/>
    <w:rsid w:val="00997582"/>
    <w:rsid w:val="009A2C21"/>
    <w:rsid w:val="009A3E58"/>
    <w:rsid w:val="009A5F02"/>
    <w:rsid w:val="009A7AB1"/>
    <w:rsid w:val="009B2A57"/>
    <w:rsid w:val="009B6784"/>
    <w:rsid w:val="009C3996"/>
    <w:rsid w:val="009C6DAA"/>
    <w:rsid w:val="009D0E74"/>
    <w:rsid w:val="009D193E"/>
    <w:rsid w:val="009D1A96"/>
    <w:rsid w:val="009D370B"/>
    <w:rsid w:val="009E086D"/>
    <w:rsid w:val="009E2087"/>
    <w:rsid w:val="009E252B"/>
    <w:rsid w:val="009E3265"/>
    <w:rsid w:val="009E3353"/>
    <w:rsid w:val="009E446D"/>
    <w:rsid w:val="009E7C09"/>
    <w:rsid w:val="009F146D"/>
    <w:rsid w:val="009F4F1E"/>
    <w:rsid w:val="00A015E4"/>
    <w:rsid w:val="00A075BC"/>
    <w:rsid w:val="00A11222"/>
    <w:rsid w:val="00A12C39"/>
    <w:rsid w:val="00A134FB"/>
    <w:rsid w:val="00A20802"/>
    <w:rsid w:val="00A25B4F"/>
    <w:rsid w:val="00A2744F"/>
    <w:rsid w:val="00A32661"/>
    <w:rsid w:val="00A442BF"/>
    <w:rsid w:val="00A53716"/>
    <w:rsid w:val="00A5629E"/>
    <w:rsid w:val="00A64832"/>
    <w:rsid w:val="00A732DB"/>
    <w:rsid w:val="00A81008"/>
    <w:rsid w:val="00A86F04"/>
    <w:rsid w:val="00A946C4"/>
    <w:rsid w:val="00AC01F8"/>
    <w:rsid w:val="00AC059A"/>
    <w:rsid w:val="00AD0308"/>
    <w:rsid w:val="00AD377A"/>
    <w:rsid w:val="00AD476B"/>
    <w:rsid w:val="00AD67BB"/>
    <w:rsid w:val="00AE1CC1"/>
    <w:rsid w:val="00AE3EA4"/>
    <w:rsid w:val="00AF1B02"/>
    <w:rsid w:val="00AF41E4"/>
    <w:rsid w:val="00B04683"/>
    <w:rsid w:val="00B06A75"/>
    <w:rsid w:val="00B06BC3"/>
    <w:rsid w:val="00B07F03"/>
    <w:rsid w:val="00B15A0F"/>
    <w:rsid w:val="00B20236"/>
    <w:rsid w:val="00B20937"/>
    <w:rsid w:val="00B220A0"/>
    <w:rsid w:val="00B22B64"/>
    <w:rsid w:val="00B22FEA"/>
    <w:rsid w:val="00B24321"/>
    <w:rsid w:val="00B243EC"/>
    <w:rsid w:val="00B30FEB"/>
    <w:rsid w:val="00B35896"/>
    <w:rsid w:val="00B40AA3"/>
    <w:rsid w:val="00B44478"/>
    <w:rsid w:val="00B54D93"/>
    <w:rsid w:val="00B6002C"/>
    <w:rsid w:val="00B620EE"/>
    <w:rsid w:val="00B75F15"/>
    <w:rsid w:val="00B85366"/>
    <w:rsid w:val="00B87F60"/>
    <w:rsid w:val="00B93D3D"/>
    <w:rsid w:val="00BA471F"/>
    <w:rsid w:val="00BB46E1"/>
    <w:rsid w:val="00BB5013"/>
    <w:rsid w:val="00BB528E"/>
    <w:rsid w:val="00BC2600"/>
    <w:rsid w:val="00BC36F0"/>
    <w:rsid w:val="00BC4FA7"/>
    <w:rsid w:val="00BC5E30"/>
    <w:rsid w:val="00BD02C5"/>
    <w:rsid w:val="00BD068D"/>
    <w:rsid w:val="00BD575D"/>
    <w:rsid w:val="00BE0D9A"/>
    <w:rsid w:val="00BE1A50"/>
    <w:rsid w:val="00BE2F0D"/>
    <w:rsid w:val="00BE38B9"/>
    <w:rsid w:val="00BE546B"/>
    <w:rsid w:val="00BF0BD5"/>
    <w:rsid w:val="00BF55F8"/>
    <w:rsid w:val="00C051FD"/>
    <w:rsid w:val="00C20C7D"/>
    <w:rsid w:val="00C20DEF"/>
    <w:rsid w:val="00C24B25"/>
    <w:rsid w:val="00C24F17"/>
    <w:rsid w:val="00C32C2F"/>
    <w:rsid w:val="00C3738A"/>
    <w:rsid w:val="00C421DA"/>
    <w:rsid w:val="00C4315A"/>
    <w:rsid w:val="00C43F5E"/>
    <w:rsid w:val="00C44074"/>
    <w:rsid w:val="00C4651F"/>
    <w:rsid w:val="00C51D0B"/>
    <w:rsid w:val="00C52A50"/>
    <w:rsid w:val="00C642D4"/>
    <w:rsid w:val="00C730F4"/>
    <w:rsid w:val="00C73A69"/>
    <w:rsid w:val="00C76615"/>
    <w:rsid w:val="00C80200"/>
    <w:rsid w:val="00C81741"/>
    <w:rsid w:val="00C8270B"/>
    <w:rsid w:val="00C841A9"/>
    <w:rsid w:val="00C86C42"/>
    <w:rsid w:val="00C8728F"/>
    <w:rsid w:val="00C9352B"/>
    <w:rsid w:val="00C96016"/>
    <w:rsid w:val="00C97FBC"/>
    <w:rsid w:val="00CA0B7E"/>
    <w:rsid w:val="00CA5598"/>
    <w:rsid w:val="00CA5EF8"/>
    <w:rsid w:val="00CB1F91"/>
    <w:rsid w:val="00CB28A3"/>
    <w:rsid w:val="00CC00A0"/>
    <w:rsid w:val="00CC5455"/>
    <w:rsid w:val="00CC6C06"/>
    <w:rsid w:val="00CD5509"/>
    <w:rsid w:val="00CE1EB0"/>
    <w:rsid w:val="00CE3DF2"/>
    <w:rsid w:val="00CE4579"/>
    <w:rsid w:val="00CF0C0F"/>
    <w:rsid w:val="00CF1690"/>
    <w:rsid w:val="00CF1F2A"/>
    <w:rsid w:val="00CF5CE3"/>
    <w:rsid w:val="00CF7412"/>
    <w:rsid w:val="00D01F13"/>
    <w:rsid w:val="00D030F8"/>
    <w:rsid w:val="00D077B7"/>
    <w:rsid w:val="00D20297"/>
    <w:rsid w:val="00D21E6B"/>
    <w:rsid w:val="00D23634"/>
    <w:rsid w:val="00D34551"/>
    <w:rsid w:val="00D457D6"/>
    <w:rsid w:val="00D46C32"/>
    <w:rsid w:val="00D50249"/>
    <w:rsid w:val="00D64CE2"/>
    <w:rsid w:val="00D76B3C"/>
    <w:rsid w:val="00D7751B"/>
    <w:rsid w:val="00D815DC"/>
    <w:rsid w:val="00D822B5"/>
    <w:rsid w:val="00D83D3C"/>
    <w:rsid w:val="00D867AE"/>
    <w:rsid w:val="00D87905"/>
    <w:rsid w:val="00D87BBB"/>
    <w:rsid w:val="00D87C87"/>
    <w:rsid w:val="00D921C4"/>
    <w:rsid w:val="00D9296A"/>
    <w:rsid w:val="00D93C23"/>
    <w:rsid w:val="00D95638"/>
    <w:rsid w:val="00D9584C"/>
    <w:rsid w:val="00D9651F"/>
    <w:rsid w:val="00DA14D9"/>
    <w:rsid w:val="00DB13AD"/>
    <w:rsid w:val="00DB23F9"/>
    <w:rsid w:val="00DB58BE"/>
    <w:rsid w:val="00DB6176"/>
    <w:rsid w:val="00DB6AA0"/>
    <w:rsid w:val="00DB7C3A"/>
    <w:rsid w:val="00DD0102"/>
    <w:rsid w:val="00DD32AB"/>
    <w:rsid w:val="00DD5BF6"/>
    <w:rsid w:val="00DD6BF9"/>
    <w:rsid w:val="00DE1865"/>
    <w:rsid w:val="00DE4D6C"/>
    <w:rsid w:val="00DE6CEF"/>
    <w:rsid w:val="00DF11C2"/>
    <w:rsid w:val="00DF4593"/>
    <w:rsid w:val="00E10D05"/>
    <w:rsid w:val="00E2223E"/>
    <w:rsid w:val="00E22D98"/>
    <w:rsid w:val="00E24623"/>
    <w:rsid w:val="00E252E3"/>
    <w:rsid w:val="00E40505"/>
    <w:rsid w:val="00E42A41"/>
    <w:rsid w:val="00E45766"/>
    <w:rsid w:val="00E47B63"/>
    <w:rsid w:val="00E567E5"/>
    <w:rsid w:val="00E64E45"/>
    <w:rsid w:val="00E6708B"/>
    <w:rsid w:val="00E73A8C"/>
    <w:rsid w:val="00E75050"/>
    <w:rsid w:val="00E76F42"/>
    <w:rsid w:val="00E915E6"/>
    <w:rsid w:val="00E9420F"/>
    <w:rsid w:val="00E95BBC"/>
    <w:rsid w:val="00EA3E11"/>
    <w:rsid w:val="00EA6EB3"/>
    <w:rsid w:val="00EB4A8E"/>
    <w:rsid w:val="00EB5EF3"/>
    <w:rsid w:val="00EB695D"/>
    <w:rsid w:val="00ED39CE"/>
    <w:rsid w:val="00ED4134"/>
    <w:rsid w:val="00EE05F1"/>
    <w:rsid w:val="00EE471A"/>
    <w:rsid w:val="00EE5492"/>
    <w:rsid w:val="00EF46F0"/>
    <w:rsid w:val="00F07BD5"/>
    <w:rsid w:val="00F122D6"/>
    <w:rsid w:val="00F15BF4"/>
    <w:rsid w:val="00F17940"/>
    <w:rsid w:val="00F2046C"/>
    <w:rsid w:val="00F20647"/>
    <w:rsid w:val="00F31392"/>
    <w:rsid w:val="00F348B5"/>
    <w:rsid w:val="00F3652B"/>
    <w:rsid w:val="00F377B9"/>
    <w:rsid w:val="00F45442"/>
    <w:rsid w:val="00F5145E"/>
    <w:rsid w:val="00F558EA"/>
    <w:rsid w:val="00F613CB"/>
    <w:rsid w:val="00F61F79"/>
    <w:rsid w:val="00F656A4"/>
    <w:rsid w:val="00F6665E"/>
    <w:rsid w:val="00F7075F"/>
    <w:rsid w:val="00F71D76"/>
    <w:rsid w:val="00F8349F"/>
    <w:rsid w:val="00F83FB7"/>
    <w:rsid w:val="00F85935"/>
    <w:rsid w:val="00F85D29"/>
    <w:rsid w:val="00F953A5"/>
    <w:rsid w:val="00F969D3"/>
    <w:rsid w:val="00F97162"/>
    <w:rsid w:val="00FA190E"/>
    <w:rsid w:val="00FA54D8"/>
    <w:rsid w:val="00FB1F3B"/>
    <w:rsid w:val="00FB432E"/>
    <w:rsid w:val="00FB6603"/>
    <w:rsid w:val="00FC4FB7"/>
    <w:rsid w:val="00FD357B"/>
    <w:rsid w:val="00FD38FC"/>
    <w:rsid w:val="00FD6119"/>
    <w:rsid w:val="00FD688E"/>
    <w:rsid w:val="00FD7C0C"/>
    <w:rsid w:val="00FE045C"/>
    <w:rsid w:val="00FE0C52"/>
    <w:rsid w:val="00FE1692"/>
    <w:rsid w:val="00FF0566"/>
    <w:rsid w:val="00FF4F00"/>
    <w:rsid w:val="00FF6218"/>
    <w:rsid w:val="00FF7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lsdException w:name="heading 7" w:qFormat="1"/>
    <w:lsdException w:name="heading 8" w:uiPriority="31"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qFormat="1"/>
    <w:lsdException w:name="footer" w:uiPriority="99" w:qFormat="1"/>
    <w:lsdException w:name="caption" w:qFormat="1"/>
    <w:lsdException w:name="table of figures" w:semiHidden="0" w:uiPriority="99" w:unhideWhenUsed="0"/>
    <w:lsdException w:name="List Bullet" w:qFormat="1"/>
    <w:lsdException w:name="List Bullet 2"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style>
  <w:style w:type="paragraph" w:styleId="Heading1">
    <w:name w:val="heading 1"/>
    <w:basedOn w:val="Normal"/>
    <w:next w:val="BodyText"/>
    <w:link w:val="Heading1Char"/>
    <w:rsid w:val="00733970"/>
    <w:pPr>
      <w:keepNext/>
      <w:keepLines/>
      <w:numPr>
        <w:numId w:val="8"/>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rsid w:val="00961DBB"/>
    <w:pPr>
      <w:keepNext/>
      <w:keepLines/>
      <w:numPr>
        <w:ilvl w:val="1"/>
        <w:numId w:val="8"/>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rsid w:val="00B620EE"/>
    <w:pPr>
      <w:keepNext/>
      <w:keepLines/>
      <w:numPr>
        <w:ilvl w:val="2"/>
        <w:numId w:val="8"/>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Attachment Title"/>
    <w:basedOn w:val="Normal"/>
    <w:next w:val="BodyText"/>
    <w:link w:val="Heading8Char"/>
    <w:uiPriority w:val="31"/>
    <w:qFormat/>
    <w:rsid w:val="00CA5598"/>
    <w:pPr>
      <w:keepNext/>
      <w:keepLines/>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9D193E"/>
    <w:pPr>
      <w:spacing w:before="240"/>
    </w:pPr>
    <w:rPr>
      <w:rFonts w:ascii="Times New Roman" w:hAnsi="Times New Roman" w:cs="Times New Roman"/>
      <w:spacing w:val="-1"/>
      <w:sz w:val="24"/>
    </w:rPr>
  </w:style>
  <w:style w:type="character" w:customStyle="1" w:styleId="BodyTextChar">
    <w:name w:val="Body Text Char"/>
    <w:basedOn w:val="DefaultParagraphFont"/>
    <w:link w:val="BodyText"/>
    <w:rsid w:val="009D193E"/>
    <w:rPr>
      <w:rFonts w:ascii="Times New Roman" w:hAnsi="Times New Roman" w:cs="Times New Roman"/>
      <w:spacing w:val="-1"/>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Attachment Title Char"/>
    <w:basedOn w:val="DefaultParagraphFont"/>
    <w:link w:val="Heading8"/>
    <w:uiPriority w:val="31"/>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961DBB"/>
    <w:pPr>
      <w:keepNext/>
      <w:spacing w:before="340" w:after="114"/>
    </w:pPr>
    <w:rPr>
      <w:b/>
      <w:bCs/>
      <w:color w:val="2B3B5F" w:themeColor="text2"/>
      <w:spacing w:val="-4"/>
    </w:rPr>
  </w:style>
  <w:style w:type="paragraph" w:styleId="Footer">
    <w:name w:val="footer"/>
    <w:basedOn w:val="Normal"/>
    <w:link w:val="FooterChar"/>
    <w:uiPriority w:val="99"/>
    <w:qFormat/>
    <w:rsid w:val="00842A35"/>
    <w:pPr>
      <w:spacing w:after="113" w:line="240" w:lineRule="auto"/>
      <w:jc w:val="center"/>
    </w:pPr>
    <w:rPr>
      <w:rFonts w:ascii="Arial" w:hAnsi="Arial"/>
      <w:sz w:val="17"/>
    </w:rPr>
  </w:style>
  <w:style w:type="character" w:customStyle="1" w:styleId="FooterChar">
    <w:name w:val="Footer Char"/>
    <w:basedOn w:val="DefaultParagraphFont"/>
    <w:link w:val="Footer"/>
    <w:uiPriority w:val="99"/>
    <w:rsid w:val="00842A35"/>
    <w:rPr>
      <w:rFonts w:ascii="Arial" w:hAnsi="Arial"/>
      <w:sz w:val="17"/>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qFormat/>
    <w:rsid w:val="00842A35"/>
    <w:pPr>
      <w:spacing w:line="240" w:lineRule="auto"/>
    </w:pPr>
    <w:rPr>
      <w:rFonts w:ascii="Arial" w:hAnsi="Arial"/>
      <w:b/>
      <w:sz w:val="18"/>
    </w:rPr>
  </w:style>
  <w:style w:type="character" w:customStyle="1" w:styleId="HeaderChar">
    <w:name w:val="Header Char"/>
    <w:basedOn w:val="DefaultParagraphFont"/>
    <w:link w:val="Header"/>
    <w:uiPriority w:val="99"/>
    <w:rsid w:val="00842A35"/>
    <w:rPr>
      <w:rFonts w:ascii="Arial" w:hAnsi="Arial"/>
      <w:b/>
      <w:sz w:val="18"/>
    </w:rPr>
  </w:style>
  <w:style w:type="paragraph" w:customStyle="1" w:styleId="HighlightText">
    <w:name w:val="Highlight Text"/>
    <w:basedOn w:val="Normal"/>
    <w:rsid w:val="00961DBB"/>
    <w:pPr>
      <w:spacing w:before="120" w:after="420"/>
    </w:pPr>
    <w:rPr>
      <w:i/>
      <w:color w:val="2B3B5F" w:themeColor="text2"/>
      <w:spacing w:val="-1"/>
    </w:rPr>
  </w:style>
  <w:style w:type="paragraph" w:customStyle="1" w:styleId="Introduction">
    <w:name w:val="Introduction"/>
    <w:basedOn w:val="Normal"/>
    <w:next w:val="BodyTex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842A35"/>
    <w:pPr>
      <w:keepLines/>
      <w:numPr>
        <w:numId w:val="1"/>
      </w:numPr>
      <w:spacing w:after="113"/>
    </w:pPr>
    <w:rPr>
      <w:rFonts w:ascii="Times New Roman" w:hAnsi="Times New Roman"/>
      <w:spacing w:val="-1"/>
      <w:sz w:val="24"/>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rsid w:val="00961DBB"/>
    <w:pPr>
      <w:numPr>
        <w:numId w:val="2"/>
      </w:numPr>
      <w:spacing w:before="113" w:after="113"/>
    </w:pPr>
    <w:rPr>
      <w:spacing w:val="-1"/>
    </w:rPr>
  </w:style>
  <w:style w:type="paragraph" w:styleId="ListNumber2">
    <w:name w:val="List Number 2"/>
    <w:basedOn w:val="Normal"/>
    <w:rsid w:val="00961DBB"/>
    <w:pPr>
      <w:numPr>
        <w:ilvl w:val="1"/>
        <w:numId w:val="2"/>
      </w:numPr>
      <w:spacing w:before="113" w:after="113"/>
    </w:pPr>
    <w:rPr>
      <w:spacing w:val="-1"/>
    </w:rPr>
  </w:style>
  <w:style w:type="paragraph" w:styleId="ListNumber3">
    <w:name w:val="List Number 3"/>
    <w:basedOn w:val="Normal"/>
    <w:rsid w:val="00961DBB"/>
    <w:pPr>
      <w:numPr>
        <w:ilvl w:val="2"/>
        <w:numId w:val="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3"/>
      </w:numPr>
    </w:pPr>
  </w:style>
  <w:style w:type="paragraph" w:customStyle="1" w:styleId="PullOutBoxBullet2">
    <w:name w:val="Pull Out Box Bullet 2"/>
    <w:basedOn w:val="PullOutBoxBodyText"/>
    <w:rsid w:val="00961DBB"/>
    <w:pPr>
      <w:numPr>
        <w:ilvl w:val="1"/>
        <w:numId w:val="3"/>
      </w:numPr>
    </w:pPr>
  </w:style>
  <w:style w:type="paragraph" w:customStyle="1" w:styleId="PullOutBoxBullet3">
    <w:name w:val="Pull Out Box Bullet 3"/>
    <w:basedOn w:val="PullOutBoxBodyText"/>
    <w:rsid w:val="00961DBB"/>
    <w:pPr>
      <w:numPr>
        <w:ilvl w:val="2"/>
        <w:numId w:val="3"/>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4"/>
      </w:numPr>
    </w:pPr>
  </w:style>
  <w:style w:type="paragraph" w:customStyle="1" w:styleId="PullOutBoxNumber2">
    <w:name w:val="Pull Out Box Number 2"/>
    <w:basedOn w:val="PullOutBoxBodyText"/>
    <w:rsid w:val="00961DBB"/>
    <w:pPr>
      <w:numPr>
        <w:ilvl w:val="1"/>
        <w:numId w:val="4"/>
      </w:numPr>
    </w:pPr>
  </w:style>
  <w:style w:type="paragraph" w:customStyle="1" w:styleId="PullOutBoxNumber3">
    <w:name w:val="Pull Out Box Number 3"/>
    <w:basedOn w:val="PullOutBoxBodyText"/>
    <w:rsid w:val="00961DBB"/>
    <w:pPr>
      <w:numPr>
        <w:ilvl w:val="2"/>
        <w:numId w:val="4"/>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842A35"/>
    <w:pPr>
      <w:tabs>
        <w:tab w:val="left" w:pos="1134"/>
      </w:tabs>
      <w:spacing w:before="240" w:after="240"/>
      <w:ind w:left="284"/>
    </w:pPr>
    <w:rPr>
      <w:rFonts w:ascii="Times New Roman" w:hAnsi="Times New Roman"/>
      <w:i/>
      <w:iCs/>
      <w:sz w:val="24"/>
    </w:rPr>
  </w:style>
  <w:style w:type="character" w:customStyle="1" w:styleId="QuoteChar">
    <w:name w:val="Quote Char"/>
    <w:basedOn w:val="DefaultParagraphFont"/>
    <w:link w:val="Quote"/>
    <w:rsid w:val="00842A35"/>
    <w:rPr>
      <w:rFonts w:ascii="Times New Roman" w:hAnsi="Times New Roman"/>
      <w:i/>
      <w:iCs/>
      <w:sz w:val="24"/>
    </w:rPr>
  </w:style>
  <w:style w:type="paragraph" w:customStyle="1" w:styleId="QuoteBullet">
    <w:name w:val="Quote Bullet"/>
    <w:basedOn w:val="Quote"/>
    <w:rsid w:val="00961DBB"/>
    <w:pPr>
      <w:numPr>
        <w:numId w:val="5"/>
      </w:numPr>
    </w:pPr>
  </w:style>
  <w:style w:type="paragraph" w:customStyle="1" w:styleId="QuoteBullet2">
    <w:name w:val="Quote Bullet 2"/>
    <w:basedOn w:val="Quote"/>
    <w:rsid w:val="00961DBB"/>
    <w:pPr>
      <w:numPr>
        <w:ilvl w:val="1"/>
        <w:numId w:val="5"/>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035ADE"/>
    <w:pPr>
      <w:keepLines/>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6"/>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7"/>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8334F8"/>
    <w:rPr>
      <w:sz w:val="16"/>
      <w:szCs w:val="16"/>
    </w:rPr>
  </w:style>
  <w:style w:type="paragraph" w:styleId="CommentText">
    <w:name w:val="annotation text"/>
    <w:basedOn w:val="Normal"/>
    <w:link w:val="CommentTextChar"/>
    <w:semiHidden/>
    <w:unhideWhenUsed/>
    <w:rsid w:val="008334F8"/>
    <w:pPr>
      <w:spacing w:line="240" w:lineRule="auto"/>
    </w:pPr>
    <w:rPr>
      <w:sz w:val="20"/>
      <w:szCs w:val="20"/>
    </w:rPr>
  </w:style>
  <w:style w:type="character" w:customStyle="1" w:styleId="CommentTextChar">
    <w:name w:val="Comment Text Char"/>
    <w:basedOn w:val="DefaultParagraphFont"/>
    <w:link w:val="CommentText"/>
    <w:semiHidden/>
    <w:rsid w:val="008334F8"/>
    <w:rPr>
      <w:sz w:val="20"/>
      <w:szCs w:val="20"/>
    </w:rPr>
  </w:style>
  <w:style w:type="paragraph" w:styleId="CommentSubject">
    <w:name w:val="annotation subject"/>
    <w:basedOn w:val="CommentText"/>
    <w:next w:val="CommentText"/>
    <w:link w:val="CommentSubjectChar"/>
    <w:semiHidden/>
    <w:unhideWhenUsed/>
    <w:rsid w:val="008334F8"/>
    <w:rPr>
      <w:b/>
      <w:bCs/>
    </w:rPr>
  </w:style>
  <w:style w:type="character" w:customStyle="1" w:styleId="CommentSubjectChar">
    <w:name w:val="Comment Subject Char"/>
    <w:basedOn w:val="CommentTextChar"/>
    <w:link w:val="CommentSubject"/>
    <w:semiHidden/>
    <w:rsid w:val="008334F8"/>
    <w:rPr>
      <w:b/>
      <w:bCs/>
      <w:sz w:val="20"/>
      <w:szCs w:val="20"/>
    </w:rPr>
  </w:style>
  <w:style w:type="paragraph" w:styleId="Revision">
    <w:name w:val="Revision"/>
    <w:hidden/>
    <w:uiPriority w:val="99"/>
    <w:semiHidden/>
    <w:rsid w:val="008334F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lsdException w:name="heading 7" w:qFormat="1"/>
    <w:lsdException w:name="heading 8" w:uiPriority="31"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qFormat="1"/>
    <w:lsdException w:name="footer" w:uiPriority="99" w:qFormat="1"/>
    <w:lsdException w:name="caption" w:qFormat="1"/>
    <w:lsdException w:name="table of figures" w:semiHidden="0" w:uiPriority="99" w:unhideWhenUsed="0"/>
    <w:lsdException w:name="List Bullet" w:qFormat="1"/>
    <w:lsdException w:name="List Bullet 2"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style>
  <w:style w:type="paragraph" w:styleId="Heading1">
    <w:name w:val="heading 1"/>
    <w:basedOn w:val="Normal"/>
    <w:next w:val="BodyText"/>
    <w:link w:val="Heading1Char"/>
    <w:rsid w:val="00733970"/>
    <w:pPr>
      <w:keepNext/>
      <w:keepLines/>
      <w:numPr>
        <w:numId w:val="8"/>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rsid w:val="00961DBB"/>
    <w:pPr>
      <w:keepNext/>
      <w:keepLines/>
      <w:numPr>
        <w:ilvl w:val="1"/>
        <w:numId w:val="8"/>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rsid w:val="00B620EE"/>
    <w:pPr>
      <w:keepNext/>
      <w:keepLines/>
      <w:numPr>
        <w:ilvl w:val="2"/>
        <w:numId w:val="8"/>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Attachment Title"/>
    <w:basedOn w:val="Normal"/>
    <w:next w:val="BodyText"/>
    <w:link w:val="Heading8Char"/>
    <w:uiPriority w:val="31"/>
    <w:qFormat/>
    <w:rsid w:val="00CA5598"/>
    <w:pPr>
      <w:keepNext/>
      <w:keepLines/>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9D193E"/>
    <w:pPr>
      <w:spacing w:before="240"/>
    </w:pPr>
    <w:rPr>
      <w:rFonts w:ascii="Times New Roman" w:hAnsi="Times New Roman" w:cs="Times New Roman"/>
      <w:spacing w:val="-1"/>
      <w:sz w:val="24"/>
    </w:rPr>
  </w:style>
  <w:style w:type="character" w:customStyle="1" w:styleId="BodyTextChar">
    <w:name w:val="Body Text Char"/>
    <w:basedOn w:val="DefaultParagraphFont"/>
    <w:link w:val="BodyText"/>
    <w:rsid w:val="009D193E"/>
    <w:rPr>
      <w:rFonts w:ascii="Times New Roman" w:hAnsi="Times New Roman" w:cs="Times New Roman"/>
      <w:spacing w:val="-1"/>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Attachment Title Char"/>
    <w:basedOn w:val="DefaultParagraphFont"/>
    <w:link w:val="Heading8"/>
    <w:uiPriority w:val="31"/>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961DBB"/>
    <w:pPr>
      <w:keepNext/>
      <w:spacing w:before="340" w:after="114"/>
    </w:pPr>
    <w:rPr>
      <w:b/>
      <w:bCs/>
      <w:color w:val="2B3B5F" w:themeColor="text2"/>
      <w:spacing w:val="-4"/>
    </w:rPr>
  </w:style>
  <w:style w:type="paragraph" w:styleId="Footer">
    <w:name w:val="footer"/>
    <w:basedOn w:val="Normal"/>
    <w:link w:val="FooterChar"/>
    <w:uiPriority w:val="99"/>
    <w:qFormat/>
    <w:rsid w:val="00842A35"/>
    <w:pPr>
      <w:spacing w:after="113" w:line="240" w:lineRule="auto"/>
      <w:jc w:val="center"/>
    </w:pPr>
    <w:rPr>
      <w:rFonts w:ascii="Arial" w:hAnsi="Arial"/>
      <w:sz w:val="17"/>
    </w:rPr>
  </w:style>
  <w:style w:type="character" w:customStyle="1" w:styleId="FooterChar">
    <w:name w:val="Footer Char"/>
    <w:basedOn w:val="DefaultParagraphFont"/>
    <w:link w:val="Footer"/>
    <w:uiPriority w:val="99"/>
    <w:rsid w:val="00842A35"/>
    <w:rPr>
      <w:rFonts w:ascii="Arial" w:hAnsi="Arial"/>
      <w:sz w:val="17"/>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qFormat/>
    <w:rsid w:val="00842A35"/>
    <w:pPr>
      <w:spacing w:line="240" w:lineRule="auto"/>
    </w:pPr>
    <w:rPr>
      <w:rFonts w:ascii="Arial" w:hAnsi="Arial"/>
      <w:b/>
      <w:sz w:val="18"/>
    </w:rPr>
  </w:style>
  <w:style w:type="character" w:customStyle="1" w:styleId="HeaderChar">
    <w:name w:val="Header Char"/>
    <w:basedOn w:val="DefaultParagraphFont"/>
    <w:link w:val="Header"/>
    <w:uiPriority w:val="99"/>
    <w:rsid w:val="00842A35"/>
    <w:rPr>
      <w:rFonts w:ascii="Arial" w:hAnsi="Arial"/>
      <w:b/>
      <w:sz w:val="18"/>
    </w:rPr>
  </w:style>
  <w:style w:type="paragraph" w:customStyle="1" w:styleId="HighlightText">
    <w:name w:val="Highlight Text"/>
    <w:basedOn w:val="Normal"/>
    <w:rsid w:val="00961DBB"/>
    <w:pPr>
      <w:spacing w:before="120" w:after="420"/>
    </w:pPr>
    <w:rPr>
      <w:i/>
      <w:color w:val="2B3B5F" w:themeColor="text2"/>
      <w:spacing w:val="-1"/>
    </w:rPr>
  </w:style>
  <w:style w:type="paragraph" w:customStyle="1" w:styleId="Introduction">
    <w:name w:val="Introduction"/>
    <w:basedOn w:val="Normal"/>
    <w:next w:val="BodyTex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842A35"/>
    <w:pPr>
      <w:keepLines/>
      <w:numPr>
        <w:numId w:val="1"/>
      </w:numPr>
      <w:spacing w:after="113"/>
    </w:pPr>
    <w:rPr>
      <w:rFonts w:ascii="Times New Roman" w:hAnsi="Times New Roman"/>
      <w:spacing w:val="-1"/>
      <w:sz w:val="24"/>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rsid w:val="00961DBB"/>
    <w:pPr>
      <w:numPr>
        <w:numId w:val="2"/>
      </w:numPr>
      <w:spacing w:before="113" w:after="113"/>
    </w:pPr>
    <w:rPr>
      <w:spacing w:val="-1"/>
    </w:rPr>
  </w:style>
  <w:style w:type="paragraph" w:styleId="ListNumber2">
    <w:name w:val="List Number 2"/>
    <w:basedOn w:val="Normal"/>
    <w:rsid w:val="00961DBB"/>
    <w:pPr>
      <w:numPr>
        <w:ilvl w:val="1"/>
        <w:numId w:val="2"/>
      </w:numPr>
      <w:spacing w:before="113" w:after="113"/>
    </w:pPr>
    <w:rPr>
      <w:spacing w:val="-1"/>
    </w:rPr>
  </w:style>
  <w:style w:type="paragraph" w:styleId="ListNumber3">
    <w:name w:val="List Number 3"/>
    <w:basedOn w:val="Normal"/>
    <w:rsid w:val="00961DBB"/>
    <w:pPr>
      <w:numPr>
        <w:ilvl w:val="2"/>
        <w:numId w:val="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3"/>
      </w:numPr>
    </w:pPr>
  </w:style>
  <w:style w:type="paragraph" w:customStyle="1" w:styleId="PullOutBoxBullet2">
    <w:name w:val="Pull Out Box Bullet 2"/>
    <w:basedOn w:val="PullOutBoxBodyText"/>
    <w:rsid w:val="00961DBB"/>
    <w:pPr>
      <w:numPr>
        <w:ilvl w:val="1"/>
        <w:numId w:val="3"/>
      </w:numPr>
    </w:pPr>
  </w:style>
  <w:style w:type="paragraph" w:customStyle="1" w:styleId="PullOutBoxBullet3">
    <w:name w:val="Pull Out Box Bullet 3"/>
    <w:basedOn w:val="PullOutBoxBodyText"/>
    <w:rsid w:val="00961DBB"/>
    <w:pPr>
      <w:numPr>
        <w:ilvl w:val="2"/>
        <w:numId w:val="3"/>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4"/>
      </w:numPr>
    </w:pPr>
  </w:style>
  <w:style w:type="paragraph" w:customStyle="1" w:styleId="PullOutBoxNumber2">
    <w:name w:val="Pull Out Box Number 2"/>
    <w:basedOn w:val="PullOutBoxBodyText"/>
    <w:rsid w:val="00961DBB"/>
    <w:pPr>
      <w:numPr>
        <w:ilvl w:val="1"/>
        <w:numId w:val="4"/>
      </w:numPr>
    </w:pPr>
  </w:style>
  <w:style w:type="paragraph" w:customStyle="1" w:styleId="PullOutBoxNumber3">
    <w:name w:val="Pull Out Box Number 3"/>
    <w:basedOn w:val="PullOutBoxBodyText"/>
    <w:rsid w:val="00961DBB"/>
    <w:pPr>
      <w:numPr>
        <w:ilvl w:val="2"/>
        <w:numId w:val="4"/>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842A35"/>
    <w:pPr>
      <w:tabs>
        <w:tab w:val="left" w:pos="1134"/>
      </w:tabs>
      <w:spacing w:before="240" w:after="240"/>
      <w:ind w:left="284"/>
    </w:pPr>
    <w:rPr>
      <w:rFonts w:ascii="Times New Roman" w:hAnsi="Times New Roman"/>
      <w:i/>
      <w:iCs/>
      <w:sz w:val="24"/>
    </w:rPr>
  </w:style>
  <w:style w:type="character" w:customStyle="1" w:styleId="QuoteChar">
    <w:name w:val="Quote Char"/>
    <w:basedOn w:val="DefaultParagraphFont"/>
    <w:link w:val="Quote"/>
    <w:rsid w:val="00842A35"/>
    <w:rPr>
      <w:rFonts w:ascii="Times New Roman" w:hAnsi="Times New Roman"/>
      <w:i/>
      <w:iCs/>
      <w:sz w:val="24"/>
    </w:rPr>
  </w:style>
  <w:style w:type="paragraph" w:customStyle="1" w:styleId="QuoteBullet">
    <w:name w:val="Quote Bullet"/>
    <w:basedOn w:val="Quote"/>
    <w:rsid w:val="00961DBB"/>
    <w:pPr>
      <w:numPr>
        <w:numId w:val="5"/>
      </w:numPr>
    </w:pPr>
  </w:style>
  <w:style w:type="paragraph" w:customStyle="1" w:styleId="QuoteBullet2">
    <w:name w:val="Quote Bullet 2"/>
    <w:basedOn w:val="Quote"/>
    <w:rsid w:val="00961DBB"/>
    <w:pPr>
      <w:numPr>
        <w:ilvl w:val="1"/>
        <w:numId w:val="5"/>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035ADE"/>
    <w:pPr>
      <w:keepLines/>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6"/>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7"/>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8334F8"/>
    <w:rPr>
      <w:sz w:val="16"/>
      <w:szCs w:val="16"/>
    </w:rPr>
  </w:style>
  <w:style w:type="paragraph" w:styleId="CommentText">
    <w:name w:val="annotation text"/>
    <w:basedOn w:val="Normal"/>
    <w:link w:val="CommentTextChar"/>
    <w:semiHidden/>
    <w:unhideWhenUsed/>
    <w:rsid w:val="008334F8"/>
    <w:pPr>
      <w:spacing w:line="240" w:lineRule="auto"/>
    </w:pPr>
    <w:rPr>
      <w:sz w:val="20"/>
      <w:szCs w:val="20"/>
    </w:rPr>
  </w:style>
  <w:style w:type="character" w:customStyle="1" w:styleId="CommentTextChar">
    <w:name w:val="Comment Text Char"/>
    <w:basedOn w:val="DefaultParagraphFont"/>
    <w:link w:val="CommentText"/>
    <w:semiHidden/>
    <w:rsid w:val="008334F8"/>
    <w:rPr>
      <w:sz w:val="20"/>
      <w:szCs w:val="20"/>
    </w:rPr>
  </w:style>
  <w:style w:type="paragraph" w:styleId="CommentSubject">
    <w:name w:val="annotation subject"/>
    <w:basedOn w:val="CommentText"/>
    <w:next w:val="CommentText"/>
    <w:link w:val="CommentSubjectChar"/>
    <w:semiHidden/>
    <w:unhideWhenUsed/>
    <w:rsid w:val="008334F8"/>
    <w:rPr>
      <w:b/>
      <w:bCs/>
    </w:rPr>
  </w:style>
  <w:style w:type="character" w:customStyle="1" w:styleId="CommentSubjectChar">
    <w:name w:val="Comment Subject Char"/>
    <w:basedOn w:val="CommentTextChar"/>
    <w:link w:val="CommentSubject"/>
    <w:semiHidden/>
    <w:rsid w:val="008334F8"/>
    <w:rPr>
      <w:b/>
      <w:bCs/>
      <w:sz w:val="20"/>
      <w:szCs w:val="20"/>
    </w:rPr>
  </w:style>
  <w:style w:type="paragraph" w:styleId="Revision">
    <w:name w:val="Revision"/>
    <w:hidden/>
    <w:uiPriority w:val="99"/>
    <w:semiHidden/>
    <w:rsid w:val="008334F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469596412">
      <w:bodyDiv w:val="1"/>
      <w:marLeft w:val="0"/>
      <w:marRight w:val="0"/>
      <w:marTop w:val="0"/>
      <w:marBottom w:val="0"/>
      <w:divBdr>
        <w:top w:val="none" w:sz="0" w:space="0" w:color="auto"/>
        <w:left w:val="none" w:sz="0" w:space="0" w:color="auto"/>
        <w:bottom w:val="none" w:sz="0" w:space="0" w:color="auto"/>
        <w:right w:val="none" w:sz="0" w:space="0" w:color="auto"/>
      </w:divBdr>
    </w:div>
    <w:div w:id="1181704911">
      <w:bodyDiv w:val="1"/>
      <w:marLeft w:val="0"/>
      <w:marRight w:val="0"/>
      <w:marTop w:val="0"/>
      <w:marBottom w:val="0"/>
      <w:divBdr>
        <w:top w:val="none" w:sz="0" w:space="0" w:color="auto"/>
        <w:left w:val="none" w:sz="0" w:space="0" w:color="auto"/>
        <w:bottom w:val="none" w:sz="0" w:space="0" w:color="auto"/>
        <w:right w:val="none" w:sz="0" w:space="0" w:color="auto"/>
      </w:divBdr>
    </w:div>
    <w:div w:id="1707411404">
      <w:bodyDiv w:val="1"/>
      <w:marLeft w:val="0"/>
      <w:marRight w:val="0"/>
      <w:marTop w:val="0"/>
      <w:marBottom w:val="0"/>
      <w:divBdr>
        <w:top w:val="none" w:sz="0" w:space="0" w:color="auto"/>
        <w:left w:val="none" w:sz="0" w:space="0" w:color="auto"/>
        <w:bottom w:val="none" w:sz="0" w:space="0" w:color="auto"/>
        <w:right w:val="none" w:sz="0" w:space="0" w:color="auto"/>
      </w:divBdr>
    </w:div>
    <w:div w:id="19027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PB%20Officer%20Letter.dotx"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0B1F1-265A-4BF0-9805-618F06F0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 Officer Letter.dotx</Template>
  <TotalTime>2</TotalTime>
  <Pages>6</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provided to the Senate Select Committee on Red Tape 09032017</dc:title>
  <dc:creator>Parliamentary Budget Office</dc:creator>
  <cp:lastModifiedBy>Pratley, Lauren (PBO)</cp:lastModifiedBy>
  <cp:revision>3</cp:revision>
  <cp:lastPrinted>2017-03-09T05:03:00Z</cp:lastPrinted>
  <dcterms:created xsi:type="dcterms:W3CDTF">2017-03-10T03:23:00Z</dcterms:created>
  <dcterms:modified xsi:type="dcterms:W3CDTF">2017-03-10T04:25:00Z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H</vt:lpwstr>
  </property>
  <property fmtid="{D5CDD505-2E9C-101B-9397-08002B2CF9AE}" pid="4" name="xTOCH3">
    <vt:lpwstr>H</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Appendix</vt:lpwstr>
  </property>
  <property fmtid="{D5CDD505-2E9C-101B-9397-08002B2CF9AE}" pid="12" name="_MarkAsFinal">
    <vt:bool>true</vt:bool>
  </property>
</Properties>
</file>