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4A7" w:rsidRDefault="00A734A7" w:rsidP="005C2F9E">
      <w:pPr>
        <w:pStyle w:val="Title"/>
        <w:spacing w:before="240" w:after="1200"/>
      </w:pPr>
      <w:bookmarkStart w:id="0" w:name="_GoBack"/>
      <w:bookmarkEnd w:id="0"/>
      <w:r>
        <w:rPr>
          <w:noProof/>
        </w:rPr>
        <w:drawing>
          <wp:inline distT="0" distB="0" distL="0" distR="0" wp14:anchorId="0C67342B" wp14:editId="6E491A41">
            <wp:extent cx="2876550" cy="609600"/>
            <wp:effectExtent l="0" t="0" r="0" b="0"/>
            <wp:docPr id="6" name="Picture 6" descr="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609600"/>
                    </a:xfrm>
                    <a:prstGeom prst="rect">
                      <a:avLst/>
                    </a:prstGeom>
                    <a:noFill/>
                    <a:ln>
                      <a:noFill/>
                    </a:ln>
                  </pic:spPr>
                </pic:pic>
              </a:graphicData>
            </a:graphic>
          </wp:inline>
        </w:drawing>
      </w:r>
    </w:p>
    <w:p w:rsidR="00A734A7" w:rsidRPr="00A734A7" w:rsidRDefault="00A734A7" w:rsidP="00A734A7">
      <w:pPr>
        <w:pStyle w:val="Title"/>
      </w:pPr>
      <w:r w:rsidRPr="00A734A7">
        <w:t xml:space="preserve">Report to the Senate Finance and </w:t>
      </w:r>
      <w:r w:rsidR="002D3148">
        <w:br/>
      </w:r>
      <w:r w:rsidRPr="00A734A7">
        <w:t>Public Administratio</w:t>
      </w:r>
      <w:r>
        <w:t>n Legislation Committee on PBO a</w:t>
      </w:r>
      <w:r w:rsidRPr="00A734A7">
        <w:t>ctivity</w:t>
      </w:r>
    </w:p>
    <w:p w:rsidR="005C2F9E" w:rsidRDefault="00B543DA" w:rsidP="004C2CCC">
      <w:pPr>
        <w:pStyle w:val="Subtitle"/>
      </w:pPr>
      <w:r>
        <w:t>22 February</w:t>
      </w:r>
      <w:r w:rsidR="00DF23ED">
        <w:t xml:space="preserve"> </w:t>
      </w:r>
      <w:r w:rsidR="00A734A7" w:rsidRPr="00A734A7">
        <w:t>201</w:t>
      </w:r>
      <w:r>
        <w:t>7</w:t>
      </w:r>
      <w:r w:rsidR="005C2F9E">
        <w:br w:type="page"/>
      </w:r>
    </w:p>
    <w:p w:rsidR="007D65A5" w:rsidRPr="00A55569" w:rsidRDefault="00A734A7" w:rsidP="00E60E7C">
      <w:pPr>
        <w:pStyle w:val="PBOheading1"/>
      </w:pPr>
      <w:r>
        <w:lastRenderedPageBreak/>
        <w:t>Overview</w:t>
      </w:r>
    </w:p>
    <w:p w:rsidR="00C11AF3" w:rsidRDefault="003C4528" w:rsidP="00E60E7C">
      <w:pPr>
        <w:pStyle w:val="PBOtext"/>
      </w:pPr>
      <w:r>
        <w:t>T</w:t>
      </w:r>
      <w:r w:rsidR="002A569E">
        <w:t>his</w:t>
      </w:r>
      <w:r w:rsidR="00986D03">
        <w:t xml:space="preserve"> activity</w:t>
      </w:r>
      <w:r w:rsidR="00C11AF3">
        <w:t xml:space="preserve"> report provides an update </w:t>
      </w:r>
      <w:r w:rsidR="00986D03">
        <w:t>on PBO activities</w:t>
      </w:r>
      <w:r w:rsidR="0056649D">
        <w:t xml:space="preserve"> since </w:t>
      </w:r>
      <w:r w:rsidR="00E43091">
        <w:t xml:space="preserve">the </w:t>
      </w:r>
      <w:r>
        <w:t>last report to the Committee (12</w:t>
      </w:r>
      <w:r w:rsidR="00FF0C91">
        <w:t> </w:t>
      </w:r>
      <w:r>
        <w:t>October 2016)</w:t>
      </w:r>
      <w:r w:rsidR="006A49DE">
        <w:t>.</w:t>
      </w:r>
    </w:p>
    <w:p w:rsidR="003C4528" w:rsidRDefault="009031F8" w:rsidP="003C4528">
      <w:pPr>
        <w:pStyle w:val="PBOheading2"/>
      </w:pPr>
      <w:r>
        <w:t>Independent review of the PBO</w:t>
      </w:r>
    </w:p>
    <w:p w:rsidR="009031F8" w:rsidRDefault="00CD42B9" w:rsidP="000464ED">
      <w:pPr>
        <w:rPr>
          <w:lang w:eastAsia="en-AU"/>
        </w:rPr>
      </w:pPr>
      <w:r>
        <w:rPr>
          <w:lang w:eastAsia="en-AU"/>
        </w:rPr>
        <w:t xml:space="preserve">Section 64T of the </w:t>
      </w:r>
      <w:r w:rsidRPr="000464ED">
        <w:rPr>
          <w:i/>
          <w:lang w:eastAsia="en-AU"/>
        </w:rPr>
        <w:t>Parliamentary Service Act 1999</w:t>
      </w:r>
      <w:r>
        <w:rPr>
          <w:lang w:eastAsia="en-AU"/>
        </w:rPr>
        <w:t xml:space="preserve"> enables the Joint Committee of Public Accounts and Audit (JCPAA) to seek an independent review of the </w:t>
      </w:r>
      <w:r w:rsidR="006E1A19">
        <w:rPr>
          <w:lang w:eastAsia="en-AU"/>
        </w:rPr>
        <w:t xml:space="preserve">operations of the </w:t>
      </w:r>
      <w:r>
        <w:rPr>
          <w:lang w:eastAsia="en-AU"/>
        </w:rPr>
        <w:t>PBO after a general election.  On 14</w:t>
      </w:r>
      <w:r w:rsidR="000464ED">
        <w:rPr>
          <w:lang w:eastAsia="en-AU"/>
        </w:rPr>
        <w:t> </w:t>
      </w:r>
      <w:r>
        <w:rPr>
          <w:lang w:eastAsia="en-AU"/>
        </w:rPr>
        <w:t xml:space="preserve">November 2016, the JCPAA announced an independent review into the PBO, focusing on how the PBO can </w:t>
      </w:r>
      <w:r w:rsidR="006E1A19">
        <w:rPr>
          <w:lang w:eastAsia="en-AU"/>
        </w:rPr>
        <w:t xml:space="preserve">build on the foundations it has established and </w:t>
      </w:r>
      <w:r>
        <w:rPr>
          <w:lang w:eastAsia="en-AU"/>
        </w:rPr>
        <w:t>continue to strengthen its abilit</w:t>
      </w:r>
      <w:r w:rsidR="006E1A19">
        <w:rPr>
          <w:lang w:eastAsia="en-AU"/>
        </w:rPr>
        <w:t>y to achieve its aims</w:t>
      </w:r>
      <w:r>
        <w:rPr>
          <w:lang w:eastAsia="en-AU"/>
        </w:rPr>
        <w:t>.</w:t>
      </w:r>
    </w:p>
    <w:p w:rsidR="000464ED" w:rsidRPr="000464ED" w:rsidRDefault="000464ED" w:rsidP="000464ED">
      <w:pPr>
        <w:rPr>
          <w:lang w:eastAsia="en-AU"/>
        </w:rPr>
      </w:pPr>
      <w:r>
        <w:rPr>
          <w:lang w:eastAsia="en-AU"/>
        </w:rPr>
        <w:t xml:space="preserve">The review is being conducted by Dr Ian Watt AC (Chair), former Secretary, Department of Prime Minister and Cabinet, and Mr Barry Anderson, former Deputy Director, US Congressional Budget Office.  The review is expected to be completed </w:t>
      </w:r>
      <w:r w:rsidR="006E1A19">
        <w:rPr>
          <w:lang w:eastAsia="en-AU"/>
        </w:rPr>
        <w:t xml:space="preserve">in April </w:t>
      </w:r>
      <w:r>
        <w:rPr>
          <w:lang w:eastAsia="en-AU"/>
        </w:rPr>
        <w:t>2017.</w:t>
      </w:r>
    </w:p>
    <w:p w:rsidR="007D65A5" w:rsidRDefault="007D65A5" w:rsidP="00E60E7C">
      <w:pPr>
        <w:pStyle w:val="PBOheading2"/>
      </w:pPr>
      <w:r w:rsidRPr="00A55569">
        <w:t xml:space="preserve">Requests from </w:t>
      </w:r>
      <w:r w:rsidR="00B23802">
        <w:t>p</w:t>
      </w:r>
      <w:r w:rsidRPr="00A55569">
        <w:t>arliamentarians</w:t>
      </w:r>
      <w:r w:rsidR="00B23802">
        <w:t xml:space="preserve"> and parliamentary parties</w:t>
      </w:r>
    </w:p>
    <w:p w:rsidR="0012673C" w:rsidRDefault="00467845" w:rsidP="00E60E7C">
      <w:pPr>
        <w:pStyle w:val="PBOtext"/>
      </w:pPr>
      <w:r>
        <w:t xml:space="preserve">In the first </w:t>
      </w:r>
      <w:r w:rsidR="00DD2B51">
        <w:t xml:space="preserve">half </w:t>
      </w:r>
      <w:r>
        <w:t xml:space="preserve">of 2016–17, the PBO responded to </w:t>
      </w:r>
      <w:r w:rsidR="00DD2B51">
        <w:t xml:space="preserve">877 </w:t>
      </w:r>
      <w:r>
        <w:t>requests</w:t>
      </w:r>
      <w:r w:rsidR="0048170C">
        <w:t xml:space="preserve"> </w:t>
      </w:r>
      <w:r>
        <w:t xml:space="preserve">from parliamentarians at an average turnaround time of </w:t>
      </w:r>
      <w:r w:rsidR="00D7752E">
        <w:t>11.5</w:t>
      </w:r>
      <w:r w:rsidR="00527D41">
        <w:t xml:space="preserve"> </w:t>
      </w:r>
      <w:r>
        <w:t xml:space="preserve">business days and a median time to completion of </w:t>
      </w:r>
      <w:r w:rsidR="00B56F23">
        <w:t>seven</w:t>
      </w:r>
      <w:r w:rsidR="00B55D14">
        <w:t xml:space="preserve"> </w:t>
      </w:r>
      <w:r>
        <w:t>business days (refer to Table</w:t>
      </w:r>
      <w:r w:rsidR="00B55D14">
        <w:t> </w:t>
      </w:r>
      <w:r>
        <w:t>1).</w:t>
      </w:r>
      <w:r w:rsidR="002A569E">
        <w:t xml:space="preserve">  </w:t>
      </w:r>
      <w:r w:rsidR="00513538">
        <w:t>A large number of</w:t>
      </w:r>
      <w:r w:rsidR="0012673C">
        <w:t xml:space="preserve"> these requests related to costings prepared for the post-election report of election commitments</w:t>
      </w:r>
      <w:r w:rsidR="003C4528">
        <w:t>,</w:t>
      </w:r>
      <w:r w:rsidR="00DD2B51">
        <w:t xml:space="preserve"> </w:t>
      </w:r>
      <w:r w:rsidR="00513538">
        <w:t>after which the demand for costings quickly resumed with the resumption of Parliament following the election</w:t>
      </w:r>
      <w:r w:rsidR="0012673C">
        <w:t>.</w:t>
      </w:r>
    </w:p>
    <w:p w:rsidR="007D65A5" w:rsidRDefault="00152D5E" w:rsidP="00E60E7C">
      <w:pPr>
        <w:pStyle w:val="PBOtext"/>
      </w:pPr>
      <w:r w:rsidRPr="006B6E81">
        <w:t xml:space="preserve">In the </w:t>
      </w:r>
      <w:r w:rsidR="00986D03">
        <w:t>same period</w:t>
      </w:r>
      <w:r w:rsidRPr="006B6E81">
        <w:t xml:space="preserve">, the PBO received </w:t>
      </w:r>
      <w:r w:rsidR="00513538">
        <w:t>145</w:t>
      </w:r>
      <w:r w:rsidR="00513538" w:rsidRPr="006B6E81">
        <w:t xml:space="preserve"> </w:t>
      </w:r>
      <w:r w:rsidR="007E6158" w:rsidRPr="006B6E81">
        <w:t xml:space="preserve">responses </w:t>
      </w:r>
      <w:r w:rsidR="009818CB">
        <w:t xml:space="preserve">from Commonwealth agencies </w:t>
      </w:r>
      <w:r w:rsidR="007E6158" w:rsidRPr="006B6E81">
        <w:t xml:space="preserve">to information requests at an average turnaround time of </w:t>
      </w:r>
      <w:r w:rsidR="00B56F23">
        <w:t>6.9</w:t>
      </w:r>
      <w:r w:rsidR="00DA19EE" w:rsidRPr="006B6E81">
        <w:t xml:space="preserve"> </w:t>
      </w:r>
      <w:r w:rsidR="007E6158" w:rsidRPr="006B6E81">
        <w:t xml:space="preserve">business days </w:t>
      </w:r>
      <w:r w:rsidR="009818CB">
        <w:t xml:space="preserve">and with an average punctuality of </w:t>
      </w:r>
      <w:r w:rsidR="00B56F23">
        <w:t>3.8</w:t>
      </w:r>
      <w:r w:rsidR="002A569E">
        <w:t> </w:t>
      </w:r>
      <w:r w:rsidR="009818CB">
        <w:t>business day</w:t>
      </w:r>
      <w:r w:rsidR="00A60511">
        <w:t>s</w:t>
      </w:r>
      <w:r w:rsidR="009818CB">
        <w:t xml:space="preserve"> early </w:t>
      </w:r>
      <w:r w:rsidR="007E6158" w:rsidRPr="006B6E81">
        <w:t>(refer to Table 2).</w:t>
      </w:r>
      <w:r w:rsidR="00F45847">
        <w:t xml:space="preserve">  </w:t>
      </w:r>
      <w:r w:rsidR="003C4528">
        <w:t xml:space="preserve">Many of these requests relate to the provision of information </w:t>
      </w:r>
      <w:r w:rsidR="009031F8">
        <w:t xml:space="preserve">following the Mid-Year Economic and Fiscal Outlook (MYEFO) update </w:t>
      </w:r>
      <w:proofErr w:type="spellStart"/>
      <w:r w:rsidR="003C4528">
        <w:t>under standing</w:t>
      </w:r>
      <w:proofErr w:type="spellEnd"/>
      <w:r w:rsidR="003C4528">
        <w:t xml:space="preserve"> arrangements with a number of agencies.  </w:t>
      </w:r>
      <w:r w:rsidR="00F45847">
        <w:t xml:space="preserve">Table 3 contains details of </w:t>
      </w:r>
      <w:r w:rsidR="0013683A">
        <w:t>the</w:t>
      </w:r>
      <w:r w:rsidR="00F45847">
        <w:t xml:space="preserve"> responsiveness </w:t>
      </w:r>
      <w:r w:rsidR="0013683A">
        <w:t xml:space="preserve">of </w:t>
      </w:r>
      <w:r w:rsidR="00F45847">
        <w:t xml:space="preserve">Commonwealth agencies </w:t>
      </w:r>
      <w:r w:rsidR="0013683A">
        <w:t>to information requests during</w:t>
      </w:r>
      <w:r w:rsidR="00F45847">
        <w:t xml:space="preserve"> </w:t>
      </w:r>
      <w:r w:rsidR="00CC662C">
        <w:t xml:space="preserve">the first </w:t>
      </w:r>
      <w:r w:rsidR="00513538">
        <w:t xml:space="preserve">half </w:t>
      </w:r>
      <w:r w:rsidR="00CC662C">
        <w:t>of 2016–17</w:t>
      </w:r>
      <w:r w:rsidR="00F45847">
        <w:t>.</w:t>
      </w:r>
    </w:p>
    <w:p w:rsidR="007D65A5" w:rsidRDefault="007D65A5" w:rsidP="00E60E7C">
      <w:pPr>
        <w:pStyle w:val="PBOheading2"/>
      </w:pPr>
      <w:r w:rsidRPr="0048170C">
        <w:t xml:space="preserve">Self-initiated </w:t>
      </w:r>
      <w:r w:rsidR="00986D03" w:rsidRPr="0048170C">
        <w:t xml:space="preserve">research </w:t>
      </w:r>
      <w:r w:rsidRPr="0048170C">
        <w:t>program</w:t>
      </w:r>
    </w:p>
    <w:p w:rsidR="00C70094" w:rsidRDefault="00C70094" w:rsidP="00C70094">
      <w:pPr>
        <w:pStyle w:val="PBOtext"/>
      </w:pPr>
      <w:r>
        <w:t xml:space="preserve">On 2 November 2016, the PBO released Report No. 03/2016 </w:t>
      </w:r>
      <w:r w:rsidRPr="00B719DE">
        <w:rPr>
          <w:i/>
        </w:rPr>
        <w:t xml:space="preserve">National fiscal outlook </w:t>
      </w:r>
      <w:r>
        <w:rPr>
          <w:i/>
        </w:rPr>
        <w:t>–</w:t>
      </w:r>
      <w:r w:rsidRPr="00B719DE">
        <w:rPr>
          <w:i/>
        </w:rPr>
        <w:t xml:space="preserve"> As </w:t>
      </w:r>
      <w:r>
        <w:rPr>
          <w:i/>
        </w:rPr>
        <w:t>at 2016–</w:t>
      </w:r>
      <w:r w:rsidRPr="00B719DE">
        <w:rPr>
          <w:i/>
        </w:rPr>
        <w:t>17 budgets</w:t>
      </w:r>
      <w:r>
        <w:t>.  The report provided an update of the national fiscal outlook based on Commonwealth and state government 2016–17 budgets.</w:t>
      </w:r>
    </w:p>
    <w:p w:rsidR="00C70094" w:rsidRDefault="00C70094" w:rsidP="00C70094">
      <w:pPr>
        <w:pStyle w:val="PBOtext"/>
      </w:pPr>
      <w:r>
        <w:t xml:space="preserve">On 14 December 2016, the PBO released Report No. 04/2016 </w:t>
      </w:r>
      <w:r>
        <w:rPr>
          <w:i/>
        </w:rPr>
        <w:t>National Broadband Network</w:t>
      </w:r>
      <w:r w:rsidR="002A56BE">
        <w:rPr>
          <w:i/>
        </w:rPr>
        <w:t>:</w:t>
      </w:r>
      <w:r w:rsidR="00FF0C91">
        <w:rPr>
          <w:i/>
        </w:rPr>
        <w:t xml:space="preserve"> </w:t>
      </w:r>
      <w:r w:rsidRPr="00B719DE">
        <w:rPr>
          <w:i/>
        </w:rPr>
        <w:t>Impact on the Budget</w:t>
      </w:r>
      <w:r>
        <w:t xml:space="preserve">.  The report analysed the budget impact of the Commonwealth’s equity and debt financing of the </w:t>
      </w:r>
      <w:r w:rsidR="002A56BE">
        <w:t xml:space="preserve">National Broadband Network </w:t>
      </w:r>
      <w:r>
        <w:t>and the associated fiscal risks.</w:t>
      </w:r>
    </w:p>
    <w:p w:rsidR="00C70094" w:rsidRDefault="00C70094" w:rsidP="00C70094">
      <w:pPr>
        <w:pStyle w:val="PBOtext"/>
      </w:pPr>
      <w:r>
        <w:t xml:space="preserve">On 12 January 2017, the PBO released the </w:t>
      </w:r>
      <w:r w:rsidRPr="00D31514">
        <w:rPr>
          <w:i/>
        </w:rPr>
        <w:t>2016–17 M</w:t>
      </w:r>
      <w:r w:rsidR="002A56BE">
        <w:rPr>
          <w:i/>
        </w:rPr>
        <w:t>id-Year</w:t>
      </w:r>
      <w:r w:rsidRPr="00D31514">
        <w:rPr>
          <w:i/>
        </w:rPr>
        <w:t xml:space="preserve"> Economic and Fiscal </w:t>
      </w:r>
      <w:r w:rsidR="002A56BE">
        <w:rPr>
          <w:i/>
        </w:rPr>
        <w:t>O</w:t>
      </w:r>
      <w:r w:rsidRPr="00D31514">
        <w:rPr>
          <w:i/>
        </w:rPr>
        <w:t>utlook</w:t>
      </w:r>
      <w:r w:rsidR="002A56BE">
        <w:rPr>
          <w:i/>
        </w:rPr>
        <w:t xml:space="preserve"> – charts</w:t>
      </w:r>
      <w:r>
        <w:t xml:space="preserve"> which provided a graphical summary of the impacts of policy decisions and other factors </w:t>
      </w:r>
      <w:proofErr w:type="gramStart"/>
      <w:r>
        <w:t>between the 2016–17 MYEFO</w:t>
      </w:r>
      <w:proofErr w:type="gramEnd"/>
      <w:r>
        <w:t xml:space="preserve"> and Budget.</w:t>
      </w:r>
    </w:p>
    <w:p w:rsidR="00C70094" w:rsidRDefault="00C70094" w:rsidP="00C70094">
      <w:pPr>
        <w:pStyle w:val="PBOtext"/>
      </w:pPr>
      <w:r>
        <w:t xml:space="preserve">On 7 February 2017, the PBO released an update of </w:t>
      </w:r>
      <w:proofErr w:type="gramStart"/>
      <w:r w:rsidRPr="00D31514">
        <w:rPr>
          <w:i/>
        </w:rPr>
        <w:t>Unlegislated</w:t>
      </w:r>
      <w:proofErr w:type="gramEnd"/>
      <w:r w:rsidRPr="00D31514">
        <w:rPr>
          <w:i/>
        </w:rPr>
        <w:t xml:space="preserve"> measures carried forward in the budget estimates – February 2017 update</w:t>
      </w:r>
      <w:r>
        <w:t>.  The report provided an update of the projected impact of unlegislated measures on current budget estimates and over the medium term.</w:t>
      </w:r>
    </w:p>
    <w:p w:rsidR="00C70094" w:rsidRDefault="00C70094" w:rsidP="00C70094">
      <w:pPr>
        <w:pStyle w:val="PBOtext"/>
      </w:pPr>
      <w:r>
        <w:lastRenderedPageBreak/>
        <w:t xml:space="preserve">On 8 February 2017, the PBO released Report No. 01/2017 </w:t>
      </w:r>
      <w:r w:rsidRPr="00486AAB">
        <w:rPr>
          <w:i/>
        </w:rPr>
        <w:t>Future Fund drawdown scenarios</w:t>
      </w:r>
      <w:r w:rsidR="009031F8">
        <w:rPr>
          <w:i/>
        </w:rPr>
        <w:t>:</w:t>
      </w:r>
      <w:r w:rsidRPr="00486AAB">
        <w:rPr>
          <w:i/>
        </w:rPr>
        <w:t xml:space="preserve"> Budget implications</w:t>
      </w:r>
      <w:r>
        <w:t>.  The report discussed scenarios for the drawdown of funds from the Future Fund to meet unfunded superannuation cash payments and the budget implications of those scenarios.</w:t>
      </w:r>
    </w:p>
    <w:p w:rsidR="00C70094" w:rsidRDefault="00C70094" w:rsidP="00C70094">
      <w:pPr>
        <w:pStyle w:val="PBOtext"/>
      </w:pPr>
      <w:r>
        <w:t>Current work in progress includes a report on 2016–17 MYEFO medium-term projections.</w:t>
      </w:r>
    </w:p>
    <w:p w:rsidR="007D65A5" w:rsidRPr="00A55569" w:rsidRDefault="007D65A5" w:rsidP="00E60E7C">
      <w:pPr>
        <w:pStyle w:val="PBOheading2"/>
        <w:spacing w:after="120"/>
      </w:pPr>
      <w:r w:rsidRPr="00A55569">
        <w:t xml:space="preserve">PBO </w:t>
      </w:r>
      <w:r w:rsidR="00742FB7">
        <w:t>s</w:t>
      </w:r>
      <w:r w:rsidRPr="00A55569">
        <w:t>taffing</w:t>
      </w:r>
    </w:p>
    <w:p w:rsidR="00392BA4" w:rsidRDefault="007D65A5" w:rsidP="00E60E7C">
      <w:pPr>
        <w:pStyle w:val="PBOtext"/>
      </w:pPr>
      <w:r>
        <w:t xml:space="preserve">The PBO </w:t>
      </w:r>
      <w:r w:rsidR="0013683A">
        <w:t xml:space="preserve">has a staffing establishment of </w:t>
      </w:r>
      <w:r w:rsidR="00E401D9">
        <w:t xml:space="preserve">approximately 40 </w:t>
      </w:r>
      <w:r>
        <w:t xml:space="preserve">positions and </w:t>
      </w:r>
      <w:r w:rsidR="0013683A">
        <w:t xml:space="preserve">receives additional funding every third year in the lead up to a general election to boost its staffing.  </w:t>
      </w:r>
      <w:r w:rsidR="00EE54F2">
        <w:t>At 3</w:t>
      </w:r>
      <w:r w:rsidR="00E60E7C">
        <w:t>1</w:t>
      </w:r>
      <w:r w:rsidR="00EE54F2">
        <w:t xml:space="preserve"> </w:t>
      </w:r>
      <w:r w:rsidR="00E60E7C">
        <w:t>December</w:t>
      </w:r>
      <w:r w:rsidR="00EE54F2">
        <w:t xml:space="preserve"> 2016, the PBO had </w:t>
      </w:r>
      <w:r w:rsidR="00B40746">
        <w:t xml:space="preserve">45 </w:t>
      </w:r>
      <w:r w:rsidR="00EE54F2">
        <w:t>staff (refer to Table 4)</w:t>
      </w:r>
      <w:r w:rsidR="005427A7">
        <w:t xml:space="preserve">, </w:t>
      </w:r>
      <w:r w:rsidR="00B56F23">
        <w:t xml:space="preserve">reflecting the higher staffing level associated with the </w:t>
      </w:r>
      <w:r w:rsidR="005427A7">
        <w:t>general election</w:t>
      </w:r>
      <w:r w:rsidR="00B56F23">
        <w:t xml:space="preserve"> and the continuing demand for policy costing services</w:t>
      </w:r>
      <w:r w:rsidR="005427A7">
        <w:t>.</w:t>
      </w:r>
      <w:r w:rsidR="005B325D">
        <w:t xml:space="preserve">  In addition, the PBO currently has </w:t>
      </w:r>
      <w:r w:rsidR="002A56BE">
        <w:t xml:space="preserve">one </w:t>
      </w:r>
      <w:r w:rsidR="005B325D">
        <w:t>secondee under the 201</w:t>
      </w:r>
      <w:r w:rsidR="002A56BE">
        <w:t>7</w:t>
      </w:r>
      <w:r w:rsidR="005B325D">
        <w:t xml:space="preserve"> Parliament of Australia graduate program.</w:t>
      </w:r>
    </w:p>
    <w:p w:rsidR="00440916" w:rsidRPr="00626105" w:rsidRDefault="00440916" w:rsidP="00E60E7C">
      <w:pPr>
        <w:pStyle w:val="PBOtext"/>
      </w:pPr>
      <w:r w:rsidRPr="00626105">
        <w:br w:type="page"/>
      </w:r>
    </w:p>
    <w:p w:rsidR="00EE10A1" w:rsidRPr="008C72D3" w:rsidRDefault="005D002A" w:rsidP="00E60E7C">
      <w:pPr>
        <w:pStyle w:val="PBOheading1"/>
      </w:pPr>
      <w:r>
        <w:lastRenderedPageBreak/>
        <w:t>Requests from p</w:t>
      </w:r>
      <w:r w:rsidR="00EE10A1" w:rsidRPr="008C72D3">
        <w:t xml:space="preserve">arliamentarians </w:t>
      </w:r>
      <w:r w:rsidR="001244FE">
        <w:t xml:space="preserve">and parliamentary parties </w:t>
      </w:r>
      <w:r w:rsidR="00EE10A1" w:rsidRPr="008C72D3">
        <w:t>for costings</w:t>
      </w:r>
      <w:r w:rsidR="001244FE">
        <w:t xml:space="preserve"> and budget</w:t>
      </w:r>
      <w:r w:rsidR="00EE10A1" w:rsidRPr="008C72D3">
        <w:t xml:space="preserve"> analyses</w:t>
      </w:r>
    </w:p>
    <w:p w:rsidR="006008B9" w:rsidRPr="00BF637E" w:rsidRDefault="00150BBB" w:rsidP="00E60E7C">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D543A7">
        <w:rPr>
          <w:rFonts w:asciiTheme="minorHAnsi" w:eastAsiaTheme="minorHAnsi" w:hAnsiTheme="minorHAnsi" w:cstheme="minorBidi"/>
          <w:color w:val="1F497D" w:themeColor="text2"/>
          <w:spacing w:val="-4"/>
          <w:sz w:val="20"/>
          <w:lang w:eastAsia="en-US"/>
        </w:rPr>
        <w:t>Table 1</w:t>
      </w:r>
      <w:r w:rsidR="00A55569" w:rsidRPr="00D543A7">
        <w:rPr>
          <w:rFonts w:asciiTheme="minorHAnsi" w:eastAsiaTheme="minorHAnsi" w:hAnsiTheme="minorHAnsi" w:cstheme="minorBidi"/>
          <w:color w:val="1F497D" w:themeColor="text2"/>
          <w:spacing w:val="-4"/>
          <w:sz w:val="20"/>
          <w:lang w:eastAsia="en-US"/>
        </w:rPr>
        <w:t>:</w:t>
      </w:r>
      <w:r w:rsidRPr="00D543A7">
        <w:rPr>
          <w:rFonts w:asciiTheme="minorHAnsi" w:eastAsiaTheme="minorHAnsi" w:hAnsiTheme="minorHAnsi" w:cstheme="minorBidi"/>
          <w:color w:val="1F497D" w:themeColor="text2"/>
          <w:spacing w:val="-4"/>
          <w:sz w:val="20"/>
          <w:lang w:eastAsia="en-US"/>
        </w:rPr>
        <w:t xml:space="preserve"> </w:t>
      </w:r>
      <w:r w:rsidR="007E6158">
        <w:rPr>
          <w:rFonts w:asciiTheme="minorHAnsi" w:eastAsiaTheme="minorHAnsi" w:hAnsiTheme="minorHAnsi" w:cstheme="minorBidi"/>
          <w:color w:val="1F497D" w:themeColor="text2"/>
          <w:spacing w:val="-4"/>
          <w:sz w:val="20"/>
          <w:lang w:eastAsia="en-US"/>
        </w:rPr>
        <w:t xml:space="preserve">Costing and budget analysis requests from parliamentarians and parliamentary parties to </w:t>
      </w:r>
      <w:r w:rsidR="0056304F">
        <w:rPr>
          <w:rFonts w:asciiTheme="minorHAnsi" w:eastAsiaTheme="minorHAnsi" w:hAnsiTheme="minorHAnsi" w:cstheme="minorBidi"/>
          <w:color w:val="1F497D" w:themeColor="text2"/>
          <w:spacing w:val="-4"/>
          <w:sz w:val="20"/>
          <w:lang w:eastAsia="en-US"/>
        </w:rPr>
        <w:br/>
        <w:t>3</w:t>
      </w:r>
      <w:r w:rsidR="00AA5AD6">
        <w:rPr>
          <w:rFonts w:asciiTheme="minorHAnsi" w:eastAsiaTheme="minorHAnsi" w:hAnsiTheme="minorHAnsi" w:cstheme="minorBidi"/>
          <w:color w:val="1F497D" w:themeColor="text2"/>
          <w:spacing w:val="-4"/>
          <w:sz w:val="20"/>
          <w:lang w:eastAsia="en-US"/>
        </w:rPr>
        <w:t>1</w:t>
      </w:r>
      <w:r w:rsidR="0045600F">
        <w:rPr>
          <w:rFonts w:asciiTheme="minorHAnsi" w:eastAsiaTheme="minorHAnsi" w:hAnsiTheme="minorHAnsi" w:cstheme="minorBidi"/>
          <w:color w:val="1F497D" w:themeColor="text2"/>
          <w:spacing w:val="-4"/>
          <w:sz w:val="20"/>
          <w:lang w:eastAsia="en-US"/>
        </w:rPr>
        <w:t xml:space="preserve"> </w:t>
      </w:r>
      <w:r w:rsidR="00AA5AD6">
        <w:rPr>
          <w:rFonts w:asciiTheme="minorHAnsi" w:eastAsiaTheme="minorHAnsi" w:hAnsiTheme="minorHAnsi" w:cstheme="minorBidi"/>
          <w:color w:val="1F497D" w:themeColor="text2"/>
          <w:spacing w:val="-4"/>
          <w:sz w:val="20"/>
          <w:lang w:eastAsia="en-US"/>
        </w:rPr>
        <w:t>December</w:t>
      </w:r>
      <w:r w:rsidR="0056304F">
        <w:rPr>
          <w:rFonts w:asciiTheme="minorHAnsi" w:eastAsiaTheme="minorHAnsi" w:hAnsiTheme="minorHAnsi" w:cstheme="minorBidi"/>
          <w:color w:val="1F497D" w:themeColor="text2"/>
          <w:spacing w:val="-4"/>
          <w:sz w:val="20"/>
          <w:lang w:eastAsia="en-US"/>
        </w:rPr>
        <w:t xml:space="preserve"> 2016</w:t>
      </w:r>
    </w:p>
    <w:tbl>
      <w:tblPr>
        <w:tblStyle w:val="TableGrid11"/>
        <w:tblpPr w:leftFromText="180" w:rightFromText="180" w:bottomFromText="155" w:vertAnchor="text"/>
        <w:tblW w:w="5000" w:type="pct"/>
        <w:tblLayout w:type="fixed"/>
        <w:tblLook w:val="04A0" w:firstRow="1" w:lastRow="0" w:firstColumn="1" w:lastColumn="0" w:noHBand="0" w:noVBand="1"/>
      </w:tblPr>
      <w:tblGrid>
        <w:gridCol w:w="2505"/>
        <w:gridCol w:w="934"/>
        <w:gridCol w:w="933"/>
        <w:gridCol w:w="933"/>
        <w:gridCol w:w="933"/>
        <w:gridCol w:w="931"/>
        <w:gridCol w:w="931"/>
        <w:gridCol w:w="926"/>
      </w:tblGrid>
      <w:tr w:rsidR="00EB2B00" w:rsidRPr="00764FC5" w:rsidTr="00FF0C91">
        <w:trPr>
          <w:cnfStyle w:val="100000000000" w:firstRow="1" w:lastRow="0" w:firstColumn="0" w:lastColumn="0" w:oddVBand="0" w:evenVBand="0" w:oddHBand="0" w:evenHBand="0" w:firstRowFirstColumn="0" w:firstRowLastColumn="0" w:lastRowFirstColumn="0" w:lastRowLastColumn="0"/>
          <w:trHeight w:val="704"/>
          <w:tblHeader/>
        </w:trPr>
        <w:tc>
          <w:tcPr>
            <w:cnfStyle w:val="001000000100" w:firstRow="0" w:lastRow="0" w:firstColumn="1" w:lastColumn="0" w:oddVBand="0" w:evenVBand="0" w:oddHBand="0" w:evenHBand="0" w:firstRowFirstColumn="1" w:firstRowLastColumn="0" w:lastRowFirstColumn="0" w:lastRowLastColumn="0"/>
            <w:tcW w:w="1387" w:type="pct"/>
            <w:noWrap/>
          </w:tcPr>
          <w:p w:rsidR="00EB2B00" w:rsidRPr="00764FC5" w:rsidRDefault="00EB2B00" w:rsidP="00B56F23">
            <w:pPr>
              <w:keepNext/>
              <w:keepLines/>
              <w:spacing w:before="0" w:after="200" w:line="240" w:lineRule="auto"/>
              <w:ind w:left="0" w:right="0"/>
              <w:rPr>
                <w:rFonts w:eastAsia="Calibri"/>
                <w:b/>
                <w:color w:val="auto"/>
                <w:sz w:val="18"/>
                <w:szCs w:val="18"/>
                <w:lang w:eastAsia="en-US"/>
              </w:rPr>
            </w:pPr>
          </w:p>
        </w:tc>
        <w:tc>
          <w:tcPr>
            <w:tcW w:w="517" w:type="pct"/>
          </w:tcPr>
          <w:p w:rsidR="00EB2B00" w:rsidRPr="001244FE"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2012–13</w:t>
            </w:r>
          </w:p>
          <w:p w:rsidR="00EB2B00" w:rsidRPr="00764FC5"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eastAsia="Calibri"/>
                <w:b/>
                <w:color w:val="auto"/>
                <w:sz w:val="18"/>
                <w:szCs w:val="18"/>
                <w:lang w:eastAsia="en-US"/>
              </w:rPr>
            </w:pPr>
            <w:r w:rsidRPr="001244FE">
              <w:rPr>
                <w:rFonts w:asciiTheme="minorHAnsi" w:hAnsiTheme="minorHAnsi"/>
                <w:b/>
                <w:sz w:val="18"/>
                <w:szCs w:val="18"/>
              </w:rPr>
              <w:t>Total</w:t>
            </w:r>
          </w:p>
        </w:tc>
        <w:tc>
          <w:tcPr>
            <w:tcW w:w="517" w:type="pct"/>
          </w:tcPr>
          <w:p w:rsidR="00EB2B00" w:rsidRPr="001244FE"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2013–14</w:t>
            </w:r>
          </w:p>
          <w:p w:rsidR="00EB2B00" w:rsidRPr="00764FC5"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eastAsia="Calibri"/>
                <w:b/>
                <w:color w:val="auto"/>
                <w:sz w:val="18"/>
                <w:szCs w:val="18"/>
                <w:lang w:eastAsia="en-US"/>
              </w:rPr>
            </w:pPr>
            <w:r w:rsidRPr="001244FE">
              <w:rPr>
                <w:rFonts w:asciiTheme="minorHAnsi" w:hAnsiTheme="minorHAnsi"/>
                <w:b/>
                <w:sz w:val="18"/>
                <w:szCs w:val="18"/>
              </w:rPr>
              <w:t>Total</w:t>
            </w:r>
            <w:r>
              <w:rPr>
                <w:rFonts w:asciiTheme="minorHAnsi" w:hAnsiTheme="minorHAnsi"/>
                <w:b/>
                <w:sz w:val="18"/>
                <w:szCs w:val="18"/>
              </w:rPr>
              <w:t xml:space="preserve"> </w:t>
            </w:r>
          </w:p>
        </w:tc>
        <w:tc>
          <w:tcPr>
            <w:tcW w:w="517" w:type="pct"/>
          </w:tcPr>
          <w:p w:rsidR="00EB2B00" w:rsidRPr="00D77CDE"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D77CDE">
              <w:rPr>
                <w:rFonts w:asciiTheme="minorHAnsi" w:hAnsiTheme="minorHAnsi"/>
                <w:b/>
                <w:sz w:val="18"/>
                <w:szCs w:val="18"/>
              </w:rPr>
              <w:t>2014–15</w:t>
            </w:r>
          </w:p>
          <w:p w:rsidR="00EB2B00" w:rsidRPr="001244FE"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D77CDE">
              <w:rPr>
                <w:rFonts w:asciiTheme="minorHAnsi" w:hAnsiTheme="minorHAnsi"/>
                <w:b/>
                <w:sz w:val="18"/>
                <w:szCs w:val="18"/>
              </w:rPr>
              <w:t>Total</w:t>
            </w:r>
          </w:p>
        </w:tc>
        <w:tc>
          <w:tcPr>
            <w:tcW w:w="517" w:type="pct"/>
          </w:tcPr>
          <w:p w:rsidR="00EB2B00" w:rsidRPr="001244FE"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w:t>
            </w:r>
            <w:r>
              <w:rPr>
                <w:rFonts w:asciiTheme="minorHAnsi" w:hAnsiTheme="minorHAnsi"/>
                <w:b/>
                <w:sz w:val="18"/>
                <w:szCs w:val="18"/>
              </w:rPr>
              <w:t>5</w:t>
            </w:r>
            <w:r w:rsidRPr="001244FE">
              <w:rPr>
                <w:rFonts w:asciiTheme="minorHAnsi" w:hAnsiTheme="minorHAnsi"/>
                <w:b/>
                <w:sz w:val="18"/>
                <w:szCs w:val="18"/>
              </w:rPr>
              <w:t>–1</w:t>
            </w:r>
            <w:r>
              <w:rPr>
                <w:rFonts w:asciiTheme="minorHAnsi" w:hAnsiTheme="minorHAnsi"/>
                <w:b/>
                <w:sz w:val="18"/>
                <w:szCs w:val="18"/>
              </w:rPr>
              <w:t>6</w:t>
            </w:r>
          </w:p>
          <w:p w:rsidR="00EB2B00" w:rsidRPr="001E1EE2"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1244FE">
              <w:rPr>
                <w:rFonts w:asciiTheme="minorHAnsi" w:hAnsiTheme="minorHAnsi"/>
                <w:b/>
                <w:sz w:val="18"/>
                <w:szCs w:val="18"/>
              </w:rPr>
              <w:t>Total</w:t>
            </w:r>
          </w:p>
        </w:tc>
        <w:tc>
          <w:tcPr>
            <w:tcW w:w="516" w:type="pct"/>
          </w:tcPr>
          <w:p w:rsidR="00EB2B00"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1E1EE2">
              <w:rPr>
                <w:rFonts w:asciiTheme="minorHAnsi" w:hAnsiTheme="minorHAnsi"/>
                <w:sz w:val="18"/>
                <w:szCs w:val="18"/>
              </w:rPr>
              <w:t>201</w:t>
            </w:r>
            <w:r>
              <w:rPr>
                <w:rFonts w:asciiTheme="minorHAnsi" w:hAnsiTheme="minorHAnsi"/>
                <w:sz w:val="18"/>
                <w:szCs w:val="18"/>
              </w:rPr>
              <w:t>6–</w:t>
            </w:r>
            <w:r w:rsidRPr="001E1EE2">
              <w:rPr>
                <w:rFonts w:asciiTheme="minorHAnsi" w:hAnsiTheme="minorHAnsi"/>
                <w:sz w:val="18"/>
                <w:szCs w:val="18"/>
              </w:rPr>
              <w:t>1</w:t>
            </w:r>
            <w:r>
              <w:rPr>
                <w:rFonts w:asciiTheme="minorHAnsi" w:hAnsiTheme="minorHAnsi"/>
                <w:sz w:val="18"/>
                <w:szCs w:val="18"/>
              </w:rPr>
              <w:t>7</w:t>
            </w:r>
          </w:p>
          <w:p w:rsidR="00EB2B00" w:rsidRPr="001244FE"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sz w:val="18"/>
                <w:szCs w:val="18"/>
              </w:rPr>
              <w:t>Q1</w:t>
            </w:r>
          </w:p>
        </w:tc>
        <w:tc>
          <w:tcPr>
            <w:tcW w:w="516" w:type="pct"/>
          </w:tcPr>
          <w:p w:rsidR="00D56CC2" w:rsidRDefault="00EB2B00" w:rsidP="00096F8F">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2016</w:t>
            </w:r>
            <w:r w:rsidR="00096F8F">
              <w:rPr>
                <w:rFonts w:asciiTheme="minorHAnsi" w:hAnsiTheme="minorHAnsi"/>
                <w:sz w:val="18"/>
                <w:szCs w:val="18"/>
              </w:rPr>
              <w:t>–</w:t>
            </w:r>
            <w:r>
              <w:rPr>
                <w:rFonts w:asciiTheme="minorHAnsi" w:hAnsiTheme="minorHAnsi"/>
                <w:sz w:val="18"/>
                <w:szCs w:val="18"/>
              </w:rPr>
              <w:t>17</w:t>
            </w:r>
          </w:p>
          <w:p w:rsidR="00EB2B00" w:rsidRPr="001E1EE2" w:rsidRDefault="00EB2B00" w:rsidP="00096F8F">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Q2</w:t>
            </w:r>
          </w:p>
        </w:tc>
        <w:tc>
          <w:tcPr>
            <w:tcW w:w="514" w:type="pct"/>
          </w:tcPr>
          <w:p w:rsidR="00072B17" w:rsidRPr="00B40746" w:rsidRDefault="00072B17" w:rsidP="00072B17">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B40746">
              <w:rPr>
                <w:rFonts w:asciiTheme="minorHAnsi" w:hAnsiTheme="minorHAnsi"/>
                <w:b/>
                <w:sz w:val="18"/>
                <w:szCs w:val="18"/>
              </w:rPr>
              <w:t>2016–17</w:t>
            </w:r>
          </w:p>
          <w:p w:rsidR="00EB2B00" w:rsidRPr="00B40746" w:rsidRDefault="00072B17" w:rsidP="00072B17">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B40746">
              <w:rPr>
                <w:rFonts w:asciiTheme="minorHAnsi" w:hAnsiTheme="minorHAnsi"/>
                <w:b/>
                <w:sz w:val="18"/>
                <w:szCs w:val="18"/>
              </w:rPr>
              <w:t>Total</w:t>
            </w:r>
          </w:p>
        </w:tc>
      </w:tr>
      <w:tr w:rsidR="00EB2B00" w:rsidRPr="00491308" w:rsidTr="00FF0C9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387" w:type="pct"/>
            <w:noWrap/>
            <w:hideMark/>
          </w:tcPr>
          <w:p w:rsidR="00EB2B00" w:rsidRPr="00491308" w:rsidRDefault="00EB2B00" w:rsidP="00B56F23">
            <w:pPr>
              <w:rPr>
                <w:rFonts w:cs="Arial"/>
                <w:bCs/>
                <w:sz w:val="18"/>
                <w:szCs w:val="18"/>
              </w:rPr>
            </w:pPr>
            <w:r w:rsidRPr="00491308">
              <w:rPr>
                <w:rFonts w:cs="Arial"/>
                <w:bCs/>
                <w:sz w:val="18"/>
                <w:szCs w:val="18"/>
              </w:rPr>
              <w:t>Requests outstanding at start of period</w:t>
            </w:r>
          </w:p>
        </w:tc>
        <w:tc>
          <w:tcPr>
            <w:tcW w:w="517" w:type="pct"/>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w:t>
            </w:r>
          </w:p>
        </w:tc>
        <w:tc>
          <w:tcPr>
            <w:tcW w:w="517" w:type="pct"/>
            <w:noWrap/>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463</w:t>
            </w:r>
          </w:p>
        </w:tc>
        <w:tc>
          <w:tcPr>
            <w:tcW w:w="517" w:type="pct"/>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76</w:t>
            </w:r>
          </w:p>
        </w:tc>
        <w:tc>
          <w:tcPr>
            <w:tcW w:w="517" w:type="pct"/>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138</w:t>
            </w:r>
          </w:p>
        </w:tc>
        <w:tc>
          <w:tcPr>
            <w:tcW w:w="516" w:type="pct"/>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491308">
              <w:rPr>
                <w:rFonts w:cs="Arial"/>
                <w:bCs/>
                <w:sz w:val="18"/>
                <w:szCs w:val="18"/>
              </w:rPr>
              <w:t>20</w:t>
            </w:r>
          </w:p>
        </w:tc>
        <w:tc>
          <w:tcPr>
            <w:tcW w:w="516" w:type="pct"/>
          </w:tcPr>
          <w:p w:rsidR="00EB2B00" w:rsidRPr="00491308" w:rsidRDefault="00533F06" w:rsidP="00E60E7C">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203</w:t>
            </w:r>
          </w:p>
        </w:tc>
        <w:tc>
          <w:tcPr>
            <w:tcW w:w="514" w:type="pct"/>
          </w:tcPr>
          <w:p w:rsidR="00EB2B00" w:rsidRPr="00B40746" w:rsidRDefault="00533F06"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B40746">
              <w:rPr>
                <w:rFonts w:cs="Arial"/>
                <w:b/>
                <w:bCs/>
                <w:sz w:val="18"/>
                <w:szCs w:val="18"/>
              </w:rPr>
              <w:t>20</w:t>
            </w:r>
          </w:p>
        </w:tc>
      </w:tr>
      <w:tr w:rsidR="00EB2B00" w:rsidRPr="00491308" w:rsidTr="00FF0C91">
        <w:trPr>
          <w:trHeight w:val="459"/>
        </w:trPr>
        <w:tc>
          <w:tcPr>
            <w:cnfStyle w:val="001000000000" w:firstRow="0" w:lastRow="0" w:firstColumn="1" w:lastColumn="0" w:oddVBand="0" w:evenVBand="0" w:oddHBand="0" w:evenHBand="0" w:firstRowFirstColumn="0" w:firstRowLastColumn="0" w:lastRowFirstColumn="0" w:lastRowLastColumn="0"/>
            <w:tcW w:w="1387" w:type="pct"/>
            <w:noWrap/>
            <w:hideMark/>
          </w:tcPr>
          <w:p w:rsidR="00EB2B00" w:rsidRPr="00491308" w:rsidRDefault="00EB2B00" w:rsidP="00B56F23">
            <w:pPr>
              <w:rPr>
                <w:rFonts w:cs="Arial"/>
                <w:bCs/>
                <w:sz w:val="18"/>
                <w:szCs w:val="18"/>
              </w:rPr>
            </w:pPr>
            <w:r w:rsidRPr="00491308">
              <w:rPr>
                <w:rFonts w:cs="Arial"/>
                <w:bCs/>
                <w:sz w:val="18"/>
                <w:szCs w:val="18"/>
              </w:rPr>
              <w:t>Requests received in period</w:t>
            </w:r>
          </w:p>
        </w:tc>
        <w:tc>
          <w:tcPr>
            <w:tcW w:w="517" w:type="pct"/>
          </w:tcPr>
          <w:p w:rsidR="00EB2B00" w:rsidRPr="00491308" w:rsidRDefault="00EB2B00" w:rsidP="00E60E7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1,146</w:t>
            </w:r>
          </w:p>
        </w:tc>
        <w:tc>
          <w:tcPr>
            <w:tcW w:w="517" w:type="pct"/>
            <w:noWrap/>
            <w:hideMark/>
          </w:tcPr>
          <w:p w:rsidR="00EB2B00" w:rsidRPr="00491308" w:rsidRDefault="00EB2B00" w:rsidP="00E60E7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1,297</w:t>
            </w:r>
          </w:p>
        </w:tc>
        <w:tc>
          <w:tcPr>
            <w:tcW w:w="517" w:type="pct"/>
          </w:tcPr>
          <w:p w:rsidR="00EB2B00" w:rsidRPr="00491308" w:rsidRDefault="00EB2B00" w:rsidP="00E60E7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973</w:t>
            </w:r>
          </w:p>
        </w:tc>
        <w:tc>
          <w:tcPr>
            <w:tcW w:w="517" w:type="pct"/>
          </w:tcPr>
          <w:p w:rsidR="00EB2B00" w:rsidRPr="00491308" w:rsidRDefault="00EB2B00" w:rsidP="00E60E7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4,146</w:t>
            </w:r>
          </w:p>
        </w:tc>
        <w:tc>
          <w:tcPr>
            <w:tcW w:w="516" w:type="pct"/>
          </w:tcPr>
          <w:p w:rsidR="00EB2B00" w:rsidRPr="00491308" w:rsidRDefault="00EB2B00" w:rsidP="00E60E7C">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491308">
              <w:rPr>
                <w:rFonts w:cs="Arial"/>
                <w:bCs/>
                <w:sz w:val="18"/>
                <w:szCs w:val="18"/>
              </w:rPr>
              <w:t>787</w:t>
            </w:r>
          </w:p>
        </w:tc>
        <w:tc>
          <w:tcPr>
            <w:tcW w:w="516" w:type="pct"/>
          </w:tcPr>
          <w:p w:rsidR="00EB2B00" w:rsidRPr="00491308" w:rsidRDefault="00533F06" w:rsidP="00E60E7C">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755</w:t>
            </w:r>
          </w:p>
        </w:tc>
        <w:tc>
          <w:tcPr>
            <w:tcW w:w="514" w:type="pct"/>
          </w:tcPr>
          <w:p w:rsidR="00EB2B00" w:rsidRPr="00B40746" w:rsidRDefault="00533F06" w:rsidP="00E60E7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B40746">
              <w:rPr>
                <w:rFonts w:cs="Arial"/>
                <w:b/>
                <w:bCs/>
                <w:sz w:val="18"/>
                <w:szCs w:val="18"/>
              </w:rPr>
              <w:t>1</w:t>
            </w:r>
            <w:r w:rsidR="00B40746" w:rsidRPr="00B40746">
              <w:rPr>
                <w:rFonts w:cs="Arial"/>
                <w:b/>
                <w:bCs/>
                <w:sz w:val="18"/>
                <w:szCs w:val="18"/>
              </w:rPr>
              <w:t>,</w:t>
            </w:r>
            <w:r w:rsidRPr="00B40746">
              <w:rPr>
                <w:rFonts w:cs="Arial"/>
                <w:b/>
                <w:bCs/>
                <w:sz w:val="18"/>
                <w:szCs w:val="18"/>
              </w:rPr>
              <w:t>542</w:t>
            </w:r>
          </w:p>
        </w:tc>
      </w:tr>
      <w:tr w:rsidR="00EB2B00" w:rsidRPr="00491308" w:rsidTr="00FF0C9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387" w:type="pct"/>
            <w:noWrap/>
            <w:hideMark/>
          </w:tcPr>
          <w:p w:rsidR="00EB2B00" w:rsidRPr="00491308" w:rsidRDefault="00EB2B00" w:rsidP="00B56F23">
            <w:pPr>
              <w:rPr>
                <w:rFonts w:cs="Arial"/>
                <w:bCs/>
                <w:sz w:val="18"/>
                <w:szCs w:val="18"/>
              </w:rPr>
            </w:pPr>
            <w:r w:rsidRPr="00491308">
              <w:rPr>
                <w:rFonts w:cs="Arial"/>
                <w:bCs/>
                <w:sz w:val="18"/>
                <w:szCs w:val="18"/>
              </w:rPr>
              <w:t>Requests withdrawn in period</w:t>
            </w:r>
          </w:p>
        </w:tc>
        <w:tc>
          <w:tcPr>
            <w:tcW w:w="517" w:type="pct"/>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19</w:t>
            </w:r>
          </w:p>
        </w:tc>
        <w:tc>
          <w:tcPr>
            <w:tcW w:w="517" w:type="pct"/>
            <w:noWrap/>
            <w:hideMark/>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162</w:t>
            </w:r>
          </w:p>
        </w:tc>
        <w:tc>
          <w:tcPr>
            <w:tcW w:w="517" w:type="pct"/>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42</w:t>
            </w:r>
          </w:p>
        </w:tc>
        <w:tc>
          <w:tcPr>
            <w:tcW w:w="517" w:type="pct"/>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1,013</w:t>
            </w:r>
          </w:p>
        </w:tc>
        <w:tc>
          <w:tcPr>
            <w:tcW w:w="516" w:type="pct"/>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491308">
              <w:rPr>
                <w:rFonts w:cs="Arial"/>
                <w:bCs/>
                <w:sz w:val="18"/>
                <w:szCs w:val="18"/>
              </w:rPr>
              <w:t>28</w:t>
            </w:r>
          </w:p>
        </w:tc>
        <w:tc>
          <w:tcPr>
            <w:tcW w:w="516" w:type="pct"/>
          </w:tcPr>
          <w:p w:rsidR="00EB2B00" w:rsidRPr="00491308" w:rsidRDefault="00533F06" w:rsidP="00E60E7C">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307</w:t>
            </w:r>
          </w:p>
        </w:tc>
        <w:tc>
          <w:tcPr>
            <w:tcW w:w="514" w:type="pct"/>
          </w:tcPr>
          <w:p w:rsidR="00EB2B00" w:rsidRPr="00B40746" w:rsidRDefault="00533F06"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B40746">
              <w:rPr>
                <w:rFonts w:cs="Arial"/>
                <w:b/>
                <w:bCs/>
                <w:sz w:val="18"/>
                <w:szCs w:val="18"/>
              </w:rPr>
              <w:t>335</w:t>
            </w:r>
          </w:p>
        </w:tc>
      </w:tr>
      <w:tr w:rsidR="00EB2B00" w:rsidRPr="00491308" w:rsidTr="00FF0C91">
        <w:trPr>
          <w:trHeight w:val="459"/>
        </w:trPr>
        <w:tc>
          <w:tcPr>
            <w:cnfStyle w:val="001000000000" w:firstRow="0" w:lastRow="0" w:firstColumn="1" w:lastColumn="0" w:oddVBand="0" w:evenVBand="0" w:oddHBand="0" w:evenHBand="0" w:firstRowFirstColumn="0" w:firstRowLastColumn="0" w:lastRowFirstColumn="0" w:lastRowLastColumn="0"/>
            <w:tcW w:w="1387" w:type="pct"/>
            <w:noWrap/>
            <w:hideMark/>
          </w:tcPr>
          <w:p w:rsidR="00EB2B00" w:rsidRPr="00491308" w:rsidRDefault="00EB2B00" w:rsidP="00B56F23">
            <w:pPr>
              <w:rPr>
                <w:rFonts w:cs="Arial"/>
                <w:bCs/>
                <w:sz w:val="18"/>
                <w:szCs w:val="18"/>
              </w:rPr>
            </w:pPr>
            <w:r w:rsidRPr="00491308">
              <w:rPr>
                <w:rFonts w:cs="Arial"/>
                <w:bCs/>
                <w:sz w:val="18"/>
                <w:szCs w:val="18"/>
              </w:rPr>
              <w:t>Requests completed in period</w:t>
            </w:r>
          </w:p>
        </w:tc>
        <w:tc>
          <w:tcPr>
            <w:tcW w:w="517" w:type="pct"/>
          </w:tcPr>
          <w:p w:rsidR="00EB2B00" w:rsidRPr="00491308" w:rsidRDefault="00EB2B00" w:rsidP="00E60E7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664</w:t>
            </w:r>
          </w:p>
        </w:tc>
        <w:tc>
          <w:tcPr>
            <w:tcW w:w="517" w:type="pct"/>
            <w:noWrap/>
            <w:hideMark/>
          </w:tcPr>
          <w:p w:rsidR="00EB2B00" w:rsidRPr="00491308" w:rsidRDefault="00EB2B00" w:rsidP="00E60E7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1,522</w:t>
            </w:r>
          </w:p>
        </w:tc>
        <w:tc>
          <w:tcPr>
            <w:tcW w:w="517" w:type="pct"/>
          </w:tcPr>
          <w:p w:rsidR="00EB2B00" w:rsidRPr="00491308" w:rsidRDefault="00EB2B00" w:rsidP="00E60E7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869</w:t>
            </w:r>
          </w:p>
        </w:tc>
        <w:tc>
          <w:tcPr>
            <w:tcW w:w="517" w:type="pct"/>
          </w:tcPr>
          <w:p w:rsidR="00EB2B00" w:rsidRPr="00491308" w:rsidRDefault="00EB2B00" w:rsidP="00E60E7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3,251</w:t>
            </w:r>
          </w:p>
        </w:tc>
        <w:tc>
          <w:tcPr>
            <w:tcW w:w="516" w:type="pct"/>
          </w:tcPr>
          <w:p w:rsidR="00EB2B00" w:rsidRPr="00491308" w:rsidRDefault="00EB2B00" w:rsidP="00E60E7C">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491308">
              <w:rPr>
                <w:rFonts w:cs="Arial"/>
                <w:bCs/>
                <w:sz w:val="18"/>
                <w:szCs w:val="18"/>
              </w:rPr>
              <w:t>576</w:t>
            </w:r>
          </w:p>
        </w:tc>
        <w:tc>
          <w:tcPr>
            <w:tcW w:w="516" w:type="pct"/>
          </w:tcPr>
          <w:p w:rsidR="00EB2B00" w:rsidRPr="00491308" w:rsidRDefault="00533F06" w:rsidP="00E60E7C">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301</w:t>
            </w:r>
          </w:p>
        </w:tc>
        <w:tc>
          <w:tcPr>
            <w:tcW w:w="514" w:type="pct"/>
          </w:tcPr>
          <w:p w:rsidR="00EB2B00" w:rsidRPr="00B40746" w:rsidRDefault="00533F06" w:rsidP="00E60E7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B40746">
              <w:rPr>
                <w:rFonts w:cs="Arial"/>
                <w:b/>
                <w:bCs/>
                <w:sz w:val="18"/>
                <w:szCs w:val="18"/>
              </w:rPr>
              <w:t>877</w:t>
            </w:r>
          </w:p>
        </w:tc>
      </w:tr>
      <w:tr w:rsidR="00EB2B00" w:rsidRPr="00491308" w:rsidTr="00FF0C9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387" w:type="pct"/>
            <w:noWrap/>
            <w:hideMark/>
          </w:tcPr>
          <w:p w:rsidR="00EB2B00" w:rsidRPr="00491308" w:rsidRDefault="00EB2B00" w:rsidP="00B56F23">
            <w:pPr>
              <w:rPr>
                <w:rFonts w:cs="Arial"/>
                <w:bCs/>
                <w:sz w:val="18"/>
                <w:szCs w:val="18"/>
              </w:rPr>
            </w:pPr>
            <w:r w:rsidRPr="00491308">
              <w:rPr>
                <w:rFonts w:cs="Arial"/>
                <w:bCs/>
                <w:sz w:val="18"/>
                <w:szCs w:val="18"/>
              </w:rPr>
              <w:t>Average time to completion (business days)</w:t>
            </w:r>
          </w:p>
        </w:tc>
        <w:tc>
          <w:tcPr>
            <w:tcW w:w="517" w:type="pct"/>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33.9</w:t>
            </w:r>
          </w:p>
        </w:tc>
        <w:tc>
          <w:tcPr>
            <w:tcW w:w="517" w:type="pct"/>
            <w:noWrap/>
            <w:hideMark/>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13.8</w:t>
            </w:r>
          </w:p>
        </w:tc>
        <w:tc>
          <w:tcPr>
            <w:tcW w:w="517" w:type="pct"/>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19.7</w:t>
            </w:r>
          </w:p>
        </w:tc>
        <w:tc>
          <w:tcPr>
            <w:tcW w:w="517" w:type="pct"/>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18.6</w:t>
            </w:r>
          </w:p>
        </w:tc>
        <w:tc>
          <w:tcPr>
            <w:tcW w:w="516" w:type="pct"/>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491308">
              <w:rPr>
                <w:rFonts w:cs="Arial"/>
                <w:bCs/>
                <w:sz w:val="18"/>
                <w:szCs w:val="18"/>
              </w:rPr>
              <w:t>5.8</w:t>
            </w:r>
          </w:p>
        </w:tc>
        <w:tc>
          <w:tcPr>
            <w:tcW w:w="516" w:type="pct"/>
          </w:tcPr>
          <w:p w:rsidR="00EB2B00" w:rsidRPr="00491308" w:rsidRDefault="00533F06" w:rsidP="00B56F23">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20.7</w:t>
            </w:r>
          </w:p>
        </w:tc>
        <w:tc>
          <w:tcPr>
            <w:tcW w:w="514" w:type="pct"/>
          </w:tcPr>
          <w:p w:rsidR="00EB2B00" w:rsidRPr="00B40746" w:rsidRDefault="0045600F" w:rsidP="0045600F">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B40746">
              <w:rPr>
                <w:rFonts w:cs="Arial"/>
                <w:b/>
                <w:bCs/>
                <w:sz w:val="18"/>
                <w:szCs w:val="18"/>
              </w:rPr>
              <w:t>11.5</w:t>
            </w:r>
          </w:p>
        </w:tc>
      </w:tr>
      <w:tr w:rsidR="00EB2B00" w:rsidRPr="00764FC5" w:rsidTr="00FF0C91">
        <w:trPr>
          <w:trHeight w:val="459"/>
        </w:trPr>
        <w:tc>
          <w:tcPr>
            <w:cnfStyle w:val="001000000000" w:firstRow="0" w:lastRow="0" w:firstColumn="1" w:lastColumn="0" w:oddVBand="0" w:evenVBand="0" w:oddHBand="0" w:evenHBand="0" w:firstRowFirstColumn="0" w:firstRowLastColumn="0" w:lastRowFirstColumn="0" w:lastRowLastColumn="0"/>
            <w:tcW w:w="1387" w:type="pct"/>
            <w:noWrap/>
          </w:tcPr>
          <w:p w:rsidR="00EB2B00" w:rsidRPr="00764FC5" w:rsidRDefault="00EB2B00" w:rsidP="00B56F23">
            <w:pPr>
              <w:rPr>
                <w:rFonts w:eastAsia="Calibri"/>
                <w:sz w:val="18"/>
                <w:szCs w:val="18"/>
              </w:rPr>
            </w:pPr>
            <w:r>
              <w:rPr>
                <w:rFonts w:eastAsia="Calibri"/>
                <w:sz w:val="18"/>
                <w:szCs w:val="18"/>
              </w:rPr>
              <w:t>Median time to completion (business days)</w:t>
            </w:r>
          </w:p>
        </w:tc>
        <w:tc>
          <w:tcPr>
            <w:tcW w:w="517" w:type="pct"/>
          </w:tcPr>
          <w:p w:rsidR="00EB2B00" w:rsidRPr="00491308" w:rsidRDefault="00EB2B00" w:rsidP="00E60E7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n/a</w:t>
            </w:r>
          </w:p>
        </w:tc>
        <w:tc>
          <w:tcPr>
            <w:tcW w:w="517" w:type="pct"/>
            <w:noWrap/>
          </w:tcPr>
          <w:p w:rsidR="00EB2B00" w:rsidRPr="00491308" w:rsidRDefault="00EB2B00" w:rsidP="00E60E7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6</w:t>
            </w:r>
          </w:p>
        </w:tc>
        <w:tc>
          <w:tcPr>
            <w:tcW w:w="517" w:type="pct"/>
          </w:tcPr>
          <w:p w:rsidR="00EB2B00" w:rsidRPr="00491308" w:rsidRDefault="00EB2B00" w:rsidP="00E60E7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12</w:t>
            </w:r>
          </w:p>
        </w:tc>
        <w:tc>
          <w:tcPr>
            <w:tcW w:w="517" w:type="pct"/>
          </w:tcPr>
          <w:p w:rsidR="00EB2B00" w:rsidRPr="00491308" w:rsidRDefault="00EB2B00" w:rsidP="00E60E7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491308">
              <w:rPr>
                <w:rFonts w:cs="Arial"/>
                <w:b/>
                <w:bCs/>
                <w:sz w:val="18"/>
                <w:szCs w:val="18"/>
              </w:rPr>
              <w:t>16</w:t>
            </w:r>
          </w:p>
        </w:tc>
        <w:tc>
          <w:tcPr>
            <w:tcW w:w="516" w:type="pct"/>
          </w:tcPr>
          <w:p w:rsidR="00EB2B00" w:rsidRPr="00491308" w:rsidRDefault="00EB2B00" w:rsidP="00E60E7C">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491308">
              <w:rPr>
                <w:rFonts w:cs="Arial"/>
                <w:bCs/>
                <w:sz w:val="18"/>
                <w:szCs w:val="18"/>
              </w:rPr>
              <w:t>6</w:t>
            </w:r>
          </w:p>
        </w:tc>
        <w:tc>
          <w:tcPr>
            <w:tcW w:w="516" w:type="pct"/>
          </w:tcPr>
          <w:p w:rsidR="00EB2B00" w:rsidRPr="00491308" w:rsidRDefault="0045600F" w:rsidP="00E60E7C">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13</w:t>
            </w:r>
          </w:p>
        </w:tc>
        <w:tc>
          <w:tcPr>
            <w:tcW w:w="514" w:type="pct"/>
          </w:tcPr>
          <w:p w:rsidR="00EB2B00" w:rsidRPr="00B40746" w:rsidRDefault="0045600F" w:rsidP="00E60E7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B40746">
              <w:rPr>
                <w:rFonts w:cs="Arial"/>
                <w:b/>
                <w:bCs/>
                <w:sz w:val="18"/>
                <w:szCs w:val="18"/>
              </w:rPr>
              <w:t>7</w:t>
            </w:r>
          </w:p>
        </w:tc>
      </w:tr>
      <w:tr w:rsidR="00EB2B00" w:rsidRPr="00764FC5" w:rsidTr="00FF0C9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387" w:type="pct"/>
            <w:noWrap/>
          </w:tcPr>
          <w:p w:rsidR="00EB2B00" w:rsidRDefault="00EB2B00" w:rsidP="00B56F23">
            <w:pPr>
              <w:rPr>
                <w:rFonts w:eastAsia="Calibri"/>
                <w:sz w:val="18"/>
                <w:szCs w:val="18"/>
              </w:rPr>
            </w:pPr>
            <w:r w:rsidRPr="00764FC5">
              <w:rPr>
                <w:rFonts w:eastAsia="Calibri"/>
                <w:sz w:val="18"/>
                <w:szCs w:val="18"/>
              </w:rPr>
              <w:t>Requests outstanding at end of period</w:t>
            </w:r>
          </w:p>
        </w:tc>
        <w:tc>
          <w:tcPr>
            <w:tcW w:w="517" w:type="pct"/>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463</w:t>
            </w:r>
          </w:p>
        </w:tc>
        <w:tc>
          <w:tcPr>
            <w:tcW w:w="517" w:type="pct"/>
            <w:noWrap/>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76</w:t>
            </w:r>
          </w:p>
        </w:tc>
        <w:tc>
          <w:tcPr>
            <w:tcW w:w="517" w:type="pct"/>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138</w:t>
            </w:r>
          </w:p>
        </w:tc>
        <w:tc>
          <w:tcPr>
            <w:tcW w:w="517" w:type="pct"/>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491308">
              <w:rPr>
                <w:rFonts w:cs="Arial"/>
                <w:b/>
                <w:bCs/>
                <w:sz w:val="18"/>
                <w:szCs w:val="18"/>
              </w:rPr>
              <w:t>20</w:t>
            </w:r>
          </w:p>
        </w:tc>
        <w:tc>
          <w:tcPr>
            <w:tcW w:w="516" w:type="pct"/>
          </w:tcPr>
          <w:p w:rsidR="00EB2B00" w:rsidRPr="00491308" w:rsidRDefault="00EB2B00" w:rsidP="00E60E7C">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491308">
              <w:rPr>
                <w:rFonts w:cs="Arial"/>
                <w:bCs/>
                <w:sz w:val="18"/>
                <w:szCs w:val="18"/>
              </w:rPr>
              <w:t>203</w:t>
            </w:r>
          </w:p>
        </w:tc>
        <w:tc>
          <w:tcPr>
            <w:tcW w:w="516" w:type="pct"/>
          </w:tcPr>
          <w:p w:rsidR="00EB2B00" w:rsidRPr="00491308" w:rsidRDefault="00533F06" w:rsidP="00E60E7C">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350</w:t>
            </w:r>
          </w:p>
        </w:tc>
        <w:tc>
          <w:tcPr>
            <w:tcW w:w="514" w:type="pct"/>
          </w:tcPr>
          <w:p w:rsidR="00EB2B00" w:rsidRPr="00B40746" w:rsidRDefault="00533F06" w:rsidP="00E60E7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B40746">
              <w:rPr>
                <w:rFonts w:cs="Arial"/>
                <w:b/>
                <w:bCs/>
                <w:sz w:val="18"/>
                <w:szCs w:val="18"/>
              </w:rPr>
              <w:t>350</w:t>
            </w:r>
          </w:p>
        </w:tc>
      </w:tr>
    </w:tbl>
    <w:p w:rsidR="004940D8" w:rsidRPr="00255C1E" w:rsidRDefault="000B288A" w:rsidP="00E60E7C">
      <w:pPr>
        <w:pStyle w:val="TableText"/>
        <w:rPr>
          <w:sz w:val="18"/>
          <w:szCs w:val="18"/>
        </w:rPr>
      </w:pPr>
      <w:r w:rsidRPr="00255C1E">
        <w:rPr>
          <w:sz w:val="18"/>
          <w:szCs w:val="18"/>
        </w:rPr>
        <w:t>Note:  The table identifies</w:t>
      </w:r>
      <w:r w:rsidR="00166823" w:rsidRPr="00255C1E">
        <w:rPr>
          <w:sz w:val="18"/>
          <w:szCs w:val="18"/>
        </w:rPr>
        <w:t xml:space="preserve"> the number of ‘options’ received by the PBO, noting </w:t>
      </w:r>
      <w:r w:rsidR="00D537C5" w:rsidRPr="00255C1E">
        <w:rPr>
          <w:sz w:val="18"/>
          <w:szCs w:val="18"/>
        </w:rPr>
        <w:t>that</w:t>
      </w:r>
      <w:r w:rsidR="00166823" w:rsidRPr="00255C1E">
        <w:rPr>
          <w:sz w:val="18"/>
          <w:szCs w:val="18"/>
        </w:rPr>
        <w:t xml:space="preserve"> a single request can contain multiple options.</w:t>
      </w:r>
    </w:p>
    <w:p w:rsidR="00F36BEB" w:rsidRDefault="00F36BEB" w:rsidP="00E60E7C">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Figure 1:</w:t>
      </w:r>
      <w:r w:rsidR="005D002A">
        <w:rPr>
          <w:rFonts w:asciiTheme="minorHAnsi" w:eastAsiaTheme="minorHAnsi" w:hAnsiTheme="minorHAnsi" w:cstheme="minorBidi"/>
          <w:color w:val="1F497D" w:themeColor="text2"/>
          <w:spacing w:val="-4"/>
          <w:sz w:val="20"/>
          <w:lang w:eastAsia="en-US"/>
        </w:rPr>
        <w:t xml:space="preserve"> PBO response t</w:t>
      </w:r>
      <w:r w:rsidRPr="005D002A">
        <w:rPr>
          <w:rFonts w:asciiTheme="minorHAnsi" w:eastAsiaTheme="minorHAnsi" w:hAnsiTheme="minorHAnsi" w:cstheme="minorBidi"/>
          <w:color w:val="1F497D" w:themeColor="text2"/>
          <w:spacing w:val="-4"/>
          <w:sz w:val="20"/>
          <w:lang w:eastAsia="en-US"/>
        </w:rPr>
        <w:t xml:space="preserve">imes for </w:t>
      </w:r>
      <w:r w:rsidR="005D002A">
        <w:rPr>
          <w:rFonts w:asciiTheme="minorHAnsi" w:eastAsiaTheme="minorHAnsi" w:hAnsiTheme="minorHAnsi" w:cstheme="minorBidi"/>
          <w:color w:val="1F497D" w:themeColor="text2"/>
          <w:spacing w:val="-4"/>
          <w:sz w:val="20"/>
          <w:lang w:eastAsia="en-US"/>
        </w:rPr>
        <w:t>c</w:t>
      </w:r>
      <w:r w:rsidRPr="005D002A">
        <w:rPr>
          <w:rFonts w:asciiTheme="minorHAnsi" w:eastAsiaTheme="minorHAnsi" w:hAnsiTheme="minorHAnsi" w:cstheme="minorBidi"/>
          <w:color w:val="1F497D" w:themeColor="text2"/>
          <w:spacing w:val="-4"/>
          <w:sz w:val="20"/>
          <w:lang w:eastAsia="en-US"/>
        </w:rPr>
        <w:t xml:space="preserve">ompleted </w:t>
      </w:r>
      <w:r w:rsidR="005D002A">
        <w:rPr>
          <w:rFonts w:asciiTheme="minorHAnsi" w:eastAsiaTheme="minorHAnsi" w:hAnsiTheme="minorHAnsi" w:cstheme="minorBidi"/>
          <w:color w:val="1F497D" w:themeColor="text2"/>
          <w:spacing w:val="-4"/>
          <w:sz w:val="20"/>
          <w:lang w:eastAsia="en-US"/>
        </w:rPr>
        <w:t>r</w:t>
      </w:r>
      <w:r w:rsidRPr="005D002A">
        <w:rPr>
          <w:rFonts w:asciiTheme="minorHAnsi" w:eastAsiaTheme="minorHAnsi" w:hAnsiTheme="minorHAnsi" w:cstheme="minorBidi"/>
          <w:color w:val="1F497D" w:themeColor="text2"/>
          <w:spacing w:val="-4"/>
          <w:sz w:val="20"/>
          <w:lang w:eastAsia="en-US"/>
        </w:rPr>
        <w:t xml:space="preserve">equests </w:t>
      </w:r>
      <w:r w:rsidR="001244FE">
        <w:rPr>
          <w:rFonts w:asciiTheme="minorHAnsi" w:eastAsiaTheme="minorHAnsi" w:hAnsiTheme="minorHAnsi" w:cstheme="minorBidi"/>
          <w:color w:val="1F497D" w:themeColor="text2"/>
          <w:spacing w:val="-4"/>
          <w:sz w:val="20"/>
          <w:lang w:eastAsia="en-US"/>
        </w:rPr>
        <w:t xml:space="preserve">in </w:t>
      </w:r>
      <w:r w:rsidR="00357D9F">
        <w:rPr>
          <w:rFonts w:asciiTheme="minorHAnsi" w:eastAsiaTheme="minorHAnsi" w:hAnsiTheme="minorHAnsi" w:cstheme="minorBidi"/>
          <w:color w:val="1F497D" w:themeColor="text2"/>
          <w:spacing w:val="-4"/>
          <w:sz w:val="20"/>
          <w:lang w:eastAsia="en-US"/>
        </w:rPr>
        <w:t>2016</w:t>
      </w:r>
      <w:r w:rsidR="00310C2F">
        <w:rPr>
          <w:rFonts w:asciiTheme="minorHAnsi" w:eastAsiaTheme="minorHAnsi" w:hAnsiTheme="minorHAnsi" w:cstheme="minorBidi"/>
          <w:color w:val="1F497D" w:themeColor="text2"/>
          <w:spacing w:val="-4"/>
          <w:sz w:val="20"/>
          <w:lang w:eastAsia="en-US"/>
        </w:rPr>
        <w:t>–</w:t>
      </w:r>
      <w:r w:rsidR="001244FE">
        <w:rPr>
          <w:rFonts w:asciiTheme="minorHAnsi" w:eastAsiaTheme="minorHAnsi" w:hAnsiTheme="minorHAnsi" w:cstheme="minorBidi"/>
          <w:color w:val="1F497D" w:themeColor="text2"/>
          <w:spacing w:val="-4"/>
          <w:sz w:val="20"/>
          <w:lang w:eastAsia="en-US"/>
        </w:rPr>
        <w:t>1</w:t>
      </w:r>
      <w:r w:rsidR="00357D9F">
        <w:rPr>
          <w:rFonts w:asciiTheme="minorHAnsi" w:eastAsiaTheme="minorHAnsi" w:hAnsiTheme="minorHAnsi" w:cstheme="minorBidi"/>
          <w:color w:val="1F497D" w:themeColor="text2"/>
          <w:spacing w:val="-4"/>
          <w:sz w:val="20"/>
          <w:lang w:eastAsia="en-US"/>
        </w:rPr>
        <w:t>7</w:t>
      </w:r>
      <w:r w:rsidR="001244FE">
        <w:rPr>
          <w:rFonts w:asciiTheme="minorHAnsi" w:eastAsiaTheme="minorHAnsi" w:hAnsiTheme="minorHAnsi" w:cstheme="minorBidi"/>
          <w:color w:val="1F497D" w:themeColor="text2"/>
          <w:spacing w:val="-4"/>
          <w:sz w:val="20"/>
          <w:lang w:eastAsia="en-US"/>
        </w:rPr>
        <w:t xml:space="preserve"> to </w:t>
      </w:r>
      <w:r w:rsidR="0056304F">
        <w:rPr>
          <w:rFonts w:asciiTheme="minorHAnsi" w:eastAsiaTheme="minorHAnsi" w:hAnsiTheme="minorHAnsi" w:cstheme="minorBidi"/>
          <w:color w:val="1F497D" w:themeColor="text2"/>
          <w:spacing w:val="-4"/>
          <w:sz w:val="20"/>
          <w:lang w:eastAsia="en-US"/>
        </w:rPr>
        <w:t>3</w:t>
      </w:r>
      <w:r w:rsidR="00AA5AD6">
        <w:rPr>
          <w:rFonts w:asciiTheme="minorHAnsi" w:eastAsiaTheme="minorHAnsi" w:hAnsiTheme="minorHAnsi" w:cstheme="minorBidi"/>
          <w:color w:val="1F497D" w:themeColor="text2"/>
          <w:spacing w:val="-4"/>
          <w:sz w:val="20"/>
          <w:lang w:eastAsia="en-US"/>
        </w:rPr>
        <w:t>1</w:t>
      </w:r>
      <w:r w:rsidR="0056304F">
        <w:rPr>
          <w:rFonts w:asciiTheme="minorHAnsi" w:eastAsiaTheme="minorHAnsi" w:hAnsiTheme="minorHAnsi" w:cstheme="minorBidi"/>
          <w:color w:val="1F497D" w:themeColor="text2"/>
          <w:spacing w:val="-4"/>
          <w:sz w:val="20"/>
          <w:lang w:eastAsia="en-US"/>
        </w:rPr>
        <w:t xml:space="preserve"> </w:t>
      </w:r>
      <w:r w:rsidR="00AA5AD6">
        <w:rPr>
          <w:rFonts w:asciiTheme="minorHAnsi" w:eastAsiaTheme="minorHAnsi" w:hAnsiTheme="minorHAnsi" w:cstheme="minorBidi"/>
          <w:color w:val="1F497D" w:themeColor="text2"/>
          <w:spacing w:val="-4"/>
          <w:sz w:val="20"/>
          <w:lang w:eastAsia="en-US"/>
        </w:rPr>
        <w:t>December</w:t>
      </w:r>
      <w:r w:rsidR="0056304F">
        <w:rPr>
          <w:rFonts w:asciiTheme="minorHAnsi" w:eastAsiaTheme="minorHAnsi" w:hAnsiTheme="minorHAnsi" w:cstheme="minorBidi"/>
          <w:color w:val="1F497D" w:themeColor="text2"/>
          <w:spacing w:val="-4"/>
          <w:sz w:val="20"/>
          <w:lang w:eastAsia="en-US"/>
        </w:rPr>
        <w:t xml:space="preserve"> 2016</w:t>
      </w:r>
    </w:p>
    <w:p w:rsidR="003553BD" w:rsidRDefault="0045600F" w:rsidP="00E60E7C">
      <w:pPr>
        <w:pStyle w:val="PBOtext"/>
      </w:pPr>
      <w:r>
        <w:rPr>
          <w:noProof/>
        </w:rPr>
        <w:drawing>
          <wp:inline distT="0" distB="0" distL="0" distR="0" wp14:anchorId="28BF3FD5" wp14:editId="4C009530">
            <wp:extent cx="5731510" cy="2683890"/>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2683890"/>
                    </a:xfrm>
                    <a:prstGeom prst="rect">
                      <a:avLst/>
                    </a:prstGeom>
                  </pic:spPr>
                </pic:pic>
              </a:graphicData>
            </a:graphic>
          </wp:inline>
        </w:drawing>
      </w:r>
    </w:p>
    <w:p w:rsidR="003553BD" w:rsidRPr="003553BD" w:rsidRDefault="003553BD" w:rsidP="00E60E7C">
      <w:pPr>
        <w:pStyle w:val="PBOtext"/>
      </w:pPr>
      <w:r>
        <w:br w:type="page"/>
      </w:r>
    </w:p>
    <w:p w:rsidR="007432E3" w:rsidRDefault="007432E3" w:rsidP="00E60E7C">
      <w:pPr>
        <w:pStyle w:val="PBOheading1"/>
      </w:pPr>
      <w:r w:rsidRPr="00344B8D">
        <w:lastRenderedPageBreak/>
        <w:t xml:space="preserve">Requests by </w:t>
      </w:r>
      <w:r w:rsidRPr="00BB0ADB">
        <w:t>the</w:t>
      </w:r>
      <w:r>
        <w:t xml:space="preserve"> </w:t>
      </w:r>
      <w:r w:rsidRPr="00344B8D">
        <w:t xml:space="preserve">PBO for information from </w:t>
      </w:r>
      <w:r>
        <w:t>agencies</w:t>
      </w:r>
    </w:p>
    <w:p w:rsidR="007432E3" w:rsidRDefault="007432E3" w:rsidP="00E60E7C">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Table</w:t>
      </w:r>
      <w:r>
        <w:rPr>
          <w:rFonts w:asciiTheme="minorHAnsi" w:eastAsiaTheme="minorHAnsi" w:hAnsiTheme="minorHAnsi" w:cstheme="minorBidi"/>
          <w:color w:val="1F497D" w:themeColor="text2"/>
          <w:spacing w:val="-4"/>
          <w:sz w:val="20"/>
          <w:lang w:eastAsia="en-US"/>
        </w:rPr>
        <w:t xml:space="preserve"> 2</w:t>
      </w:r>
      <w:r w:rsidRPr="005D002A">
        <w:rPr>
          <w:rFonts w:asciiTheme="minorHAnsi" w:eastAsiaTheme="minorHAnsi" w:hAnsiTheme="minorHAnsi" w:cstheme="minorBidi"/>
          <w:color w:val="1F497D" w:themeColor="text2"/>
          <w:spacing w:val="-4"/>
          <w:sz w:val="20"/>
          <w:lang w:eastAsia="en-US"/>
        </w:rPr>
        <w:t>: Information requests to agencies</w:t>
      </w:r>
      <w:r w:rsidR="006F770F">
        <w:rPr>
          <w:rFonts w:asciiTheme="minorHAnsi" w:eastAsiaTheme="minorHAnsi" w:hAnsiTheme="minorHAnsi" w:cstheme="minorBidi"/>
          <w:color w:val="1F497D" w:themeColor="text2"/>
          <w:spacing w:val="-4"/>
          <w:sz w:val="20"/>
          <w:lang w:eastAsia="en-US"/>
        </w:rPr>
        <w:t xml:space="preserve"> </w:t>
      </w:r>
      <w:r>
        <w:rPr>
          <w:rFonts w:asciiTheme="minorHAnsi" w:eastAsiaTheme="minorHAnsi" w:hAnsiTheme="minorHAnsi" w:cstheme="minorBidi"/>
          <w:color w:val="1F497D" w:themeColor="text2"/>
          <w:spacing w:val="-4"/>
          <w:sz w:val="20"/>
          <w:lang w:eastAsia="en-US"/>
        </w:rPr>
        <w:t xml:space="preserve">to </w:t>
      </w:r>
      <w:r w:rsidR="0056304F">
        <w:rPr>
          <w:rFonts w:asciiTheme="minorHAnsi" w:eastAsiaTheme="minorHAnsi" w:hAnsiTheme="minorHAnsi" w:cstheme="minorBidi"/>
          <w:color w:val="1F497D" w:themeColor="text2"/>
          <w:spacing w:val="-4"/>
          <w:sz w:val="20"/>
          <w:lang w:eastAsia="en-US"/>
        </w:rPr>
        <w:t>3</w:t>
      </w:r>
      <w:r w:rsidR="00AA5AD6">
        <w:rPr>
          <w:rFonts w:asciiTheme="minorHAnsi" w:eastAsiaTheme="minorHAnsi" w:hAnsiTheme="minorHAnsi" w:cstheme="minorBidi"/>
          <w:color w:val="1F497D" w:themeColor="text2"/>
          <w:spacing w:val="-4"/>
          <w:sz w:val="20"/>
          <w:lang w:eastAsia="en-US"/>
        </w:rPr>
        <w:t>1</w:t>
      </w:r>
      <w:r w:rsidR="00F2351D">
        <w:rPr>
          <w:rFonts w:asciiTheme="minorHAnsi" w:eastAsiaTheme="minorHAnsi" w:hAnsiTheme="minorHAnsi" w:cstheme="minorBidi"/>
          <w:color w:val="1F497D" w:themeColor="text2"/>
          <w:spacing w:val="-4"/>
          <w:sz w:val="20"/>
          <w:lang w:eastAsia="en-US"/>
        </w:rPr>
        <w:t xml:space="preserve"> </w:t>
      </w:r>
      <w:r w:rsidR="00AA5AD6">
        <w:rPr>
          <w:rFonts w:asciiTheme="minorHAnsi" w:eastAsiaTheme="minorHAnsi" w:hAnsiTheme="minorHAnsi" w:cstheme="minorBidi"/>
          <w:color w:val="1F497D" w:themeColor="text2"/>
          <w:spacing w:val="-4"/>
          <w:sz w:val="20"/>
          <w:lang w:eastAsia="en-US"/>
        </w:rPr>
        <w:t>December</w:t>
      </w:r>
      <w:r w:rsidR="00BB03B4">
        <w:rPr>
          <w:rFonts w:asciiTheme="minorHAnsi" w:eastAsiaTheme="minorHAnsi" w:hAnsiTheme="minorHAnsi" w:cstheme="minorBidi"/>
          <w:color w:val="1F497D" w:themeColor="text2"/>
          <w:spacing w:val="-4"/>
          <w:sz w:val="20"/>
          <w:lang w:eastAsia="en-US"/>
        </w:rPr>
        <w:t xml:space="preserve"> 201</w:t>
      </w:r>
      <w:r w:rsidR="00AA5AD6">
        <w:rPr>
          <w:rFonts w:asciiTheme="minorHAnsi" w:eastAsiaTheme="minorHAnsi" w:hAnsiTheme="minorHAnsi" w:cstheme="minorBidi"/>
          <w:color w:val="1F497D" w:themeColor="text2"/>
          <w:spacing w:val="-4"/>
          <w:sz w:val="20"/>
          <w:lang w:eastAsia="en-US"/>
        </w:rPr>
        <w:t>6</w:t>
      </w:r>
    </w:p>
    <w:tbl>
      <w:tblPr>
        <w:tblStyle w:val="TableGrid21"/>
        <w:tblW w:w="5000" w:type="pct"/>
        <w:tblLayout w:type="fixed"/>
        <w:tblLook w:val="04A0" w:firstRow="1" w:lastRow="0" w:firstColumn="1" w:lastColumn="0" w:noHBand="0" w:noVBand="1"/>
      </w:tblPr>
      <w:tblGrid>
        <w:gridCol w:w="2292"/>
        <w:gridCol w:w="963"/>
        <w:gridCol w:w="963"/>
        <w:gridCol w:w="960"/>
        <w:gridCol w:w="962"/>
        <w:gridCol w:w="962"/>
        <w:gridCol w:w="962"/>
        <w:gridCol w:w="962"/>
      </w:tblGrid>
      <w:tr w:rsidR="00EB2B00" w:rsidRPr="001244FE" w:rsidTr="00FF0C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9" w:type="pct"/>
            <w:noWrap/>
            <w:hideMark/>
          </w:tcPr>
          <w:p w:rsidR="00EB2B00" w:rsidRPr="001244FE" w:rsidRDefault="00EB2B00" w:rsidP="00E60E7C">
            <w:pPr>
              <w:keepNext/>
              <w:keepLines/>
              <w:rPr>
                <w:rFonts w:asciiTheme="minorHAnsi" w:hAnsiTheme="minorHAnsi"/>
                <w:b/>
                <w:sz w:val="18"/>
                <w:szCs w:val="18"/>
              </w:rPr>
            </w:pPr>
          </w:p>
        </w:tc>
        <w:tc>
          <w:tcPr>
            <w:tcW w:w="533" w:type="pct"/>
            <w:noWrap/>
            <w:hideMark/>
          </w:tcPr>
          <w:p w:rsidR="00EB2B00"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2012–13</w:t>
            </w:r>
          </w:p>
          <w:p w:rsidR="00EB2B00" w:rsidRPr="001244FE"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c>
          <w:tcPr>
            <w:tcW w:w="533" w:type="pct"/>
            <w:noWrap/>
            <w:hideMark/>
          </w:tcPr>
          <w:p w:rsidR="00EB2B00"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2013–14</w:t>
            </w:r>
          </w:p>
          <w:p w:rsidR="00EB2B00" w:rsidRPr="001244FE"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c>
          <w:tcPr>
            <w:tcW w:w="532" w:type="pct"/>
          </w:tcPr>
          <w:p w:rsidR="00EB2B00"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2014</w:t>
            </w:r>
            <w:r w:rsidRPr="001244FE">
              <w:rPr>
                <w:rFonts w:asciiTheme="minorHAnsi" w:hAnsiTheme="minorHAnsi"/>
                <w:b/>
                <w:sz w:val="18"/>
                <w:szCs w:val="18"/>
              </w:rPr>
              <w:t>–</w:t>
            </w:r>
            <w:r>
              <w:rPr>
                <w:rFonts w:asciiTheme="minorHAnsi" w:hAnsiTheme="minorHAnsi"/>
                <w:b/>
                <w:sz w:val="18"/>
                <w:szCs w:val="18"/>
              </w:rPr>
              <w:t>15</w:t>
            </w:r>
          </w:p>
          <w:p w:rsidR="00EB2B00" w:rsidRPr="00480195"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b/>
                <w:sz w:val="18"/>
                <w:szCs w:val="18"/>
              </w:rPr>
              <w:t>Total</w:t>
            </w:r>
          </w:p>
        </w:tc>
        <w:tc>
          <w:tcPr>
            <w:tcW w:w="533" w:type="pct"/>
          </w:tcPr>
          <w:p w:rsidR="00EB2B00"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w:t>
            </w:r>
            <w:r>
              <w:rPr>
                <w:rFonts w:asciiTheme="minorHAnsi" w:hAnsiTheme="minorHAnsi"/>
                <w:b/>
                <w:sz w:val="18"/>
                <w:szCs w:val="18"/>
              </w:rPr>
              <w:t>5</w:t>
            </w:r>
            <w:r w:rsidRPr="001244FE">
              <w:rPr>
                <w:rFonts w:asciiTheme="minorHAnsi" w:hAnsiTheme="minorHAnsi"/>
                <w:b/>
                <w:sz w:val="18"/>
                <w:szCs w:val="18"/>
              </w:rPr>
              <w:t>–1</w:t>
            </w:r>
            <w:r>
              <w:rPr>
                <w:rFonts w:asciiTheme="minorHAnsi" w:hAnsiTheme="minorHAnsi"/>
                <w:b/>
                <w:sz w:val="18"/>
                <w:szCs w:val="18"/>
              </w:rPr>
              <w:t>6</w:t>
            </w:r>
          </w:p>
          <w:p w:rsidR="00EB2B00" w:rsidRPr="001244FE"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c>
          <w:tcPr>
            <w:tcW w:w="533" w:type="pct"/>
          </w:tcPr>
          <w:p w:rsidR="00EB2B00"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1E1EE2">
              <w:rPr>
                <w:rFonts w:asciiTheme="minorHAnsi" w:hAnsiTheme="minorHAnsi"/>
                <w:sz w:val="18"/>
                <w:szCs w:val="18"/>
              </w:rPr>
              <w:t>201</w:t>
            </w:r>
            <w:r>
              <w:rPr>
                <w:rFonts w:asciiTheme="minorHAnsi" w:hAnsiTheme="minorHAnsi"/>
                <w:sz w:val="18"/>
                <w:szCs w:val="18"/>
              </w:rPr>
              <w:t>6–</w:t>
            </w:r>
            <w:r w:rsidRPr="001E1EE2">
              <w:rPr>
                <w:rFonts w:asciiTheme="minorHAnsi" w:hAnsiTheme="minorHAnsi"/>
                <w:sz w:val="18"/>
                <w:szCs w:val="18"/>
              </w:rPr>
              <w:t>1</w:t>
            </w:r>
            <w:r>
              <w:rPr>
                <w:rFonts w:asciiTheme="minorHAnsi" w:hAnsiTheme="minorHAnsi"/>
                <w:sz w:val="18"/>
                <w:szCs w:val="18"/>
              </w:rPr>
              <w:t>7</w:t>
            </w:r>
          </w:p>
          <w:p w:rsidR="00EB2B00" w:rsidRPr="001244FE" w:rsidRDefault="00EB2B00" w:rsidP="00E60E7C">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sz w:val="18"/>
                <w:szCs w:val="18"/>
              </w:rPr>
              <w:t>Q1</w:t>
            </w:r>
          </w:p>
        </w:tc>
        <w:tc>
          <w:tcPr>
            <w:tcW w:w="533" w:type="pct"/>
          </w:tcPr>
          <w:p w:rsidR="00072B17" w:rsidRDefault="00EB2B00" w:rsidP="00072B17">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18"/>
                <w:szCs w:val="18"/>
              </w:rPr>
            </w:pPr>
            <w:r w:rsidRPr="00EB2B00">
              <w:rPr>
                <w:rFonts w:asciiTheme="minorHAnsi" w:hAnsiTheme="minorHAnsi"/>
                <w:color w:val="FFFFFF" w:themeColor="background1"/>
                <w:sz w:val="18"/>
                <w:szCs w:val="18"/>
              </w:rPr>
              <w:t>2016</w:t>
            </w:r>
            <w:r w:rsidR="00072B17">
              <w:rPr>
                <w:rFonts w:asciiTheme="minorHAnsi" w:hAnsiTheme="minorHAnsi"/>
                <w:color w:val="FFFFFF" w:themeColor="background1"/>
                <w:sz w:val="18"/>
                <w:szCs w:val="18"/>
              </w:rPr>
              <w:t>–</w:t>
            </w:r>
            <w:r w:rsidRPr="00EB2B00">
              <w:rPr>
                <w:rFonts w:asciiTheme="minorHAnsi" w:hAnsiTheme="minorHAnsi"/>
                <w:color w:val="FFFFFF" w:themeColor="background1"/>
                <w:sz w:val="18"/>
                <w:szCs w:val="18"/>
              </w:rPr>
              <w:t>17</w:t>
            </w:r>
          </w:p>
          <w:p w:rsidR="00EB2B00" w:rsidRPr="00FF0C91" w:rsidRDefault="00EB2B00" w:rsidP="00072B17">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18"/>
                <w:szCs w:val="18"/>
              </w:rPr>
            </w:pPr>
            <w:r>
              <w:rPr>
                <w:rFonts w:asciiTheme="minorHAnsi" w:hAnsiTheme="minorHAnsi"/>
                <w:color w:val="FFFFFF" w:themeColor="background1"/>
                <w:sz w:val="18"/>
                <w:szCs w:val="18"/>
              </w:rPr>
              <w:t>Q2</w:t>
            </w:r>
          </w:p>
        </w:tc>
        <w:tc>
          <w:tcPr>
            <w:tcW w:w="533" w:type="pct"/>
          </w:tcPr>
          <w:p w:rsidR="00072B17" w:rsidRPr="00B40746" w:rsidRDefault="00072B17" w:rsidP="00072B17">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B40746">
              <w:rPr>
                <w:rFonts w:asciiTheme="minorHAnsi" w:hAnsiTheme="minorHAnsi"/>
                <w:b/>
                <w:sz w:val="18"/>
                <w:szCs w:val="18"/>
              </w:rPr>
              <w:t>2016–17</w:t>
            </w:r>
          </w:p>
          <w:p w:rsidR="00EB2B00" w:rsidRPr="00B40746" w:rsidRDefault="00072B17" w:rsidP="00072B17">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sz w:val="18"/>
                <w:szCs w:val="18"/>
              </w:rPr>
            </w:pPr>
            <w:r w:rsidRPr="00B40746">
              <w:rPr>
                <w:rFonts w:asciiTheme="minorHAnsi" w:hAnsiTheme="minorHAnsi"/>
                <w:b/>
                <w:sz w:val="18"/>
                <w:szCs w:val="18"/>
              </w:rPr>
              <w:t>Total</w:t>
            </w:r>
          </w:p>
        </w:tc>
      </w:tr>
      <w:tr w:rsidR="00EB2B00" w:rsidRPr="00B6426B" w:rsidTr="00FF0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pct"/>
            <w:noWrap/>
            <w:hideMark/>
          </w:tcPr>
          <w:p w:rsidR="00EB2B00" w:rsidRPr="001244FE" w:rsidRDefault="00EB2B00" w:rsidP="00E60E7C">
            <w:pPr>
              <w:rPr>
                <w:rFonts w:asciiTheme="minorHAnsi" w:hAnsiTheme="minorHAnsi"/>
                <w:sz w:val="18"/>
                <w:szCs w:val="18"/>
              </w:rPr>
            </w:pPr>
            <w:r>
              <w:rPr>
                <w:rFonts w:eastAsia="Calibri"/>
                <w:sz w:val="18"/>
                <w:szCs w:val="18"/>
              </w:rPr>
              <w:t xml:space="preserve">Requests outstanding at start of </w:t>
            </w:r>
            <w:r w:rsidRPr="00FF6FE9">
              <w:rPr>
                <w:rFonts w:eastAsia="Calibri"/>
                <w:sz w:val="18"/>
                <w:szCs w:val="18"/>
              </w:rPr>
              <w:t>period</w:t>
            </w:r>
          </w:p>
        </w:tc>
        <w:tc>
          <w:tcPr>
            <w:tcW w:w="533" w:type="pct"/>
            <w:noWrap/>
            <w:hideMark/>
          </w:tcPr>
          <w:p w:rsidR="00EB2B00" w:rsidRPr="00B6426B"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b/>
                <w:bCs/>
                <w:color w:val="000000"/>
                <w:sz w:val="18"/>
                <w:szCs w:val="18"/>
              </w:rPr>
              <w:t>–</w:t>
            </w:r>
          </w:p>
        </w:tc>
        <w:tc>
          <w:tcPr>
            <w:tcW w:w="533" w:type="pct"/>
            <w:noWrap/>
            <w:hideMark/>
          </w:tcPr>
          <w:p w:rsidR="00EB2B00" w:rsidRPr="00B6426B"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2</w:t>
            </w:r>
            <w:r>
              <w:rPr>
                <w:b/>
                <w:bCs/>
                <w:color w:val="000000"/>
                <w:sz w:val="18"/>
                <w:szCs w:val="18"/>
              </w:rPr>
              <w:t>8</w:t>
            </w:r>
          </w:p>
        </w:tc>
        <w:tc>
          <w:tcPr>
            <w:tcW w:w="532" w:type="pct"/>
          </w:tcPr>
          <w:p w:rsidR="00EB2B00" w:rsidRPr="00480195"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16</w:t>
            </w:r>
          </w:p>
        </w:tc>
        <w:tc>
          <w:tcPr>
            <w:tcW w:w="533" w:type="pct"/>
          </w:tcPr>
          <w:p w:rsidR="00EB2B00" w:rsidRPr="00353D66"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353D66">
              <w:rPr>
                <w:b/>
                <w:bCs/>
                <w:color w:val="000000"/>
                <w:sz w:val="18"/>
                <w:szCs w:val="18"/>
              </w:rPr>
              <w:t>3</w:t>
            </w:r>
          </w:p>
        </w:tc>
        <w:tc>
          <w:tcPr>
            <w:tcW w:w="533" w:type="pct"/>
          </w:tcPr>
          <w:p w:rsidR="00EB2B00" w:rsidRPr="007C1A69" w:rsidRDefault="00EB2B00"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7C1A69">
              <w:rPr>
                <w:bCs/>
                <w:color w:val="000000"/>
                <w:sz w:val="18"/>
                <w:szCs w:val="18"/>
              </w:rPr>
              <w:t>1</w:t>
            </w:r>
          </w:p>
        </w:tc>
        <w:tc>
          <w:tcPr>
            <w:tcW w:w="533" w:type="pct"/>
          </w:tcPr>
          <w:p w:rsidR="00EB2B00" w:rsidRPr="007C1A69" w:rsidRDefault="00533F06"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7</w:t>
            </w:r>
          </w:p>
        </w:tc>
        <w:tc>
          <w:tcPr>
            <w:tcW w:w="533" w:type="pct"/>
          </w:tcPr>
          <w:p w:rsidR="00EB2B00" w:rsidRPr="00B40746" w:rsidRDefault="006A5732" w:rsidP="00E60E7C">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B40746">
              <w:rPr>
                <w:b/>
                <w:bCs/>
                <w:color w:val="000000"/>
                <w:sz w:val="18"/>
                <w:szCs w:val="18"/>
              </w:rPr>
              <w:t>1</w:t>
            </w:r>
          </w:p>
        </w:tc>
      </w:tr>
      <w:tr w:rsidR="00EB2B00" w:rsidRPr="00B6426B" w:rsidTr="00FF0C91">
        <w:tc>
          <w:tcPr>
            <w:cnfStyle w:val="001000000000" w:firstRow="0" w:lastRow="0" w:firstColumn="1" w:lastColumn="0" w:oddVBand="0" w:evenVBand="0" w:oddHBand="0" w:evenHBand="0" w:firstRowFirstColumn="0" w:firstRowLastColumn="0" w:lastRowFirstColumn="0" w:lastRowLastColumn="0"/>
            <w:tcW w:w="1269" w:type="pct"/>
            <w:noWrap/>
            <w:hideMark/>
          </w:tcPr>
          <w:p w:rsidR="00EB2B00" w:rsidRPr="001244FE" w:rsidRDefault="00EB2B00" w:rsidP="00E60E7C">
            <w:pPr>
              <w:rPr>
                <w:rFonts w:asciiTheme="minorHAnsi" w:hAnsiTheme="minorHAnsi"/>
                <w:sz w:val="18"/>
                <w:szCs w:val="18"/>
              </w:rPr>
            </w:pPr>
            <w:r w:rsidRPr="001244FE">
              <w:rPr>
                <w:rFonts w:asciiTheme="minorHAnsi" w:hAnsiTheme="minorHAnsi"/>
                <w:sz w:val="18"/>
                <w:szCs w:val="18"/>
              </w:rPr>
              <w:t>Requests sent in period</w:t>
            </w:r>
          </w:p>
        </w:tc>
        <w:tc>
          <w:tcPr>
            <w:tcW w:w="533" w:type="pct"/>
            <w:noWrap/>
            <w:hideMark/>
          </w:tcPr>
          <w:p w:rsidR="00EB2B00" w:rsidRPr="00B6426B" w:rsidRDefault="00EB2B00"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360</w:t>
            </w:r>
          </w:p>
        </w:tc>
        <w:tc>
          <w:tcPr>
            <w:tcW w:w="533" w:type="pct"/>
            <w:noWrap/>
            <w:hideMark/>
          </w:tcPr>
          <w:p w:rsidR="00EB2B00" w:rsidRPr="00B6426B" w:rsidRDefault="00EB2B00"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388</w:t>
            </w:r>
          </w:p>
        </w:tc>
        <w:tc>
          <w:tcPr>
            <w:tcW w:w="532" w:type="pct"/>
          </w:tcPr>
          <w:p w:rsidR="00EB2B00" w:rsidRPr="00480195" w:rsidRDefault="00EB2B00"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203</w:t>
            </w:r>
          </w:p>
        </w:tc>
        <w:tc>
          <w:tcPr>
            <w:tcW w:w="533" w:type="pct"/>
          </w:tcPr>
          <w:p w:rsidR="00EB2B00" w:rsidRPr="00353D66" w:rsidRDefault="00EB2B00"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b/>
                <w:bCs/>
                <w:color w:val="000000"/>
                <w:sz w:val="18"/>
                <w:szCs w:val="18"/>
              </w:rPr>
              <w:t>743</w:t>
            </w:r>
          </w:p>
        </w:tc>
        <w:tc>
          <w:tcPr>
            <w:tcW w:w="533" w:type="pct"/>
          </w:tcPr>
          <w:p w:rsidR="00EB2B00" w:rsidRPr="007C1A69" w:rsidRDefault="00EB2B00"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36</w:t>
            </w:r>
          </w:p>
        </w:tc>
        <w:tc>
          <w:tcPr>
            <w:tcW w:w="533" w:type="pct"/>
          </w:tcPr>
          <w:p w:rsidR="00EB2B00" w:rsidRDefault="00533F06"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184</w:t>
            </w:r>
          </w:p>
        </w:tc>
        <w:tc>
          <w:tcPr>
            <w:tcW w:w="533" w:type="pct"/>
          </w:tcPr>
          <w:p w:rsidR="00EB2B00" w:rsidRPr="00B40746" w:rsidRDefault="006A5732" w:rsidP="00E60E7C">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B40746">
              <w:rPr>
                <w:b/>
                <w:bCs/>
                <w:color w:val="000000"/>
                <w:sz w:val="18"/>
                <w:szCs w:val="18"/>
              </w:rPr>
              <w:t>220</w:t>
            </w:r>
          </w:p>
        </w:tc>
      </w:tr>
      <w:tr w:rsidR="00EB2B00" w:rsidRPr="00B6426B" w:rsidTr="00FF0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pct"/>
            <w:noWrap/>
            <w:hideMark/>
          </w:tcPr>
          <w:p w:rsidR="00EB2B00" w:rsidRPr="001244FE" w:rsidRDefault="00EB2B00" w:rsidP="00E60E7C">
            <w:pPr>
              <w:rPr>
                <w:rFonts w:asciiTheme="minorHAnsi" w:hAnsiTheme="minorHAnsi"/>
                <w:sz w:val="18"/>
                <w:szCs w:val="18"/>
              </w:rPr>
            </w:pPr>
            <w:r w:rsidRPr="001244FE">
              <w:rPr>
                <w:rFonts w:asciiTheme="minorHAnsi" w:hAnsiTheme="minorHAnsi"/>
                <w:sz w:val="18"/>
                <w:szCs w:val="18"/>
              </w:rPr>
              <w:t>Requests received in period</w:t>
            </w:r>
          </w:p>
        </w:tc>
        <w:tc>
          <w:tcPr>
            <w:tcW w:w="533" w:type="pct"/>
            <w:noWrap/>
            <w:hideMark/>
          </w:tcPr>
          <w:p w:rsidR="00EB2B00" w:rsidRPr="00B6426B"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33</w:t>
            </w:r>
            <w:r>
              <w:rPr>
                <w:b/>
                <w:bCs/>
                <w:color w:val="000000"/>
                <w:sz w:val="18"/>
                <w:szCs w:val="18"/>
              </w:rPr>
              <w:t>2</w:t>
            </w:r>
          </w:p>
        </w:tc>
        <w:tc>
          <w:tcPr>
            <w:tcW w:w="533" w:type="pct"/>
            <w:noWrap/>
            <w:hideMark/>
          </w:tcPr>
          <w:p w:rsidR="00EB2B00" w:rsidRPr="00B6426B"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40</w:t>
            </w:r>
            <w:r>
              <w:rPr>
                <w:b/>
                <w:bCs/>
                <w:color w:val="000000"/>
                <w:sz w:val="18"/>
                <w:szCs w:val="18"/>
              </w:rPr>
              <w:t>0</w:t>
            </w:r>
          </w:p>
        </w:tc>
        <w:tc>
          <w:tcPr>
            <w:tcW w:w="532" w:type="pct"/>
          </w:tcPr>
          <w:p w:rsidR="00EB2B00" w:rsidRPr="00480195"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216</w:t>
            </w:r>
          </w:p>
        </w:tc>
        <w:tc>
          <w:tcPr>
            <w:tcW w:w="533" w:type="pct"/>
          </w:tcPr>
          <w:p w:rsidR="00EB2B00" w:rsidRPr="00353D66"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b/>
                <w:bCs/>
                <w:color w:val="000000"/>
                <w:sz w:val="18"/>
                <w:szCs w:val="18"/>
              </w:rPr>
              <w:t>745</w:t>
            </w:r>
          </w:p>
        </w:tc>
        <w:tc>
          <w:tcPr>
            <w:tcW w:w="533" w:type="pct"/>
          </w:tcPr>
          <w:p w:rsidR="00EB2B00" w:rsidRPr="007C1A69" w:rsidRDefault="00EB2B00"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30</w:t>
            </w:r>
          </w:p>
        </w:tc>
        <w:tc>
          <w:tcPr>
            <w:tcW w:w="533" w:type="pct"/>
          </w:tcPr>
          <w:p w:rsidR="00EB2B00" w:rsidRDefault="00533F06"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115</w:t>
            </w:r>
          </w:p>
        </w:tc>
        <w:tc>
          <w:tcPr>
            <w:tcW w:w="533" w:type="pct"/>
          </w:tcPr>
          <w:p w:rsidR="00EB2B00" w:rsidRPr="00B40746" w:rsidRDefault="006A5732" w:rsidP="00E60E7C">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B40746">
              <w:rPr>
                <w:b/>
                <w:bCs/>
                <w:color w:val="000000"/>
                <w:sz w:val="18"/>
                <w:szCs w:val="18"/>
              </w:rPr>
              <w:t>145</w:t>
            </w:r>
          </w:p>
        </w:tc>
      </w:tr>
      <w:tr w:rsidR="00EB2B00" w:rsidRPr="00B6426B" w:rsidTr="00FF0C91">
        <w:tc>
          <w:tcPr>
            <w:cnfStyle w:val="001000000000" w:firstRow="0" w:lastRow="0" w:firstColumn="1" w:lastColumn="0" w:oddVBand="0" w:evenVBand="0" w:oddHBand="0" w:evenHBand="0" w:firstRowFirstColumn="0" w:firstRowLastColumn="0" w:lastRowFirstColumn="0" w:lastRowLastColumn="0"/>
            <w:tcW w:w="1269" w:type="pct"/>
            <w:noWrap/>
            <w:hideMark/>
          </w:tcPr>
          <w:p w:rsidR="00EB2B00" w:rsidRPr="001244FE" w:rsidRDefault="00EB2B00" w:rsidP="00E60E7C">
            <w:pPr>
              <w:ind w:left="426"/>
              <w:rPr>
                <w:rFonts w:asciiTheme="minorHAnsi" w:hAnsiTheme="minorHAnsi"/>
                <w:i/>
                <w:sz w:val="18"/>
                <w:szCs w:val="18"/>
              </w:rPr>
            </w:pPr>
            <w:r w:rsidRPr="001244FE">
              <w:rPr>
                <w:rFonts w:asciiTheme="minorHAnsi" w:hAnsiTheme="minorHAnsi"/>
                <w:i/>
                <w:sz w:val="18"/>
                <w:szCs w:val="18"/>
              </w:rPr>
              <w:t>Requests received by due date</w:t>
            </w:r>
          </w:p>
        </w:tc>
        <w:tc>
          <w:tcPr>
            <w:tcW w:w="533" w:type="pct"/>
            <w:noWrap/>
            <w:hideMark/>
          </w:tcPr>
          <w:p w:rsidR="00EB2B00" w:rsidRPr="00B6426B" w:rsidRDefault="00EB2B00"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sidRPr="00B6426B">
              <w:rPr>
                <w:b/>
                <w:bCs/>
                <w:i/>
                <w:iCs/>
                <w:color w:val="000000"/>
                <w:sz w:val="18"/>
                <w:szCs w:val="18"/>
              </w:rPr>
              <w:t>149</w:t>
            </w:r>
          </w:p>
        </w:tc>
        <w:tc>
          <w:tcPr>
            <w:tcW w:w="533" w:type="pct"/>
            <w:noWrap/>
            <w:hideMark/>
          </w:tcPr>
          <w:p w:rsidR="00EB2B00" w:rsidRPr="00B6426B" w:rsidRDefault="00EB2B00"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sidRPr="00B6426B">
              <w:rPr>
                <w:b/>
                <w:bCs/>
                <w:i/>
                <w:iCs/>
                <w:color w:val="000000"/>
                <w:sz w:val="18"/>
                <w:szCs w:val="18"/>
              </w:rPr>
              <w:t>209</w:t>
            </w:r>
          </w:p>
        </w:tc>
        <w:tc>
          <w:tcPr>
            <w:tcW w:w="532" w:type="pct"/>
          </w:tcPr>
          <w:p w:rsidR="00EB2B00" w:rsidRPr="00480195" w:rsidRDefault="00EB2B00"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sidRPr="00480195">
              <w:rPr>
                <w:rFonts w:asciiTheme="minorHAnsi" w:hAnsiTheme="minorHAnsi" w:cs="Arial"/>
                <w:b/>
                <w:bCs/>
                <w:i/>
                <w:sz w:val="18"/>
                <w:szCs w:val="18"/>
              </w:rPr>
              <w:t>147</w:t>
            </w:r>
          </w:p>
        </w:tc>
        <w:tc>
          <w:tcPr>
            <w:tcW w:w="533" w:type="pct"/>
          </w:tcPr>
          <w:p w:rsidR="00EB2B00" w:rsidRPr="002A569E" w:rsidRDefault="00EB2B00"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sidRPr="002A569E">
              <w:rPr>
                <w:b/>
                <w:bCs/>
                <w:i/>
                <w:color w:val="000000"/>
                <w:sz w:val="18"/>
                <w:szCs w:val="18"/>
              </w:rPr>
              <w:t>695</w:t>
            </w:r>
          </w:p>
        </w:tc>
        <w:tc>
          <w:tcPr>
            <w:tcW w:w="533" w:type="pct"/>
          </w:tcPr>
          <w:p w:rsidR="00EB2B00" w:rsidRPr="002A569E" w:rsidRDefault="00EB2B00" w:rsidP="00E60E7C">
            <w:pPr>
              <w:jc w:val="center"/>
              <w:cnfStyle w:val="000000000000" w:firstRow="0" w:lastRow="0" w:firstColumn="0" w:lastColumn="0" w:oddVBand="0" w:evenVBand="0" w:oddHBand="0" w:evenHBand="0" w:firstRowFirstColumn="0" w:firstRowLastColumn="0" w:lastRowFirstColumn="0" w:lastRowLastColumn="0"/>
              <w:rPr>
                <w:bCs/>
                <w:i/>
                <w:color w:val="000000"/>
                <w:sz w:val="18"/>
                <w:szCs w:val="18"/>
              </w:rPr>
            </w:pPr>
            <w:r w:rsidRPr="002A569E">
              <w:rPr>
                <w:bCs/>
                <w:i/>
                <w:color w:val="000000"/>
                <w:sz w:val="18"/>
                <w:szCs w:val="18"/>
              </w:rPr>
              <w:t>29</w:t>
            </w:r>
          </w:p>
        </w:tc>
        <w:tc>
          <w:tcPr>
            <w:tcW w:w="533" w:type="pct"/>
          </w:tcPr>
          <w:p w:rsidR="00EB2B00" w:rsidRPr="002A569E" w:rsidRDefault="00533F06" w:rsidP="00E60E7C">
            <w:pPr>
              <w:jc w:val="center"/>
              <w:cnfStyle w:val="000000000000" w:firstRow="0" w:lastRow="0" w:firstColumn="0" w:lastColumn="0" w:oddVBand="0" w:evenVBand="0" w:oddHBand="0" w:evenHBand="0" w:firstRowFirstColumn="0" w:firstRowLastColumn="0" w:lastRowFirstColumn="0" w:lastRowLastColumn="0"/>
              <w:rPr>
                <w:bCs/>
                <w:i/>
                <w:color w:val="000000"/>
                <w:sz w:val="18"/>
                <w:szCs w:val="18"/>
              </w:rPr>
            </w:pPr>
            <w:r>
              <w:rPr>
                <w:bCs/>
                <w:i/>
                <w:color w:val="000000"/>
                <w:sz w:val="18"/>
                <w:szCs w:val="18"/>
              </w:rPr>
              <w:t>113</w:t>
            </w:r>
          </w:p>
        </w:tc>
        <w:tc>
          <w:tcPr>
            <w:tcW w:w="533" w:type="pct"/>
          </w:tcPr>
          <w:p w:rsidR="00EB2B00" w:rsidRPr="00B40746" w:rsidRDefault="006A5732" w:rsidP="00E60E7C">
            <w:pPr>
              <w:jc w:val="center"/>
              <w:cnfStyle w:val="000000000000" w:firstRow="0" w:lastRow="0" w:firstColumn="0" w:lastColumn="0" w:oddVBand="0" w:evenVBand="0" w:oddHBand="0" w:evenHBand="0" w:firstRowFirstColumn="0" w:firstRowLastColumn="0" w:lastRowFirstColumn="0" w:lastRowLastColumn="0"/>
              <w:rPr>
                <w:b/>
                <w:bCs/>
                <w:i/>
                <w:color w:val="000000"/>
                <w:sz w:val="18"/>
                <w:szCs w:val="18"/>
              </w:rPr>
            </w:pPr>
            <w:r w:rsidRPr="00B40746">
              <w:rPr>
                <w:b/>
                <w:bCs/>
                <w:i/>
                <w:color w:val="000000"/>
                <w:sz w:val="18"/>
                <w:szCs w:val="18"/>
              </w:rPr>
              <w:t>142</w:t>
            </w:r>
          </w:p>
        </w:tc>
      </w:tr>
      <w:tr w:rsidR="00EB2B00" w:rsidRPr="00B6426B" w:rsidTr="00FF0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pct"/>
            <w:noWrap/>
            <w:hideMark/>
          </w:tcPr>
          <w:p w:rsidR="00EB2B00" w:rsidRPr="001244FE" w:rsidRDefault="00EB2B00" w:rsidP="00E60E7C">
            <w:pPr>
              <w:ind w:left="426"/>
              <w:rPr>
                <w:rFonts w:asciiTheme="minorHAnsi" w:hAnsiTheme="minorHAnsi"/>
                <w:i/>
                <w:sz w:val="18"/>
                <w:szCs w:val="18"/>
              </w:rPr>
            </w:pPr>
            <w:r w:rsidRPr="001244FE">
              <w:rPr>
                <w:rFonts w:asciiTheme="minorHAnsi" w:hAnsiTheme="minorHAnsi"/>
                <w:i/>
                <w:sz w:val="18"/>
                <w:szCs w:val="18"/>
              </w:rPr>
              <w:t>Requests received after due date</w:t>
            </w:r>
          </w:p>
        </w:tc>
        <w:tc>
          <w:tcPr>
            <w:tcW w:w="533" w:type="pct"/>
            <w:noWrap/>
            <w:hideMark/>
          </w:tcPr>
          <w:p w:rsidR="00EB2B00" w:rsidRPr="00B6426B"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sz w:val="18"/>
                <w:szCs w:val="18"/>
              </w:rPr>
            </w:pPr>
            <w:r w:rsidRPr="00B6426B">
              <w:rPr>
                <w:b/>
                <w:bCs/>
                <w:i/>
                <w:iCs/>
                <w:color w:val="000000"/>
                <w:sz w:val="18"/>
                <w:szCs w:val="18"/>
              </w:rPr>
              <w:t>18</w:t>
            </w:r>
            <w:r>
              <w:rPr>
                <w:b/>
                <w:bCs/>
                <w:i/>
                <w:iCs/>
                <w:color w:val="000000"/>
                <w:sz w:val="18"/>
                <w:szCs w:val="18"/>
              </w:rPr>
              <w:t>3</w:t>
            </w:r>
          </w:p>
        </w:tc>
        <w:tc>
          <w:tcPr>
            <w:tcW w:w="533" w:type="pct"/>
            <w:noWrap/>
            <w:hideMark/>
          </w:tcPr>
          <w:p w:rsidR="00EB2B00" w:rsidRPr="00B6426B"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sz w:val="18"/>
                <w:szCs w:val="18"/>
              </w:rPr>
            </w:pPr>
            <w:r w:rsidRPr="00B6426B">
              <w:rPr>
                <w:b/>
                <w:bCs/>
                <w:i/>
                <w:iCs/>
                <w:color w:val="000000"/>
                <w:sz w:val="18"/>
                <w:szCs w:val="18"/>
              </w:rPr>
              <w:t>19</w:t>
            </w:r>
            <w:r>
              <w:rPr>
                <w:b/>
                <w:bCs/>
                <w:i/>
                <w:iCs/>
                <w:color w:val="000000"/>
                <w:sz w:val="18"/>
                <w:szCs w:val="18"/>
              </w:rPr>
              <w:t>1</w:t>
            </w:r>
          </w:p>
        </w:tc>
        <w:tc>
          <w:tcPr>
            <w:tcW w:w="532" w:type="pct"/>
          </w:tcPr>
          <w:p w:rsidR="00EB2B00" w:rsidRPr="00480195"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sz w:val="18"/>
                <w:szCs w:val="18"/>
              </w:rPr>
            </w:pPr>
            <w:r w:rsidRPr="00480195">
              <w:rPr>
                <w:rFonts w:asciiTheme="minorHAnsi" w:hAnsiTheme="minorHAnsi" w:cs="Arial"/>
                <w:b/>
                <w:bCs/>
                <w:i/>
                <w:sz w:val="18"/>
                <w:szCs w:val="18"/>
              </w:rPr>
              <w:t>69</w:t>
            </w:r>
          </w:p>
        </w:tc>
        <w:tc>
          <w:tcPr>
            <w:tcW w:w="533" w:type="pct"/>
          </w:tcPr>
          <w:p w:rsidR="00EB2B00" w:rsidRPr="002A569E" w:rsidRDefault="00EB2B00" w:rsidP="00E60E7C">
            <w:pPr>
              <w:jc w:val="center"/>
              <w:cnfStyle w:val="000000100000" w:firstRow="0" w:lastRow="0" w:firstColumn="0" w:lastColumn="0" w:oddVBand="0" w:evenVBand="0" w:oddHBand="1" w:evenHBand="0" w:firstRowFirstColumn="0" w:firstRowLastColumn="0" w:lastRowFirstColumn="0" w:lastRowLastColumn="0"/>
              <w:rPr>
                <w:b/>
                <w:bCs/>
                <w:i/>
                <w:color w:val="000000"/>
                <w:sz w:val="18"/>
                <w:szCs w:val="18"/>
              </w:rPr>
            </w:pPr>
            <w:r w:rsidRPr="002A569E">
              <w:rPr>
                <w:b/>
                <w:bCs/>
                <w:i/>
                <w:color w:val="000000"/>
                <w:sz w:val="18"/>
                <w:szCs w:val="18"/>
              </w:rPr>
              <w:t>50</w:t>
            </w:r>
          </w:p>
        </w:tc>
        <w:tc>
          <w:tcPr>
            <w:tcW w:w="533" w:type="pct"/>
          </w:tcPr>
          <w:p w:rsidR="00EB2B00" w:rsidRPr="002A569E" w:rsidRDefault="00EB2B00" w:rsidP="00E60E7C">
            <w:pPr>
              <w:jc w:val="center"/>
              <w:cnfStyle w:val="000000100000" w:firstRow="0" w:lastRow="0" w:firstColumn="0" w:lastColumn="0" w:oddVBand="0" w:evenVBand="0" w:oddHBand="1" w:evenHBand="0" w:firstRowFirstColumn="0" w:firstRowLastColumn="0" w:lastRowFirstColumn="0" w:lastRowLastColumn="0"/>
              <w:rPr>
                <w:bCs/>
                <w:i/>
                <w:color w:val="000000"/>
                <w:sz w:val="18"/>
                <w:szCs w:val="18"/>
              </w:rPr>
            </w:pPr>
            <w:r w:rsidRPr="002A569E">
              <w:rPr>
                <w:bCs/>
                <w:i/>
                <w:color w:val="000000"/>
                <w:sz w:val="18"/>
                <w:szCs w:val="18"/>
              </w:rPr>
              <w:t>1</w:t>
            </w:r>
          </w:p>
        </w:tc>
        <w:tc>
          <w:tcPr>
            <w:tcW w:w="533" w:type="pct"/>
          </w:tcPr>
          <w:p w:rsidR="00EB2B00" w:rsidRPr="002A569E" w:rsidRDefault="00533F06" w:rsidP="00E60E7C">
            <w:pPr>
              <w:jc w:val="center"/>
              <w:cnfStyle w:val="000000100000" w:firstRow="0" w:lastRow="0" w:firstColumn="0" w:lastColumn="0" w:oddVBand="0" w:evenVBand="0" w:oddHBand="1" w:evenHBand="0" w:firstRowFirstColumn="0" w:firstRowLastColumn="0" w:lastRowFirstColumn="0" w:lastRowLastColumn="0"/>
              <w:rPr>
                <w:bCs/>
                <w:i/>
                <w:color w:val="000000"/>
                <w:sz w:val="18"/>
                <w:szCs w:val="18"/>
              </w:rPr>
            </w:pPr>
            <w:r>
              <w:rPr>
                <w:bCs/>
                <w:i/>
                <w:color w:val="000000"/>
                <w:sz w:val="18"/>
                <w:szCs w:val="18"/>
              </w:rPr>
              <w:t>2</w:t>
            </w:r>
          </w:p>
        </w:tc>
        <w:tc>
          <w:tcPr>
            <w:tcW w:w="533" w:type="pct"/>
          </w:tcPr>
          <w:p w:rsidR="00EB2B00" w:rsidRPr="00B40746" w:rsidRDefault="006A5732" w:rsidP="00E60E7C">
            <w:pPr>
              <w:jc w:val="center"/>
              <w:cnfStyle w:val="000000100000" w:firstRow="0" w:lastRow="0" w:firstColumn="0" w:lastColumn="0" w:oddVBand="0" w:evenVBand="0" w:oddHBand="1" w:evenHBand="0" w:firstRowFirstColumn="0" w:firstRowLastColumn="0" w:lastRowFirstColumn="0" w:lastRowLastColumn="0"/>
              <w:rPr>
                <w:b/>
                <w:bCs/>
                <w:i/>
                <w:color w:val="000000"/>
                <w:sz w:val="18"/>
                <w:szCs w:val="18"/>
              </w:rPr>
            </w:pPr>
            <w:r w:rsidRPr="00B40746">
              <w:rPr>
                <w:b/>
                <w:bCs/>
                <w:i/>
                <w:color w:val="000000"/>
                <w:sz w:val="18"/>
                <w:szCs w:val="18"/>
              </w:rPr>
              <w:t>3</w:t>
            </w:r>
          </w:p>
        </w:tc>
      </w:tr>
      <w:tr w:rsidR="00EB2B00" w:rsidRPr="00B6426B" w:rsidTr="00FF0C91">
        <w:tc>
          <w:tcPr>
            <w:cnfStyle w:val="001000000000" w:firstRow="0" w:lastRow="0" w:firstColumn="1" w:lastColumn="0" w:oddVBand="0" w:evenVBand="0" w:oddHBand="0" w:evenHBand="0" w:firstRowFirstColumn="0" w:firstRowLastColumn="0" w:lastRowFirstColumn="0" w:lastRowLastColumn="0"/>
            <w:tcW w:w="1269" w:type="pct"/>
            <w:noWrap/>
          </w:tcPr>
          <w:p w:rsidR="00EB2B00" w:rsidRPr="001244FE" w:rsidRDefault="00EB2B00" w:rsidP="00E60E7C">
            <w:pPr>
              <w:ind w:left="142"/>
              <w:rPr>
                <w:rFonts w:asciiTheme="minorHAnsi" w:hAnsiTheme="minorHAnsi"/>
                <w:sz w:val="18"/>
                <w:szCs w:val="18"/>
              </w:rPr>
            </w:pPr>
            <w:r>
              <w:rPr>
                <w:rFonts w:asciiTheme="minorHAnsi" w:hAnsiTheme="minorHAnsi"/>
                <w:sz w:val="18"/>
                <w:szCs w:val="18"/>
              </w:rPr>
              <w:t>Percentage late</w:t>
            </w:r>
          </w:p>
        </w:tc>
        <w:tc>
          <w:tcPr>
            <w:tcW w:w="533" w:type="pct"/>
            <w:noWrap/>
          </w:tcPr>
          <w:p w:rsidR="00EB2B00" w:rsidRDefault="00EB2B00" w:rsidP="00E60E7C">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Pr>
                <w:b/>
                <w:bCs/>
                <w:color w:val="000000"/>
                <w:sz w:val="18"/>
                <w:szCs w:val="18"/>
              </w:rPr>
              <w:t>55.1</w:t>
            </w:r>
          </w:p>
        </w:tc>
        <w:tc>
          <w:tcPr>
            <w:tcW w:w="533" w:type="pct"/>
            <w:noWrap/>
          </w:tcPr>
          <w:p w:rsidR="00EB2B00" w:rsidRPr="00B6426B" w:rsidRDefault="00EB2B00" w:rsidP="00E60E7C">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Pr>
                <w:b/>
                <w:bCs/>
                <w:color w:val="000000"/>
                <w:sz w:val="18"/>
                <w:szCs w:val="18"/>
              </w:rPr>
              <w:t>47.8</w:t>
            </w:r>
          </w:p>
        </w:tc>
        <w:tc>
          <w:tcPr>
            <w:tcW w:w="532" w:type="pct"/>
          </w:tcPr>
          <w:p w:rsidR="00EB2B00" w:rsidRPr="00480195" w:rsidRDefault="00EB2B00"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Theme="minorHAnsi" w:hAnsiTheme="minorHAnsi" w:cs="Arial"/>
                <w:b/>
                <w:bCs/>
                <w:sz w:val="18"/>
                <w:szCs w:val="18"/>
              </w:rPr>
              <w:t>31.9</w:t>
            </w:r>
          </w:p>
        </w:tc>
        <w:tc>
          <w:tcPr>
            <w:tcW w:w="533" w:type="pct"/>
          </w:tcPr>
          <w:p w:rsidR="00EB2B00" w:rsidRPr="00353D66" w:rsidRDefault="00EB2B00" w:rsidP="00E60E7C">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Pr>
                <w:b/>
                <w:bCs/>
                <w:color w:val="000000"/>
                <w:sz w:val="18"/>
                <w:szCs w:val="18"/>
              </w:rPr>
              <w:t>6.7</w:t>
            </w:r>
          </w:p>
        </w:tc>
        <w:tc>
          <w:tcPr>
            <w:tcW w:w="533" w:type="pct"/>
          </w:tcPr>
          <w:p w:rsidR="00EB2B00" w:rsidRPr="007C1A69" w:rsidRDefault="00EB2B00"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3.3</w:t>
            </w:r>
          </w:p>
        </w:tc>
        <w:tc>
          <w:tcPr>
            <w:tcW w:w="533" w:type="pct"/>
          </w:tcPr>
          <w:p w:rsidR="00EB2B00" w:rsidRDefault="00533F06"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1.8</w:t>
            </w:r>
          </w:p>
        </w:tc>
        <w:tc>
          <w:tcPr>
            <w:tcW w:w="533" w:type="pct"/>
          </w:tcPr>
          <w:p w:rsidR="00EB2B00" w:rsidRPr="00B40746" w:rsidRDefault="006A5732" w:rsidP="00E60E7C">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B40746">
              <w:rPr>
                <w:b/>
                <w:bCs/>
                <w:color w:val="000000"/>
                <w:sz w:val="18"/>
                <w:szCs w:val="18"/>
              </w:rPr>
              <w:t>2.1</w:t>
            </w:r>
          </w:p>
        </w:tc>
      </w:tr>
      <w:tr w:rsidR="00EB2B00" w:rsidRPr="00B6426B" w:rsidTr="00FF0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pct"/>
            <w:noWrap/>
            <w:hideMark/>
          </w:tcPr>
          <w:p w:rsidR="00EB2B00" w:rsidRPr="001244FE" w:rsidRDefault="00EB2B00" w:rsidP="00E60E7C">
            <w:pPr>
              <w:rPr>
                <w:rFonts w:asciiTheme="minorHAnsi" w:hAnsiTheme="minorHAnsi"/>
                <w:sz w:val="18"/>
                <w:szCs w:val="18"/>
              </w:rPr>
            </w:pPr>
            <w:r w:rsidRPr="001244FE">
              <w:rPr>
                <w:rFonts w:asciiTheme="minorHAnsi" w:hAnsiTheme="minorHAnsi"/>
                <w:sz w:val="18"/>
                <w:szCs w:val="18"/>
              </w:rPr>
              <w:t>Average time taken to respond (business days)</w:t>
            </w:r>
          </w:p>
        </w:tc>
        <w:tc>
          <w:tcPr>
            <w:tcW w:w="533" w:type="pct"/>
            <w:noWrap/>
            <w:hideMark/>
          </w:tcPr>
          <w:p w:rsidR="00EB2B00" w:rsidRPr="00B6426B"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b/>
                <w:bCs/>
                <w:color w:val="000000"/>
                <w:sz w:val="18"/>
                <w:szCs w:val="18"/>
              </w:rPr>
              <w:t>13.1</w:t>
            </w:r>
          </w:p>
        </w:tc>
        <w:tc>
          <w:tcPr>
            <w:tcW w:w="533" w:type="pct"/>
            <w:noWrap/>
            <w:hideMark/>
          </w:tcPr>
          <w:p w:rsidR="00EB2B00" w:rsidRPr="00B6426B"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12.6</w:t>
            </w:r>
          </w:p>
        </w:tc>
        <w:tc>
          <w:tcPr>
            <w:tcW w:w="532" w:type="pct"/>
          </w:tcPr>
          <w:p w:rsidR="00EB2B00" w:rsidRPr="00480195"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13.5</w:t>
            </w:r>
          </w:p>
        </w:tc>
        <w:tc>
          <w:tcPr>
            <w:tcW w:w="533" w:type="pct"/>
          </w:tcPr>
          <w:p w:rsidR="00EB2B00" w:rsidRPr="00353D66" w:rsidRDefault="00EB2B00" w:rsidP="00E60E7C">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Pr>
                <w:b/>
                <w:bCs/>
                <w:color w:val="000000"/>
                <w:sz w:val="18"/>
                <w:szCs w:val="18"/>
              </w:rPr>
              <w:t>6.5</w:t>
            </w:r>
          </w:p>
        </w:tc>
        <w:tc>
          <w:tcPr>
            <w:tcW w:w="533" w:type="pct"/>
          </w:tcPr>
          <w:p w:rsidR="00EB2B00" w:rsidRPr="007C1A69" w:rsidRDefault="00EB2B00"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13.7</w:t>
            </w:r>
          </w:p>
        </w:tc>
        <w:tc>
          <w:tcPr>
            <w:tcW w:w="533" w:type="pct"/>
          </w:tcPr>
          <w:p w:rsidR="00EB2B00" w:rsidRDefault="00D01FCB"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5.1</w:t>
            </w:r>
          </w:p>
        </w:tc>
        <w:tc>
          <w:tcPr>
            <w:tcW w:w="533" w:type="pct"/>
          </w:tcPr>
          <w:p w:rsidR="00EB2B00" w:rsidRPr="00B40746" w:rsidRDefault="00D01FCB" w:rsidP="00E60E7C">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B40746">
              <w:rPr>
                <w:b/>
                <w:bCs/>
                <w:color w:val="000000"/>
                <w:sz w:val="18"/>
                <w:szCs w:val="18"/>
              </w:rPr>
              <w:t>6.9</w:t>
            </w:r>
          </w:p>
        </w:tc>
      </w:tr>
      <w:tr w:rsidR="00EB2B00" w:rsidRPr="00B6426B" w:rsidTr="00FF0C91">
        <w:tc>
          <w:tcPr>
            <w:cnfStyle w:val="001000000000" w:firstRow="0" w:lastRow="0" w:firstColumn="1" w:lastColumn="0" w:oddVBand="0" w:evenVBand="0" w:oddHBand="0" w:evenHBand="0" w:firstRowFirstColumn="0" w:firstRowLastColumn="0" w:lastRowFirstColumn="0" w:lastRowLastColumn="0"/>
            <w:tcW w:w="1269" w:type="pct"/>
            <w:noWrap/>
            <w:hideMark/>
          </w:tcPr>
          <w:p w:rsidR="00EB2B00" w:rsidRPr="001244FE" w:rsidRDefault="00EB2B00" w:rsidP="00E60E7C">
            <w:pPr>
              <w:rPr>
                <w:rFonts w:asciiTheme="minorHAnsi" w:hAnsiTheme="minorHAnsi"/>
                <w:sz w:val="18"/>
                <w:szCs w:val="18"/>
              </w:rPr>
            </w:pPr>
            <w:r w:rsidRPr="001244FE">
              <w:rPr>
                <w:rFonts w:asciiTheme="minorHAnsi" w:hAnsiTheme="minorHAnsi"/>
                <w:sz w:val="18"/>
                <w:szCs w:val="18"/>
              </w:rPr>
              <w:t>Average punctuality (business days late)</w:t>
            </w:r>
          </w:p>
        </w:tc>
        <w:tc>
          <w:tcPr>
            <w:tcW w:w="533" w:type="pct"/>
            <w:noWrap/>
            <w:hideMark/>
          </w:tcPr>
          <w:p w:rsidR="00EB2B00" w:rsidRPr="00B6426B" w:rsidRDefault="00EB2B00"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b/>
                <w:bCs/>
                <w:color w:val="000000"/>
                <w:sz w:val="18"/>
                <w:szCs w:val="18"/>
              </w:rPr>
              <w:t>3.0</w:t>
            </w:r>
          </w:p>
        </w:tc>
        <w:tc>
          <w:tcPr>
            <w:tcW w:w="533" w:type="pct"/>
            <w:noWrap/>
            <w:hideMark/>
          </w:tcPr>
          <w:p w:rsidR="00EB2B00" w:rsidRPr="00B6426B" w:rsidRDefault="00EB2B00"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5.3</w:t>
            </w:r>
          </w:p>
        </w:tc>
        <w:tc>
          <w:tcPr>
            <w:tcW w:w="532" w:type="pct"/>
          </w:tcPr>
          <w:p w:rsidR="00EB2B00" w:rsidRPr="00480195" w:rsidRDefault="00EB2B00"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2.9</w:t>
            </w:r>
          </w:p>
        </w:tc>
        <w:tc>
          <w:tcPr>
            <w:tcW w:w="533" w:type="pct"/>
          </w:tcPr>
          <w:p w:rsidR="00EB2B00" w:rsidRPr="00353D66" w:rsidRDefault="00EB2B00" w:rsidP="00E60E7C">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353D66">
              <w:rPr>
                <w:b/>
                <w:bCs/>
                <w:color w:val="000000"/>
                <w:sz w:val="18"/>
                <w:szCs w:val="18"/>
              </w:rPr>
              <w:t>-</w:t>
            </w:r>
            <w:r>
              <w:rPr>
                <w:b/>
                <w:bCs/>
                <w:color w:val="000000"/>
                <w:sz w:val="18"/>
                <w:szCs w:val="18"/>
              </w:rPr>
              <w:t>1.3</w:t>
            </w:r>
          </w:p>
        </w:tc>
        <w:tc>
          <w:tcPr>
            <w:tcW w:w="533" w:type="pct"/>
          </w:tcPr>
          <w:p w:rsidR="00EB2B00" w:rsidRPr="007C1A69" w:rsidRDefault="00EB2B00"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-2.5</w:t>
            </w:r>
          </w:p>
        </w:tc>
        <w:tc>
          <w:tcPr>
            <w:tcW w:w="533" w:type="pct"/>
          </w:tcPr>
          <w:p w:rsidR="00EB2B00" w:rsidRDefault="00D01FCB"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-4.6</w:t>
            </w:r>
          </w:p>
        </w:tc>
        <w:tc>
          <w:tcPr>
            <w:tcW w:w="533" w:type="pct"/>
          </w:tcPr>
          <w:p w:rsidR="00EB2B00" w:rsidRPr="00B40746" w:rsidRDefault="00D01FCB" w:rsidP="00E60E7C">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B40746">
              <w:rPr>
                <w:b/>
                <w:bCs/>
                <w:color w:val="000000"/>
                <w:sz w:val="18"/>
                <w:szCs w:val="18"/>
              </w:rPr>
              <w:t>-3.8</w:t>
            </w:r>
          </w:p>
        </w:tc>
      </w:tr>
      <w:tr w:rsidR="00EB2B00" w:rsidRPr="00B6426B" w:rsidTr="00FF0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pct"/>
            <w:noWrap/>
            <w:hideMark/>
          </w:tcPr>
          <w:p w:rsidR="00EB2B00" w:rsidRPr="001244FE" w:rsidRDefault="00EB2B00" w:rsidP="00E60E7C">
            <w:pPr>
              <w:rPr>
                <w:rFonts w:asciiTheme="minorHAnsi" w:hAnsiTheme="minorHAnsi"/>
                <w:sz w:val="18"/>
                <w:szCs w:val="18"/>
              </w:rPr>
            </w:pPr>
            <w:r w:rsidRPr="001244FE">
              <w:rPr>
                <w:rFonts w:asciiTheme="minorHAnsi" w:hAnsiTheme="minorHAnsi"/>
                <w:sz w:val="18"/>
                <w:szCs w:val="18"/>
              </w:rPr>
              <w:t>Average lateness of late requests (business</w:t>
            </w:r>
            <w:r>
              <w:rPr>
                <w:rFonts w:asciiTheme="minorHAnsi" w:hAnsiTheme="minorHAnsi"/>
                <w:sz w:val="18"/>
                <w:szCs w:val="18"/>
              </w:rPr>
              <w:t> </w:t>
            </w:r>
            <w:r w:rsidRPr="001244FE">
              <w:rPr>
                <w:rFonts w:asciiTheme="minorHAnsi" w:hAnsiTheme="minorHAnsi"/>
                <w:sz w:val="18"/>
                <w:szCs w:val="18"/>
              </w:rPr>
              <w:t>days)</w:t>
            </w:r>
          </w:p>
        </w:tc>
        <w:tc>
          <w:tcPr>
            <w:tcW w:w="533" w:type="pct"/>
            <w:noWrap/>
            <w:hideMark/>
          </w:tcPr>
          <w:p w:rsidR="00EB2B00" w:rsidRPr="00B6426B"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6.5</w:t>
            </w:r>
          </w:p>
        </w:tc>
        <w:tc>
          <w:tcPr>
            <w:tcW w:w="533" w:type="pct"/>
            <w:noWrap/>
            <w:hideMark/>
          </w:tcPr>
          <w:p w:rsidR="00EB2B00" w:rsidRPr="00B6426B"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11.9</w:t>
            </w:r>
          </w:p>
        </w:tc>
        <w:tc>
          <w:tcPr>
            <w:tcW w:w="532" w:type="pct"/>
          </w:tcPr>
          <w:p w:rsidR="00EB2B00" w:rsidRPr="00480195" w:rsidRDefault="00EB2B00" w:rsidP="00E60E7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11.2</w:t>
            </w:r>
          </w:p>
        </w:tc>
        <w:tc>
          <w:tcPr>
            <w:tcW w:w="533" w:type="pct"/>
          </w:tcPr>
          <w:p w:rsidR="00EB2B00" w:rsidRPr="00353D66" w:rsidRDefault="00EB2B00" w:rsidP="00E60E7C">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Pr>
                <w:b/>
                <w:bCs/>
                <w:color w:val="000000"/>
                <w:sz w:val="18"/>
                <w:szCs w:val="18"/>
              </w:rPr>
              <w:t>3.5</w:t>
            </w:r>
          </w:p>
        </w:tc>
        <w:tc>
          <w:tcPr>
            <w:tcW w:w="533" w:type="pct"/>
          </w:tcPr>
          <w:p w:rsidR="00EB2B00" w:rsidRPr="007C1A69" w:rsidRDefault="00EB2B00"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1.0</w:t>
            </w:r>
          </w:p>
        </w:tc>
        <w:tc>
          <w:tcPr>
            <w:tcW w:w="533" w:type="pct"/>
          </w:tcPr>
          <w:p w:rsidR="00EB2B00" w:rsidRDefault="00533F06" w:rsidP="00E60E7C">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Pr>
                <w:bCs/>
                <w:color w:val="000000"/>
                <w:sz w:val="18"/>
                <w:szCs w:val="18"/>
              </w:rPr>
              <w:t>1.0</w:t>
            </w:r>
          </w:p>
        </w:tc>
        <w:tc>
          <w:tcPr>
            <w:tcW w:w="533" w:type="pct"/>
          </w:tcPr>
          <w:p w:rsidR="00EB2B00" w:rsidRPr="00B40746" w:rsidRDefault="006A5732" w:rsidP="00E60E7C">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B40746">
              <w:rPr>
                <w:b/>
                <w:bCs/>
                <w:color w:val="000000"/>
                <w:sz w:val="18"/>
                <w:szCs w:val="18"/>
              </w:rPr>
              <w:t>1.0</w:t>
            </w:r>
          </w:p>
        </w:tc>
      </w:tr>
      <w:tr w:rsidR="00EB2B00" w:rsidRPr="00B6426B" w:rsidTr="00FF0C91">
        <w:tc>
          <w:tcPr>
            <w:cnfStyle w:val="001000000000" w:firstRow="0" w:lastRow="0" w:firstColumn="1" w:lastColumn="0" w:oddVBand="0" w:evenVBand="0" w:oddHBand="0" w:evenHBand="0" w:firstRowFirstColumn="0" w:firstRowLastColumn="0" w:lastRowFirstColumn="0" w:lastRowLastColumn="0"/>
            <w:tcW w:w="1269" w:type="pct"/>
            <w:noWrap/>
            <w:hideMark/>
          </w:tcPr>
          <w:p w:rsidR="00EB2B00" w:rsidRPr="001244FE" w:rsidRDefault="00EB2B00" w:rsidP="00E60E7C">
            <w:pPr>
              <w:rPr>
                <w:rFonts w:asciiTheme="minorHAnsi" w:hAnsiTheme="minorHAnsi"/>
                <w:sz w:val="18"/>
                <w:szCs w:val="18"/>
              </w:rPr>
            </w:pPr>
            <w:r w:rsidRPr="001244FE">
              <w:rPr>
                <w:rFonts w:asciiTheme="minorHAnsi" w:hAnsiTheme="minorHAnsi"/>
                <w:sz w:val="18"/>
                <w:szCs w:val="18"/>
              </w:rPr>
              <w:t>Requests outstanding at end of period</w:t>
            </w:r>
          </w:p>
        </w:tc>
        <w:tc>
          <w:tcPr>
            <w:tcW w:w="533" w:type="pct"/>
            <w:noWrap/>
            <w:hideMark/>
          </w:tcPr>
          <w:p w:rsidR="00EB2B00" w:rsidRPr="00B6426B" w:rsidRDefault="00EB2B00"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2</w:t>
            </w:r>
            <w:r>
              <w:rPr>
                <w:b/>
                <w:bCs/>
                <w:color w:val="000000"/>
                <w:sz w:val="18"/>
                <w:szCs w:val="18"/>
              </w:rPr>
              <w:t>8</w:t>
            </w:r>
          </w:p>
        </w:tc>
        <w:tc>
          <w:tcPr>
            <w:tcW w:w="533" w:type="pct"/>
            <w:noWrap/>
            <w:hideMark/>
          </w:tcPr>
          <w:p w:rsidR="00EB2B00" w:rsidRPr="00B6426B" w:rsidRDefault="00EB2B00"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16</w:t>
            </w:r>
          </w:p>
        </w:tc>
        <w:tc>
          <w:tcPr>
            <w:tcW w:w="532" w:type="pct"/>
          </w:tcPr>
          <w:p w:rsidR="00EB2B00" w:rsidRPr="00480195" w:rsidRDefault="00EB2B00" w:rsidP="00E60E7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3</w:t>
            </w:r>
          </w:p>
        </w:tc>
        <w:tc>
          <w:tcPr>
            <w:tcW w:w="533" w:type="pct"/>
          </w:tcPr>
          <w:p w:rsidR="00EB2B00" w:rsidRPr="00353D66" w:rsidRDefault="00EB2B00" w:rsidP="00E60E7C">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353D66">
              <w:rPr>
                <w:b/>
                <w:bCs/>
                <w:color w:val="000000"/>
                <w:sz w:val="18"/>
                <w:szCs w:val="18"/>
              </w:rPr>
              <w:t>1</w:t>
            </w:r>
          </w:p>
        </w:tc>
        <w:tc>
          <w:tcPr>
            <w:tcW w:w="533" w:type="pct"/>
          </w:tcPr>
          <w:p w:rsidR="00EB2B00" w:rsidRPr="007C1A69" w:rsidRDefault="00EB2B00"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7</w:t>
            </w:r>
          </w:p>
        </w:tc>
        <w:tc>
          <w:tcPr>
            <w:tcW w:w="533" w:type="pct"/>
          </w:tcPr>
          <w:p w:rsidR="00EB2B00" w:rsidRDefault="00533F06" w:rsidP="00E60E7C">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76</w:t>
            </w:r>
          </w:p>
        </w:tc>
        <w:tc>
          <w:tcPr>
            <w:tcW w:w="533" w:type="pct"/>
          </w:tcPr>
          <w:p w:rsidR="00EB2B00" w:rsidRPr="00B40746" w:rsidRDefault="006A5732" w:rsidP="00E60E7C">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B40746">
              <w:rPr>
                <w:b/>
                <w:bCs/>
                <w:color w:val="000000"/>
                <w:sz w:val="18"/>
                <w:szCs w:val="18"/>
              </w:rPr>
              <w:t>76</w:t>
            </w:r>
          </w:p>
        </w:tc>
      </w:tr>
    </w:tbl>
    <w:p w:rsidR="007432E3" w:rsidRPr="00543268" w:rsidRDefault="007432E3" w:rsidP="00E60E7C">
      <w:pPr>
        <w:pStyle w:val="PBOtext"/>
        <w:spacing w:before="340"/>
      </w:pPr>
      <w:r>
        <w:t>As at</w:t>
      </w:r>
      <w:r w:rsidR="00BB03B4">
        <w:t xml:space="preserve"> </w:t>
      </w:r>
      <w:r w:rsidR="00E60E7C">
        <w:t xml:space="preserve">31 December </w:t>
      </w:r>
      <w:r w:rsidR="00BB03B4">
        <w:t>2016</w:t>
      </w:r>
      <w:r w:rsidRPr="00A87BFA">
        <w:t xml:space="preserve">, </w:t>
      </w:r>
      <w:r w:rsidRPr="00C5760A">
        <w:t>no</w:t>
      </w:r>
      <w:r>
        <w:t xml:space="preserve"> requests were overdue.</w:t>
      </w:r>
    </w:p>
    <w:p w:rsidR="007432E3" w:rsidRDefault="007432E3" w:rsidP="00E60E7C">
      <w:pPr>
        <w:pStyle w:val="Caption"/>
        <w:keepNext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 xml:space="preserve">Figure 2: </w:t>
      </w:r>
      <w:r>
        <w:rPr>
          <w:rFonts w:asciiTheme="minorHAnsi" w:eastAsiaTheme="minorHAnsi" w:hAnsiTheme="minorHAnsi" w:cstheme="minorBidi"/>
          <w:color w:val="1F497D" w:themeColor="text2"/>
          <w:spacing w:val="-4"/>
          <w:sz w:val="20"/>
          <w:lang w:eastAsia="en-US"/>
        </w:rPr>
        <w:t>Agencies’</w:t>
      </w:r>
      <w:r w:rsidRPr="005D002A">
        <w:rPr>
          <w:rFonts w:asciiTheme="minorHAnsi" w:eastAsiaTheme="minorHAnsi" w:hAnsiTheme="minorHAnsi" w:cstheme="minorBidi"/>
          <w:color w:val="1F497D" w:themeColor="text2"/>
          <w:spacing w:val="-4"/>
          <w:sz w:val="20"/>
          <w:lang w:eastAsia="en-US"/>
        </w:rPr>
        <w:t xml:space="preserve"> response time</w:t>
      </w:r>
      <w:r>
        <w:rPr>
          <w:rFonts w:asciiTheme="minorHAnsi" w:eastAsiaTheme="minorHAnsi" w:hAnsiTheme="minorHAnsi" w:cstheme="minorBidi"/>
          <w:color w:val="1F497D" w:themeColor="text2"/>
          <w:spacing w:val="-4"/>
          <w:sz w:val="20"/>
          <w:lang w:eastAsia="en-US"/>
        </w:rPr>
        <w:t>s</w:t>
      </w:r>
      <w:r w:rsidRPr="005D002A">
        <w:rPr>
          <w:rFonts w:asciiTheme="minorHAnsi" w:eastAsiaTheme="minorHAnsi" w:hAnsiTheme="minorHAnsi" w:cstheme="minorBidi"/>
          <w:color w:val="1F497D" w:themeColor="text2"/>
          <w:spacing w:val="-4"/>
          <w:sz w:val="20"/>
          <w:lang w:eastAsia="en-US"/>
        </w:rPr>
        <w:t xml:space="preserve"> for completed information requests</w:t>
      </w:r>
      <w:r>
        <w:rPr>
          <w:rFonts w:asciiTheme="minorHAnsi" w:eastAsiaTheme="minorHAnsi" w:hAnsiTheme="minorHAnsi" w:cstheme="minorBidi"/>
          <w:color w:val="1F497D" w:themeColor="text2"/>
          <w:spacing w:val="-4"/>
          <w:sz w:val="20"/>
          <w:lang w:eastAsia="en-US"/>
        </w:rPr>
        <w:t xml:space="preserve"> in </w:t>
      </w:r>
      <w:r w:rsidR="005B0A14">
        <w:rPr>
          <w:rFonts w:asciiTheme="minorHAnsi" w:eastAsiaTheme="minorHAnsi" w:hAnsiTheme="minorHAnsi" w:cstheme="minorBidi"/>
          <w:color w:val="1F497D" w:themeColor="text2"/>
          <w:spacing w:val="-4"/>
          <w:sz w:val="20"/>
          <w:lang w:eastAsia="en-US"/>
        </w:rPr>
        <w:t>2016</w:t>
      </w:r>
      <w:r>
        <w:rPr>
          <w:rFonts w:asciiTheme="minorHAnsi" w:eastAsiaTheme="minorHAnsi" w:hAnsiTheme="minorHAnsi" w:cstheme="minorBidi"/>
          <w:color w:val="1F497D" w:themeColor="text2"/>
          <w:spacing w:val="-4"/>
          <w:sz w:val="20"/>
          <w:lang w:eastAsia="en-US"/>
        </w:rPr>
        <w:t>–</w:t>
      </w:r>
      <w:r w:rsidR="005B0A14">
        <w:rPr>
          <w:rFonts w:asciiTheme="minorHAnsi" w:eastAsiaTheme="minorHAnsi" w:hAnsiTheme="minorHAnsi" w:cstheme="minorBidi"/>
          <w:color w:val="1F497D" w:themeColor="text2"/>
          <w:spacing w:val="-4"/>
          <w:sz w:val="20"/>
          <w:lang w:eastAsia="en-US"/>
        </w:rPr>
        <w:t xml:space="preserve">17 </w:t>
      </w:r>
      <w:r>
        <w:rPr>
          <w:rFonts w:asciiTheme="minorHAnsi" w:eastAsiaTheme="minorHAnsi" w:hAnsiTheme="minorHAnsi" w:cstheme="minorBidi"/>
          <w:color w:val="1F497D" w:themeColor="text2"/>
          <w:spacing w:val="-4"/>
          <w:sz w:val="20"/>
          <w:lang w:eastAsia="en-US"/>
        </w:rPr>
        <w:t xml:space="preserve">to </w:t>
      </w:r>
      <w:r w:rsidR="00AA5AD6">
        <w:rPr>
          <w:rFonts w:asciiTheme="minorHAnsi" w:eastAsiaTheme="minorHAnsi" w:hAnsiTheme="minorHAnsi" w:cstheme="minorBidi"/>
          <w:color w:val="1F497D" w:themeColor="text2"/>
          <w:spacing w:val="-4"/>
          <w:sz w:val="20"/>
          <w:lang w:eastAsia="en-US"/>
        </w:rPr>
        <w:t>31</w:t>
      </w:r>
      <w:r w:rsidR="003C319A">
        <w:rPr>
          <w:rFonts w:asciiTheme="minorHAnsi" w:eastAsiaTheme="minorHAnsi" w:hAnsiTheme="minorHAnsi" w:cstheme="minorBidi"/>
          <w:color w:val="1F497D" w:themeColor="text2"/>
          <w:spacing w:val="-4"/>
          <w:sz w:val="20"/>
          <w:lang w:eastAsia="en-US"/>
        </w:rPr>
        <w:t xml:space="preserve"> </w:t>
      </w:r>
      <w:r w:rsidR="00AA5AD6">
        <w:rPr>
          <w:rFonts w:asciiTheme="minorHAnsi" w:eastAsiaTheme="minorHAnsi" w:hAnsiTheme="minorHAnsi" w:cstheme="minorBidi"/>
          <w:color w:val="1F497D" w:themeColor="text2"/>
          <w:spacing w:val="-4"/>
          <w:sz w:val="20"/>
          <w:lang w:eastAsia="en-US"/>
        </w:rPr>
        <w:t>December</w:t>
      </w:r>
      <w:r w:rsidR="00BB03B4">
        <w:rPr>
          <w:rFonts w:asciiTheme="minorHAnsi" w:eastAsiaTheme="minorHAnsi" w:hAnsiTheme="minorHAnsi" w:cstheme="minorBidi"/>
          <w:color w:val="1F497D" w:themeColor="text2"/>
          <w:spacing w:val="-4"/>
          <w:sz w:val="20"/>
          <w:lang w:eastAsia="en-US"/>
        </w:rPr>
        <w:t xml:space="preserve"> 2016</w:t>
      </w:r>
    </w:p>
    <w:p w:rsidR="00A523DC" w:rsidRPr="00A523DC" w:rsidRDefault="00D01FCB" w:rsidP="00E60E7C">
      <w:r>
        <w:rPr>
          <w:noProof/>
          <w:lang w:eastAsia="en-AU"/>
        </w:rPr>
        <w:drawing>
          <wp:inline distT="0" distB="0" distL="0" distR="0" wp14:anchorId="4D681EDD" wp14:editId="2E74E89E">
            <wp:extent cx="5731510" cy="2421808"/>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2421808"/>
                    </a:xfrm>
                    <a:prstGeom prst="rect">
                      <a:avLst/>
                    </a:prstGeom>
                  </pic:spPr>
                </pic:pic>
              </a:graphicData>
            </a:graphic>
          </wp:inline>
        </w:drawing>
      </w:r>
    </w:p>
    <w:p w:rsidR="00A523DC" w:rsidRDefault="007432E3" w:rsidP="00E60E7C">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lastRenderedPageBreak/>
        <w:t xml:space="preserve">Figure 3: Timeliness of response by </w:t>
      </w:r>
      <w:r>
        <w:rPr>
          <w:rFonts w:asciiTheme="minorHAnsi" w:eastAsiaTheme="minorHAnsi" w:hAnsiTheme="minorHAnsi" w:cstheme="minorBidi"/>
          <w:color w:val="1F497D" w:themeColor="text2"/>
          <w:spacing w:val="-4"/>
          <w:sz w:val="20"/>
          <w:lang w:eastAsia="en-US"/>
        </w:rPr>
        <w:t xml:space="preserve">agencies </w:t>
      </w:r>
      <w:r w:rsidRPr="000F5570">
        <w:rPr>
          <w:rFonts w:asciiTheme="minorHAnsi" w:eastAsiaTheme="minorHAnsi" w:hAnsiTheme="minorHAnsi" w:cstheme="minorBidi"/>
          <w:color w:val="1F497D" w:themeColor="text2"/>
          <w:spacing w:val="-4"/>
          <w:sz w:val="20"/>
          <w:lang w:val="en-US" w:eastAsia="en-US"/>
        </w:rPr>
        <w:t>to infor</w:t>
      </w:r>
      <w:r>
        <w:rPr>
          <w:rFonts w:asciiTheme="minorHAnsi" w:eastAsiaTheme="minorHAnsi" w:hAnsiTheme="minorHAnsi" w:cstheme="minorBidi"/>
          <w:color w:val="1F497D" w:themeColor="text2"/>
          <w:spacing w:val="-4"/>
          <w:sz w:val="20"/>
          <w:lang w:val="en-US" w:eastAsia="en-US"/>
        </w:rPr>
        <w:t>mation requests in 201</w:t>
      </w:r>
      <w:r w:rsidR="005B0A14">
        <w:rPr>
          <w:rFonts w:asciiTheme="minorHAnsi" w:eastAsiaTheme="minorHAnsi" w:hAnsiTheme="minorHAnsi" w:cstheme="minorBidi"/>
          <w:color w:val="1F497D" w:themeColor="text2"/>
          <w:spacing w:val="-4"/>
          <w:sz w:val="20"/>
          <w:lang w:val="en-US" w:eastAsia="en-US"/>
        </w:rPr>
        <w:t>6</w:t>
      </w:r>
      <w:r>
        <w:rPr>
          <w:rFonts w:asciiTheme="minorHAnsi" w:eastAsiaTheme="minorHAnsi" w:hAnsiTheme="minorHAnsi" w:cstheme="minorBidi"/>
          <w:color w:val="1F497D" w:themeColor="text2"/>
          <w:spacing w:val="-4"/>
          <w:sz w:val="20"/>
          <w:lang w:val="en-US" w:eastAsia="en-US"/>
        </w:rPr>
        <w:t>–1</w:t>
      </w:r>
      <w:r w:rsidR="005B0A14">
        <w:rPr>
          <w:rFonts w:asciiTheme="minorHAnsi" w:eastAsiaTheme="minorHAnsi" w:hAnsiTheme="minorHAnsi" w:cstheme="minorBidi"/>
          <w:color w:val="1F497D" w:themeColor="text2"/>
          <w:spacing w:val="-4"/>
          <w:sz w:val="20"/>
          <w:lang w:val="en-US" w:eastAsia="en-US"/>
        </w:rPr>
        <w:t>7</w:t>
      </w:r>
      <w:r>
        <w:rPr>
          <w:rFonts w:asciiTheme="minorHAnsi" w:eastAsiaTheme="minorHAnsi" w:hAnsiTheme="minorHAnsi" w:cstheme="minorBidi"/>
          <w:color w:val="1F497D" w:themeColor="text2"/>
          <w:spacing w:val="-4"/>
          <w:sz w:val="20"/>
          <w:lang w:val="en-US" w:eastAsia="en-US"/>
        </w:rPr>
        <w:t xml:space="preserve"> to </w:t>
      </w:r>
      <w:r w:rsidR="003C319A">
        <w:rPr>
          <w:rFonts w:asciiTheme="minorHAnsi" w:eastAsiaTheme="minorHAnsi" w:hAnsiTheme="minorHAnsi" w:cstheme="minorBidi"/>
          <w:color w:val="1F497D" w:themeColor="text2"/>
          <w:spacing w:val="-4"/>
          <w:sz w:val="20"/>
          <w:lang w:eastAsia="en-US"/>
        </w:rPr>
        <w:t>3</w:t>
      </w:r>
      <w:r w:rsidR="00AA5AD6">
        <w:rPr>
          <w:rFonts w:asciiTheme="minorHAnsi" w:eastAsiaTheme="minorHAnsi" w:hAnsiTheme="minorHAnsi" w:cstheme="minorBidi"/>
          <w:color w:val="1F497D" w:themeColor="text2"/>
          <w:spacing w:val="-4"/>
          <w:sz w:val="20"/>
          <w:lang w:eastAsia="en-US"/>
        </w:rPr>
        <w:t>1</w:t>
      </w:r>
      <w:r w:rsidR="003C319A">
        <w:rPr>
          <w:rFonts w:asciiTheme="minorHAnsi" w:eastAsiaTheme="minorHAnsi" w:hAnsiTheme="minorHAnsi" w:cstheme="minorBidi"/>
          <w:color w:val="1F497D" w:themeColor="text2"/>
          <w:spacing w:val="-4"/>
          <w:sz w:val="20"/>
          <w:lang w:eastAsia="en-US"/>
        </w:rPr>
        <w:t xml:space="preserve"> </w:t>
      </w:r>
      <w:r w:rsidR="00AA5AD6">
        <w:rPr>
          <w:rFonts w:asciiTheme="minorHAnsi" w:eastAsiaTheme="minorHAnsi" w:hAnsiTheme="minorHAnsi" w:cstheme="minorBidi"/>
          <w:color w:val="1F497D" w:themeColor="text2"/>
          <w:spacing w:val="-4"/>
          <w:sz w:val="20"/>
          <w:lang w:eastAsia="en-US"/>
        </w:rPr>
        <w:t>December</w:t>
      </w:r>
      <w:r w:rsidR="00353D66">
        <w:rPr>
          <w:rFonts w:asciiTheme="minorHAnsi" w:eastAsiaTheme="minorHAnsi" w:hAnsiTheme="minorHAnsi" w:cstheme="minorBidi"/>
          <w:color w:val="1F497D" w:themeColor="text2"/>
          <w:spacing w:val="-4"/>
          <w:sz w:val="20"/>
          <w:lang w:eastAsia="en-US"/>
        </w:rPr>
        <w:t xml:space="preserve"> 2016</w:t>
      </w:r>
    </w:p>
    <w:p w:rsidR="00A87BFA" w:rsidRDefault="00D01FCB" w:rsidP="00E60E7C">
      <w:pPr>
        <w:pStyle w:val="PBOtext"/>
      </w:pPr>
      <w:r>
        <w:rPr>
          <w:noProof/>
        </w:rPr>
        <w:drawing>
          <wp:inline distT="0" distB="0" distL="0" distR="0" wp14:anchorId="560CB131" wp14:editId="3FF67CB1">
            <wp:extent cx="5731510" cy="2585915"/>
            <wp:effectExtent l="0" t="0" r="254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2585915"/>
                    </a:xfrm>
                    <a:prstGeom prst="rect">
                      <a:avLst/>
                    </a:prstGeom>
                  </pic:spPr>
                </pic:pic>
              </a:graphicData>
            </a:graphic>
          </wp:inline>
        </w:drawing>
      </w:r>
    </w:p>
    <w:p w:rsidR="007432E3" w:rsidRDefault="007432E3" w:rsidP="00E60E7C">
      <w:r w:rsidRPr="00AD58FE">
        <w:t xml:space="preserve">‘On time’ </w:t>
      </w:r>
      <w:r>
        <w:t xml:space="preserve">responses </w:t>
      </w:r>
      <w:r w:rsidRPr="00AD58FE">
        <w:t>include responses provided before the due date.</w:t>
      </w:r>
      <w:r w:rsidR="00A87BFA">
        <w:t xml:space="preserve"> </w:t>
      </w:r>
      <w:r w:rsidR="00D22C5D">
        <w:t xml:space="preserve"> </w:t>
      </w:r>
    </w:p>
    <w:p w:rsidR="007432E3" w:rsidRPr="00AD58FE" w:rsidRDefault="007432E3" w:rsidP="00E60E7C">
      <w:pPr>
        <w:pStyle w:val="PBOtext"/>
        <w:spacing w:before="340"/>
      </w:pPr>
    </w:p>
    <w:p w:rsidR="007432E3" w:rsidRPr="00AD58FE" w:rsidRDefault="007432E3" w:rsidP="00E60E7C">
      <w:pPr>
        <w:pStyle w:val="PBOtext"/>
        <w:spacing w:before="340"/>
        <w:sectPr w:rsidR="007432E3" w:rsidRPr="00AD58FE" w:rsidSect="008F298A">
          <w:footerReference w:type="default" r:id="rId13"/>
          <w:pgSz w:w="11906" w:h="16838"/>
          <w:pgMar w:top="1440" w:right="1440" w:bottom="1440" w:left="1440" w:header="709" w:footer="709" w:gutter="0"/>
          <w:pgNumType w:start="1"/>
          <w:cols w:space="708"/>
          <w:titlePg/>
          <w:docGrid w:linePitch="360"/>
        </w:sectPr>
      </w:pPr>
    </w:p>
    <w:p w:rsidR="007432E3" w:rsidRDefault="007432E3" w:rsidP="00E60E7C">
      <w:pPr>
        <w:pStyle w:val="Caption"/>
        <w:spacing w:before="340" w:after="114" w:line="250" w:lineRule="atLeast"/>
        <w:jc w:val="left"/>
        <w:rPr>
          <w:rFonts w:asciiTheme="minorHAnsi" w:eastAsiaTheme="minorHAnsi" w:hAnsiTheme="minorHAnsi" w:cstheme="minorBidi"/>
          <w:color w:val="1F497D" w:themeColor="text2"/>
          <w:spacing w:val="-4"/>
          <w:sz w:val="20"/>
          <w:lang w:eastAsia="en-US"/>
        </w:rPr>
      </w:pPr>
      <w:r>
        <w:rPr>
          <w:rFonts w:asciiTheme="minorHAnsi" w:eastAsiaTheme="minorHAnsi" w:hAnsiTheme="minorHAnsi" w:cstheme="minorBidi"/>
          <w:color w:val="1F497D" w:themeColor="text2"/>
          <w:spacing w:val="-4"/>
          <w:sz w:val="20"/>
          <w:lang w:eastAsia="en-US"/>
        </w:rPr>
        <w:lastRenderedPageBreak/>
        <w:t>Table 3</w:t>
      </w:r>
      <w:r w:rsidRPr="005D002A">
        <w:rPr>
          <w:rFonts w:asciiTheme="minorHAnsi" w:eastAsiaTheme="minorHAnsi" w:hAnsiTheme="minorHAnsi" w:cstheme="minorBidi"/>
          <w:color w:val="1F497D" w:themeColor="text2"/>
          <w:spacing w:val="-4"/>
          <w:sz w:val="20"/>
          <w:lang w:eastAsia="en-US"/>
        </w:rPr>
        <w:t xml:space="preserve">: </w:t>
      </w:r>
      <w:r w:rsidRPr="00B95846">
        <w:rPr>
          <w:rFonts w:asciiTheme="minorHAnsi" w:eastAsiaTheme="minorHAnsi" w:hAnsiTheme="minorHAnsi" w:cstheme="minorBidi"/>
          <w:color w:val="1F497D" w:themeColor="text2"/>
          <w:spacing w:val="-4"/>
          <w:sz w:val="20"/>
          <w:lang w:eastAsia="en-US"/>
        </w:rPr>
        <w:t xml:space="preserve">Information </w:t>
      </w:r>
      <w:r>
        <w:rPr>
          <w:rFonts w:asciiTheme="minorHAnsi" w:eastAsiaTheme="minorHAnsi" w:hAnsiTheme="minorHAnsi" w:cstheme="minorBidi"/>
          <w:color w:val="1F497D" w:themeColor="text2"/>
          <w:spacing w:val="-4"/>
          <w:sz w:val="20"/>
          <w:lang w:eastAsia="en-US"/>
        </w:rPr>
        <w:t>r</w:t>
      </w:r>
      <w:r w:rsidRPr="00B95846">
        <w:rPr>
          <w:rFonts w:asciiTheme="minorHAnsi" w:eastAsiaTheme="minorHAnsi" w:hAnsiTheme="minorHAnsi" w:cstheme="minorBidi"/>
          <w:color w:val="1F497D" w:themeColor="text2"/>
          <w:spacing w:val="-4"/>
          <w:sz w:val="20"/>
          <w:lang w:eastAsia="en-US"/>
        </w:rPr>
        <w:t xml:space="preserve">equest responsiveness </w:t>
      </w:r>
      <w:r>
        <w:rPr>
          <w:rFonts w:asciiTheme="minorHAnsi" w:eastAsiaTheme="minorHAnsi" w:hAnsiTheme="minorHAnsi" w:cstheme="minorBidi"/>
          <w:color w:val="1F497D" w:themeColor="text2"/>
          <w:spacing w:val="-4"/>
          <w:sz w:val="20"/>
          <w:lang w:eastAsia="en-US"/>
        </w:rPr>
        <w:t xml:space="preserve">by agencies in </w:t>
      </w:r>
      <w:r w:rsidR="00357D9F">
        <w:rPr>
          <w:rFonts w:asciiTheme="minorHAnsi" w:eastAsiaTheme="minorHAnsi" w:hAnsiTheme="minorHAnsi" w:cstheme="minorBidi"/>
          <w:color w:val="1F497D" w:themeColor="text2"/>
          <w:spacing w:val="-4"/>
          <w:sz w:val="20"/>
          <w:lang w:eastAsia="en-US"/>
        </w:rPr>
        <w:t>2016</w:t>
      </w:r>
      <w:r>
        <w:rPr>
          <w:rFonts w:asciiTheme="minorHAnsi" w:eastAsiaTheme="minorHAnsi" w:hAnsiTheme="minorHAnsi" w:cstheme="minorBidi"/>
          <w:color w:val="1F497D" w:themeColor="text2"/>
          <w:spacing w:val="-4"/>
          <w:sz w:val="20"/>
          <w:lang w:eastAsia="en-US"/>
        </w:rPr>
        <w:t>–</w:t>
      </w:r>
      <w:r w:rsidR="00357D9F">
        <w:rPr>
          <w:rFonts w:asciiTheme="minorHAnsi" w:eastAsiaTheme="minorHAnsi" w:hAnsiTheme="minorHAnsi" w:cstheme="minorBidi"/>
          <w:color w:val="1F497D" w:themeColor="text2"/>
          <w:spacing w:val="-4"/>
          <w:sz w:val="20"/>
          <w:lang w:eastAsia="en-US"/>
        </w:rPr>
        <w:t>17</w:t>
      </w:r>
      <w:r w:rsidR="00357D9F" w:rsidRPr="00B95846">
        <w:rPr>
          <w:rFonts w:asciiTheme="minorHAnsi" w:eastAsiaTheme="minorHAnsi" w:hAnsiTheme="minorHAnsi" w:cstheme="minorBidi"/>
          <w:color w:val="1F497D" w:themeColor="text2"/>
          <w:spacing w:val="-4"/>
          <w:sz w:val="20"/>
          <w:lang w:eastAsia="en-US"/>
        </w:rPr>
        <w:t xml:space="preserve"> </w:t>
      </w:r>
      <w:r w:rsidRPr="00B95846">
        <w:rPr>
          <w:rFonts w:asciiTheme="minorHAnsi" w:eastAsiaTheme="minorHAnsi" w:hAnsiTheme="minorHAnsi" w:cstheme="minorBidi"/>
          <w:color w:val="1F497D" w:themeColor="text2"/>
          <w:spacing w:val="-4"/>
          <w:sz w:val="20"/>
          <w:lang w:eastAsia="en-US"/>
        </w:rPr>
        <w:t>to</w:t>
      </w:r>
      <w:r>
        <w:rPr>
          <w:rFonts w:asciiTheme="minorHAnsi" w:eastAsiaTheme="minorHAnsi" w:hAnsiTheme="minorHAnsi" w:cstheme="minorBidi"/>
          <w:color w:val="1F497D" w:themeColor="text2"/>
          <w:spacing w:val="-4"/>
          <w:sz w:val="20"/>
          <w:lang w:val="en-US" w:eastAsia="en-US"/>
        </w:rPr>
        <w:t xml:space="preserve"> </w:t>
      </w:r>
      <w:r w:rsidR="003C319A">
        <w:rPr>
          <w:rFonts w:asciiTheme="minorHAnsi" w:eastAsiaTheme="minorHAnsi" w:hAnsiTheme="minorHAnsi" w:cstheme="minorBidi"/>
          <w:color w:val="1F497D" w:themeColor="text2"/>
          <w:spacing w:val="-4"/>
          <w:sz w:val="20"/>
          <w:lang w:eastAsia="en-US"/>
        </w:rPr>
        <w:t>3</w:t>
      </w:r>
      <w:r w:rsidR="00C3772D">
        <w:rPr>
          <w:rFonts w:asciiTheme="minorHAnsi" w:eastAsiaTheme="minorHAnsi" w:hAnsiTheme="minorHAnsi" w:cstheme="minorBidi"/>
          <w:color w:val="1F497D" w:themeColor="text2"/>
          <w:spacing w:val="-4"/>
          <w:sz w:val="20"/>
          <w:lang w:eastAsia="en-US"/>
        </w:rPr>
        <w:t>1</w:t>
      </w:r>
      <w:r w:rsidR="003C319A">
        <w:rPr>
          <w:rFonts w:asciiTheme="minorHAnsi" w:eastAsiaTheme="minorHAnsi" w:hAnsiTheme="minorHAnsi" w:cstheme="minorBidi"/>
          <w:color w:val="1F497D" w:themeColor="text2"/>
          <w:spacing w:val="-4"/>
          <w:sz w:val="20"/>
          <w:lang w:eastAsia="en-US"/>
        </w:rPr>
        <w:t xml:space="preserve"> </w:t>
      </w:r>
      <w:r w:rsidR="00C3772D">
        <w:rPr>
          <w:rFonts w:asciiTheme="minorHAnsi" w:eastAsiaTheme="minorHAnsi" w:hAnsiTheme="minorHAnsi" w:cstheme="minorBidi"/>
          <w:color w:val="1F497D" w:themeColor="text2"/>
          <w:spacing w:val="-4"/>
          <w:sz w:val="20"/>
          <w:lang w:eastAsia="en-US"/>
        </w:rPr>
        <w:t>December</w:t>
      </w:r>
      <w:r w:rsidR="00BB03B4">
        <w:rPr>
          <w:rFonts w:asciiTheme="minorHAnsi" w:eastAsiaTheme="minorHAnsi" w:hAnsiTheme="minorHAnsi" w:cstheme="minorBidi"/>
          <w:color w:val="1F497D" w:themeColor="text2"/>
          <w:spacing w:val="-4"/>
          <w:sz w:val="20"/>
          <w:lang w:eastAsia="en-US"/>
        </w:rPr>
        <w:t xml:space="preserve"> 2016</w:t>
      </w:r>
    </w:p>
    <w:p w:rsidR="00754AE3" w:rsidRPr="00754AE3" w:rsidRDefault="0039778D" w:rsidP="00E60E7C">
      <w:r>
        <w:rPr>
          <w:noProof/>
          <w:lang w:eastAsia="en-AU"/>
        </w:rPr>
        <w:drawing>
          <wp:inline distT="0" distB="0" distL="0" distR="0" wp14:anchorId="6E1A6E9C" wp14:editId="07124E7C">
            <wp:extent cx="8920080" cy="465826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920080" cy="4658264"/>
                    </a:xfrm>
                    <a:prstGeom prst="rect">
                      <a:avLst/>
                    </a:prstGeom>
                  </pic:spPr>
                </pic:pic>
              </a:graphicData>
            </a:graphic>
          </wp:inline>
        </w:drawing>
      </w:r>
    </w:p>
    <w:p w:rsidR="007432E3" w:rsidRDefault="007432E3" w:rsidP="00E60E7C">
      <w:pPr>
        <w:keepNext/>
        <w:keepLines/>
        <w:tabs>
          <w:tab w:val="left" w:pos="142"/>
        </w:tabs>
        <w:spacing w:after="120"/>
      </w:pPr>
      <w:r w:rsidRPr="005E4E21">
        <w:rPr>
          <w:rFonts w:asciiTheme="minorHAnsi" w:hAnsiTheme="minorHAnsi"/>
          <w:sz w:val="16"/>
          <w:vertAlign w:val="superscript"/>
        </w:rPr>
        <w:t>1</w:t>
      </w:r>
      <w:r w:rsidR="009837E2">
        <w:rPr>
          <w:rFonts w:asciiTheme="minorHAnsi" w:hAnsiTheme="minorHAnsi"/>
          <w:sz w:val="16"/>
        </w:rPr>
        <w:tab/>
      </w:r>
      <w:r w:rsidRPr="005E4E21">
        <w:rPr>
          <w:rFonts w:asciiTheme="minorHAnsi" w:hAnsiTheme="minorHAnsi"/>
          <w:sz w:val="16"/>
        </w:rPr>
        <w:t xml:space="preserve">Includes </w:t>
      </w:r>
      <w:r w:rsidR="005B0A14">
        <w:rPr>
          <w:rFonts w:asciiTheme="minorHAnsi" w:hAnsiTheme="minorHAnsi"/>
          <w:sz w:val="16"/>
        </w:rPr>
        <w:t>one</w:t>
      </w:r>
      <w:r w:rsidR="005B0A14" w:rsidRPr="005E4E21">
        <w:rPr>
          <w:rFonts w:asciiTheme="minorHAnsi" w:hAnsiTheme="minorHAnsi"/>
          <w:sz w:val="16"/>
        </w:rPr>
        <w:t xml:space="preserve"> </w:t>
      </w:r>
      <w:r w:rsidRPr="005E4E21">
        <w:rPr>
          <w:rFonts w:asciiTheme="minorHAnsi" w:hAnsiTheme="minorHAnsi"/>
          <w:sz w:val="16"/>
        </w:rPr>
        <w:t xml:space="preserve">outstanding request as at 30 </w:t>
      </w:r>
      <w:r>
        <w:rPr>
          <w:rFonts w:asciiTheme="minorHAnsi" w:hAnsiTheme="minorHAnsi"/>
          <w:sz w:val="16"/>
        </w:rPr>
        <w:t>June</w:t>
      </w:r>
      <w:r w:rsidRPr="005E4E21">
        <w:rPr>
          <w:rFonts w:asciiTheme="minorHAnsi" w:hAnsiTheme="minorHAnsi"/>
          <w:sz w:val="16"/>
        </w:rPr>
        <w:t xml:space="preserve"> </w:t>
      </w:r>
      <w:r w:rsidR="005B0A14" w:rsidRPr="005E4E21">
        <w:rPr>
          <w:rFonts w:asciiTheme="minorHAnsi" w:hAnsiTheme="minorHAnsi"/>
          <w:sz w:val="16"/>
        </w:rPr>
        <w:t>201</w:t>
      </w:r>
      <w:r w:rsidR="005B0A14">
        <w:rPr>
          <w:rFonts w:asciiTheme="minorHAnsi" w:hAnsiTheme="minorHAnsi"/>
          <w:sz w:val="16"/>
        </w:rPr>
        <w:t>6</w:t>
      </w:r>
      <w:r w:rsidR="005B0A14" w:rsidRPr="005E4E21">
        <w:rPr>
          <w:rFonts w:asciiTheme="minorHAnsi" w:hAnsiTheme="minorHAnsi"/>
          <w:sz w:val="16"/>
        </w:rPr>
        <w:t xml:space="preserve"> </w:t>
      </w:r>
      <w:r w:rsidRPr="005E4E21">
        <w:rPr>
          <w:rFonts w:asciiTheme="minorHAnsi" w:hAnsiTheme="minorHAnsi"/>
          <w:sz w:val="16"/>
        </w:rPr>
        <w:t xml:space="preserve">carried over </w:t>
      </w:r>
      <w:r>
        <w:rPr>
          <w:rFonts w:asciiTheme="minorHAnsi" w:hAnsiTheme="minorHAnsi"/>
          <w:sz w:val="16"/>
        </w:rPr>
        <w:t>to 201</w:t>
      </w:r>
      <w:r w:rsidR="005B0A14">
        <w:rPr>
          <w:rFonts w:asciiTheme="minorHAnsi" w:hAnsiTheme="minorHAnsi"/>
          <w:sz w:val="16"/>
        </w:rPr>
        <w:t>6</w:t>
      </w:r>
      <w:r>
        <w:rPr>
          <w:rFonts w:asciiTheme="minorHAnsi" w:hAnsiTheme="minorHAnsi"/>
          <w:sz w:val="16"/>
        </w:rPr>
        <w:t>–1</w:t>
      </w:r>
      <w:r w:rsidR="005B0A14">
        <w:rPr>
          <w:rFonts w:asciiTheme="minorHAnsi" w:hAnsiTheme="minorHAnsi"/>
          <w:sz w:val="16"/>
        </w:rPr>
        <w:t>7</w:t>
      </w:r>
      <w:r>
        <w:rPr>
          <w:rFonts w:asciiTheme="minorHAnsi" w:hAnsiTheme="minorHAnsi"/>
          <w:sz w:val="16"/>
        </w:rPr>
        <w:t>.</w:t>
      </w:r>
    </w:p>
    <w:p w:rsidR="00C1317A" w:rsidRDefault="00C1317A" w:rsidP="00E60E7C">
      <w:pPr>
        <w:keepNext/>
        <w:keepLines/>
        <w:tabs>
          <w:tab w:val="left" w:pos="142"/>
        </w:tabs>
        <w:spacing w:after="120"/>
        <w:rPr>
          <w:rFonts w:asciiTheme="minorHAnsi" w:hAnsiTheme="minorHAnsi"/>
          <w:sz w:val="16"/>
        </w:rPr>
      </w:pPr>
    </w:p>
    <w:p w:rsidR="003553BD" w:rsidRPr="007C1434" w:rsidRDefault="003553BD" w:rsidP="00E60E7C">
      <w:pPr>
        <w:keepNext/>
        <w:keepLines/>
        <w:tabs>
          <w:tab w:val="left" w:pos="142"/>
        </w:tabs>
        <w:spacing w:after="120"/>
        <w:rPr>
          <w:rFonts w:asciiTheme="minorHAnsi" w:hAnsiTheme="minorHAnsi"/>
          <w:sz w:val="16"/>
        </w:rPr>
        <w:sectPr w:rsidR="003553BD" w:rsidRPr="007C1434" w:rsidSect="00A734A7">
          <w:footerReference w:type="default" r:id="rId15"/>
          <w:pgSz w:w="16838" w:h="11906" w:orient="landscape"/>
          <w:pgMar w:top="1440" w:right="1440" w:bottom="1440" w:left="1440" w:header="709" w:footer="709" w:gutter="0"/>
          <w:cols w:space="708"/>
          <w:docGrid w:linePitch="360"/>
        </w:sectPr>
      </w:pPr>
    </w:p>
    <w:p w:rsidR="009A5648" w:rsidRDefault="00AA3A52" w:rsidP="00E60E7C">
      <w:pPr>
        <w:pStyle w:val="PBOheading1"/>
      </w:pPr>
      <w:r>
        <w:lastRenderedPageBreak/>
        <w:t xml:space="preserve">PBO staff by function and </w:t>
      </w:r>
      <w:r w:rsidR="00E8002B">
        <w:t>employment level</w:t>
      </w:r>
    </w:p>
    <w:p w:rsidR="000743AC" w:rsidRDefault="00543268" w:rsidP="00E60E7C">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 xml:space="preserve">Table </w:t>
      </w:r>
      <w:r w:rsidR="00D90430">
        <w:rPr>
          <w:rFonts w:asciiTheme="minorHAnsi" w:eastAsiaTheme="minorHAnsi" w:hAnsiTheme="minorHAnsi" w:cstheme="minorBidi"/>
          <w:color w:val="1F497D" w:themeColor="text2"/>
          <w:spacing w:val="-4"/>
          <w:sz w:val="20"/>
          <w:lang w:eastAsia="en-US"/>
        </w:rPr>
        <w:t>4</w:t>
      </w:r>
      <w:r w:rsidRPr="005D002A">
        <w:rPr>
          <w:rFonts w:asciiTheme="minorHAnsi" w:eastAsiaTheme="minorHAnsi" w:hAnsiTheme="minorHAnsi" w:cstheme="minorBidi"/>
          <w:color w:val="1F497D" w:themeColor="text2"/>
          <w:spacing w:val="-4"/>
          <w:sz w:val="20"/>
          <w:lang w:eastAsia="en-US"/>
        </w:rPr>
        <w:t xml:space="preserve">: PBO staff by function and employment level as at </w:t>
      </w:r>
      <w:r w:rsidR="00E60E7C">
        <w:rPr>
          <w:rFonts w:asciiTheme="minorHAnsi" w:eastAsiaTheme="minorHAnsi" w:hAnsiTheme="minorHAnsi" w:cstheme="minorBidi"/>
          <w:color w:val="1F497D" w:themeColor="text2"/>
          <w:spacing w:val="-4"/>
          <w:sz w:val="20"/>
          <w:lang w:eastAsia="en-US"/>
        </w:rPr>
        <w:t>31 December 2016</w:t>
      </w:r>
    </w:p>
    <w:tbl>
      <w:tblPr>
        <w:tblStyle w:val="PBOtable"/>
        <w:tblW w:w="9322" w:type="dxa"/>
        <w:tblLayout w:type="fixed"/>
        <w:tblLook w:val="04A0" w:firstRow="1" w:lastRow="0" w:firstColumn="1" w:lastColumn="0" w:noHBand="0" w:noVBand="1"/>
      </w:tblPr>
      <w:tblGrid>
        <w:gridCol w:w="3510"/>
        <w:gridCol w:w="1162"/>
        <w:gridCol w:w="1162"/>
        <w:gridCol w:w="1163"/>
        <w:gridCol w:w="1162"/>
        <w:gridCol w:w="1163"/>
      </w:tblGrid>
      <w:tr w:rsidR="00743ECF" w:rsidRPr="00743ECF" w:rsidTr="00AD076F">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510" w:type="dxa"/>
            <w:shd w:val="clear" w:color="auto" w:fill="2B3B5F"/>
            <w:noWrap/>
            <w:hideMark/>
          </w:tcPr>
          <w:p w:rsidR="00743ECF" w:rsidRPr="00743ECF" w:rsidRDefault="00743ECF" w:rsidP="00E60E7C">
            <w:pPr>
              <w:jc w:val="left"/>
              <w:rPr>
                <w:rFonts w:eastAsia="Times New Roman"/>
                <w:bCs/>
                <w:color w:val="FFFFFF"/>
                <w:szCs w:val="18"/>
              </w:rPr>
            </w:pPr>
            <w:r w:rsidRPr="00743ECF">
              <w:rPr>
                <w:rFonts w:eastAsia="Times New Roman"/>
                <w:bCs/>
                <w:color w:val="FFFFFF"/>
                <w:szCs w:val="18"/>
              </w:rPr>
              <w:t>Classification</w:t>
            </w:r>
          </w:p>
        </w:tc>
        <w:tc>
          <w:tcPr>
            <w:tcW w:w="1162" w:type="dxa"/>
            <w:shd w:val="clear" w:color="auto" w:fill="2B3B5F"/>
            <w:hideMark/>
          </w:tcPr>
          <w:p w:rsidR="00743ECF" w:rsidRPr="00743ECF" w:rsidRDefault="00743ECF" w:rsidP="00E60E7C">
            <w:pPr>
              <w:cnfStyle w:val="100000000000" w:firstRow="1" w:lastRow="0" w:firstColumn="0" w:lastColumn="0" w:oddVBand="0" w:evenVBand="0" w:oddHBand="0" w:evenHBand="0" w:firstRowFirstColumn="0" w:firstRowLastColumn="0" w:lastRowFirstColumn="0" w:lastRowLastColumn="0"/>
              <w:rPr>
                <w:rFonts w:eastAsia="Times New Roman"/>
                <w:bCs/>
                <w:color w:val="FFFFFF"/>
                <w:szCs w:val="18"/>
              </w:rPr>
            </w:pPr>
            <w:r w:rsidRPr="00743ECF">
              <w:rPr>
                <w:rFonts w:eastAsia="Times New Roman"/>
                <w:bCs/>
                <w:color w:val="FFFFFF"/>
                <w:szCs w:val="18"/>
              </w:rPr>
              <w:t>PBO Executive</w:t>
            </w:r>
          </w:p>
        </w:tc>
        <w:tc>
          <w:tcPr>
            <w:tcW w:w="1162" w:type="dxa"/>
            <w:shd w:val="clear" w:color="auto" w:fill="2B3B5F"/>
            <w:hideMark/>
          </w:tcPr>
          <w:p w:rsidR="00743ECF" w:rsidRPr="00743ECF" w:rsidRDefault="00743ECF" w:rsidP="00E60E7C">
            <w:pPr>
              <w:cnfStyle w:val="100000000000" w:firstRow="1" w:lastRow="0" w:firstColumn="0" w:lastColumn="0" w:oddVBand="0" w:evenVBand="0" w:oddHBand="0" w:evenHBand="0" w:firstRowFirstColumn="0" w:firstRowLastColumn="0" w:lastRowFirstColumn="0" w:lastRowLastColumn="0"/>
              <w:rPr>
                <w:rFonts w:eastAsia="Times New Roman"/>
                <w:bCs/>
                <w:color w:val="FFFFFF"/>
                <w:szCs w:val="18"/>
              </w:rPr>
            </w:pPr>
            <w:r w:rsidRPr="00743ECF">
              <w:rPr>
                <w:rFonts w:eastAsia="Times New Roman"/>
                <w:bCs/>
                <w:color w:val="FFFFFF"/>
                <w:szCs w:val="18"/>
              </w:rPr>
              <w:t>Budget Analysis Division</w:t>
            </w:r>
          </w:p>
        </w:tc>
        <w:tc>
          <w:tcPr>
            <w:tcW w:w="1163" w:type="dxa"/>
            <w:shd w:val="clear" w:color="auto" w:fill="2B3B5F"/>
            <w:hideMark/>
          </w:tcPr>
          <w:p w:rsidR="00743ECF" w:rsidRPr="00743ECF" w:rsidRDefault="00743ECF" w:rsidP="00E60E7C">
            <w:pPr>
              <w:cnfStyle w:val="100000000000" w:firstRow="1" w:lastRow="0" w:firstColumn="0" w:lastColumn="0" w:oddVBand="0" w:evenVBand="0" w:oddHBand="0" w:evenHBand="0" w:firstRowFirstColumn="0" w:firstRowLastColumn="0" w:lastRowFirstColumn="0" w:lastRowLastColumn="0"/>
              <w:rPr>
                <w:rFonts w:eastAsia="Times New Roman"/>
                <w:bCs/>
                <w:color w:val="FFFFFF"/>
                <w:szCs w:val="18"/>
              </w:rPr>
            </w:pPr>
            <w:r w:rsidRPr="00743ECF">
              <w:rPr>
                <w:rFonts w:eastAsia="Times New Roman"/>
                <w:bCs/>
                <w:color w:val="FFFFFF"/>
                <w:szCs w:val="18"/>
              </w:rPr>
              <w:t>Fiscal Policy Analysis Division</w:t>
            </w:r>
          </w:p>
        </w:tc>
        <w:tc>
          <w:tcPr>
            <w:tcW w:w="1162" w:type="dxa"/>
            <w:shd w:val="clear" w:color="auto" w:fill="2B3B5F"/>
            <w:hideMark/>
          </w:tcPr>
          <w:p w:rsidR="00743ECF" w:rsidRPr="00743ECF" w:rsidRDefault="00743ECF" w:rsidP="00E60E7C">
            <w:pPr>
              <w:cnfStyle w:val="100000000000" w:firstRow="1" w:lastRow="0" w:firstColumn="0" w:lastColumn="0" w:oddVBand="0" w:evenVBand="0" w:oddHBand="0" w:evenHBand="0" w:firstRowFirstColumn="0" w:firstRowLastColumn="0" w:lastRowFirstColumn="0" w:lastRowLastColumn="0"/>
              <w:rPr>
                <w:rFonts w:eastAsia="Times New Roman"/>
                <w:bCs/>
                <w:color w:val="FFFFFF"/>
                <w:szCs w:val="18"/>
              </w:rPr>
            </w:pPr>
            <w:r w:rsidRPr="00743ECF">
              <w:rPr>
                <w:rFonts w:eastAsia="Times New Roman"/>
                <w:bCs/>
                <w:color w:val="FFFFFF"/>
                <w:szCs w:val="18"/>
              </w:rPr>
              <w:t>Corporate Strategy Branch</w:t>
            </w:r>
          </w:p>
        </w:tc>
        <w:tc>
          <w:tcPr>
            <w:tcW w:w="1163" w:type="dxa"/>
            <w:shd w:val="clear" w:color="auto" w:fill="2B3B5F"/>
            <w:hideMark/>
          </w:tcPr>
          <w:p w:rsidR="00743ECF" w:rsidRPr="00743ECF" w:rsidRDefault="00743ECF" w:rsidP="00D873D2">
            <w:pPr>
              <w:cnfStyle w:val="100000000000" w:firstRow="1" w:lastRow="0" w:firstColumn="0" w:lastColumn="0" w:oddVBand="0" w:evenVBand="0" w:oddHBand="0" w:evenHBand="0" w:firstRowFirstColumn="0" w:firstRowLastColumn="0" w:lastRowFirstColumn="0" w:lastRowLastColumn="0"/>
              <w:rPr>
                <w:rFonts w:eastAsia="Times New Roman"/>
                <w:bCs/>
                <w:color w:val="FFFFFF"/>
                <w:szCs w:val="18"/>
              </w:rPr>
            </w:pPr>
            <w:r w:rsidRPr="00743ECF">
              <w:rPr>
                <w:rFonts w:eastAsia="Times New Roman"/>
                <w:bCs/>
                <w:color w:val="FFFFFF"/>
                <w:szCs w:val="18"/>
              </w:rPr>
              <w:t>Total</w:t>
            </w:r>
          </w:p>
        </w:tc>
      </w:tr>
      <w:tr w:rsidR="00743ECF" w:rsidRPr="00743ECF" w:rsidTr="00B56F23">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A01C65" w:rsidRDefault="00743ECF" w:rsidP="00E60E7C">
            <w:pPr>
              <w:rPr>
                <w:rFonts w:eastAsia="Times New Roman"/>
                <w:b w:val="0"/>
                <w:color w:val="000000"/>
                <w:szCs w:val="18"/>
              </w:rPr>
            </w:pPr>
            <w:r w:rsidRPr="00A01C65">
              <w:rPr>
                <w:rFonts w:eastAsia="Times New Roman"/>
                <w:b w:val="0"/>
                <w:color w:val="000000"/>
                <w:szCs w:val="18"/>
              </w:rPr>
              <w:t>Parliamentary Budget Officer (PBO)</w:t>
            </w:r>
          </w:p>
        </w:tc>
        <w:tc>
          <w:tcPr>
            <w:tcW w:w="1162" w:type="dxa"/>
            <w:noWrap/>
          </w:tcPr>
          <w:p w:rsidR="00743ECF" w:rsidRPr="00743ECF" w:rsidRDefault="00140695" w:rsidP="00E60E7C">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w:t>
            </w:r>
          </w:p>
        </w:tc>
        <w:tc>
          <w:tcPr>
            <w:tcW w:w="1162" w:type="dxa"/>
            <w:noWrap/>
          </w:tcPr>
          <w:p w:rsidR="00743ECF" w:rsidRPr="00743ECF" w:rsidRDefault="00644CCF" w:rsidP="00E60E7C">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63" w:type="dxa"/>
            <w:noWrap/>
          </w:tcPr>
          <w:p w:rsidR="00743ECF" w:rsidRPr="00743ECF" w:rsidRDefault="00644CCF" w:rsidP="00E60E7C">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tcPr>
          <w:p w:rsidR="00743ECF" w:rsidRPr="00743ECF" w:rsidRDefault="00644CCF" w:rsidP="00E60E7C">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63" w:type="dxa"/>
            <w:noWrap/>
          </w:tcPr>
          <w:p w:rsidR="00743ECF" w:rsidRPr="00743ECF" w:rsidRDefault="00140695" w:rsidP="00E60E7C">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1</w:t>
            </w:r>
          </w:p>
        </w:tc>
      </w:tr>
      <w:tr w:rsidR="00743ECF" w:rsidRPr="00743ECF" w:rsidTr="00B56F23">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A01C65" w:rsidRDefault="00743ECF" w:rsidP="00E60E7C">
            <w:pPr>
              <w:rPr>
                <w:rFonts w:eastAsia="Times New Roman"/>
                <w:b w:val="0"/>
                <w:color w:val="000000"/>
                <w:szCs w:val="18"/>
              </w:rPr>
            </w:pPr>
            <w:r w:rsidRPr="00A01C65">
              <w:rPr>
                <w:rFonts w:eastAsia="Times New Roman"/>
                <w:b w:val="0"/>
                <w:color w:val="000000"/>
                <w:szCs w:val="18"/>
              </w:rPr>
              <w:t>Senior Executive Service Band 2 (SES B2)</w:t>
            </w:r>
          </w:p>
        </w:tc>
        <w:tc>
          <w:tcPr>
            <w:tcW w:w="1162" w:type="dxa"/>
            <w:noWrap/>
          </w:tcPr>
          <w:p w:rsidR="00743ECF" w:rsidRPr="00743ECF" w:rsidRDefault="00644CCF" w:rsidP="00E60E7C">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tcPr>
          <w:p w:rsidR="00743ECF" w:rsidRPr="00743ECF" w:rsidRDefault="00140695" w:rsidP="00E60E7C">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1</w:t>
            </w:r>
          </w:p>
        </w:tc>
        <w:tc>
          <w:tcPr>
            <w:tcW w:w="1163" w:type="dxa"/>
            <w:noWrap/>
          </w:tcPr>
          <w:p w:rsidR="00743ECF" w:rsidRPr="00743ECF" w:rsidRDefault="00140695" w:rsidP="00E60E7C">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1</w:t>
            </w:r>
          </w:p>
        </w:tc>
        <w:tc>
          <w:tcPr>
            <w:tcW w:w="1162" w:type="dxa"/>
            <w:noWrap/>
          </w:tcPr>
          <w:p w:rsidR="00743ECF" w:rsidRPr="00743ECF" w:rsidRDefault="00644CCF" w:rsidP="00E60E7C">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63" w:type="dxa"/>
            <w:noWrap/>
          </w:tcPr>
          <w:p w:rsidR="00743ECF" w:rsidRPr="00743ECF" w:rsidRDefault="00140695" w:rsidP="00E60E7C">
            <w:pPr>
              <w:cnfStyle w:val="000000010000" w:firstRow="0" w:lastRow="0" w:firstColumn="0" w:lastColumn="0" w:oddVBand="0" w:evenVBand="0" w:oddHBand="0" w:evenHBand="1" w:firstRowFirstColumn="0" w:firstRowLastColumn="0" w:lastRowFirstColumn="0" w:lastRowLastColumn="0"/>
              <w:rPr>
                <w:rFonts w:eastAsia="Times New Roman"/>
                <w:b/>
                <w:bCs/>
                <w:color w:val="000000"/>
                <w:szCs w:val="18"/>
              </w:rPr>
            </w:pPr>
            <w:r>
              <w:rPr>
                <w:rFonts w:eastAsia="Times New Roman"/>
                <w:b/>
                <w:bCs/>
                <w:color w:val="000000"/>
                <w:szCs w:val="18"/>
              </w:rPr>
              <w:t>2</w:t>
            </w:r>
          </w:p>
        </w:tc>
      </w:tr>
      <w:tr w:rsidR="00743ECF" w:rsidRPr="00743ECF" w:rsidTr="00B56F23">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A01C65" w:rsidRDefault="00743ECF" w:rsidP="00E60E7C">
            <w:pPr>
              <w:rPr>
                <w:rFonts w:eastAsia="Times New Roman"/>
                <w:b w:val="0"/>
                <w:color w:val="000000"/>
                <w:szCs w:val="18"/>
              </w:rPr>
            </w:pPr>
            <w:r w:rsidRPr="00A01C65">
              <w:rPr>
                <w:rFonts w:eastAsia="Times New Roman"/>
                <w:b w:val="0"/>
                <w:color w:val="000000"/>
                <w:szCs w:val="18"/>
              </w:rPr>
              <w:t>Senior Executive Service Band 1 (SES B1)</w:t>
            </w:r>
            <w:r w:rsidR="002250E8" w:rsidRPr="00A01C65">
              <w:rPr>
                <w:rFonts w:eastAsia="Times New Roman"/>
                <w:b w:val="0"/>
                <w:color w:val="000000"/>
                <w:szCs w:val="18"/>
              </w:rPr>
              <w:t xml:space="preserve"> </w:t>
            </w:r>
            <w:r w:rsidR="00E10490" w:rsidRPr="00A01C65">
              <w:rPr>
                <w:rFonts w:eastAsia="Times New Roman"/>
                <w:b w:val="0"/>
                <w:color w:val="000000"/>
                <w:szCs w:val="18"/>
                <w:vertAlign w:val="superscript"/>
              </w:rPr>
              <w:t>1</w:t>
            </w:r>
          </w:p>
        </w:tc>
        <w:tc>
          <w:tcPr>
            <w:tcW w:w="1162" w:type="dxa"/>
            <w:noWrap/>
          </w:tcPr>
          <w:p w:rsidR="00743ECF" w:rsidRPr="00743ECF" w:rsidRDefault="00644CCF" w:rsidP="00E60E7C">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tcPr>
          <w:p w:rsidR="00743ECF" w:rsidRPr="00743ECF" w:rsidRDefault="00140695" w:rsidP="00E60E7C">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2</w:t>
            </w:r>
          </w:p>
        </w:tc>
        <w:tc>
          <w:tcPr>
            <w:tcW w:w="1163" w:type="dxa"/>
            <w:noWrap/>
          </w:tcPr>
          <w:p w:rsidR="00743ECF" w:rsidRPr="00743ECF" w:rsidRDefault="00140695" w:rsidP="00E60E7C">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w:t>
            </w:r>
          </w:p>
        </w:tc>
        <w:tc>
          <w:tcPr>
            <w:tcW w:w="1162" w:type="dxa"/>
            <w:noWrap/>
          </w:tcPr>
          <w:p w:rsidR="00743ECF" w:rsidRPr="00743ECF" w:rsidRDefault="00140695" w:rsidP="00E60E7C">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w:t>
            </w:r>
          </w:p>
        </w:tc>
        <w:tc>
          <w:tcPr>
            <w:tcW w:w="1163" w:type="dxa"/>
            <w:noWrap/>
          </w:tcPr>
          <w:p w:rsidR="00743ECF" w:rsidRPr="00743ECF" w:rsidRDefault="006F3D6C" w:rsidP="00E60E7C">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4</w:t>
            </w:r>
          </w:p>
        </w:tc>
      </w:tr>
      <w:tr w:rsidR="00743ECF" w:rsidRPr="00743ECF" w:rsidTr="00B56F23">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A01C65" w:rsidRDefault="00743ECF" w:rsidP="00E60E7C">
            <w:pPr>
              <w:rPr>
                <w:rFonts w:eastAsia="Times New Roman"/>
                <w:b w:val="0"/>
                <w:color w:val="000000"/>
                <w:szCs w:val="18"/>
              </w:rPr>
            </w:pPr>
            <w:r w:rsidRPr="00A01C65">
              <w:rPr>
                <w:rFonts w:eastAsia="Times New Roman"/>
                <w:b w:val="0"/>
                <w:color w:val="000000"/>
                <w:szCs w:val="18"/>
              </w:rPr>
              <w:t>Parliamentary Executive Level 2 (PEL2)</w:t>
            </w:r>
          </w:p>
        </w:tc>
        <w:tc>
          <w:tcPr>
            <w:tcW w:w="1162" w:type="dxa"/>
            <w:noWrap/>
          </w:tcPr>
          <w:p w:rsidR="00743ECF" w:rsidRPr="00743ECF" w:rsidRDefault="00644CCF" w:rsidP="00E60E7C">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tcPr>
          <w:p w:rsidR="00743ECF" w:rsidRPr="00743ECF" w:rsidRDefault="00140695" w:rsidP="00E60E7C">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4</w:t>
            </w:r>
          </w:p>
        </w:tc>
        <w:tc>
          <w:tcPr>
            <w:tcW w:w="1163" w:type="dxa"/>
            <w:noWrap/>
          </w:tcPr>
          <w:p w:rsidR="00743ECF" w:rsidRPr="00743ECF" w:rsidRDefault="00140695" w:rsidP="00E60E7C">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2</w:t>
            </w:r>
          </w:p>
        </w:tc>
        <w:tc>
          <w:tcPr>
            <w:tcW w:w="1162" w:type="dxa"/>
            <w:noWrap/>
          </w:tcPr>
          <w:p w:rsidR="00743ECF" w:rsidRPr="00743ECF" w:rsidRDefault="00140695" w:rsidP="00E60E7C">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2</w:t>
            </w:r>
          </w:p>
        </w:tc>
        <w:tc>
          <w:tcPr>
            <w:tcW w:w="1163" w:type="dxa"/>
            <w:noWrap/>
          </w:tcPr>
          <w:p w:rsidR="00743ECF" w:rsidRPr="00743ECF" w:rsidRDefault="00140695" w:rsidP="00E60E7C">
            <w:pPr>
              <w:cnfStyle w:val="000000010000" w:firstRow="0" w:lastRow="0" w:firstColumn="0" w:lastColumn="0" w:oddVBand="0" w:evenVBand="0" w:oddHBand="0" w:evenHBand="1" w:firstRowFirstColumn="0" w:firstRowLastColumn="0" w:lastRowFirstColumn="0" w:lastRowLastColumn="0"/>
              <w:rPr>
                <w:rFonts w:eastAsia="Times New Roman"/>
                <w:b/>
                <w:bCs/>
                <w:color w:val="000000"/>
                <w:szCs w:val="18"/>
              </w:rPr>
            </w:pPr>
            <w:r>
              <w:rPr>
                <w:rFonts w:eastAsia="Times New Roman"/>
                <w:b/>
                <w:bCs/>
                <w:color w:val="000000"/>
                <w:szCs w:val="18"/>
              </w:rPr>
              <w:t>8</w:t>
            </w:r>
          </w:p>
        </w:tc>
      </w:tr>
      <w:tr w:rsidR="00743ECF" w:rsidRPr="00743ECF" w:rsidTr="00B56F23">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A01C65" w:rsidRDefault="00743ECF" w:rsidP="00E60E7C">
            <w:pPr>
              <w:rPr>
                <w:rFonts w:eastAsia="Times New Roman"/>
                <w:b w:val="0"/>
                <w:color w:val="000000"/>
                <w:szCs w:val="18"/>
              </w:rPr>
            </w:pPr>
            <w:r w:rsidRPr="00A01C65">
              <w:rPr>
                <w:rFonts w:eastAsia="Times New Roman"/>
                <w:b w:val="0"/>
                <w:color w:val="000000"/>
                <w:szCs w:val="18"/>
              </w:rPr>
              <w:t>Parliamentary Executive Level 1 (PEL1)</w:t>
            </w:r>
            <w:r w:rsidR="00AA19A6" w:rsidRPr="00A01C65">
              <w:rPr>
                <w:rFonts w:eastAsia="Times New Roman"/>
                <w:b w:val="0"/>
                <w:color w:val="000000"/>
                <w:szCs w:val="18"/>
              </w:rPr>
              <w:t xml:space="preserve"> </w:t>
            </w:r>
            <w:r w:rsidR="0065278E">
              <w:rPr>
                <w:rFonts w:eastAsia="Times New Roman"/>
                <w:b w:val="0"/>
                <w:color w:val="000000"/>
                <w:szCs w:val="18"/>
                <w:vertAlign w:val="superscript"/>
              </w:rPr>
              <w:t>1</w:t>
            </w:r>
          </w:p>
        </w:tc>
        <w:tc>
          <w:tcPr>
            <w:tcW w:w="1162" w:type="dxa"/>
            <w:noWrap/>
          </w:tcPr>
          <w:p w:rsidR="00743ECF" w:rsidRPr="00743ECF" w:rsidRDefault="00644CCF" w:rsidP="00E60E7C">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tcPr>
          <w:p w:rsidR="00743ECF" w:rsidRPr="00743ECF" w:rsidRDefault="006F3D6C" w:rsidP="00E60E7C">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12</w:t>
            </w:r>
          </w:p>
        </w:tc>
        <w:tc>
          <w:tcPr>
            <w:tcW w:w="1163" w:type="dxa"/>
            <w:noWrap/>
          </w:tcPr>
          <w:p w:rsidR="00743ECF" w:rsidRPr="00743ECF" w:rsidRDefault="00140695" w:rsidP="00E60E7C">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4</w:t>
            </w:r>
          </w:p>
        </w:tc>
        <w:tc>
          <w:tcPr>
            <w:tcW w:w="1162" w:type="dxa"/>
            <w:noWrap/>
          </w:tcPr>
          <w:p w:rsidR="00743ECF" w:rsidRPr="00743ECF" w:rsidRDefault="006F3D6C" w:rsidP="00E60E7C">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w:t>
            </w:r>
          </w:p>
        </w:tc>
        <w:tc>
          <w:tcPr>
            <w:tcW w:w="1163" w:type="dxa"/>
            <w:noWrap/>
          </w:tcPr>
          <w:p w:rsidR="00743ECF" w:rsidRPr="00743ECF" w:rsidRDefault="006F3D6C" w:rsidP="00E60E7C">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17</w:t>
            </w:r>
          </w:p>
        </w:tc>
      </w:tr>
      <w:tr w:rsidR="00743ECF" w:rsidRPr="00743ECF" w:rsidTr="00B56F23">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A01C65" w:rsidRDefault="00743ECF" w:rsidP="00E60E7C">
            <w:pPr>
              <w:rPr>
                <w:rFonts w:eastAsia="Times New Roman"/>
                <w:b w:val="0"/>
                <w:color w:val="000000"/>
                <w:szCs w:val="18"/>
              </w:rPr>
            </w:pPr>
            <w:r w:rsidRPr="00A01C65">
              <w:rPr>
                <w:rFonts w:eastAsia="Times New Roman"/>
                <w:b w:val="0"/>
                <w:color w:val="000000"/>
                <w:szCs w:val="18"/>
              </w:rPr>
              <w:t>Parliamentary Service Level 6 (PSL6)</w:t>
            </w:r>
          </w:p>
        </w:tc>
        <w:tc>
          <w:tcPr>
            <w:tcW w:w="1162" w:type="dxa"/>
            <w:noWrap/>
          </w:tcPr>
          <w:p w:rsidR="00743ECF" w:rsidRPr="00743ECF" w:rsidRDefault="00140695" w:rsidP="00E60E7C">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1</w:t>
            </w:r>
          </w:p>
        </w:tc>
        <w:tc>
          <w:tcPr>
            <w:tcW w:w="1162" w:type="dxa"/>
            <w:noWrap/>
          </w:tcPr>
          <w:p w:rsidR="00743ECF" w:rsidRPr="00743ECF" w:rsidRDefault="00D873D2" w:rsidP="00E60E7C">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7</w:t>
            </w:r>
          </w:p>
        </w:tc>
        <w:tc>
          <w:tcPr>
            <w:tcW w:w="1163" w:type="dxa"/>
            <w:noWrap/>
          </w:tcPr>
          <w:p w:rsidR="00743ECF" w:rsidRPr="00743ECF" w:rsidRDefault="00D873D2" w:rsidP="00E60E7C">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1</w:t>
            </w:r>
          </w:p>
        </w:tc>
        <w:tc>
          <w:tcPr>
            <w:tcW w:w="1162" w:type="dxa"/>
            <w:noWrap/>
          </w:tcPr>
          <w:p w:rsidR="00743ECF" w:rsidRPr="00743ECF" w:rsidRDefault="006F3D6C" w:rsidP="00E60E7C">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63" w:type="dxa"/>
            <w:noWrap/>
          </w:tcPr>
          <w:p w:rsidR="00743ECF" w:rsidRPr="00743ECF" w:rsidRDefault="006F3D6C" w:rsidP="00E60E7C">
            <w:pPr>
              <w:cnfStyle w:val="000000010000" w:firstRow="0" w:lastRow="0" w:firstColumn="0" w:lastColumn="0" w:oddVBand="0" w:evenVBand="0" w:oddHBand="0" w:evenHBand="1" w:firstRowFirstColumn="0" w:firstRowLastColumn="0" w:lastRowFirstColumn="0" w:lastRowLastColumn="0"/>
              <w:rPr>
                <w:rFonts w:eastAsia="Times New Roman"/>
                <w:b/>
                <w:bCs/>
                <w:color w:val="000000"/>
                <w:szCs w:val="18"/>
              </w:rPr>
            </w:pPr>
            <w:r>
              <w:rPr>
                <w:rFonts w:eastAsia="Times New Roman"/>
                <w:b/>
                <w:bCs/>
                <w:color w:val="000000"/>
                <w:szCs w:val="18"/>
              </w:rPr>
              <w:t>9</w:t>
            </w:r>
          </w:p>
        </w:tc>
      </w:tr>
      <w:tr w:rsidR="00743ECF" w:rsidRPr="00743ECF" w:rsidTr="00B56F23">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A01C65" w:rsidRDefault="00743ECF" w:rsidP="00E60E7C">
            <w:pPr>
              <w:rPr>
                <w:rFonts w:eastAsia="Times New Roman"/>
                <w:b w:val="0"/>
                <w:color w:val="000000"/>
                <w:szCs w:val="18"/>
              </w:rPr>
            </w:pPr>
            <w:r w:rsidRPr="00A01C65">
              <w:rPr>
                <w:rFonts w:eastAsia="Times New Roman"/>
                <w:b w:val="0"/>
                <w:color w:val="000000"/>
                <w:szCs w:val="18"/>
              </w:rPr>
              <w:t>Parliamentary Service Level 5 (PSL5)</w:t>
            </w:r>
            <w:r w:rsidR="002250E8" w:rsidRPr="00A01C65">
              <w:rPr>
                <w:rFonts w:eastAsia="Times New Roman"/>
                <w:b w:val="0"/>
                <w:color w:val="000000"/>
                <w:szCs w:val="18"/>
              </w:rPr>
              <w:t xml:space="preserve"> </w:t>
            </w:r>
          </w:p>
        </w:tc>
        <w:tc>
          <w:tcPr>
            <w:tcW w:w="1162" w:type="dxa"/>
            <w:noWrap/>
          </w:tcPr>
          <w:p w:rsidR="00743ECF" w:rsidRPr="00743ECF" w:rsidRDefault="00644CCF" w:rsidP="00E60E7C">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tcPr>
          <w:p w:rsidR="00743ECF" w:rsidRPr="00743ECF" w:rsidRDefault="006F3D6C" w:rsidP="00E60E7C">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63" w:type="dxa"/>
            <w:noWrap/>
          </w:tcPr>
          <w:p w:rsidR="00743ECF" w:rsidRPr="00743ECF" w:rsidRDefault="006F3D6C" w:rsidP="00E60E7C">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w:t>
            </w:r>
          </w:p>
        </w:tc>
        <w:tc>
          <w:tcPr>
            <w:tcW w:w="1162" w:type="dxa"/>
            <w:noWrap/>
          </w:tcPr>
          <w:p w:rsidR="00743ECF" w:rsidRPr="00743ECF" w:rsidRDefault="00140695" w:rsidP="00E60E7C">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2</w:t>
            </w:r>
          </w:p>
        </w:tc>
        <w:tc>
          <w:tcPr>
            <w:tcW w:w="1163" w:type="dxa"/>
            <w:noWrap/>
          </w:tcPr>
          <w:p w:rsidR="00743ECF" w:rsidRPr="00743ECF" w:rsidRDefault="006F3D6C" w:rsidP="00E60E7C">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3</w:t>
            </w:r>
          </w:p>
        </w:tc>
      </w:tr>
      <w:tr w:rsidR="00743ECF" w:rsidRPr="00743ECF" w:rsidTr="00B56F23">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A01C65" w:rsidRDefault="00743ECF" w:rsidP="00E60E7C">
            <w:pPr>
              <w:rPr>
                <w:rFonts w:eastAsia="Times New Roman"/>
                <w:b w:val="0"/>
                <w:color w:val="000000"/>
                <w:szCs w:val="18"/>
              </w:rPr>
            </w:pPr>
            <w:r w:rsidRPr="00A01C65">
              <w:rPr>
                <w:rFonts w:eastAsia="Times New Roman"/>
                <w:b w:val="0"/>
                <w:color w:val="000000"/>
                <w:szCs w:val="18"/>
              </w:rPr>
              <w:t xml:space="preserve">Parliamentary Service Level 4 (PSL4) </w:t>
            </w:r>
            <w:r w:rsidR="00D873D2" w:rsidRPr="00A01C65">
              <w:rPr>
                <w:rFonts w:eastAsia="Times New Roman"/>
                <w:b w:val="0"/>
                <w:color w:val="000000"/>
                <w:szCs w:val="18"/>
                <w:vertAlign w:val="superscript"/>
              </w:rPr>
              <w:t>1</w:t>
            </w:r>
          </w:p>
        </w:tc>
        <w:tc>
          <w:tcPr>
            <w:tcW w:w="1162" w:type="dxa"/>
            <w:noWrap/>
          </w:tcPr>
          <w:p w:rsidR="00743ECF" w:rsidRPr="00743ECF" w:rsidRDefault="00644CCF" w:rsidP="00E60E7C">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tcPr>
          <w:p w:rsidR="00743ECF" w:rsidRPr="00743ECF" w:rsidRDefault="00C53944" w:rsidP="00E60E7C">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63" w:type="dxa"/>
            <w:noWrap/>
          </w:tcPr>
          <w:p w:rsidR="00743ECF" w:rsidRPr="00743ECF" w:rsidRDefault="00C53944" w:rsidP="00E60E7C">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62" w:type="dxa"/>
            <w:noWrap/>
          </w:tcPr>
          <w:p w:rsidR="00743ECF" w:rsidRPr="00743ECF" w:rsidRDefault="00C53944" w:rsidP="00E60E7C">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1</w:t>
            </w:r>
          </w:p>
        </w:tc>
        <w:tc>
          <w:tcPr>
            <w:tcW w:w="1163" w:type="dxa"/>
            <w:noWrap/>
          </w:tcPr>
          <w:p w:rsidR="00743ECF" w:rsidRPr="00743ECF" w:rsidRDefault="00B57CD1" w:rsidP="00E60E7C">
            <w:pPr>
              <w:cnfStyle w:val="000000010000" w:firstRow="0" w:lastRow="0" w:firstColumn="0" w:lastColumn="0" w:oddVBand="0" w:evenVBand="0" w:oddHBand="0" w:evenHBand="1" w:firstRowFirstColumn="0" w:firstRowLastColumn="0" w:lastRowFirstColumn="0" w:lastRowLastColumn="0"/>
              <w:rPr>
                <w:rFonts w:eastAsia="Times New Roman"/>
                <w:b/>
                <w:bCs/>
                <w:color w:val="000000"/>
                <w:szCs w:val="18"/>
              </w:rPr>
            </w:pPr>
            <w:r>
              <w:rPr>
                <w:rFonts w:eastAsia="Times New Roman"/>
                <w:b/>
                <w:bCs/>
                <w:color w:val="000000"/>
                <w:szCs w:val="18"/>
              </w:rPr>
              <w:t>1</w:t>
            </w:r>
          </w:p>
        </w:tc>
      </w:tr>
      <w:tr w:rsidR="00743ECF" w:rsidRPr="00743ECF" w:rsidTr="00B56F23">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10" w:type="dxa"/>
            <w:noWrap/>
            <w:hideMark/>
          </w:tcPr>
          <w:p w:rsidR="00743ECF" w:rsidRPr="00743ECF" w:rsidRDefault="00743ECF" w:rsidP="00D873D2">
            <w:pPr>
              <w:rPr>
                <w:rFonts w:eastAsia="Times New Roman"/>
                <w:bCs/>
                <w:color w:val="000000"/>
                <w:szCs w:val="18"/>
              </w:rPr>
            </w:pPr>
            <w:r w:rsidRPr="00743ECF">
              <w:rPr>
                <w:rFonts w:eastAsia="Times New Roman"/>
                <w:bCs/>
                <w:color w:val="000000"/>
                <w:szCs w:val="18"/>
              </w:rPr>
              <w:t xml:space="preserve">Total </w:t>
            </w:r>
            <w:r w:rsidR="00A62104">
              <w:rPr>
                <w:rFonts w:eastAsia="Times New Roman"/>
                <w:bCs/>
                <w:color w:val="000000"/>
                <w:szCs w:val="18"/>
              </w:rPr>
              <w:t>s</w:t>
            </w:r>
            <w:r w:rsidRPr="00743ECF">
              <w:rPr>
                <w:rFonts w:eastAsia="Times New Roman"/>
                <w:bCs/>
                <w:color w:val="000000"/>
                <w:szCs w:val="18"/>
              </w:rPr>
              <w:t>taff</w:t>
            </w:r>
          </w:p>
        </w:tc>
        <w:tc>
          <w:tcPr>
            <w:tcW w:w="1162" w:type="dxa"/>
            <w:noWrap/>
          </w:tcPr>
          <w:p w:rsidR="00743ECF" w:rsidRPr="00743ECF" w:rsidRDefault="00140695" w:rsidP="00E60E7C">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2</w:t>
            </w:r>
          </w:p>
        </w:tc>
        <w:tc>
          <w:tcPr>
            <w:tcW w:w="1162" w:type="dxa"/>
            <w:noWrap/>
          </w:tcPr>
          <w:p w:rsidR="00743ECF" w:rsidRPr="00743ECF" w:rsidRDefault="00D873D2" w:rsidP="00E60E7C">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26</w:t>
            </w:r>
          </w:p>
        </w:tc>
        <w:tc>
          <w:tcPr>
            <w:tcW w:w="1163" w:type="dxa"/>
            <w:noWrap/>
          </w:tcPr>
          <w:p w:rsidR="00743ECF" w:rsidRPr="00596C26" w:rsidRDefault="00D873D2" w:rsidP="00E60E7C">
            <w:pPr>
              <w:cnfStyle w:val="000000100000" w:firstRow="0" w:lastRow="0" w:firstColumn="0" w:lastColumn="0" w:oddVBand="0" w:evenVBand="0" w:oddHBand="1" w:evenHBand="0" w:firstRowFirstColumn="0" w:firstRowLastColumn="0" w:lastRowFirstColumn="0" w:lastRowLastColumn="0"/>
              <w:rPr>
                <w:rFonts w:eastAsia="Times New Roman"/>
                <w:b/>
                <w:color w:val="000000"/>
                <w:szCs w:val="18"/>
              </w:rPr>
            </w:pPr>
            <w:r>
              <w:rPr>
                <w:rFonts w:eastAsia="Times New Roman"/>
                <w:b/>
                <w:color w:val="000000"/>
                <w:szCs w:val="18"/>
              </w:rPr>
              <w:t>10</w:t>
            </w:r>
          </w:p>
        </w:tc>
        <w:tc>
          <w:tcPr>
            <w:tcW w:w="1162" w:type="dxa"/>
            <w:noWrap/>
          </w:tcPr>
          <w:p w:rsidR="00743ECF" w:rsidRPr="00743ECF" w:rsidRDefault="00B57CD1" w:rsidP="00E60E7C">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7</w:t>
            </w:r>
          </w:p>
        </w:tc>
        <w:tc>
          <w:tcPr>
            <w:tcW w:w="1163" w:type="dxa"/>
            <w:noWrap/>
          </w:tcPr>
          <w:p w:rsidR="00743ECF" w:rsidRPr="00743ECF" w:rsidRDefault="00356E41" w:rsidP="00E60E7C">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45</w:t>
            </w:r>
          </w:p>
        </w:tc>
      </w:tr>
    </w:tbl>
    <w:p w:rsidR="00D873D2" w:rsidRDefault="007C1434" w:rsidP="00E60E7C">
      <w:pPr>
        <w:pStyle w:val="PBOtext"/>
        <w:tabs>
          <w:tab w:val="left" w:pos="142"/>
        </w:tabs>
        <w:rPr>
          <w:sz w:val="16"/>
          <w:szCs w:val="16"/>
        </w:rPr>
      </w:pPr>
      <w:r>
        <w:rPr>
          <w:sz w:val="16"/>
          <w:szCs w:val="16"/>
          <w:vertAlign w:val="superscript"/>
        </w:rPr>
        <w:t>1</w:t>
      </w:r>
      <w:r w:rsidR="009837E2">
        <w:rPr>
          <w:sz w:val="16"/>
          <w:szCs w:val="16"/>
        </w:rPr>
        <w:tab/>
      </w:r>
      <w:r w:rsidR="00543268" w:rsidRPr="00543268">
        <w:rPr>
          <w:sz w:val="16"/>
          <w:szCs w:val="16"/>
        </w:rPr>
        <w:t>One SES B1</w:t>
      </w:r>
      <w:r w:rsidR="00B40746">
        <w:rPr>
          <w:sz w:val="16"/>
          <w:szCs w:val="16"/>
        </w:rPr>
        <w:t>,</w:t>
      </w:r>
      <w:r w:rsidR="00543268" w:rsidRPr="00543268">
        <w:rPr>
          <w:sz w:val="16"/>
          <w:szCs w:val="16"/>
        </w:rPr>
        <w:t xml:space="preserve"> </w:t>
      </w:r>
      <w:r w:rsidR="000B6429">
        <w:rPr>
          <w:sz w:val="16"/>
          <w:szCs w:val="16"/>
        </w:rPr>
        <w:t>two</w:t>
      </w:r>
      <w:r w:rsidR="005323C2">
        <w:rPr>
          <w:sz w:val="16"/>
          <w:szCs w:val="16"/>
        </w:rPr>
        <w:t xml:space="preserve"> PEL1 </w:t>
      </w:r>
      <w:r w:rsidR="00B40746">
        <w:rPr>
          <w:sz w:val="16"/>
          <w:szCs w:val="16"/>
        </w:rPr>
        <w:t xml:space="preserve">and one PSL4 ongoing </w:t>
      </w:r>
      <w:r w:rsidR="005B325D">
        <w:rPr>
          <w:sz w:val="16"/>
          <w:szCs w:val="16"/>
        </w:rPr>
        <w:t xml:space="preserve">employees </w:t>
      </w:r>
      <w:r w:rsidR="005323C2">
        <w:rPr>
          <w:sz w:val="16"/>
          <w:szCs w:val="16"/>
        </w:rPr>
        <w:t>are</w:t>
      </w:r>
      <w:r w:rsidR="00543268" w:rsidRPr="00543268">
        <w:rPr>
          <w:sz w:val="16"/>
          <w:szCs w:val="16"/>
        </w:rPr>
        <w:t xml:space="preserve"> on long term leave and </w:t>
      </w:r>
      <w:r w:rsidR="005323C2">
        <w:rPr>
          <w:sz w:val="16"/>
          <w:szCs w:val="16"/>
        </w:rPr>
        <w:t>are</w:t>
      </w:r>
      <w:r w:rsidR="005323C2" w:rsidRPr="00543268">
        <w:rPr>
          <w:sz w:val="16"/>
          <w:szCs w:val="16"/>
        </w:rPr>
        <w:t xml:space="preserve"> </w:t>
      </w:r>
      <w:r w:rsidR="00543268" w:rsidRPr="00543268">
        <w:rPr>
          <w:sz w:val="16"/>
          <w:szCs w:val="16"/>
        </w:rPr>
        <w:t>not included in these totals.</w:t>
      </w:r>
      <w:r w:rsidR="00DE0A52">
        <w:rPr>
          <w:sz w:val="16"/>
          <w:szCs w:val="16"/>
        </w:rPr>
        <w:br/>
      </w:r>
      <w:r w:rsidR="005323C2">
        <w:rPr>
          <w:sz w:val="16"/>
          <w:szCs w:val="16"/>
        </w:rPr>
        <w:t>In addition</w:t>
      </w:r>
      <w:r w:rsidR="005B325D">
        <w:rPr>
          <w:sz w:val="16"/>
          <w:szCs w:val="16"/>
        </w:rPr>
        <w:t>,</w:t>
      </w:r>
      <w:r w:rsidR="005323C2">
        <w:rPr>
          <w:sz w:val="16"/>
          <w:szCs w:val="16"/>
        </w:rPr>
        <w:t xml:space="preserve"> one </w:t>
      </w:r>
      <w:r w:rsidR="005B325D">
        <w:rPr>
          <w:sz w:val="16"/>
          <w:szCs w:val="16"/>
        </w:rPr>
        <w:t>PEL1</w:t>
      </w:r>
      <w:r w:rsidR="00B83141">
        <w:rPr>
          <w:sz w:val="16"/>
          <w:szCs w:val="16"/>
        </w:rPr>
        <w:t xml:space="preserve"> </w:t>
      </w:r>
      <w:r w:rsidR="005323C2">
        <w:rPr>
          <w:sz w:val="16"/>
          <w:szCs w:val="16"/>
        </w:rPr>
        <w:t xml:space="preserve">employee </w:t>
      </w:r>
      <w:r w:rsidR="00EC09B2">
        <w:rPr>
          <w:sz w:val="16"/>
          <w:szCs w:val="16"/>
        </w:rPr>
        <w:t xml:space="preserve">is on </w:t>
      </w:r>
      <w:r w:rsidR="005323C2">
        <w:rPr>
          <w:sz w:val="16"/>
          <w:szCs w:val="16"/>
        </w:rPr>
        <w:t>second</w:t>
      </w:r>
      <w:r w:rsidR="00EC09B2">
        <w:rPr>
          <w:sz w:val="16"/>
          <w:szCs w:val="16"/>
        </w:rPr>
        <w:t>ment</w:t>
      </w:r>
      <w:r w:rsidR="00AD2887">
        <w:rPr>
          <w:sz w:val="16"/>
          <w:szCs w:val="16"/>
        </w:rPr>
        <w:t xml:space="preserve"> to </w:t>
      </w:r>
      <w:r w:rsidR="005323C2">
        <w:rPr>
          <w:sz w:val="16"/>
          <w:szCs w:val="16"/>
        </w:rPr>
        <w:t>the Australian Taxation Office</w:t>
      </w:r>
      <w:r w:rsidR="00EC09B2">
        <w:rPr>
          <w:sz w:val="16"/>
          <w:szCs w:val="16"/>
        </w:rPr>
        <w:t xml:space="preserve"> and is not included in the above totals</w:t>
      </w:r>
      <w:r w:rsidR="00AD2887">
        <w:rPr>
          <w:sz w:val="16"/>
          <w:szCs w:val="16"/>
        </w:rPr>
        <w:t>.</w:t>
      </w:r>
    </w:p>
    <w:p w:rsidR="00F36BEB" w:rsidRDefault="00F36BEB" w:rsidP="00D873D2">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Figure 4: PBO staff by function and employment level</w:t>
      </w:r>
      <w:r w:rsidR="005D002A">
        <w:rPr>
          <w:rFonts w:asciiTheme="minorHAnsi" w:eastAsiaTheme="minorHAnsi" w:hAnsiTheme="minorHAnsi" w:cstheme="minorBidi"/>
          <w:color w:val="1F497D" w:themeColor="text2"/>
          <w:spacing w:val="-4"/>
          <w:sz w:val="20"/>
          <w:lang w:eastAsia="en-US"/>
        </w:rPr>
        <w:t xml:space="preserve"> as at </w:t>
      </w:r>
      <w:r w:rsidR="00E60E7C">
        <w:rPr>
          <w:rFonts w:asciiTheme="minorHAnsi" w:eastAsiaTheme="minorHAnsi" w:hAnsiTheme="minorHAnsi" w:cstheme="minorBidi"/>
          <w:color w:val="1F497D" w:themeColor="text2"/>
          <w:spacing w:val="-4"/>
          <w:sz w:val="20"/>
          <w:lang w:eastAsia="en-US"/>
        </w:rPr>
        <w:t>31</w:t>
      </w:r>
      <w:r w:rsidR="00B40746">
        <w:rPr>
          <w:rFonts w:asciiTheme="minorHAnsi" w:eastAsiaTheme="minorHAnsi" w:hAnsiTheme="minorHAnsi" w:cstheme="minorBidi"/>
          <w:color w:val="1F497D" w:themeColor="text2"/>
          <w:spacing w:val="-4"/>
          <w:sz w:val="20"/>
          <w:lang w:eastAsia="en-US"/>
        </w:rPr>
        <w:t xml:space="preserve"> </w:t>
      </w:r>
      <w:r w:rsidR="00E60E7C">
        <w:rPr>
          <w:rFonts w:asciiTheme="minorHAnsi" w:eastAsiaTheme="minorHAnsi" w:hAnsiTheme="minorHAnsi" w:cstheme="minorBidi"/>
          <w:color w:val="1F497D" w:themeColor="text2"/>
          <w:spacing w:val="-4"/>
          <w:sz w:val="20"/>
          <w:lang w:eastAsia="en-US"/>
        </w:rPr>
        <w:t>December 2016</w:t>
      </w:r>
    </w:p>
    <w:p w:rsidR="00315623" w:rsidRDefault="009B39C1" w:rsidP="00E60E7C">
      <w:pPr>
        <w:rPr>
          <w:lang w:eastAsia="en-AU"/>
        </w:rPr>
      </w:pPr>
      <w:r>
        <w:rPr>
          <w:noProof/>
          <w:lang w:eastAsia="en-AU"/>
        </w:rPr>
        <w:drawing>
          <wp:inline distT="0" distB="0" distL="0" distR="0" wp14:anchorId="7064DC7F" wp14:editId="686BE6ED">
            <wp:extent cx="5772647" cy="3943847"/>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315623" w:rsidSect="00A734A7">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57B" w:rsidRDefault="0038557B" w:rsidP="00770BB2">
      <w:pPr>
        <w:spacing w:after="0"/>
      </w:pPr>
      <w:r>
        <w:separator/>
      </w:r>
    </w:p>
  </w:endnote>
  <w:endnote w:type="continuationSeparator" w:id="0">
    <w:p w:rsidR="0038557B" w:rsidRDefault="0038557B" w:rsidP="00770B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2E3" w:rsidRPr="00201F77" w:rsidRDefault="007432E3" w:rsidP="00201F77">
    <w:pPr>
      <w:pStyle w:val="Footer"/>
      <w:pBdr>
        <w:top w:val="single" w:sz="4" w:space="0" w:color="2B3B5F"/>
      </w:pBdr>
      <w:tabs>
        <w:tab w:val="clear" w:pos="9026"/>
        <w:tab w:val="right" w:pos="9498"/>
      </w:tabs>
      <w:rPr>
        <w:rFonts w:asciiTheme="minorHAnsi" w:hAnsiTheme="minorHAnsi"/>
        <w:sz w:val="18"/>
        <w:szCs w:val="18"/>
      </w:rPr>
    </w:pPr>
    <w:r w:rsidRPr="00F36BEB">
      <w:rPr>
        <w:rFonts w:asciiTheme="minorHAnsi" w:hAnsiTheme="minorHAnsi"/>
        <w:noProof/>
        <w:sz w:val="18"/>
        <w:szCs w:val="18"/>
        <w:lang w:eastAsia="en-AU"/>
      </w:rPr>
      <mc:AlternateContent>
        <mc:Choice Requires="wps">
          <w:drawing>
            <wp:anchor distT="0" distB="0" distL="114300" distR="114300" simplePos="0" relativeHeight="251668480" behindDoc="0" locked="0" layoutInCell="1" allowOverlap="1" wp14:anchorId="317B309B" wp14:editId="5E04687F">
              <wp:simplePos x="0" y="0"/>
              <wp:positionH relativeFrom="column">
                <wp:posOffset>4523196</wp:posOffset>
              </wp:positionH>
              <wp:positionV relativeFrom="paragraph">
                <wp:posOffset>-40005</wp:posOffset>
              </wp:positionV>
              <wp:extent cx="1323975" cy="29527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239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32E3" w:rsidRPr="00F36BEB" w:rsidRDefault="007432E3" w:rsidP="005C2F9E">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361D31">
                            <w:rPr>
                              <w:rFonts w:asciiTheme="minorHAnsi" w:hAnsiTheme="minorHAnsi"/>
                              <w:bCs/>
                              <w:noProof/>
                              <w:sz w:val="18"/>
                              <w:szCs w:val="18"/>
                            </w:rPr>
                            <w:t>2</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361D31">
                            <w:rPr>
                              <w:rFonts w:asciiTheme="minorHAnsi" w:hAnsiTheme="minorHAnsi"/>
                              <w:bCs/>
                              <w:noProof/>
                              <w:sz w:val="18"/>
                              <w:szCs w:val="18"/>
                            </w:rPr>
                            <w:t>8</w:t>
                          </w:r>
                          <w:r w:rsidRPr="00F36BEB">
                            <w:rPr>
                              <w:rFonts w:asciiTheme="minorHAnsi" w:hAnsiTheme="minorHAnsi"/>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56.15pt;margin-top:-3.15pt;width:104.25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" filled="f" stroked="f" strokeweight=".5pt">
              <v:textbox>
                <w:txbxContent>
                  <w:p w:rsidR="007432E3" w:rsidRPr="00F36BEB" w:rsidRDefault="007432E3" w:rsidP="005C2F9E">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361D31">
                      <w:rPr>
                        <w:rFonts w:asciiTheme="minorHAnsi" w:hAnsiTheme="minorHAnsi"/>
                        <w:bCs/>
                        <w:noProof/>
                        <w:sz w:val="18"/>
                        <w:szCs w:val="18"/>
                      </w:rPr>
                      <w:t>2</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361D31">
                      <w:rPr>
                        <w:rFonts w:asciiTheme="minorHAnsi" w:hAnsiTheme="minorHAnsi"/>
                        <w:bCs/>
                        <w:noProof/>
                        <w:sz w:val="18"/>
                        <w:szCs w:val="18"/>
                      </w:rPr>
                      <w:t>8</w:t>
                    </w:r>
                    <w:r w:rsidRPr="00F36BEB">
                      <w:rPr>
                        <w:rFonts w:asciiTheme="minorHAnsi" w:hAnsiTheme="minorHAnsi"/>
                        <w:b/>
                        <w:bCs/>
                        <w:sz w:val="18"/>
                        <w:szCs w:val="18"/>
                      </w:rPr>
                      <w:fldChar w:fldCharType="end"/>
                    </w:r>
                  </w:p>
                </w:txbxContent>
              </v:textbox>
            </v:shape>
          </w:pict>
        </mc:Fallback>
      </mc:AlternateContent>
    </w:r>
    <w:r>
      <w:rPr>
        <w:rFonts w:asciiTheme="minorHAnsi" w:hAnsiTheme="minorHAnsi"/>
        <w:sz w:val="18"/>
        <w:szCs w:val="18"/>
      </w:rPr>
      <w:t xml:space="preserve">PBO activity report – </w:t>
    </w:r>
    <w:r w:rsidR="00704DD2">
      <w:rPr>
        <w:rFonts w:asciiTheme="minorHAnsi" w:hAnsiTheme="minorHAnsi"/>
        <w:sz w:val="18"/>
        <w:szCs w:val="18"/>
      </w:rPr>
      <w:t>22</w:t>
    </w:r>
    <w:r w:rsidR="00794A2E">
      <w:rPr>
        <w:rFonts w:asciiTheme="minorHAnsi" w:hAnsiTheme="minorHAnsi"/>
        <w:sz w:val="18"/>
        <w:szCs w:val="18"/>
      </w:rPr>
      <w:t xml:space="preserve"> </w:t>
    </w:r>
    <w:r w:rsidR="00704DD2">
      <w:rPr>
        <w:rFonts w:asciiTheme="minorHAnsi" w:hAnsiTheme="minorHAnsi"/>
        <w:sz w:val="18"/>
        <w:szCs w:val="18"/>
      </w:rPr>
      <w:t>February</w:t>
    </w:r>
    <w:r w:rsidR="00BE0BBB">
      <w:rPr>
        <w:rFonts w:asciiTheme="minorHAnsi" w:hAnsiTheme="minorHAnsi"/>
        <w:sz w:val="18"/>
        <w:szCs w:val="18"/>
      </w:rPr>
      <w:t xml:space="preserve"> </w:t>
    </w:r>
    <w:r>
      <w:rPr>
        <w:rFonts w:asciiTheme="minorHAnsi" w:hAnsiTheme="minorHAnsi"/>
        <w:sz w:val="18"/>
        <w:szCs w:val="18"/>
      </w:rPr>
      <w:t>201</w:t>
    </w:r>
    <w:r w:rsidR="00704DD2">
      <w:rPr>
        <w:rFonts w:asciiTheme="minorHAnsi" w:hAnsiTheme="minorHAnsi"/>
        <w:sz w:val="18"/>
        <w:szCs w:val="18"/>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2E3" w:rsidRPr="00F36BEB" w:rsidRDefault="007432E3" w:rsidP="000E3775">
    <w:pPr>
      <w:pStyle w:val="Footer"/>
      <w:pBdr>
        <w:top w:val="single" w:sz="4" w:space="1" w:color="2B3B5F"/>
      </w:pBdr>
      <w:tabs>
        <w:tab w:val="clear" w:pos="9026"/>
        <w:tab w:val="right" w:pos="9498"/>
      </w:tabs>
      <w:rPr>
        <w:rFonts w:asciiTheme="minorHAnsi" w:hAnsiTheme="minorHAnsi"/>
        <w:sz w:val="18"/>
        <w:szCs w:val="18"/>
      </w:rPr>
    </w:pPr>
    <w:r w:rsidRPr="00F36BEB">
      <w:rPr>
        <w:rFonts w:asciiTheme="minorHAnsi" w:hAnsiTheme="minorHAnsi"/>
        <w:noProof/>
        <w:sz w:val="18"/>
        <w:szCs w:val="18"/>
        <w:lang w:eastAsia="en-AU"/>
      </w:rPr>
      <mc:AlternateContent>
        <mc:Choice Requires="wps">
          <w:drawing>
            <wp:anchor distT="0" distB="0" distL="114300" distR="114300" simplePos="0" relativeHeight="251667456" behindDoc="0" locked="0" layoutInCell="1" allowOverlap="1" wp14:anchorId="6A29C732" wp14:editId="5FCBBB0E">
              <wp:simplePos x="0" y="0"/>
              <wp:positionH relativeFrom="column">
                <wp:posOffset>7649936</wp:posOffset>
              </wp:positionH>
              <wp:positionV relativeFrom="paragraph">
                <wp:posOffset>-40005</wp:posOffset>
              </wp:positionV>
              <wp:extent cx="1323975" cy="2952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3239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32E3" w:rsidRPr="00F36BEB" w:rsidRDefault="007432E3"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361D31">
                            <w:rPr>
                              <w:rFonts w:asciiTheme="minorHAnsi" w:hAnsiTheme="minorHAnsi"/>
                              <w:bCs/>
                              <w:noProof/>
                              <w:sz w:val="18"/>
                              <w:szCs w:val="18"/>
                            </w:rPr>
                            <w:t>7</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361D31">
                            <w:rPr>
                              <w:rFonts w:asciiTheme="minorHAnsi" w:hAnsiTheme="minorHAnsi"/>
                              <w:bCs/>
                              <w:noProof/>
                              <w:sz w:val="18"/>
                              <w:szCs w:val="18"/>
                            </w:rPr>
                            <w:t>7</w:t>
                          </w:r>
                          <w:r w:rsidRPr="00F36BEB">
                            <w:rPr>
                              <w:rFonts w:asciiTheme="minorHAnsi" w:hAnsiTheme="minorHAnsi"/>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602.35pt;margin-top:-3.15pt;width:104.25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" filled="f" stroked="f" strokeweight=".5pt">
              <v:textbox>
                <w:txbxContent>
                  <w:p w:rsidR="007432E3" w:rsidRPr="00F36BEB" w:rsidRDefault="007432E3"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361D31">
                      <w:rPr>
                        <w:rFonts w:asciiTheme="minorHAnsi" w:hAnsiTheme="minorHAnsi"/>
                        <w:bCs/>
                        <w:noProof/>
                        <w:sz w:val="18"/>
                        <w:szCs w:val="18"/>
                      </w:rPr>
                      <w:t>7</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361D31">
                      <w:rPr>
                        <w:rFonts w:asciiTheme="minorHAnsi" w:hAnsiTheme="minorHAnsi"/>
                        <w:bCs/>
                        <w:noProof/>
                        <w:sz w:val="18"/>
                        <w:szCs w:val="18"/>
                      </w:rPr>
                      <w:t>7</w:t>
                    </w:r>
                    <w:r w:rsidRPr="00F36BEB">
                      <w:rPr>
                        <w:rFonts w:asciiTheme="minorHAnsi" w:hAnsiTheme="minorHAnsi"/>
                        <w:b/>
                        <w:bCs/>
                        <w:sz w:val="18"/>
                        <w:szCs w:val="18"/>
                      </w:rPr>
                      <w:fldChar w:fldCharType="end"/>
                    </w:r>
                  </w:p>
                </w:txbxContent>
              </v:textbox>
            </v:shape>
          </w:pict>
        </mc:Fallback>
      </mc:AlternateContent>
    </w:r>
    <w:r>
      <w:rPr>
        <w:rFonts w:asciiTheme="minorHAnsi" w:hAnsiTheme="minorHAnsi"/>
        <w:sz w:val="18"/>
        <w:szCs w:val="18"/>
      </w:rPr>
      <w:t>PBO activity report –</w:t>
    </w:r>
    <w:r w:rsidR="00E60E7C">
      <w:rPr>
        <w:rFonts w:asciiTheme="minorHAnsi" w:hAnsiTheme="minorHAnsi"/>
        <w:sz w:val="18"/>
        <w:szCs w:val="18"/>
      </w:rPr>
      <w:t xml:space="preserve"> 22 February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976" w:rsidRPr="00F36BEB" w:rsidRDefault="00927976" w:rsidP="000E3775">
    <w:pPr>
      <w:pStyle w:val="Footer"/>
      <w:pBdr>
        <w:top w:val="single" w:sz="4" w:space="1" w:color="2B3B5F"/>
      </w:pBdr>
      <w:tabs>
        <w:tab w:val="clear" w:pos="9026"/>
        <w:tab w:val="right" w:pos="9498"/>
      </w:tabs>
      <w:rPr>
        <w:rFonts w:asciiTheme="minorHAnsi" w:hAnsiTheme="minorHAnsi"/>
        <w:sz w:val="18"/>
        <w:szCs w:val="18"/>
      </w:rPr>
    </w:pPr>
    <w:r w:rsidRPr="00F36BEB">
      <w:rPr>
        <w:rFonts w:asciiTheme="minorHAnsi" w:hAnsiTheme="minorHAnsi"/>
        <w:noProof/>
        <w:sz w:val="18"/>
        <w:szCs w:val="18"/>
        <w:lang w:eastAsia="en-AU"/>
      </w:rPr>
      <mc:AlternateContent>
        <mc:Choice Requires="wps">
          <w:drawing>
            <wp:anchor distT="0" distB="0" distL="114300" distR="114300" simplePos="0" relativeHeight="251665408" behindDoc="0" locked="0" layoutInCell="1" allowOverlap="1" wp14:anchorId="204FBCC5" wp14:editId="2E099C92">
              <wp:simplePos x="0" y="0"/>
              <wp:positionH relativeFrom="column">
                <wp:posOffset>4524284</wp:posOffset>
              </wp:positionH>
              <wp:positionV relativeFrom="paragraph">
                <wp:posOffset>-40005</wp:posOffset>
              </wp:positionV>
              <wp:extent cx="1323975" cy="2952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239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7976" w:rsidRPr="00F36BEB" w:rsidRDefault="00927976"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361D31">
                            <w:rPr>
                              <w:rFonts w:asciiTheme="minorHAnsi" w:hAnsiTheme="minorHAnsi"/>
                              <w:bCs/>
                              <w:noProof/>
                              <w:sz w:val="18"/>
                              <w:szCs w:val="18"/>
                            </w:rPr>
                            <w:t>8</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361D31">
                            <w:rPr>
                              <w:rFonts w:asciiTheme="minorHAnsi" w:hAnsiTheme="minorHAnsi"/>
                              <w:bCs/>
                              <w:noProof/>
                              <w:sz w:val="18"/>
                              <w:szCs w:val="18"/>
                            </w:rPr>
                            <w:t>8</w:t>
                          </w:r>
                          <w:r w:rsidRPr="00F36BEB">
                            <w:rPr>
                              <w:rFonts w:asciiTheme="minorHAnsi" w:hAnsiTheme="minorHAnsi"/>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356.25pt;margin-top:-3.15pt;width:104.25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" filled="f" stroked="f" strokeweight=".5pt">
              <v:textbox>
                <w:txbxContent>
                  <w:p w:rsidR="00927976" w:rsidRPr="00F36BEB" w:rsidRDefault="00927976"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361D31">
                      <w:rPr>
                        <w:rFonts w:asciiTheme="minorHAnsi" w:hAnsiTheme="minorHAnsi"/>
                        <w:bCs/>
                        <w:noProof/>
                        <w:sz w:val="18"/>
                        <w:szCs w:val="18"/>
                      </w:rPr>
                      <w:t>8</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361D31">
                      <w:rPr>
                        <w:rFonts w:asciiTheme="minorHAnsi" w:hAnsiTheme="minorHAnsi"/>
                        <w:bCs/>
                        <w:noProof/>
                        <w:sz w:val="18"/>
                        <w:szCs w:val="18"/>
                      </w:rPr>
                      <w:t>8</w:t>
                    </w:r>
                    <w:r w:rsidRPr="00F36BEB">
                      <w:rPr>
                        <w:rFonts w:asciiTheme="minorHAnsi" w:hAnsiTheme="minorHAnsi"/>
                        <w:b/>
                        <w:bCs/>
                        <w:sz w:val="18"/>
                        <w:szCs w:val="18"/>
                      </w:rPr>
                      <w:fldChar w:fldCharType="end"/>
                    </w:r>
                  </w:p>
                </w:txbxContent>
              </v:textbox>
            </v:shape>
          </w:pict>
        </mc:Fallback>
      </mc:AlternateContent>
    </w:r>
    <w:r>
      <w:rPr>
        <w:rFonts w:asciiTheme="minorHAnsi" w:hAnsiTheme="minorHAnsi"/>
        <w:sz w:val="18"/>
        <w:szCs w:val="18"/>
      </w:rPr>
      <w:t>PBO activity report –</w:t>
    </w:r>
    <w:r w:rsidR="00075898">
      <w:rPr>
        <w:rFonts w:asciiTheme="minorHAnsi" w:hAnsiTheme="minorHAnsi"/>
        <w:sz w:val="18"/>
        <w:szCs w:val="18"/>
      </w:rPr>
      <w:t xml:space="preserve"> </w:t>
    </w:r>
    <w:r w:rsidR="00E60E7C">
      <w:rPr>
        <w:rFonts w:asciiTheme="minorHAnsi" w:hAnsiTheme="minorHAnsi"/>
        <w:sz w:val="18"/>
        <w:szCs w:val="18"/>
      </w:rPr>
      <w:t>22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57B" w:rsidRDefault="0038557B" w:rsidP="00770BB2">
      <w:pPr>
        <w:spacing w:after="0"/>
      </w:pPr>
      <w:r>
        <w:separator/>
      </w:r>
    </w:p>
  </w:footnote>
  <w:footnote w:type="continuationSeparator" w:id="0">
    <w:p w:rsidR="0038557B" w:rsidRDefault="0038557B" w:rsidP="00770BB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044"/>
    <w:multiLevelType w:val="hybridMultilevel"/>
    <w:tmpl w:val="7FA68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4AD0F4B"/>
    <w:multiLevelType w:val="hybridMultilevel"/>
    <w:tmpl w:val="B9D80358"/>
    <w:lvl w:ilvl="0" w:tplc="464E7A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3C4A01"/>
    <w:multiLevelType w:val="hybridMultilevel"/>
    <w:tmpl w:val="26D4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373578"/>
    <w:multiLevelType w:val="multilevel"/>
    <w:tmpl w:val="03F415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365B39"/>
    <w:multiLevelType w:val="hybridMultilevel"/>
    <w:tmpl w:val="D816488E"/>
    <w:lvl w:ilvl="0" w:tplc="0C090001">
      <w:start w:val="1"/>
      <w:numFmt w:val="bullet"/>
      <w:lvlText w:val=""/>
      <w:lvlJc w:val="left"/>
      <w:pPr>
        <w:ind w:left="720" w:hanging="360"/>
      </w:pPr>
      <w:rPr>
        <w:rFonts w:ascii="Symbol" w:hAnsi="Symbol" w:hint="default"/>
      </w:rPr>
    </w:lvl>
    <w:lvl w:ilvl="1" w:tplc="F0EC0CE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8938BF"/>
    <w:multiLevelType w:val="hybridMultilevel"/>
    <w:tmpl w:val="4956EF72"/>
    <w:lvl w:ilvl="0" w:tplc="7E1210E8">
      <w:start w:val="1"/>
      <w:numFmt w:val="decimal"/>
      <w:lvlText w:val="%1"/>
      <w:lvlJc w:val="left"/>
      <w:pPr>
        <w:ind w:left="72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0B8246B"/>
    <w:multiLevelType w:val="hybridMultilevel"/>
    <w:tmpl w:val="A4E2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AE23CB"/>
    <w:multiLevelType w:val="hybridMultilevel"/>
    <w:tmpl w:val="DF5A2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5D673B"/>
    <w:multiLevelType w:val="hybridMultilevel"/>
    <w:tmpl w:val="16D06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D71B2F"/>
    <w:multiLevelType w:val="hybridMultilevel"/>
    <w:tmpl w:val="3B604376"/>
    <w:lvl w:ilvl="0" w:tplc="0C090001">
      <w:start w:val="1"/>
      <w:numFmt w:val="bullet"/>
      <w:lvlText w:val=""/>
      <w:lvlJc w:val="left"/>
      <w:pPr>
        <w:ind w:left="360" w:hanging="360"/>
      </w:pPr>
      <w:rPr>
        <w:rFonts w:ascii="Symbol" w:hAnsi="Symbol" w:hint="default"/>
      </w:rPr>
    </w:lvl>
    <w:lvl w:ilvl="1" w:tplc="0896D49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7DD0D83"/>
    <w:multiLevelType w:val="hybridMultilevel"/>
    <w:tmpl w:val="33084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794724"/>
    <w:multiLevelType w:val="hybridMultilevel"/>
    <w:tmpl w:val="D1CAB3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A4008AA"/>
    <w:multiLevelType w:val="hybridMultilevel"/>
    <w:tmpl w:val="063C8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8A7F94"/>
    <w:multiLevelType w:val="hybridMultilevel"/>
    <w:tmpl w:val="863C5212"/>
    <w:lvl w:ilvl="0" w:tplc="57B40530">
      <w:start w:val="18"/>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5">
    <w:nsid w:val="3F212745"/>
    <w:multiLevelType w:val="hybridMultilevel"/>
    <w:tmpl w:val="4716A98A"/>
    <w:lvl w:ilvl="0" w:tplc="4A0617C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7084943"/>
    <w:multiLevelType w:val="hybridMultilevel"/>
    <w:tmpl w:val="153608E8"/>
    <w:lvl w:ilvl="0" w:tplc="AC189160">
      <w:start w:val="1"/>
      <w:numFmt w:val="bullet"/>
      <w:pStyle w:val="Bullet1"/>
      <w:lvlText w:val=""/>
      <w:lvlJc w:val="left"/>
      <w:pPr>
        <w:ind w:left="360" w:hanging="360"/>
      </w:pPr>
      <w:rPr>
        <w:rFonts w:ascii="Symbol" w:hAnsi="Symbol" w:hint="default"/>
      </w:rPr>
    </w:lvl>
    <w:lvl w:ilvl="1" w:tplc="16DE8A6A">
      <w:start w:val="1"/>
      <w:numFmt w:val="bullet"/>
      <w:pStyle w:val="Bullet2"/>
      <w:lvlText w:val="­"/>
      <w:lvlJc w:val="left"/>
      <w:pPr>
        <w:ind w:left="1080" w:hanging="360"/>
      </w:pPr>
      <w:rPr>
        <w:rFonts w:ascii="Courier New" w:hAnsi="Courier New" w:hint="default"/>
      </w:rPr>
    </w:lvl>
    <w:lvl w:ilvl="2" w:tplc="7302A4CC">
      <w:start w:val="1"/>
      <w:numFmt w:val="bullet"/>
      <w:pStyle w:val="Bullet3"/>
      <w:lvlText w:val=":"/>
      <w:lvlJc w:val="left"/>
      <w:pPr>
        <w:ind w:left="1800" w:hanging="360"/>
      </w:pPr>
      <w:rPr>
        <w:rFonts w:ascii="Times New Roman" w:hAnsi="Times New Roman" w:cs="Times New Roman" w:hint="default"/>
      </w:rPr>
    </w:lvl>
    <w:lvl w:ilvl="3" w:tplc="1E5C3642">
      <w:start w:val="1"/>
      <w:numFmt w:val="bullet"/>
      <w:pStyle w:val="Bullet4"/>
      <w:lvlText w:val="="/>
      <w:lvlJc w:val="left"/>
      <w:pPr>
        <w:ind w:left="2520" w:hanging="360"/>
      </w:pPr>
      <w:rPr>
        <w:rFonts w:ascii="Times New Roman" w:hAnsi="Times New Roman" w:cs="Times New Roman" w:hint="default"/>
      </w:rPr>
    </w:lvl>
    <w:lvl w:ilvl="4" w:tplc="F5B02834">
      <w:start w:val="1"/>
      <w:numFmt w:val="bullet"/>
      <w:pStyle w:val="Bullet5"/>
      <w:lvlText w:val="+"/>
      <w:lvlJc w:val="left"/>
      <w:pPr>
        <w:ind w:left="3240" w:hanging="360"/>
      </w:pPr>
      <w:rPr>
        <w:rFonts w:ascii="Times New Roman" w:hAnsi="Times New Roman" w:cs="Times New Roman"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C5A522F"/>
    <w:multiLevelType w:val="hybridMultilevel"/>
    <w:tmpl w:val="3C78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DD0A5F"/>
    <w:multiLevelType w:val="hybridMultilevel"/>
    <w:tmpl w:val="4566B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0F21FBE"/>
    <w:multiLevelType w:val="hybridMultilevel"/>
    <w:tmpl w:val="C7E66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0F45B2D"/>
    <w:multiLevelType w:val="hybridMultilevel"/>
    <w:tmpl w:val="09A2C534"/>
    <w:lvl w:ilvl="0" w:tplc="6D1C3F3A">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1">
    <w:nsid w:val="53BD4790"/>
    <w:multiLevelType w:val="hybridMultilevel"/>
    <w:tmpl w:val="19A2E212"/>
    <w:lvl w:ilvl="0" w:tplc="B4DCEC4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68DA3198"/>
    <w:multiLevelType w:val="hybridMultilevel"/>
    <w:tmpl w:val="F3C2FB10"/>
    <w:lvl w:ilvl="0" w:tplc="437C41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312496F"/>
    <w:multiLevelType w:val="hybridMultilevel"/>
    <w:tmpl w:val="C17AEB36"/>
    <w:lvl w:ilvl="0" w:tplc="0C090001">
      <w:start w:val="1"/>
      <w:numFmt w:val="bullet"/>
      <w:lvlText w:val=""/>
      <w:lvlJc w:val="left"/>
      <w:pPr>
        <w:ind w:left="720" w:hanging="360"/>
      </w:pPr>
      <w:rPr>
        <w:rFonts w:ascii="Symbol" w:hAnsi="Symbol" w:hint="default"/>
      </w:rPr>
    </w:lvl>
    <w:lvl w:ilvl="1" w:tplc="F0EC0CE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num>
  <w:num w:numId="2">
    <w:abstractNumId w:val="14"/>
    <w:lvlOverride w:ilvl="0">
      <w:startOverride w:val="1"/>
    </w:lvlOverride>
  </w:num>
  <w:num w:numId="3">
    <w:abstractNumId w:val="16"/>
  </w:num>
  <w:num w:numId="4">
    <w:abstractNumId w:val="9"/>
  </w:num>
  <w:num w:numId="5">
    <w:abstractNumId w:val="8"/>
  </w:num>
  <w:num w:numId="6">
    <w:abstractNumId w:val="18"/>
  </w:num>
  <w:num w:numId="7">
    <w:abstractNumId w:val="0"/>
  </w:num>
  <w:num w:numId="8">
    <w:abstractNumId w:val="17"/>
  </w:num>
  <w:num w:numId="9">
    <w:abstractNumId w:val="19"/>
  </w:num>
  <w:num w:numId="10">
    <w:abstractNumId w:val="6"/>
  </w:num>
  <w:num w:numId="11">
    <w:abstractNumId w:val="11"/>
  </w:num>
  <w:num w:numId="12">
    <w:abstractNumId w:val="4"/>
  </w:num>
  <w:num w:numId="13">
    <w:abstractNumId w:val="23"/>
  </w:num>
  <w:num w:numId="14">
    <w:abstractNumId w:val="13"/>
  </w:num>
  <w:num w:numId="15">
    <w:abstractNumId w:val="2"/>
  </w:num>
  <w:num w:numId="16">
    <w:abstractNumId w:val="10"/>
  </w:num>
  <w:num w:numId="17">
    <w:abstractNumId w:val="16"/>
  </w:num>
  <w:num w:numId="18">
    <w:abstractNumId w:val="7"/>
  </w:num>
  <w:num w:numId="19">
    <w:abstractNumId w:val="12"/>
  </w:num>
  <w:num w:numId="20">
    <w:abstractNumId w:val="22"/>
  </w:num>
  <w:num w:numId="21">
    <w:abstractNumId w:val="21"/>
  </w:num>
  <w:num w:numId="22">
    <w:abstractNumId w:val="20"/>
  </w:num>
  <w:num w:numId="23">
    <w:abstractNumId w:val="1"/>
  </w:num>
  <w:num w:numId="24">
    <w:abstractNumId w:val="5"/>
  </w:num>
  <w:num w:numId="25">
    <w:abstractNumId w:val="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7"/>
  <w:proofState w:spelling="clean" w:grammar="clean"/>
  <w:attachedTemplate r:id="rId1"/>
  <w:defaultTabStop w:val="720"/>
  <w:characterSpacingControl w:val="doNotCompress"/>
  <w:hdrShapeDefaults>
    <o:shapedefaults v:ext="edit" spidmax="67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C7"/>
    <w:rsid w:val="00001C33"/>
    <w:rsid w:val="00005257"/>
    <w:rsid w:val="0000755F"/>
    <w:rsid w:val="0001026A"/>
    <w:rsid w:val="00012ABB"/>
    <w:rsid w:val="00013888"/>
    <w:rsid w:val="0001404D"/>
    <w:rsid w:val="00016221"/>
    <w:rsid w:val="00016253"/>
    <w:rsid w:val="00017FF1"/>
    <w:rsid w:val="00023C9A"/>
    <w:rsid w:val="00024E08"/>
    <w:rsid w:val="00030032"/>
    <w:rsid w:val="00030C3E"/>
    <w:rsid w:val="00035BEF"/>
    <w:rsid w:val="00036023"/>
    <w:rsid w:val="00041495"/>
    <w:rsid w:val="00043F5E"/>
    <w:rsid w:val="000464ED"/>
    <w:rsid w:val="00047F1B"/>
    <w:rsid w:val="000543DC"/>
    <w:rsid w:val="000547E2"/>
    <w:rsid w:val="000568B4"/>
    <w:rsid w:val="0007220A"/>
    <w:rsid w:val="00072B17"/>
    <w:rsid w:val="0007310B"/>
    <w:rsid w:val="00073713"/>
    <w:rsid w:val="000743AC"/>
    <w:rsid w:val="000748A6"/>
    <w:rsid w:val="00075898"/>
    <w:rsid w:val="00077AE6"/>
    <w:rsid w:val="00077F57"/>
    <w:rsid w:val="00082E34"/>
    <w:rsid w:val="000859A2"/>
    <w:rsid w:val="0008769A"/>
    <w:rsid w:val="00093D64"/>
    <w:rsid w:val="000957A1"/>
    <w:rsid w:val="00096A78"/>
    <w:rsid w:val="00096F8F"/>
    <w:rsid w:val="000972BF"/>
    <w:rsid w:val="000A0B62"/>
    <w:rsid w:val="000A214A"/>
    <w:rsid w:val="000A241D"/>
    <w:rsid w:val="000A28C1"/>
    <w:rsid w:val="000A5B3D"/>
    <w:rsid w:val="000B288A"/>
    <w:rsid w:val="000B6429"/>
    <w:rsid w:val="000B6FE6"/>
    <w:rsid w:val="000C03A6"/>
    <w:rsid w:val="000C4681"/>
    <w:rsid w:val="000C4C73"/>
    <w:rsid w:val="000C4FC2"/>
    <w:rsid w:val="000D14D5"/>
    <w:rsid w:val="000D1793"/>
    <w:rsid w:val="000D5676"/>
    <w:rsid w:val="000E3775"/>
    <w:rsid w:val="000E73F0"/>
    <w:rsid w:val="000F0126"/>
    <w:rsid w:val="000F2752"/>
    <w:rsid w:val="000F5570"/>
    <w:rsid w:val="000F5904"/>
    <w:rsid w:val="000F6A98"/>
    <w:rsid w:val="000F74DB"/>
    <w:rsid w:val="0010051C"/>
    <w:rsid w:val="00100DF7"/>
    <w:rsid w:val="00103343"/>
    <w:rsid w:val="001036F8"/>
    <w:rsid w:val="001062D2"/>
    <w:rsid w:val="001074D8"/>
    <w:rsid w:val="00112379"/>
    <w:rsid w:val="0011504B"/>
    <w:rsid w:val="001244FE"/>
    <w:rsid w:val="001259CF"/>
    <w:rsid w:val="0012673C"/>
    <w:rsid w:val="0013142B"/>
    <w:rsid w:val="00133532"/>
    <w:rsid w:val="0013536D"/>
    <w:rsid w:val="0013683A"/>
    <w:rsid w:val="00137B10"/>
    <w:rsid w:val="00140630"/>
    <w:rsid w:val="00140695"/>
    <w:rsid w:val="0014157F"/>
    <w:rsid w:val="00142FD4"/>
    <w:rsid w:val="00144E33"/>
    <w:rsid w:val="00146D64"/>
    <w:rsid w:val="00147379"/>
    <w:rsid w:val="00150BBB"/>
    <w:rsid w:val="0015221D"/>
    <w:rsid w:val="00152D5E"/>
    <w:rsid w:val="00154F36"/>
    <w:rsid w:val="0015675B"/>
    <w:rsid w:val="0015676F"/>
    <w:rsid w:val="00166823"/>
    <w:rsid w:val="00166E45"/>
    <w:rsid w:val="001711B0"/>
    <w:rsid w:val="001730E4"/>
    <w:rsid w:val="00174EE0"/>
    <w:rsid w:val="00175AAE"/>
    <w:rsid w:val="00175D63"/>
    <w:rsid w:val="00191F7C"/>
    <w:rsid w:val="0019225A"/>
    <w:rsid w:val="001B0274"/>
    <w:rsid w:val="001B1928"/>
    <w:rsid w:val="001B266A"/>
    <w:rsid w:val="001B380F"/>
    <w:rsid w:val="001B5004"/>
    <w:rsid w:val="001B6FDF"/>
    <w:rsid w:val="001B7989"/>
    <w:rsid w:val="001B7C84"/>
    <w:rsid w:val="001C245F"/>
    <w:rsid w:val="001C2558"/>
    <w:rsid w:val="001C4137"/>
    <w:rsid w:val="001C7180"/>
    <w:rsid w:val="001C71EB"/>
    <w:rsid w:val="001D0629"/>
    <w:rsid w:val="001D1EBA"/>
    <w:rsid w:val="001E0836"/>
    <w:rsid w:val="001E1EE2"/>
    <w:rsid w:val="001E4C23"/>
    <w:rsid w:val="001E7335"/>
    <w:rsid w:val="001F17AD"/>
    <w:rsid w:val="001F4A57"/>
    <w:rsid w:val="001F5325"/>
    <w:rsid w:val="001F790F"/>
    <w:rsid w:val="00201E63"/>
    <w:rsid w:val="00201F77"/>
    <w:rsid w:val="0020200A"/>
    <w:rsid w:val="00204FC3"/>
    <w:rsid w:val="00205EC3"/>
    <w:rsid w:val="002069FE"/>
    <w:rsid w:val="00210255"/>
    <w:rsid w:val="00222276"/>
    <w:rsid w:val="00223815"/>
    <w:rsid w:val="00224675"/>
    <w:rsid w:val="002250E8"/>
    <w:rsid w:val="00226B70"/>
    <w:rsid w:val="00230AE2"/>
    <w:rsid w:val="00232336"/>
    <w:rsid w:val="0023571D"/>
    <w:rsid w:val="0023734D"/>
    <w:rsid w:val="00240CB2"/>
    <w:rsid w:val="00242999"/>
    <w:rsid w:val="0024486B"/>
    <w:rsid w:val="0024540B"/>
    <w:rsid w:val="00254CEE"/>
    <w:rsid w:val="002555D6"/>
    <w:rsid w:val="00255C1E"/>
    <w:rsid w:val="00256083"/>
    <w:rsid w:val="002565D1"/>
    <w:rsid w:val="00262C82"/>
    <w:rsid w:val="00263B04"/>
    <w:rsid w:val="00266714"/>
    <w:rsid w:val="00266A52"/>
    <w:rsid w:val="00277366"/>
    <w:rsid w:val="002818E2"/>
    <w:rsid w:val="0028359E"/>
    <w:rsid w:val="0029275E"/>
    <w:rsid w:val="002943E7"/>
    <w:rsid w:val="002A569E"/>
    <w:rsid w:val="002A56BE"/>
    <w:rsid w:val="002A5B63"/>
    <w:rsid w:val="002A615C"/>
    <w:rsid w:val="002A6F27"/>
    <w:rsid w:val="002A7029"/>
    <w:rsid w:val="002A70A4"/>
    <w:rsid w:val="002B33CD"/>
    <w:rsid w:val="002B642C"/>
    <w:rsid w:val="002B68F0"/>
    <w:rsid w:val="002B7E32"/>
    <w:rsid w:val="002C0665"/>
    <w:rsid w:val="002C17A9"/>
    <w:rsid w:val="002C272E"/>
    <w:rsid w:val="002C389C"/>
    <w:rsid w:val="002C4B2A"/>
    <w:rsid w:val="002C5EB3"/>
    <w:rsid w:val="002C6574"/>
    <w:rsid w:val="002D2A2F"/>
    <w:rsid w:val="002D3148"/>
    <w:rsid w:val="002D4CCA"/>
    <w:rsid w:val="002E019A"/>
    <w:rsid w:val="002E0C0E"/>
    <w:rsid w:val="002E44EE"/>
    <w:rsid w:val="002F27AB"/>
    <w:rsid w:val="002F6577"/>
    <w:rsid w:val="002F73A7"/>
    <w:rsid w:val="002F7815"/>
    <w:rsid w:val="00300B75"/>
    <w:rsid w:val="003020C9"/>
    <w:rsid w:val="00302596"/>
    <w:rsid w:val="003054AE"/>
    <w:rsid w:val="0030595A"/>
    <w:rsid w:val="00310C2F"/>
    <w:rsid w:val="00313B97"/>
    <w:rsid w:val="00315623"/>
    <w:rsid w:val="00342FB9"/>
    <w:rsid w:val="00344B8D"/>
    <w:rsid w:val="00346A3F"/>
    <w:rsid w:val="00347044"/>
    <w:rsid w:val="00353D66"/>
    <w:rsid w:val="003553BD"/>
    <w:rsid w:val="00355FEB"/>
    <w:rsid w:val="00356E41"/>
    <w:rsid w:val="00357D9F"/>
    <w:rsid w:val="00361D31"/>
    <w:rsid w:val="00365B05"/>
    <w:rsid w:val="00365BD8"/>
    <w:rsid w:val="003660A2"/>
    <w:rsid w:val="003672D5"/>
    <w:rsid w:val="00374E27"/>
    <w:rsid w:val="00383C33"/>
    <w:rsid w:val="0038557B"/>
    <w:rsid w:val="00392811"/>
    <w:rsid w:val="00392BA4"/>
    <w:rsid w:val="003939C7"/>
    <w:rsid w:val="00394A72"/>
    <w:rsid w:val="00395A4E"/>
    <w:rsid w:val="00395B9D"/>
    <w:rsid w:val="0039778D"/>
    <w:rsid w:val="003A55BF"/>
    <w:rsid w:val="003A70C5"/>
    <w:rsid w:val="003B1CA0"/>
    <w:rsid w:val="003B25B9"/>
    <w:rsid w:val="003C19AE"/>
    <w:rsid w:val="003C319A"/>
    <w:rsid w:val="003C324C"/>
    <w:rsid w:val="003C4528"/>
    <w:rsid w:val="003C4948"/>
    <w:rsid w:val="003D37D2"/>
    <w:rsid w:val="003E0916"/>
    <w:rsid w:val="003E397A"/>
    <w:rsid w:val="003E3AC3"/>
    <w:rsid w:val="003F010B"/>
    <w:rsid w:val="003F0BF7"/>
    <w:rsid w:val="003F352A"/>
    <w:rsid w:val="003F4483"/>
    <w:rsid w:val="003F451F"/>
    <w:rsid w:val="003F4CA6"/>
    <w:rsid w:val="00401559"/>
    <w:rsid w:val="004172DE"/>
    <w:rsid w:val="00421CB6"/>
    <w:rsid w:val="00422DD3"/>
    <w:rsid w:val="00426D27"/>
    <w:rsid w:val="00427B34"/>
    <w:rsid w:val="00431AF9"/>
    <w:rsid w:val="00437752"/>
    <w:rsid w:val="00437E21"/>
    <w:rsid w:val="00440916"/>
    <w:rsid w:val="004512C4"/>
    <w:rsid w:val="004536BA"/>
    <w:rsid w:val="00453A83"/>
    <w:rsid w:val="00454EA4"/>
    <w:rsid w:val="0045600F"/>
    <w:rsid w:val="00462B99"/>
    <w:rsid w:val="0046565C"/>
    <w:rsid w:val="0046646B"/>
    <w:rsid w:val="00466A51"/>
    <w:rsid w:val="00466E04"/>
    <w:rsid w:val="004670EA"/>
    <w:rsid w:val="00467845"/>
    <w:rsid w:val="00467943"/>
    <w:rsid w:val="0047021D"/>
    <w:rsid w:val="00470907"/>
    <w:rsid w:val="00472A73"/>
    <w:rsid w:val="00473EE2"/>
    <w:rsid w:val="0047566C"/>
    <w:rsid w:val="0048170C"/>
    <w:rsid w:val="0048524C"/>
    <w:rsid w:val="00485CAD"/>
    <w:rsid w:val="00486DE7"/>
    <w:rsid w:val="00491308"/>
    <w:rsid w:val="0049189B"/>
    <w:rsid w:val="00492FE0"/>
    <w:rsid w:val="004931E7"/>
    <w:rsid w:val="004940D8"/>
    <w:rsid w:val="00495261"/>
    <w:rsid w:val="0049719C"/>
    <w:rsid w:val="004A68A3"/>
    <w:rsid w:val="004B6F4E"/>
    <w:rsid w:val="004C03BF"/>
    <w:rsid w:val="004C1A04"/>
    <w:rsid w:val="004C2CCC"/>
    <w:rsid w:val="004C5CA5"/>
    <w:rsid w:val="004C5D3F"/>
    <w:rsid w:val="004C6768"/>
    <w:rsid w:val="004D1FA3"/>
    <w:rsid w:val="004E05ED"/>
    <w:rsid w:val="004E3576"/>
    <w:rsid w:val="004F18BE"/>
    <w:rsid w:val="004F1A32"/>
    <w:rsid w:val="004F75CA"/>
    <w:rsid w:val="0050190A"/>
    <w:rsid w:val="005075D8"/>
    <w:rsid w:val="005076B6"/>
    <w:rsid w:val="00513538"/>
    <w:rsid w:val="00520230"/>
    <w:rsid w:val="005205A7"/>
    <w:rsid w:val="00526B22"/>
    <w:rsid w:val="00527D41"/>
    <w:rsid w:val="0053082C"/>
    <w:rsid w:val="00532111"/>
    <w:rsid w:val="005323C2"/>
    <w:rsid w:val="00533F06"/>
    <w:rsid w:val="00534836"/>
    <w:rsid w:val="005427A7"/>
    <w:rsid w:val="00543268"/>
    <w:rsid w:val="005459E8"/>
    <w:rsid w:val="00551248"/>
    <w:rsid w:val="00555133"/>
    <w:rsid w:val="0055561D"/>
    <w:rsid w:val="00557CBC"/>
    <w:rsid w:val="0056062B"/>
    <w:rsid w:val="005626CD"/>
    <w:rsid w:val="00562D92"/>
    <w:rsid w:val="0056304F"/>
    <w:rsid w:val="00565EA9"/>
    <w:rsid w:val="0056649D"/>
    <w:rsid w:val="0056682B"/>
    <w:rsid w:val="00567D8C"/>
    <w:rsid w:val="0057163C"/>
    <w:rsid w:val="00572FD7"/>
    <w:rsid w:val="005832A6"/>
    <w:rsid w:val="005836D4"/>
    <w:rsid w:val="00584E69"/>
    <w:rsid w:val="0058651A"/>
    <w:rsid w:val="00595E1E"/>
    <w:rsid w:val="00596C26"/>
    <w:rsid w:val="00597592"/>
    <w:rsid w:val="00597C53"/>
    <w:rsid w:val="005A1A88"/>
    <w:rsid w:val="005A3D26"/>
    <w:rsid w:val="005A417A"/>
    <w:rsid w:val="005B0A14"/>
    <w:rsid w:val="005B1701"/>
    <w:rsid w:val="005B325D"/>
    <w:rsid w:val="005C025F"/>
    <w:rsid w:val="005C2F9E"/>
    <w:rsid w:val="005C51F9"/>
    <w:rsid w:val="005D002A"/>
    <w:rsid w:val="005D0921"/>
    <w:rsid w:val="005D0AF3"/>
    <w:rsid w:val="005D11FA"/>
    <w:rsid w:val="005D23BB"/>
    <w:rsid w:val="005E4E21"/>
    <w:rsid w:val="005E7470"/>
    <w:rsid w:val="005F5278"/>
    <w:rsid w:val="005F6B98"/>
    <w:rsid w:val="006008B9"/>
    <w:rsid w:val="00605005"/>
    <w:rsid w:val="006051D3"/>
    <w:rsid w:val="00607190"/>
    <w:rsid w:val="0061043D"/>
    <w:rsid w:val="00620EC1"/>
    <w:rsid w:val="00622D7E"/>
    <w:rsid w:val="006258FC"/>
    <w:rsid w:val="00625EEB"/>
    <w:rsid w:val="00626105"/>
    <w:rsid w:val="006268EC"/>
    <w:rsid w:val="006312FA"/>
    <w:rsid w:val="00632F1C"/>
    <w:rsid w:val="00635B6F"/>
    <w:rsid w:val="006370B2"/>
    <w:rsid w:val="00643C9C"/>
    <w:rsid w:val="00644CCF"/>
    <w:rsid w:val="0065278E"/>
    <w:rsid w:val="006560F4"/>
    <w:rsid w:val="00667F30"/>
    <w:rsid w:val="00672C2B"/>
    <w:rsid w:val="006730FE"/>
    <w:rsid w:val="00675F77"/>
    <w:rsid w:val="00681078"/>
    <w:rsid w:val="0068133D"/>
    <w:rsid w:val="00682921"/>
    <w:rsid w:val="006877FC"/>
    <w:rsid w:val="00691635"/>
    <w:rsid w:val="00695153"/>
    <w:rsid w:val="00695C4D"/>
    <w:rsid w:val="00696A51"/>
    <w:rsid w:val="00697D70"/>
    <w:rsid w:val="006A30F3"/>
    <w:rsid w:val="006A32C9"/>
    <w:rsid w:val="006A49DE"/>
    <w:rsid w:val="006A5732"/>
    <w:rsid w:val="006B089F"/>
    <w:rsid w:val="006B5A1D"/>
    <w:rsid w:val="006B6E81"/>
    <w:rsid w:val="006C0EB2"/>
    <w:rsid w:val="006C2766"/>
    <w:rsid w:val="006C41C8"/>
    <w:rsid w:val="006D00B3"/>
    <w:rsid w:val="006D0C71"/>
    <w:rsid w:val="006D5F6E"/>
    <w:rsid w:val="006D6C53"/>
    <w:rsid w:val="006D76C7"/>
    <w:rsid w:val="006D7DCF"/>
    <w:rsid w:val="006E1A19"/>
    <w:rsid w:val="006E628A"/>
    <w:rsid w:val="006E6DF0"/>
    <w:rsid w:val="006E7C82"/>
    <w:rsid w:val="006F1461"/>
    <w:rsid w:val="006F3D6C"/>
    <w:rsid w:val="006F4966"/>
    <w:rsid w:val="006F4B7C"/>
    <w:rsid w:val="006F4E2B"/>
    <w:rsid w:val="006F5E29"/>
    <w:rsid w:val="006F770F"/>
    <w:rsid w:val="00702736"/>
    <w:rsid w:val="00704DD2"/>
    <w:rsid w:val="00705536"/>
    <w:rsid w:val="00707B27"/>
    <w:rsid w:val="00710364"/>
    <w:rsid w:val="00710DDB"/>
    <w:rsid w:val="00712D88"/>
    <w:rsid w:val="007170EF"/>
    <w:rsid w:val="0072286B"/>
    <w:rsid w:val="00725639"/>
    <w:rsid w:val="00732136"/>
    <w:rsid w:val="00735957"/>
    <w:rsid w:val="00735994"/>
    <w:rsid w:val="00735D41"/>
    <w:rsid w:val="00735E18"/>
    <w:rsid w:val="00736B27"/>
    <w:rsid w:val="00742FB7"/>
    <w:rsid w:val="007432E3"/>
    <w:rsid w:val="00743ECF"/>
    <w:rsid w:val="007475AE"/>
    <w:rsid w:val="00747D7B"/>
    <w:rsid w:val="00750087"/>
    <w:rsid w:val="00750095"/>
    <w:rsid w:val="00754AE3"/>
    <w:rsid w:val="00754E5F"/>
    <w:rsid w:val="00755270"/>
    <w:rsid w:val="0075566C"/>
    <w:rsid w:val="00755ABA"/>
    <w:rsid w:val="007575E3"/>
    <w:rsid w:val="007616D6"/>
    <w:rsid w:val="00762753"/>
    <w:rsid w:val="007629F6"/>
    <w:rsid w:val="00764779"/>
    <w:rsid w:val="00764FC5"/>
    <w:rsid w:val="00765DF6"/>
    <w:rsid w:val="00767AD2"/>
    <w:rsid w:val="00770BB2"/>
    <w:rsid w:val="00772A4F"/>
    <w:rsid w:val="00772F3B"/>
    <w:rsid w:val="00776672"/>
    <w:rsid w:val="00782C24"/>
    <w:rsid w:val="007854A6"/>
    <w:rsid w:val="007905B7"/>
    <w:rsid w:val="0079356B"/>
    <w:rsid w:val="00794A2E"/>
    <w:rsid w:val="00797307"/>
    <w:rsid w:val="007A131A"/>
    <w:rsid w:val="007A4916"/>
    <w:rsid w:val="007B2889"/>
    <w:rsid w:val="007B3471"/>
    <w:rsid w:val="007B542B"/>
    <w:rsid w:val="007C1434"/>
    <w:rsid w:val="007C1745"/>
    <w:rsid w:val="007C1A69"/>
    <w:rsid w:val="007C5284"/>
    <w:rsid w:val="007C5437"/>
    <w:rsid w:val="007C6FC5"/>
    <w:rsid w:val="007C7EE9"/>
    <w:rsid w:val="007D0365"/>
    <w:rsid w:val="007D65A5"/>
    <w:rsid w:val="007D7F35"/>
    <w:rsid w:val="007E086B"/>
    <w:rsid w:val="007E6158"/>
    <w:rsid w:val="007F0CC6"/>
    <w:rsid w:val="007F59BF"/>
    <w:rsid w:val="007F5ABA"/>
    <w:rsid w:val="007F5B8C"/>
    <w:rsid w:val="007F6A3A"/>
    <w:rsid w:val="007F7B83"/>
    <w:rsid w:val="007F7F9B"/>
    <w:rsid w:val="0080253F"/>
    <w:rsid w:val="00803296"/>
    <w:rsid w:val="00803A2F"/>
    <w:rsid w:val="0080431A"/>
    <w:rsid w:val="00804F1A"/>
    <w:rsid w:val="00807766"/>
    <w:rsid w:val="00807AF6"/>
    <w:rsid w:val="008133D6"/>
    <w:rsid w:val="00813F8A"/>
    <w:rsid w:val="008208A2"/>
    <w:rsid w:val="0082133E"/>
    <w:rsid w:val="00846119"/>
    <w:rsid w:val="008461CD"/>
    <w:rsid w:val="00846A1E"/>
    <w:rsid w:val="00850686"/>
    <w:rsid w:val="00850B1A"/>
    <w:rsid w:val="0085116E"/>
    <w:rsid w:val="00861202"/>
    <w:rsid w:val="00861DFD"/>
    <w:rsid w:val="00867C10"/>
    <w:rsid w:val="00873004"/>
    <w:rsid w:val="0087634F"/>
    <w:rsid w:val="00877B1D"/>
    <w:rsid w:val="00880D50"/>
    <w:rsid w:val="0088250F"/>
    <w:rsid w:val="00882F77"/>
    <w:rsid w:val="008842C2"/>
    <w:rsid w:val="0088677E"/>
    <w:rsid w:val="00890FEA"/>
    <w:rsid w:val="00891FC4"/>
    <w:rsid w:val="00893E67"/>
    <w:rsid w:val="00895A31"/>
    <w:rsid w:val="008A0D13"/>
    <w:rsid w:val="008A4655"/>
    <w:rsid w:val="008A5435"/>
    <w:rsid w:val="008A6B82"/>
    <w:rsid w:val="008A7AB4"/>
    <w:rsid w:val="008B2C31"/>
    <w:rsid w:val="008B7A3A"/>
    <w:rsid w:val="008C2518"/>
    <w:rsid w:val="008C4037"/>
    <w:rsid w:val="008C72D3"/>
    <w:rsid w:val="008C7B9F"/>
    <w:rsid w:val="008D21A2"/>
    <w:rsid w:val="008D5F4B"/>
    <w:rsid w:val="008D6D22"/>
    <w:rsid w:val="008D7DE6"/>
    <w:rsid w:val="008E071E"/>
    <w:rsid w:val="008E4267"/>
    <w:rsid w:val="008F1DE7"/>
    <w:rsid w:val="008F2012"/>
    <w:rsid w:val="008F298A"/>
    <w:rsid w:val="008F61B0"/>
    <w:rsid w:val="008F78C8"/>
    <w:rsid w:val="008F7972"/>
    <w:rsid w:val="00903042"/>
    <w:rsid w:val="009031F8"/>
    <w:rsid w:val="00907A5A"/>
    <w:rsid w:val="00912FAB"/>
    <w:rsid w:val="009148D5"/>
    <w:rsid w:val="00922018"/>
    <w:rsid w:val="00923904"/>
    <w:rsid w:val="00927976"/>
    <w:rsid w:val="00940B46"/>
    <w:rsid w:val="00945C3B"/>
    <w:rsid w:val="00945CAF"/>
    <w:rsid w:val="0095244D"/>
    <w:rsid w:val="00957F8D"/>
    <w:rsid w:val="00962AAB"/>
    <w:rsid w:val="009706B0"/>
    <w:rsid w:val="00971390"/>
    <w:rsid w:val="009727BF"/>
    <w:rsid w:val="00977F99"/>
    <w:rsid w:val="009818CB"/>
    <w:rsid w:val="009837E2"/>
    <w:rsid w:val="00986B21"/>
    <w:rsid w:val="00986D03"/>
    <w:rsid w:val="00993585"/>
    <w:rsid w:val="00994EA5"/>
    <w:rsid w:val="009A1D20"/>
    <w:rsid w:val="009A48CC"/>
    <w:rsid w:val="009A4DB4"/>
    <w:rsid w:val="009A5648"/>
    <w:rsid w:val="009A5B17"/>
    <w:rsid w:val="009B034C"/>
    <w:rsid w:val="009B0812"/>
    <w:rsid w:val="009B39C1"/>
    <w:rsid w:val="009B6788"/>
    <w:rsid w:val="009C4260"/>
    <w:rsid w:val="009C5F55"/>
    <w:rsid w:val="009D4758"/>
    <w:rsid w:val="009E3577"/>
    <w:rsid w:val="009F1D9B"/>
    <w:rsid w:val="009F51EE"/>
    <w:rsid w:val="00A01C65"/>
    <w:rsid w:val="00A02382"/>
    <w:rsid w:val="00A050FC"/>
    <w:rsid w:val="00A05B52"/>
    <w:rsid w:val="00A0618E"/>
    <w:rsid w:val="00A07FE0"/>
    <w:rsid w:val="00A22791"/>
    <w:rsid w:val="00A26717"/>
    <w:rsid w:val="00A273D8"/>
    <w:rsid w:val="00A333D4"/>
    <w:rsid w:val="00A431E6"/>
    <w:rsid w:val="00A4480B"/>
    <w:rsid w:val="00A461BE"/>
    <w:rsid w:val="00A5155B"/>
    <w:rsid w:val="00A523DC"/>
    <w:rsid w:val="00A55569"/>
    <w:rsid w:val="00A562BE"/>
    <w:rsid w:val="00A60511"/>
    <w:rsid w:val="00A62104"/>
    <w:rsid w:val="00A70698"/>
    <w:rsid w:val="00A711CD"/>
    <w:rsid w:val="00A73005"/>
    <w:rsid w:val="00A734A7"/>
    <w:rsid w:val="00A74074"/>
    <w:rsid w:val="00A8221D"/>
    <w:rsid w:val="00A82441"/>
    <w:rsid w:val="00A82FFF"/>
    <w:rsid w:val="00A87BFA"/>
    <w:rsid w:val="00A9651F"/>
    <w:rsid w:val="00A97790"/>
    <w:rsid w:val="00AA0818"/>
    <w:rsid w:val="00AA19A6"/>
    <w:rsid w:val="00AA3A52"/>
    <w:rsid w:val="00AA5AD6"/>
    <w:rsid w:val="00AA6683"/>
    <w:rsid w:val="00AB3CD0"/>
    <w:rsid w:val="00AB7368"/>
    <w:rsid w:val="00AC2EEF"/>
    <w:rsid w:val="00AC6C94"/>
    <w:rsid w:val="00AD076F"/>
    <w:rsid w:val="00AD1DBA"/>
    <w:rsid w:val="00AD2887"/>
    <w:rsid w:val="00AD55CE"/>
    <w:rsid w:val="00AD5836"/>
    <w:rsid w:val="00AD58FE"/>
    <w:rsid w:val="00AE149D"/>
    <w:rsid w:val="00AE5737"/>
    <w:rsid w:val="00AE7CB8"/>
    <w:rsid w:val="00AE7E32"/>
    <w:rsid w:val="00B00147"/>
    <w:rsid w:val="00B00A42"/>
    <w:rsid w:val="00B0348D"/>
    <w:rsid w:val="00B10E27"/>
    <w:rsid w:val="00B10F5D"/>
    <w:rsid w:val="00B14DA3"/>
    <w:rsid w:val="00B168E8"/>
    <w:rsid w:val="00B220A5"/>
    <w:rsid w:val="00B23802"/>
    <w:rsid w:val="00B2640F"/>
    <w:rsid w:val="00B2715B"/>
    <w:rsid w:val="00B306DA"/>
    <w:rsid w:val="00B31849"/>
    <w:rsid w:val="00B33DCF"/>
    <w:rsid w:val="00B40746"/>
    <w:rsid w:val="00B4295A"/>
    <w:rsid w:val="00B543DA"/>
    <w:rsid w:val="00B55D14"/>
    <w:rsid w:val="00B561C2"/>
    <w:rsid w:val="00B56F23"/>
    <w:rsid w:val="00B570AE"/>
    <w:rsid w:val="00B57CD1"/>
    <w:rsid w:val="00B6426B"/>
    <w:rsid w:val="00B64528"/>
    <w:rsid w:val="00B64D26"/>
    <w:rsid w:val="00B65A64"/>
    <w:rsid w:val="00B66D8D"/>
    <w:rsid w:val="00B731CD"/>
    <w:rsid w:val="00B8094C"/>
    <w:rsid w:val="00B80F68"/>
    <w:rsid w:val="00B83141"/>
    <w:rsid w:val="00B83FDB"/>
    <w:rsid w:val="00B86F49"/>
    <w:rsid w:val="00B90C3F"/>
    <w:rsid w:val="00B95846"/>
    <w:rsid w:val="00B95CA3"/>
    <w:rsid w:val="00B96224"/>
    <w:rsid w:val="00BA1924"/>
    <w:rsid w:val="00BA5E44"/>
    <w:rsid w:val="00BA7304"/>
    <w:rsid w:val="00BB03B4"/>
    <w:rsid w:val="00BB0585"/>
    <w:rsid w:val="00BB0ADB"/>
    <w:rsid w:val="00BB2352"/>
    <w:rsid w:val="00BC5BA9"/>
    <w:rsid w:val="00BC74B6"/>
    <w:rsid w:val="00BD75C2"/>
    <w:rsid w:val="00BE0BBB"/>
    <w:rsid w:val="00BF02F5"/>
    <w:rsid w:val="00BF2EA0"/>
    <w:rsid w:val="00BF3D64"/>
    <w:rsid w:val="00BF593B"/>
    <w:rsid w:val="00BF637E"/>
    <w:rsid w:val="00C0127A"/>
    <w:rsid w:val="00C012A1"/>
    <w:rsid w:val="00C0149D"/>
    <w:rsid w:val="00C073B5"/>
    <w:rsid w:val="00C10850"/>
    <w:rsid w:val="00C11AF3"/>
    <w:rsid w:val="00C1317A"/>
    <w:rsid w:val="00C14F1E"/>
    <w:rsid w:val="00C1616A"/>
    <w:rsid w:val="00C1632E"/>
    <w:rsid w:val="00C3189E"/>
    <w:rsid w:val="00C3772D"/>
    <w:rsid w:val="00C37A65"/>
    <w:rsid w:val="00C43339"/>
    <w:rsid w:val="00C44E71"/>
    <w:rsid w:val="00C503E9"/>
    <w:rsid w:val="00C516BB"/>
    <w:rsid w:val="00C53944"/>
    <w:rsid w:val="00C568EB"/>
    <w:rsid w:val="00C5760A"/>
    <w:rsid w:val="00C57FCF"/>
    <w:rsid w:val="00C61DFA"/>
    <w:rsid w:val="00C62AF1"/>
    <w:rsid w:val="00C635A4"/>
    <w:rsid w:val="00C70094"/>
    <w:rsid w:val="00C70DC1"/>
    <w:rsid w:val="00C710A0"/>
    <w:rsid w:val="00C71962"/>
    <w:rsid w:val="00C73F88"/>
    <w:rsid w:val="00C74806"/>
    <w:rsid w:val="00C75870"/>
    <w:rsid w:val="00C76131"/>
    <w:rsid w:val="00C77F0A"/>
    <w:rsid w:val="00C8309B"/>
    <w:rsid w:val="00C925CE"/>
    <w:rsid w:val="00C93BB4"/>
    <w:rsid w:val="00C942A2"/>
    <w:rsid w:val="00C9440A"/>
    <w:rsid w:val="00C947D1"/>
    <w:rsid w:val="00C965B0"/>
    <w:rsid w:val="00C97622"/>
    <w:rsid w:val="00CA3420"/>
    <w:rsid w:val="00CA3E88"/>
    <w:rsid w:val="00CB047D"/>
    <w:rsid w:val="00CB1119"/>
    <w:rsid w:val="00CB1171"/>
    <w:rsid w:val="00CB19D3"/>
    <w:rsid w:val="00CB4AB7"/>
    <w:rsid w:val="00CB580C"/>
    <w:rsid w:val="00CB6285"/>
    <w:rsid w:val="00CC0052"/>
    <w:rsid w:val="00CC289A"/>
    <w:rsid w:val="00CC2A01"/>
    <w:rsid w:val="00CC3BB8"/>
    <w:rsid w:val="00CC5947"/>
    <w:rsid w:val="00CC662C"/>
    <w:rsid w:val="00CD42B9"/>
    <w:rsid w:val="00CD790A"/>
    <w:rsid w:val="00CE107A"/>
    <w:rsid w:val="00CE526D"/>
    <w:rsid w:val="00CF0002"/>
    <w:rsid w:val="00CF0409"/>
    <w:rsid w:val="00CF0654"/>
    <w:rsid w:val="00CF1EF9"/>
    <w:rsid w:val="00CF2410"/>
    <w:rsid w:val="00CF59B2"/>
    <w:rsid w:val="00CF656D"/>
    <w:rsid w:val="00D01FCB"/>
    <w:rsid w:val="00D0220B"/>
    <w:rsid w:val="00D0384D"/>
    <w:rsid w:val="00D039FA"/>
    <w:rsid w:val="00D05078"/>
    <w:rsid w:val="00D12287"/>
    <w:rsid w:val="00D20BD9"/>
    <w:rsid w:val="00D21073"/>
    <w:rsid w:val="00D22C5D"/>
    <w:rsid w:val="00D233C0"/>
    <w:rsid w:val="00D252D6"/>
    <w:rsid w:val="00D30E72"/>
    <w:rsid w:val="00D35EEF"/>
    <w:rsid w:val="00D363F4"/>
    <w:rsid w:val="00D411E7"/>
    <w:rsid w:val="00D434B8"/>
    <w:rsid w:val="00D43F79"/>
    <w:rsid w:val="00D45099"/>
    <w:rsid w:val="00D537C5"/>
    <w:rsid w:val="00D543A7"/>
    <w:rsid w:val="00D55C21"/>
    <w:rsid w:val="00D56CC2"/>
    <w:rsid w:val="00D62B2C"/>
    <w:rsid w:val="00D72685"/>
    <w:rsid w:val="00D72CEF"/>
    <w:rsid w:val="00D72D3B"/>
    <w:rsid w:val="00D75406"/>
    <w:rsid w:val="00D773A0"/>
    <w:rsid w:val="00D7752E"/>
    <w:rsid w:val="00D8089D"/>
    <w:rsid w:val="00D82372"/>
    <w:rsid w:val="00D84F06"/>
    <w:rsid w:val="00D84F11"/>
    <w:rsid w:val="00D860DD"/>
    <w:rsid w:val="00D873D2"/>
    <w:rsid w:val="00D8764F"/>
    <w:rsid w:val="00D90430"/>
    <w:rsid w:val="00D953B8"/>
    <w:rsid w:val="00D967AB"/>
    <w:rsid w:val="00DA19EE"/>
    <w:rsid w:val="00DA3288"/>
    <w:rsid w:val="00DA7F28"/>
    <w:rsid w:val="00DB0DE8"/>
    <w:rsid w:val="00DB4D34"/>
    <w:rsid w:val="00DB7404"/>
    <w:rsid w:val="00DC2C8E"/>
    <w:rsid w:val="00DD1DE5"/>
    <w:rsid w:val="00DD2B51"/>
    <w:rsid w:val="00DD70D6"/>
    <w:rsid w:val="00DE0A52"/>
    <w:rsid w:val="00DE3E8C"/>
    <w:rsid w:val="00DF07FA"/>
    <w:rsid w:val="00DF23ED"/>
    <w:rsid w:val="00DF36E2"/>
    <w:rsid w:val="00DF3D61"/>
    <w:rsid w:val="00DF543B"/>
    <w:rsid w:val="00E00AE6"/>
    <w:rsid w:val="00E03431"/>
    <w:rsid w:val="00E04002"/>
    <w:rsid w:val="00E10490"/>
    <w:rsid w:val="00E12A06"/>
    <w:rsid w:val="00E13351"/>
    <w:rsid w:val="00E20BF5"/>
    <w:rsid w:val="00E23F6F"/>
    <w:rsid w:val="00E24734"/>
    <w:rsid w:val="00E24CBF"/>
    <w:rsid w:val="00E30F46"/>
    <w:rsid w:val="00E343B7"/>
    <w:rsid w:val="00E37F6B"/>
    <w:rsid w:val="00E401D9"/>
    <w:rsid w:val="00E43091"/>
    <w:rsid w:val="00E45083"/>
    <w:rsid w:val="00E51A38"/>
    <w:rsid w:val="00E60E7C"/>
    <w:rsid w:val="00E67AD2"/>
    <w:rsid w:val="00E72735"/>
    <w:rsid w:val="00E72E06"/>
    <w:rsid w:val="00E73D58"/>
    <w:rsid w:val="00E76371"/>
    <w:rsid w:val="00E76C84"/>
    <w:rsid w:val="00E8002B"/>
    <w:rsid w:val="00E80883"/>
    <w:rsid w:val="00E80FD5"/>
    <w:rsid w:val="00E83C08"/>
    <w:rsid w:val="00E902EF"/>
    <w:rsid w:val="00E928B0"/>
    <w:rsid w:val="00E942B9"/>
    <w:rsid w:val="00EA2EB9"/>
    <w:rsid w:val="00EA6E56"/>
    <w:rsid w:val="00EA791F"/>
    <w:rsid w:val="00EB2B00"/>
    <w:rsid w:val="00EB3405"/>
    <w:rsid w:val="00EB5AE8"/>
    <w:rsid w:val="00EC04FD"/>
    <w:rsid w:val="00EC09B2"/>
    <w:rsid w:val="00EC31C0"/>
    <w:rsid w:val="00ED0E55"/>
    <w:rsid w:val="00EE10A1"/>
    <w:rsid w:val="00EE33B4"/>
    <w:rsid w:val="00EE54F2"/>
    <w:rsid w:val="00EE741F"/>
    <w:rsid w:val="00EF1CED"/>
    <w:rsid w:val="00EF485B"/>
    <w:rsid w:val="00EF5611"/>
    <w:rsid w:val="00EF70F6"/>
    <w:rsid w:val="00F045F9"/>
    <w:rsid w:val="00F06768"/>
    <w:rsid w:val="00F07FF3"/>
    <w:rsid w:val="00F12A58"/>
    <w:rsid w:val="00F16011"/>
    <w:rsid w:val="00F1696F"/>
    <w:rsid w:val="00F171E4"/>
    <w:rsid w:val="00F176FB"/>
    <w:rsid w:val="00F210EC"/>
    <w:rsid w:val="00F2351D"/>
    <w:rsid w:val="00F2413B"/>
    <w:rsid w:val="00F26181"/>
    <w:rsid w:val="00F33972"/>
    <w:rsid w:val="00F36BEB"/>
    <w:rsid w:val="00F3797B"/>
    <w:rsid w:val="00F4038A"/>
    <w:rsid w:val="00F45847"/>
    <w:rsid w:val="00F45B2B"/>
    <w:rsid w:val="00F474EE"/>
    <w:rsid w:val="00F51151"/>
    <w:rsid w:val="00F547F6"/>
    <w:rsid w:val="00F54AB7"/>
    <w:rsid w:val="00F55265"/>
    <w:rsid w:val="00F5549A"/>
    <w:rsid w:val="00F62DF0"/>
    <w:rsid w:val="00F75DFF"/>
    <w:rsid w:val="00F8022A"/>
    <w:rsid w:val="00F82B55"/>
    <w:rsid w:val="00F84EB0"/>
    <w:rsid w:val="00F85836"/>
    <w:rsid w:val="00F85AAF"/>
    <w:rsid w:val="00F941D9"/>
    <w:rsid w:val="00F950C7"/>
    <w:rsid w:val="00FA45B1"/>
    <w:rsid w:val="00FA688C"/>
    <w:rsid w:val="00FA721B"/>
    <w:rsid w:val="00FB1559"/>
    <w:rsid w:val="00FB16F5"/>
    <w:rsid w:val="00FC1FED"/>
    <w:rsid w:val="00FC4F3B"/>
    <w:rsid w:val="00FC7534"/>
    <w:rsid w:val="00FD13B6"/>
    <w:rsid w:val="00FD2E2A"/>
    <w:rsid w:val="00FE3118"/>
    <w:rsid w:val="00FE4B41"/>
    <w:rsid w:val="00FF0318"/>
    <w:rsid w:val="00FF0728"/>
    <w:rsid w:val="00FF0C91"/>
    <w:rsid w:val="00FF13C4"/>
    <w:rsid w:val="00FF141A"/>
    <w:rsid w:val="00FF5959"/>
    <w:rsid w:val="00FF6827"/>
    <w:rsid w:val="00FF696E"/>
    <w:rsid w:val="00FF78FF"/>
    <w:rsid w:val="00FF7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lsdException w:name="Title" w:semiHidden="0" w:uiPriority="0" w:unhideWhenUsed="0" w:qFormat="1"/>
    <w:lsdException w:name="Default Paragraph Font" w:uiPriority="1"/>
    <w:lsdException w:name="Subtitle" w:semiHidden="0" w:uiPriority="2"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34A7"/>
    <w:rPr>
      <w:rFonts w:ascii="Calibri" w:hAnsi="Calibri" w:cs="Times New Roman"/>
      <w:szCs w:val="24"/>
    </w:rPr>
  </w:style>
  <w:style w:type="paragraph" w:styleId="Heading1">
    <w:name w:val="heading 1"/>
    <w:basedOn w:val="Normal"/>
    <w:next w:val="Normal"/>
    <w:link w:val="Heading1Char"/>
    <w:uiPriority w:val="9"/>
    <w:qFormat/>
    <w:rsid w:val="00B2715B"/>
    <w:pPr>
      <w:keepNext/>
      <w:spacing w:after="240"/>
      <w:outlineLvl w:val="0"/>
    </w:pPr>
    <w:rPr>
      <w:rFonts w:eastAsia="Times New Roman"/>
      <w:b/>
      <w:caps/>
      <w:sz w:val="32"/>
      <w:szCs w:val="20"/>
      <w:lang w:eastAsia="en-AU"/>
    </w:rPr>
  </w:style>
  <w:style w:type="paragraph" w:styleId="Heading2">
    <w:name w:val="heading 2"/>
    <w:basedOn w:val="Normal"/>
    <w:next w:val="Normal"/>
    <w:link w:val="Heading2Char"/>
    <w:uiPriority w:val="9"/>
    <w:unhideWhenUsed/>
    <w:qFormat/>
    <w:rsid w:val="00B2715B"/>
    <w:pPr>
      <w:keepNext/>
      <w:spacing w:before="120" w:after="240"/>
      <w:outlineLvl w:val="1"/>
    </w:pPr>
    <w:rPr>
      <w:b/>
      <w:sz w:val="32"/>
    </w:rPr>
  </w:style>
  <w:style w:type="paragraph" w:styleId="Heading3">
    <w:name w:val="heading 3"/>
    <w:basedOn w:val="Normal"/>
    <w:next w:val="Normal"/>
    <w:link w:val="Heading3Char"/>
    <w:uiPriority w:val="9"/>
    <w:unhideWhenUsed/>
    <w:qFormat/>
    <w:rsid w:val="008461CD"/>
    <w:pPr>
      <w:keepNext/>
      <w:keepLines/>
      <w:spacing w:before="200" w:after="0"/>
      <w:outlineLvl w:val="2"/>
    </w:pPr>
    <w:rPr>
      <w:rFonts w:eastAsiaTheme="majorEastAsia" w:cstheme="majorBidi"/>
      <w:b/>
      <w:bCs/>
      <w:i/>
    </w:rPr>
  </w:style>
  <w:style w:type="paragraph" w:styleId="Heading4">
    <w:name w:val="heading 4"/>
    <w:basedOn w:val="Heading3"/>
    <w:next w:val="Normal"/>
    <w:link w:val="Heading4Char"/>
    <w:uiPriority w:val="9"/>
    <w:unhideWhenUsed/>
    <w:rsid w:val="008461CD"/>
    <w:pPr>
      <w:spacing w:after="120"/>
      <w:outlineLvl w:val="3"/>
    </w:pPr>
    <w:rPr>
      <w:b w:val="0"/>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715B"/>
    <w:rPr>
      <w:rFonts w:ascii="Times New Roman" w:hAnsi="Times New Roman" w:cs="Times New Roman"/>
      <w:b/>
      <w:sz w:val="32"/>
      <w:szCs w:val="24"/>
    </w:rPr>
  </w:style>
  <w:style w:type="paragraph" w:customStyle="1" w:styleId="ChartandTableFootnoteAlpha">
    <w:name w:val="Chart and Table Footnote Alpha"/>
    <w:basedOn w:val="Normal"/>
    <w:next w:val="Normal"/>
    <w:rsid w:val="00891FC4"/>
    <w:pPr>
      <w:keepLines/>
      <w:numPr>
        <w:numId w:val="2"/>
      </w:numPr>
      <w:spacing w:after="0"/>
      <w:jc w:val="both"/>
    </w:pPr>
    <w:rPr>
      <w:rFonts w:ascii="Arial" w:eastAsia="Times New Roman" w:hAnsi="Arial"/>
      <w:sz w:val="16"/>
      <w:szCs w:val="20"/>
      <w:lang w:eastAsia="en-AU"/>
    </w:rPr>
  </w:style>
  <w:style w:type="paragraph" w:styleId="Caption">
    <w:name w:val="caption"/>
    <w:basedOn w:val="Normal"/>
    <w:next w:val="Normal"/>
    <w:link w:val="CaptionChar"/>
    <w:rsid w:val="00891FC4"/>
    <w:pPr>
      <w:keepNext/>
      <w:keepLines/>
      <w:spacing w:line="260" w:lineRule="exact"/>
      <w:jc w:val="both"/>
    </w:pPr>
    <w:rPr>
      <w:rFonts w:eastAsia="Times New Roman"/>
      <w:b/>
      <w:bCs/>
      <w:szCs w:val="20"/>
      <w:lang w:eastAsia="en-AU"/>
    </w:rPr>
  </w:style>
  <w:style w:type="character" w:customStyle="1" w:styleId="CaptionChar">
    <w:name w:val="Caption Char"/>
    <w:basedOn w:val="DefaultParagraphFont"/>
    <w:link w:val="Caption"/>
    <w:locked/>
    <w:rsid w:val="00891FC4"/>
    <w:rPr>
      <w:rFonts w:ascii="Times New Roman" w:eastAsia="Times New Roman" w:hAnsi="Times New Roman" w:cs="Times New Roman"/>
      <w:b/>
      <w:bCs/>
      <w:sz w:val="24"/>
      <w:szCs w:val="20"/>
      <w:lang w:eastAsia="en-AU"/>
    </w:rPr>
  </w:style>
  <w:style w:type="character" w:customStyle="1" w:styleId="Heading1Char">
    <w:name w:val="Heading 1 Char"/>
    <w:basedOn w:val="DefaultParagraphFont"/>
    <w:link w:val="Heading1"/>
    <w:uiPriority w:val="9"/>
    <w:rsid w:val="00B2715B"/>
    <w:rPr>
      <w:rFonts w:ascii="Times New Roman" w:eastAsia="Times New Roman" w:hAnsi="Times New Roman" w:cs="Times New Roman"/>
      <w:b/>
      <w:caps/>
      <w:sz w:val="32"/>
      <w:szCs w:val="20"/>
      <w:lang w:eastAsia="en-AU"/>
    </w:rPr>
  </w:style>
  <w:style w:type="character" w:customStyle="1" w:styleId="Heading4Char">
    <w:name w:val="Heading 4 Char"/>
    <w:basedOn w:val="DefaultParagraphFont"/>
    <w:link w:val="Heading4"/>
    <w:uiPriority w:val="9"/>
    <w:rsid w:val="008461CD"/>
    <w:rPr>
      <w:rFonts w:ascii="Times New Roman" w:eastAsiaTheme="majorEastAsia" w:hAnsi="Times New Roman" w:cstheme="majorBidi"/>
      <w:i/>
      <w:iCs/>
      <w:sz w:val="24"/>
      <w:szCs w:val="24"/>
    </w:rPr>
  </w:style>
  <w:style w:type="character" w:customStyle="1" w:styleId="Heading3Char">
    <w:name w:val="Heading 3 Char"/>
    <w:basedOn w:val="DefaultParagraphFont"/>
    <w:link w:val="Heading3"/>
    <w:uiPriority w:val="9"/>
    <w:rsid w:val="008461CD"/>
    <w:rPr>
      <w:rFonts w:ascii="Times New Roman" w:eastAsiaTheme="majorEastAsia" w:hAnsi="Times New Roman" w:cstheme="majorBidi"/>
      <w:b/>
      <w:bCs/>
      <w:i/>
      <w:sz w:val="24"/>
      <w:szCs w:val="24"/>
    </w:rPr>
  </w:style>
  <w:style w:type="table" w:styleId="TableGrid">
    <w:name w:val="Table Grid"/>
    <w:basedOn w:val="TableNormal"/>
    <w:rsid w:val="00891FC4"/>
    <w:pPr>
      <w:keepNext/>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bullet">
    <w:name w:val="Pro forma bullet"/>
    <w:basedOn w:val="Normal"/>
    <w:qFormat/>
    <w:rsid w:val="00891FC4"/>
    <w:pPr>
      <w:spacing w:before="80" w:after="80" w:line="260" w:lineRule="exact"/>
    </w:pPr>
    <w:rPr>
      <w:rFonts w:eastAsia="Times New Roman"/>
      <w:szCs w:val="20"/>
      <w:lang w:eastAsia="en-AU"/>
    </w:rPr>
  </w:style>
  <w:style w:type="paragraph" w:styleId="Header">
    <w:name w:val="header"/>
    <w:basedOn w:val="Normal"/>
    <w:link w:val="HeaderChar"/>
    <w:uiPriority w:val="99"/>
    <w:unhideWhenUsed/>
    <w:rsid w:val="00770BB2"/>
    <w:pPr>
      <w:tabs>
        <w:tab w:val="center" w:pos="4513"/>
        <w:tab w:val="right" w:pos="9026"/>
      </w:tabs>
      <w:spacing w:after="0"/>
    </w:pPr>
  </w:style>
  <w:style w:type="character" w:customStyle="1" w:styleId="HeaderChar">
    <w:name w:val="Header Char"/>
    <w:basedOn w:val="DefaultParagraphFont"/>
    <w:link w:val="Header"/>
    <w:uiPriority w:val="99"/>
    <w:rsid w:val="00770BB2"/>
    <w:rPr>
      <w:rFonts w:ascii="Times New Roman" w:hAnsi="Times New Roman" w:cs="Times New Roman"/>
      <w:sz w:val="24"/>
      <w:szCs w:val="24"/>
    </w:rPr>
  </w:style>
  <w:style w:type="paragraph" w:styleId="Footer">
    <w:name w:val="footer"/>
    <w:aliases w:val="PBO HeaderFooter"/>
    <w:basedOn w:val="Normal"/>
    <w:link w:val="FooterChar"/>
    <w:uiPriority w:val="99"/>
    <w:unhideWhenUsed/>
    <w:qFormat/>
    <w:rsid w:val="00770BB2"/>
    <w:pPr>
      <w:tabs>
        <w:tab w:val="center" w:pos="4513"/>
        <w:tab w:val="right" w:pos="9026"/>
      </w:tabs>
      <w:spacing w:after="0"/>
    </w:pPr>
  </w:style>
  <w:style w:type="character" w:customStyle="1" w:styleId="FooterChar">
    <w:name w:val="Footer Char"/>
    <w:aliases w:val="PBO HeaderFooter Char"/>
    <w:basedOn w:val="DefaultParagraphFont"/>
    <w:link w:val="Footer"/>
    <w:uiPriority w:val="99"/>
    <w:rsid w:val="00770BB2"/>
    <w:rPr>
      <w:rFonts w:ascii="Times New Roman" w:hAnsi="Times New Roman" w:cs="Times New Roman"/>
      <w:sz w:val="24"/>
      <w:szCs w:val="24"/>
    </w:rPr>
  </w:style>
  <w:style w:type="character" w:styleId="IntenseReference">
    <w:name w:val="Intense Reference"/>
    <w:aliases w:val="DLM style"/>
    <w:basedOn w:val="DefaultParagraphFont"/>
    <w:uiPriority w:val="32"/>
    <w:qFormat/>
    <w:rsid w:val="00770BB2"/>
    <w:rPr>
      <w:rFonts w:ascii="Arial" w:hAnsi="Arial"/>
      <w:b/>
      <w:bCs/>
      <w:caps w:val="0"/>
      <w:smallCaps w:val="0"/>
      <w:color w:val="FF0000"/>
      <w:spacing w:val="5"/>
      <w:sz w:val="28"/>
      <w:u w:val="single"/>
    </w:rPr>
  </w:style>
  <w:style w:type="character" w:styleId="SubtleReference">
    <w:name w:val="Subtle Reference"/>
    <w:basedOn w:val="DefaultParagraphFont"/>
    <w:uiPriority w:val="31"/>
    <w:rsid w:val="00770BB2"/>
    <w:rPr>
      <w:smallCaps/>
      <w:color w:val="C0504D" w:themeColor="accent2"/>
      <w:u w:val="single"/>
    </w:rPr>
  </w:style>
  <w:style w:type="paragraph" w:styleId="BalloonText">
    <w:name w:val="Balloon Text"/>
    <w:basedOn w:val="Normal"/>
    <w:link w:val="BalloonTextChar"/>
    <w:uiPriority w:val="99"/>
    <w:semiHidden/>
    <w:unhideWhenUsed/>
    <w:rsid w:val="009B08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12"/>
    <w:rPr>
      <w:rFonts w:ascii="Tahoma" w:hAnsi="Tahoma" w:cs="Tahoma"/>
      <w:sz w:val="16"/>
      <w:szCs w:val="16"/>
    </w:rPr>
  </w:style>
  <w:style w:type="paragraph" w:styleId="Subtitle">
    <w:name w:val="Subtitle"/>
    <w:aliases w:val="PBO Subtitle"/>
    <w:basedOn w:val="Normal"/>
    <w:next w:val="Normal"/>
    <w:link w:val="SubtitleChar"/>
    <w:uiPriority w:val="2"/>
    <w:qFormat/>
    <w:rsid w:val="00A734A7"/>
    <w:pPr>
      <w:keepNext/>
      <w:keepLines/>
      <w:spacing w:before="480" w:after="0"/>
    </w:pPr>
    <w:rPr>
      <w:rFonts w:ascii="Georgia" w:eastAsiaTheme="majorEastAsia" w:hAnsi="Georgia" w:cstheme="majorBidi"/>
      <w:bCs/>
      <w:color w:val="264A76"/>
      <w:sz w:val="32"/>
      <w:szCs w:val="32"/>
      <w:lang w:eastAsia="en-AU"/>
    </w:rPr>
  </w:style>
  <w:style w:type="character" w:customStyle="1" w:styleId="SubtitleChar">
    <w:name w:val="Subtitle Char"/>
    <w:aliases w:val="PBO Subtitle Char"/>
    <w:basedOn w:val="DefaultParagraphFont"/>
    <w:link w:val="Subtitle"/>
    <w:uiPriority w:val="2"/>
    <w:rsid w:val="00A734A7"/>
    <w:rPr>
      <w:rFonts w:ascii="Georgia" w:eastAsiaTheme="majorEastAsia" w:hAnsi="Georgia" w:cstheme="majorBidi"/>
      <w:bCs/>
      <w:color w:val="264A76"/>
      <w:sz w:val="32"/>
      <w:szCs w:val="32"/>
      <w:lang w:eastAsia="en-AU"/>
    </w:rPr>
  </w:style>
  <w:style w:type="paragraph" w:styleId="ListParagraph">
    <w:name w:val="List Paragraph"/>
    <w:basedOn w:val="Normal"/>
    <w:link w:val="ListParagraphChar"/>
    <w:uiPriority w:val="34"/>
    <w:qFormat/>
    <w:rsid w:val="009B6788"/>
    <w:pPr>
      <w:ind w:left="720"/>
      <w:contextualSpacing/>
    </w:pPr>
  </w:style>
  <w:style w:type="character" w:styleId="SubtleEmphasis">
    <w:name w:val="Subtle Emphasis"/>
    <w:aliases w:val="Bullet level 1"/>
    <w:uiPriority w:val="19"/>
    <w:rsid w:val="00492FE0"/>
    <w:rPr>
      <w:lang w:eastAsia="en-AU"/>
    </w:rPr>
  </w:style>
  <w:style w:type="paragraph" w:customStyle="1" w:styleId="Bullet1">
    <w:name w:val="Bullet 1"/>
    <w:basedOn w:val="Normal"/>
    <w:link w:val="Bullet1Char"/>
    <w:qFormat/>
    <w:rsid w:val="002565D1"/>
    <w:pPr>
      <w:numPr>
        <w:numId w:val="3"/>
      </w:numPr>
      <w:ind w:left="357" w:hanging="357"/>
    </w:pPr>
  </w:style>
  <w:style w:type="paragraph" w:customStyle="1" w:styleId="Bullet2">
    <w:name w:val="Bullet 2"/>
    <w:basedOn w:val="NormalWeb"/>
    <w:link w:val="Bullet2Char"/>
    <w:uiPriority w:val="99"/>
    <w:qFormat/>
    <w:rsid w:val="002565D1"/>
    <w:pPr>
      <w:numPr>
        <w:ilvl w:val="1"/>
        <w:numId w:val="3"/>
      </w:numPr>
      <w:ind w:left="568" w:hanging="284"/>
    </w:pPr>
    <w:rPr>
      <w:lang w:eastAsia="en-AU"/>
    </w:rPr>
  </w:style>
  <w:style w:type="character" w:customStyle="1" w:styleId="ListParagraphChar">
    <w:name w:val="List Paragraph Char"/>
    <w:basedOn w:val="DefaultParagraphFont"/>
    <w:link w:val="ListParagraph"/>
    <w:uiPriority w:val="34"/>
    <w:rsid w:val="002565D1"/>
    <w:rPr>
      <w:rFonts w:ascii="Times New Roman" w:hAnsi="Times New Roman" w:cs="Times New Roman"/>
      <w:sz w:val="24"/>
      <w:szCs w:val="24"/>
    </w:rPr>
  </w:style>
  <w:style w:type="character" w:customStyle="1" w:styleId="Bullet1Char">
    <w:name w:val="Bullet 1 Char"/>
    <w:basedOn w:val="ListParagraphChar"/>
    <w:link w:val="Bullet1"/>
    <w:rsid w:val="00BF3D64"/>
    <w:rPr>
      <w:rFonts w:ascii="Times New Roman" w:hAnsi="Times New Roman" w:cs="Times New Roman"/>
      <w:sz w:val="24"/>
      <w:szCs w:val="24"/>
    </w:rPr>
  </w:style>
  <w:style w:type="paragraph" w:customStyle="1" w:styleId="Bullet3">
    <w:name w:val="Bullet 3"/>
    <w:basedOn w:val="NormalWeb"/>
    <w:link w:val="Bullet3Char"/>
    <w:uiPriority w:val="99"/>
    <w:qFormat/>
    <w:rsid w:val="002565D1"/>
    <w:pPr>
      <w:numPr>
        <w:ilvl w:val="2"/>
        <w:numId w:val="3"/>
      </w:numPr>
      <w:ind w:left="851" w:hanging="284"/>
    </w:pPr>
    <w:rPr>
      <w:lang w:eastAsia="en-AU"/>
    </w:rPr>
  </w:style>
  <w:style w:type="character" w:customStyle="1" w:styleId="Bullet2Char">
    <w:name w:val="Bullet 2 Char"/>
    <w:basedOn w:val="ListParagraphChar"/>
    <w:link w:val="Bullet2"/>
    <w:rsid w:val="00BF3D64"/>
    <w:rPr>
      <w:rFonts w:ascii="Times New Roman" w:hAnsi="Times New Roman" w:cs="Times New Roman"/>
      <w:sz w:val="24"/>
      <w:szCs w:val="24"/>
      <w:lang w:eastAsia="en-AU"/>
    </w:rPr>
  </w:style>
  <w:style w:type="paragraph" w:customStyle="1" w:styleId="Bullet4">
    <w:name w:val="Bullet 4"/>
    <w:basedOn w:val="ListParagraph"/>
    <w:next w:val="Normal"/>
    <w:link w:val="Bullet4Char"/>
    <w:uiPriority w:val="99"/>
    <w:qFormat/>
    <w:rsid w:val="002565D1"/>
    <w:pPr>
      <w:numPr>
        <w:ilvl w:val="3"/>
        <w:numId w:val="3"/>
      </w:numPr>
      <w:ind w:left="1135" w:hanging="284"/>
    </w:pPr>
    <w:rPr>
      <w:lang w:eastAsia="en-AU"/>
    </w:rPr>
  </w:style>
  <w:style w:type="character" w:customStyle="1" w:styleId="Bullet3Char">
    <w:name w:val="Bullet 3 Char"/>
    <w:basedOn w:val="ListParagraphChar"/>
    <w:link w:val="Bullet3"/>
    <w:rsid w:val="00BF3D64"/>
    <w:rPr>
      <w:rFonts w:ascii="Times New Roman" w:hAnsi="Times New Roman" w:cs="Times New Roman"/>
      <w:sz w:val="24"/>
      <w:szCs w:val="24"/>
      <w:lang w:eastAsia="en-AU"/>
    </w:rPr>
  </w:style>
  <w:style w:type="paragraph" w:customStyle="1" w:styleId="Bullet5">
    <w:name w:val="Bullet 5"/>
    <w:basedOn w:val="ListParagraph"/>
    <w:next w:val="Normal"/>
    <w:link w:val="Bullet5Char"/>
    <w:uiPriority w:val="99"/>
    <w:qFormat/>
    <w:rsid w:val="002565D1"/>
    <w:pPr>
      <w:numPr>
        <w:ilvl w:val="4"/>
        <w:numId w:val="3"/>
      </w:numPr>
      <w:ind w:left="1418" w:hanging="284"/>
    </w:pPr>
    <w:rPr>
      <w:lang w:eastAsia="en-AU"/>
    </w:rPr>
  </w:style>
  <w:style w:type="character" w:customStyle="1" w:styleId="Bullet4Char">
    <w:name w:val="Bullet 4 Char"/>
    <w:basedOn w:val="ListParagraphChar"/>
    <w:link w:val="Bullet4"/>
    <w:rsid w:val="002565D1"/>
    <w:rPr>
      <w:rFonts w:ascii="Times New Roman" w:hAnsi="Times New Roman" w:cs="Times New Roman"/>
      <w:sz w:val="24"/>
      <w:szCs w:val="24"/>
      <w:lang w:eastAsia="en-AU"/>
    </w:rPr>
  </w:style>
  <w:style w:type="character" w:customStyle="1" w:styleId="Bullet5Char">
    <w:name w:val="Bullet 5 Char"/>
    <w:basedOn w:val="ListParagraphChar"/>
    <w:link w:val="Bullet5"/>
    <w:rsid w:val="002565D1"/>
    <w:rPr>
      <w:rFonts w:ascii="Times New Roman" w:hAnsi="Times New Roman" w:cs="Times New Roman"/>
      <w:sz w:val="24"/>
      <w:szCs w:val="24"/>
      <w:lang w:eastAsia="en-AU"/>
    </w:rPr>
  </w:style>
  <w:style w:type="paragraph" w:styleId="NormalWeb">
    <w:name w:val="Normal (Web)"/>
    <w:basedOn w:val="Normal"/>
    <w:uiPriority w:val="99"/>
    <w:semiHidden/>
    <w:unhideWhenUsed/>
    <w:rsid w:val="00BF3D64"/>
  </w:style>
  <w:style w:type="character" w:styleId="CommentReference">
    <w:name w:val="annotation reference"/>
    <w:basedOn w:val="DefaultParagraphFont"/>
    <w:uiPriority w:val="99"/>
    <w:semiHidden/>
    <w:unhideWhenUsed/>
    <w:rsid w:val="00DE3E8C"/>
    <w:rPr>
      <w:sz w:val="16"/>
      <w:szCs w:val="16"/>
    </w:rPr>
  </w:style>
  <w:style w:type="paragraph" w:styleId="CommentText">
    <w:name w:val="annotation text"/>
    <w:basedOn w:val="Normal"/>
    <w:link w:val="CommentTextChar"/>
    <w:uiPriority w:val="99"/>
    <w:unhideWhenUsed/>
    <w:rsid w:val="00DE3E8C"/>
    <w:rPr>
      <w:sz w:val="20"/>
      <w:szCs w:val="20"/>
    </w:rPr>
  </w:style>
  <w:style w:type="character" w:customStyle="1" w:styleId="CommentTextChar">
    <w:name w:val="Comment Text Char"/>
    <w:basedOn w:val="DefaultParagraphFont"/>
    <w:link w:val="CommentText"/>
    <w:uiPriority w:val="99"/>
    <w:rsid w:val="00DE3E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E8C"/>
    <w:rPr>
      <w:b/>
      <w:bCs/>
    </w:rPr>
  </w:style>
  <w:style w:type="character" w:customStyle="1" w:styleId="CommentSubjectChar">
    <w:name w:val="Comment Subject Char"/>
    <w:basedOn w:val="CommentTextChar"/>
    <w:link w:val="CommentSubject"/>
    <w:uiPriority w:val="99"/>
    <w:semiHidden/>
    <w:rsid w:val="00DE3E8C"/>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681078"/>
    <w:pPr>
      <w:spacing w:after="0"/>
    </w:pPr>
    <w:rPr>
      <w:sz w:val="20"/>
      <w:szCs w:val="20"/>
    </w:rPr>
  </w:style>
  <w:style w:type="character" w:customStyle="1" w:styleId="FootnoteTextChar">
    <w:name w:val="Footnote Text Char"/>
    <w:basedOn w:val="DefaultParagraphFont"/>
    <w:link w:val="FootnoteText"/>
    <w:uiPriority w:val="99"/>
    <w:semiHidden/>
    <w:rsid w:val="0068107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81078"/>
    <w:rPr>
      <w:vertAlign w:val="superscript"/>
    </w:rPr>
  </w:style>
  <w:style w:type="paragraph" w:styleId="Revision">
    <w:name w:val="Revision"/>
    <w:hidden/>
    <w:uiPriority w:val="99"/>
    <w:semiHidden/>
    <w:rsid w:val="00395A4E"/>
    <w:pPr>
      <w:spacing w:after="0"/>
    </w:pPr>
    <w:rPr>
      <w:rFonts w:ascii="Times New Roman" w:hAnsi="Times New Roman" w:cs="Times New Roman"/>
      <w:sz w:val="24"/>
      <w:szCs w:val="24"/>
    </w:rPr>
  </w:style>
  <w:style w:type="paragraph" w:styleId="Title">
    <w:name w:val="Title"/>
    <w:aliases w:val="PBO Title"/>
    <w:basedOn w:val="Heading1"/>
    <w:next w:val="Subtitle"/>
    <w:link w:val="TitleChar"/>
    <w:qFormat/>
    <w:rsid w:val="00A734A7"/>
    <w:pPr>
      <w:spacing w:before="4300" w:after="60"/>
      <w:outlineLvl w:val="9"/>
    </w:pPr>
    <w:rPr>
      <w:rFonts w:ascii="Georgia" w:hAnsi="Georgia"/>
      <w:b w:val="0"/>
      <w:bCs/>
      <w:caps w:val="0"/>
      <w:color w:val="264A76"/>
      <w:kern w:val="32"/>
      <w:sz w:val="44"/>
      <w:szCs w:val="44"/>
    </w:rPr>
  </w:style>
  <w:style w:type="character" w:customStyle="1" w:styleId="TitleChar">
    <w:name w:val="Title Char"/>
    <w:aliases w:val="PBO Title Char"/>
    <w:basedOn w:val="DefaultParagraphFont"/>
    <w:link w:val="Title"/>
    <w:rsid w:val="00A734A7"/>
    <w:rPr>
      <w:rFonts w:ascii="Georgia" w:eastAsia="Times New Roman" w:hAnsi="Georgia" w:cs="Times New Roman"/>
      <w:bCs/>
      <w:color w:val="264A76"/>
      <w:kern w:val="32"/>
      <w:sz w:val="44"/>
      <w:szCs w:val="44"/>
      <w:lang w:eastAsia="en-AU"/>
    </w:rPr>
  </w:style>
  <w:style w:type="paragraph" w:customStyle="1" w:styleId="PBOheading1">
    <w:name w:val="PBO heading 1"/>
    <w:basedOn w:val="Heading1"/>
    <w:next w:val="Normal"/>
    <w:uiPriority w:val="1"/>
    <w:qFormat/>
    <w:rsid w:val="00A55569"/>
    <w:pPr>
      <w:spacing w:before="680" w:after="480"/>
    </w:pPr>
    <w:rPr>
      <w:rFonts w:ascii="Georgia" w:hAnsi="Georgia"/>
      <w:b w:val="0"/>
      <w:bCs/>
      <w:caps w:val="0"/>
      <w:color w:val="264A76"/>
      <w:kern w:val="32"/>
      <w:sz w:val="36"/>
      <w:szCs w:val="24"/>
      <w:lang w:eastAsia="en-US"/>
    </w:rPr>
  </w:style>
  <w:style w:type="paragraph" w:customStyle="1" w:styleId="PBOheading2">
    <w:name w:val="PBO heading 2"/>
    <w:basedOn w:val="Heading2"/>
    <w:next w:val="Normal"/>
    <w:uiPriority w:val="1"/>
    <w:qFormat/>
    <w:rsid w:val="00A55569"/>
    <w:pPr>
      <w:keepLines/>
      <w:spacing w:before="320" w:after="170" w:line="288" w:lineRule="auto"/>
    </w:pPr>
    <w:rPr>
      <w:rFonts w:asciiTheme="majorHAnsi" w:eastAsiaTheme="majorEastAsia" w:hAnsiTheme="majorHAnsi" w:cstheme="majorBidi"/>
      <w:b w:val="0"/>
      <w:bCs/>
      <w:color w:val="264A76"/>
      <w:sz w:val="30"/>
      <w:szCs w:val="26"/>
      <w:lang w:eastAsia="en-AU"/>
    </w:rPr>
  </w:style>
  <w:style w:type="paragraph" w:customStyle="1" w:styleId="PBOtext">
    <w:name w:val="PBO text"/>
    <w:basedOn w:val="Normal"/>
    <w:uiPriority w:val="99"/>
    <w:qFormat/>
    <w:rsid w:val="00A55569"/>
    <w:pPr>
      <w:spacing w:before="120" w:after="113"/>
    </w:pPr>
    <w:rPr>
      <w:rFonts w:eastAsia="Cambria"/>
      <w:szCs w:val="20"/>
      <w:lang w:eastAsia="en-AU"/>
    </w:rPr>
  </w:style>
  <w:style w:type="paragraph" w:customStyle="1" w:styleId="PBOfiguretableheading">
    <w:name w:val="PBO figure/table heading"/>
    <w:uiPriority w:val="2"/>
    <w:qFormat/>
    <w:rsid w:val="00A55569"/>
    <w:pPr>
      <w:spacing w:before="200" w:after="113" w:line="288" w:lineRule="auto"/>
    </w:pPr>
    <w:rPr>
      <w:rFonts w:ascii="Calibri" w:eastAsia="Cambria" w:hAnsi="Calibri" w:cs="Times New Roman"/>
      <w:b/>
      <w:i/>
      <w:color w:val="2B3B5F"/>
      <w:sz w:val="20"/>
      <w:szCs w:val="24"/>
    </w:rPr>
  </w:style>
  <w:style w:type="table" w:customStyle="1" w:styleId="PBOtable">
    <w:name w:val="PBO table"/>
    <w:basedOn w:val="TableNormal"/>
    <w:qFormat/>
    <w:rsid w:val="00543268"/>
    <w:pPr>
      <w:spacing w:after="0"/>
    </w:pPr>
    <w:rPr>
      <w:rFonts w:ascii="Calibri" w:eastAsia="Cambria" w:hAnsi="Calibri" w:cs="Times New Roman"/>
      <w:sz w:val="18"/>
      <w:szCs w:val="20"/>
      <w:lang w:eastAsia="en-AU"/>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customStyle="1" w:styleId="TableHeading">
    <w:name w:val="Table Heading"/>
    <w:basedOn w:val="Normal"/>
    <w:qFormat/>
    <w:rsid w:val="00C71962"/>
    <w:pPr>
      <w:keepNext/>
      <w:keepLines/>
      <w:spacing w:before="70" w:after="70" w:line="260" w:lineRule="atLeast"/>
      <w:ind w:left="113" w:right="113"/>
    </w:pPr>
    <w:rPr>
      <w:rFonts w:asciiTheme="minorHAnsi" w:hAnsiTheme="minorHAnsi"/>
      <w:b/>
      <w:color w:val="FFFFFF"/>
      <w:sz w:val="20"/>
      <w:szCs w:val="20"/>
    </w:rPr>
  </w:style>
  <w:style w:type="paragraph" w:customStyle="1" w:styleId="TableHeadingCentred">
    <w:name w:val="Table Heading Centred"/>
    <w:basedOn w:val="TableHeading"/>
    <w:qFormat/>
    <w:rsid w:val="00C71962"/>
    <w:pPr>
      <w:jc w:val="center"/>
    </w:pPr>
    <w:rPr>
      <w:color w:val="auto"/>
    </w:rPr>
  </w:style>
  <w:style w:type="paragraph" w:customStyle="1" w:styleId="TableText">
    <w:name w:val="Table Text"/>
    <w:basedOn w:val="Normal"/>
    <w:qFormat/>
    <w:rsid w:val="00C71962"/>
    <w:pPr>
      <w:spacing w:before="70" w:after="70" w:line="260" w:lineRule="atLeast"/>
      <w:ind w:left="113" w:right="113"/>
    </w:pPr>
    <w:rPr>
      <w:rFonts w:asciiTheme="minorHAnsi" w:hAnsiTheme="minorHAnsi"/>
      <w:sz w:val="20"/>
      <w:szCs w:val="20"/>
    </w:rPr>
  </w:style>
  <w:style w:type="paragraph" w:customStyle="1" w:styleId="TableTextCentred">
    <w:name w:val="Table Text Centred"/>
    <w:basedOn w:val="TableText"/>
    <w:qFormat/>
    <w:rsid w:val="00C71962"/>
    <w:pPr>
      <w:jc w:val="center"/>
    </w:pPr>
    <w:rPr>
      <w:rFonts w:eastAsia="Times New Roman"/>
      <w:lang w:eastAsia="en-AU"/>
    </w:rPr>
  </w:style>
  <w:style w:type="table" w:customStyle="1" w:styleId="TableGrid1">
    <w:name w:val="Table Grid1"/>
    <w:basedOn w:val="TableNormal"/>
    <w:next w:val="TableGrid"/>
    <w:rsid w:val="00C71962"/>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
    <w:name w:val="Table Grid2"/>
    <w:basedOn w:val="TableNormal"/>
    <w:next w:val="TableGrid"/>
    <w:rsid w:val="00E76371"/>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Default">
    <w:name w:val="Default"/>
    <w:rsid w:val="004F1A32"/>
    <w:pPr>
      <w:autoSpaceDE w:val="0"/>
      <w:autoSpaceDN w:val="0"/>
      <w:adjustRightInd w:val="0"/>
      <w:spacing w:after="0"/>
    </w:pPr>
    <w:rPr>
      <w:rFonts w:ascii="Georgia" w:hAnsi="Georgia" w:cs="Georgia"/>
      <w:color w:val="000000"/>
      <w:sz w:val="24"/>
      <w:szCs w:val="24"/>
    </w:rPr>
  </w:style>
  <w:style w:type="paragraph" w:styleId="PlainText">
    <w:name w:val="Plain Text"/>
    <w:basedOn w:val="Normal"/>
    <w:link w:val="PlainTextChar"/>
    <w:uiPriority w:val="99"/>
    <w:unhideWhenUsed/>
    <w:rsid w:val="00873004"/>
    <w:pPr>
      <w:spacing w:after="0"/>
    </w:pPr>
    <w:rPr>
      <w:rFonts w:cstheme="minorBidi"/>
      <w:szCs w:val="21"/>
    </w:rPr>
  </w:style>
  <w:style w:type="character" w:customStyle="1" w:styleId="PlainTextChar">
    <w:name w:val="Plain Text Char"/>
    <w:basedOn w:val="DefaultParagraphFont"/>
    <w:link w:val="PlainText"/>
    <w:uiPriority w:val="99"/>
    <w:rsid w:val="00873004"/>
    <w:rPr>
      <w:rFonts w:ascii="Calibri" w:hAnsi="Calibri"/>
      <w:szCs w:val="21"/>
    </w:rPr>
  </w:style>
  <w:style w:type="table" w:customStyle="1" w:styleId="TableGrid11">
    <w:name w:val="Table Grid11"/>
    <w:basedOn w:val="TableNormal"/>
    <w:next w:val="TableGrid"/>
    <w:rsid w:val="00764FC5"/>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1">
    <w:name w:val="Table Grid21"/>
    <w:basedOn w:val="TableNormal"/>
    <w:next w:val="TableGrid"/>
    <w:rsid w:val="006F4E2B"/>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styleId="EndnoteText">
    <w:name w:val="endnote text"/>
    <w:basedOn w:val="Normal"/>
    <w:link w:val="EndnoteTextChar"/>
    <w:uiPriority w:val="99"/>
    <w:semiHidden/>
    <w:unhideWhenUsed/>
    <w:rsid w:val="003B1CA0"/>
    <w:pPr>
      <w:spacing w:after="0"/>
    </w:pPr>
    <w:rPr>
      <w:sz w:val="20"/>
      <w:szCs w:val="20"/>
    </w:rPr>
  </w:style>
  <w:style w:type="character" w:customStyle="1" w:styleId="EndnoteTextChar">
    <w:name w:val="Endnote Text Char"/>
    <w:basedOn w:val="DefaultParagraphFont"/>
    <w:link w:val="EndnoteText"/>
    <w:uiPriority w:val="99"/>
    <w:semiHidden/>
    <w:rsid w:val="003B1CA0"/>
    <w:rPr>
      <w:rFonts w:ascii="Calibri" w:hAnsi="Calibri" w:cs="Times New Roman"/>
      <w:sz w:val="20"/>
      <w:szCs w:val="20"/>
    </w:rPr>
  </w:style>
  <w:style w:type="character" w:styleId="EndnoteReference">
    <w:name w:val="endnote reference"/>
    <w:basedOn w:val="DefaultParagraphFont"/>
    <w:uiPriority w:val="99"/>
    <w:semiHidden/>
    <w:unhideWhenUsed/>
    <w:rsid w:val="003B1C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lsdException w:name="Title" w:semiHidden="0" w:uiPriority="0" w:unhideWhenUsed="0" w:qFormat="1"/>
    <w:lsdException w:name="Default Paragraph Font" w:uiPriority="1"/>
    <w:lsdException w:name="Subtitle" w:semiHidden="0" w:uiPriority="2"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34A7"/>
    <w:rPr>
      <w:rFonts w:ascii="Calibri" w:hAnsi="Calibri" w:cs="Times New Roman"/>
      <w:szCs w:val="24"/>
    </w:rPr>
  </w:style>
  <w:style w:type="paragraph" w:styleId="Heading1">
    <w:name w:val="heading 1"/>
    <w:basedOn w:val="Normal"/>
    <w:next w:val="Normal"/>
    <w:link w:val="Heading1Char"/>
    <w:uiPriority w:val="9"/>
    <w:qFormat/>
    <w:rsid w:val="00B2715B"/>
    <w:pPr>
      <w:keepNext/>
      <w:spacing w:after="240"/>
      <w:outlineLvl w:val="0"/>
    </w:pPr>
    <w:rPr>
      <w:rFonts w:eastAsia="Times New Roman"/>
      <w:b/>
      <w:caps/>
      <w:sz w:val="32"/>
      <w:szCs w:val="20"/>
      <w:lang w:eastAsia="en-AU"/>
    </w:rPr>
  </w:style>
  <w:style w:type="paragraph" w:styleId="Heading2">
    <w:name w:val="heading 2"/>
    <w:basedOn w:val="Normal"/>
    <w:next w:val="Normal"/>
    <w:link w:val="Heading2Char"/>
    <w:uiPriority w:val="9"/>
    <w:unhideWhenUsed/>
    <w:qFormat/>
    <w:rsid w:val="00B2715B"/>
    <w:pPr>
      <w:keepNext/>
      <w:spacing w:before="120" w:after="240"/>
      <w:outlineLvl w:val="1"/>
    </w:pPr>
    <w:rPr>
      <w:b/>
      <w:sz w:val="32"/>
    </w:rPr>
  </w:style>
  <w:style w:type="paragraph" w:styleId="Heading3">
    <w:name w:val="heading 3"/>
    <w:basedOn w:val="Normal"/>
    <w:next w:val="Normal"/>
    <w:link w:val="Heading3Char"/>
    <w:uiPriority w:val="9"/>
    <w:unhideWhenUsed/>
    <w:qFormat/>
    <w:rsid w:val="008461CD"/>
    <w:pPr>
      <w:keepNext/>
      <w:keepLines/>
      <w:spacing w:before="200" w:after="0"/>
      <w:outlineLvl w:val="2"/>
    </w:pPr>
    <w:rPr>
      <w:rFonts w:eastAsiaTheme="majorEastAsia" w:cstheme="majorBidi"/>
      <w:b/>
      <w:bCs/>
      <w:i/>
    </w:rPr>
  </w:style>
  <w:style w:type="paragraph" w:styleId="Heading4">
    <w:name w:val="heading 4"/>
    <w:basedOn w:val="Heading3"/>
    <w:next w:val="Normal"/>
    <w:link w:val="Heading4Char"/>
    <w:uiPriority w:val="9"/>
    <w:unhideWhenUsed/>
    <w:rsid w:val="008461CD"/>
    <w:pPr>
      <w:spacing w:after="120"/>
      <w:outlineLvl w:val="3"/>
    </w:pPr>
    <w:rPr>
      <w:b w:val="0"/>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715B"/>
    <w:rPr>
      <w:rFonts w:ascii="Times New Roman" w:hAnsi="Times New Roman" w:cs="Times New Roman"/>
      <w:b/>
      <w:sz w:val="32"/>
      <w:szCs w:val="24"/>
    </w:rPr>
  </w:style>
  <w:style w:type="paragraph" w:customStyle="1" w:styleId="ChartandTableFootnoteAlpha">
    <w:name w:val="Chart and Table Footnote Alpha"/>
    <w:basedOn w:val="Normal"/>
    <w:next w:val="Normal"/>
    <w:rsid w:val="00891FC4"/>
    <w:pPr>
      <w:keepLines/>
      <w:numPr>
        <w:numId w:val="2"/>
      </w:numPr>
      <w:spacing w:after="0"/>
      <w:jc w:val="both"/>
    </w:pPr>
    <w:rPr>
      <w:rFonts w:ascii="Arial" w:eastAsia="Times New Roman" w:hAnsi="Arial"/>
      <w:sz w:val="16"/>
      <w:szCs w:val="20"/>
      <w:lang w:eastAsia="en-AU"/>
    </w:rPr>
  </w:style>
  <w:style w:type="paragraph" w:styleId="Caption">
    <w:name w:val="caption"/>
    <w:basedOn w:val="Normal"/>
    <w:next w:val="Normal"/>
    <w:link w:val="CaptionChar"/>
    <w:rsid w:val="00891FC4"/>
    <w:pPr>
      <w:keepNext/>
      <w:keepLines/>
      <w:spacing w:line="260" w:lineRule="exact"/>
      <w:jc w:val="both"/>
    </w:pPr>
    <w:rPr>
      <w:rFonts w:eastAsia="Times New Roman"/>
      <w:b/>
      <w:bCs/>
      <w:szCs w:val="20"/>
      <w:lang w:eastAsia="en-AU"/>
    </w:rPr>
  </w:style>
  <w:style w:type="character" w:customStyle="1" w:styleId="CaptionChar">
    <w:name w:val="Caption Char"/>
    <w:basedOn w:val="DefaultParagraphFont"/>
    <w:link w:val="Caption"/>
    <w:locked/>
    <w:rsid w:val="00891FC4"/>
    <w:rPr>
      <w:rFonts w:ascii="Times New Roman" w:eastAsia="Times New Roman" w:hAnsi="Times New Roman" w:cs="Times New Roman"/>
      <w:b/>
      <w:bCs/>
      <w:sz w:val="24"/>
      <w:szCs w:val="20"/>
      <w:lang w:eastAsia="en-AU"/>
    </w:rPr>
  </w:style>
  <w:style w:type="character" w:customStyle="1" w:styleId="Heading1Char">
    <w:name w:val="Heading 1 Char"/>
    <w:basedOn w:val="DefaultParagraphFont"/>
    <w:link w:val="Heading1"/>
    <w:uiPriority w:val="9"/>
    <w:rsid w:val="00B2715B"/>
    <w:rPr>
      <w:rFonts w:ascii="Times New Roman" w:eastAsia="Times New Roman" w:hAnsi="Times New Roman" w:cs="Times New Roman"/>
      <w:b/>
      <w:caps/>
      <w:sz w:val="32"/>
      <w:szCs w:val="20"/>
      <w:lang w:eastAsia="en-AU"/>
    </w:rPr>
  </w:style>
  <w:style w:type="character" w:customStyle="1" w:styleId="Heading4Char">
    <w:name w:val="Heading 4 Char"/>
    <w:basedOn w:val="DefaultParagraphFont"/>
    <w:link w:val="Heading4"/>
    <w:uiPriority w:val="9"/>
    <w:rsid w:val="008461CD"/>
    <w:rPr>
      <w:rFonts w:ascii="Times New Roman" w:eastAsiaTheme="majorEastAsia" w:hAnsi="Times New Roman" w:cstheme="majorBidi"/>
      <w:i/>
      <w:iCs/>
      <w:sz w:val="24"/>
      <w:szCs w:val="24"/>
    </w:rPr>
  </w:style>
  <w:style w:type="character" w:customStyle="1" w:styleId="Heading3Char">
    <w:name w:val="Heading 3 Char"/>
    <w:basedOn w:val="DefaultParagraphFont"/>
    <w:link w:val="Heading3"/>
    <w:uiPriority w:val="9"/>
    <w:rsid w:val="008461CD"/>
    <w:rPr>
      <w:rFonts w:ascii="Times New Roman" w:eastAsiaTheme="majorEastAsia" w:hAnsi="Times New Roman" w:cstheme="majorBidi"/>
      <w:b/>
      <w:bCs/>
      <w:i/>
      <w:sz w:val="24"/>
      <w:szCs w:val="24"/>
    </w:rPr>
  </w:style>
  <w:style w:type="table" w:styleId="TableGrid">
    <w:name w:val="Table Grid"/>
    <w:basedOn w:val="TableNormal"/>
    <w:rsid w:val="00891FC4"/>
    <w:pPr>
      <w:keepNext/>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bullet">
    <w:name w:val="Pro forma bullet"/>
    <w:basedOn w:val="Normal"/>
    <w:qFormat/>
    <w:rsid w:val="00891FC4"/>
    <w:pPr>
      <w:spacing w:before="80" w:after="80" w:line="260" w:lineRule="exact"/>
    </w:pPr>
    <w:rPr>
      <w:rFonts w:eastAsia="Times New Roman"/>
      <w:szCs w:val="20"/>
      <w:lang w:eastAsia="en-AU"/>
    </w:rPr>
  </w:style>
  <w:style w:type="paragraph" w:styleId="Header">
    <w:name w:val="header"/>
    <w:basedOn w:val="Normal"/>
    <w:link w:val="HeaderChar"/>
    <w:uiPriority w:val="99"/>
    <w:unhideWhenUsed/>
    <w:rsid w:val="00770BB2"/>
    <w:pPr>
      <w:tabs>
        <w:tab w:val="center" w:pos="4513"/>
        <w:tab w:val="right" w:pos="9026"/>
      </w:tabs>
      <w:spacing w:after="0"/>
    </w:pPr>
  </w:style>
  <w:style w:type="character" w:customStyle="1" w:styleId="HeaderChar">
    <w:name w:val="Header Char"/>
    <w:basedOn w:val="DefaultParagraphFont"/>
    <w:link w:val="Header"/>
    <w:uiPriority w:val="99"/>
    <w:rsid w:val="00770BB2"/>
    <w:rPr>
      <w:rFonts w:ascii="Times New Roman" w:hAnsi="Times New Roman" w:cs="Times New Roman"/>
      <w:sz w:val="24"/>
      <w:szCs w:val="24"/>
    </w:rPr>
  </w:style>
  <w:style w:type="paragraph" w:styleId="Footer">
    <w:name w:val="footer"/>
    <w:aliases w:val="PBO HeaderFooter"/>
    <w:basedOn w:val="Normal"/>
    <w:link w:val="FooterChar"/>
    <w:uiPriority w:val="99"/>
    <w:unhideWhenUsed/>
    <w:qFormat/>
    <w:rsid w:val="00770BB2"/>
    <w:pPr>
      <w:tabs>
        <w:tab w:val="center" w:pos="4513"/>
        <w:tab w:val="right" w:pos="9026"/>
      </w:tabs>
      <w:spacing w:after="0"/>
    </w:pPr>
  </w:style>
  <w:style w:type="character" w:customStyle="1" w:styleId="FooterChar">
    <w:name w:val="Footer Char"/>
    <w:aliases w:val="PBO HeaderFooter Char"/>
    <w:basedOn w:val="DefaultParagraphFont"/>
    <w:link w:val="Footer"/>
    <w:uiPriority w:val="99"/>
    <w:rsid w:val="00770BB2"/>
    <w:rPr>
      <w:rFonts w:ascii="Times New Roman" w:hAnsi="Times New Roman" w:cs="Times New Roman"/>
      <w:sz w:val="24"/>
      <w:szCs w:val="24"/>
    </w:rPr>
  </w:style>
  <w:style w:type="character" w:styleId="IntenseReference">
    <w:name w:val="Intense Reference"/>
    <w:aliases w:val="DLM style"/>
    <w:basedOn w:val="DefaultParagraphFont"/>
    <w:uiPriority w:val="32"/>
    <w:qFormat/>
    <w:rsid w:val="00770BB2"/>
    <w:rPr>
      <w:rFonts w:ascii="Arial" w:hAnsi="Arial"/>
      <w:b/>
      <w:bCs/>
      <w:caps w:val="0"/>
      <w:smallCaps w:val="0"/>
      <w:color w:val="FF0000"/>
      <w:spacing w:val="5"/>
      <w:sz w:val="28"/>
      <w:u w:val="single"/>
    </w:rPr>
  </w:style>
  <w:style w:type="character" w:styleId="SubtleReference">
    <w:name w:val="Subtle Reference"/>
    <w:basedOn w:val="DefaultParagraphFont"/>
    <w:uiPriority w:val="31"/>
    <w:rsid w:val="00770BB2"/>
    <w:rPr>
      <w:smallCaps/>
      <w:color w:val="C0504D" w:themeColor="accent2"/>
      <w:u w:val="single"/>
    </w:rPr>
  </w:style>
  <w:style w:type="paragraph" w:styleId="BalloonText">
    <w:name w:val="Balloon Text"/>
    <w:basedOn w:val="Normal"/>
    <w:link w:val="BalloonTextChar"/>
    <w:uiPriority w:val="99"/>
    <w:semiHidden/>
    <w:unhideWhenUsed/>
    <w:rsid w:val="009B08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12"/>
    <w:rPr>
      <w:rFonts w:ascii="Tahoma" w:hAnsi="Tahoma" w:cs="Tahoma"/>
      <w:sz w:val="16"/>
      <w:szCs w:val="16"/>
    </w:rPr>
  </w:style>
  <w:style w:type="paragraph" w:styleId="Subtitle">
    <w:name w:val="Subtitle"/>
    <w:aliases w:val="PBO Subtitle"/>
    <w:basedOn w:val="Normal"/>
    <w:next w:val="Normal"/>
    <w:link w:val="SubtitleChar"/>
    <w:uiPriority w:val="2"/>
    <w:qFormat/>
    <w:rsid w:val="00A734A7"/>
    <w:pPr>
      <w:keepNext/>
      <w:keepLines/>
      <w:spacing w:before="480" w:after="0"/>
    </w:pPr>
    <w:rPr>
      <w:rFonts w:ascii="Georgia" w:eastAsiaTheme="majorEastAsia" w:hAnsi="Georgia" w:cstheme="majorBidi"/>
      <w:bCs/>
      <w:color w:val="264A76"/>
      <w:sz w:val="32"/>
      <w:szCs w:val="32"/>
      <w:lang w:eastAsia="en-AU"/>
    </w:rPr>
  </w:style>
  <w:style w:type="character" w:customStyle="1" w:styleId="SubtitleChar">
    <w:name w:val="Subtitle Char"/>
    <w:aliases w:val="PBO Subtitle Char"/>
    <w:basedOn w:val="DefaultParagraphFont"/>
    <w:link w:val="Subtitle"/>
    <w:uiPriority w:val="2"/>
    <w:rsid w:val="00A734A7"/>
    <w:rPr>
      <w:rFonts w:ascii="Georgia" w:eastAsiaTheme="majorEastAsia" w:hAnsi="Georgia" w:cstheme="majorBidi"/>
      <w:bCs/>
      <w:color w:val="264A76"/>
      <w:sz w:val="32"/>
      <w:szCs w:val="32"/>
      <w:lang w:eastAsia="en-AU"/>
    </w:rPr>
  </w:style>
  <w:style w:type="paragraph" w:styleId="ListParagraph">
    <w:name w:val="List Paragraph"/>
    <w:basedOn w:val="Normal"/>
    <w:link w:val="ListParagraphChar"/>
    <w:uiPriority w:val="34"/>
    <w:qFormat/>
    <w:rsid w:val="009B6788"/>
    <w:pPr>
      <w:ind w:left="720"/>
      <w:contextualSpacing/>
    </w:pPr>
  </w:style>
  <w:style w:type="character" w:styleId="SubtleEmphasis">
    <w:name w:val="Subtle Emphasis"/>
    <w:aliases w:val="Bullet level 1"/>
    <w:uiPriority w:val="19"/>
    <w:rsid w:val="00492FE0"/>
    <w:rPr>
      <w:lang w:eastAsia="en-AU"/>
    </w:rPr>
  </w:style>
  <w:style w:type="paragraph" w:customStyle="1" w:styleId="Bullet1">
    <w:name w:val="Bullet 1"/>
    <w:basedOn w:val="Normal"/>
    <w:link w:val="Bullet1Char"/>
    <w:qFormat/>
    <w:rsid w:val="002565D1"/>
    <w:pPr>
      <w:numPr>
        <w:numId w:val="3"/>
      </w:numPr>
      <w:ind w:left="357" w:hanging="357"/>
    </w:pPr>
  </w:style>
  <w:style w:type="paragraph" w:customStyle="1" w:styleId="Bullet2">
    <w:name w:val="Bullet 2"/>
    <w:basedOn w:val="NormalWeb"/>
    <w:link w:val="Bullet2Char"/>
    <w:uiPriority w:val="99"/>
    <w:qFormat/>
    <w:rsid w:val="002565D1"/>
    <w:pPr>
      <w:numPr>
        <w:ilvl w:val="1"/>
        <w:numId w:val="3"/>
      </w:numPr>
      <w:ind w:left="568" w:hanging="284"/>
    </w:pPr>
    <w:rPr>
      <w:lang w:eastAsia="en-AU"/>
    </w:rPr>
  </w:style>
  <w:style w:type="character" w:customStyle="1" w:styleId="ListParagraphChar">
    <w:name w:val="List Paragraph Char"/>
    <w:basedOn w:val="DefaultParagraphFont"/>
    <w:link w:val="ListParagraph"/>
    <w:uiPriority w:val="34"/>
    <w:rsid w:val="002565D1"/>
    <w:rPr>
      <w:rFonts w:ascii="Times New Roman" w:hAnsi="Times New Roman" w:cs="Times New Roman"/>
      <w:sz w:val="24"/>
      <w:szCs w:val="24"/>
    </w:rPr>
  </w:style>
  <w:style w:type="character" w:customStyle="1" w:styleId="Bullet1Char">
    <w:name w:val="Bullet 1 Char"/>
    <w:basedOn w:val="ListParagraphChar"/>
    <w:link w:val="Bullet1"/>
    <w:rsid w:val="00BF3D64"/>
    <w:rPr>
      <w:rFonts w:ascii="Times New Roman" w:hAnsi="Times New Roman" w:cs="Times New Roman"/>
      <w:sz w:val="24"/>
      <w:szCs w:val="24"/>
    </w:rPr>
  </w:style>
  <w:style w:type="paragraph" w:customStyle="1" w:styleId="Bullet3">
    <w:name w:val="Bullet 3"/>
    <w:basedOn w:val="NormalWeb"/>
    <w:link w:val="Bullet3Char"/>
    <w:uiPriority w:val="99"/>
    <w:qFormat/>
    <w:rsid w:val="002565D1"/>
    <w:pPr>
      <w:numPr>
        <w:ilvl w:val="2"/>
        <w:numId w:val="3"/>
      </w:numPr>
      <w:ind w:left="851" w:hanging="284"/>
    </w:pPr>
    <w:rPr>
      <w:lang w:eastAsia="en-AU"/>
    </w:rPr>
  </w:style>
  <w:style w:type="character" w:customStyle="1" w:styleId="Bullet2Char">
    <w:name w:val="Bullet 2 Char"/>
    <w:basedOn w:val="ListParagraphChar"/>
    <w:link w:val="Bullet2"/>
    <w:rsid w:val="00BF3D64"/>
    <w:rPr>
      <w:rFonts w:ascii="Times New Roman" w:hAnsi="Times New Roman" w:cs="Times New Roman"/>
      <w:sz w:val="24"/>
      <w:szCs w:val="24"/>
      <w:lang w:eastAsia="en-AU"/>
    </w:rPr>
  </w:style>
  <w:style w:type="paragraph" w:customStyle="1" w:styleId="Bullet4">
    <w:name w:val="Bullet 4"/>
    <w:basedOn w:val="ListParagraph"/>
    <w:next w:val="Normal"/>
    <w:link w:val="Bullet4Char"/>
    <w:uiPriority w:val="99"/>
    <w:qFormat/>
    <w:rsid w:val="002565D1"/>
    <w:pPr>
      <w:numPr>
        <w:ilvl w:val="3"/>
        <w:numId w:val="3"/>
      </w:numPr>
      <w:ind w:left="1135" w:hanging="284"/>
    </w:pPr>
    <w:rPr>
      <w:lang w:eastAsia="en-AU"/>
    </w:rPr>
  </w:style>
  <w:style w:type="character" w:customStyle="1" w:styleId="Bullet3Char">
    <w:name w:val="Bullet 3 Char"/>
    <w:basedOn w:val="ListParagraphChar"/>
    <w:link w:val="Bullet3"/>
    <w:rsid w:val="00BF3D64"/>
    <w:rPr>
      <w:rFonts w:ascii="Times New Roman" w:hAnsi="Times New Roman" w:cs="Times New Roman"/>
      <w:sz w:val="24"/>
      <w:szCs w:val="24"/>
      <w:lang w:eastAsia="en-AU"/>
    </w:rPr>
  </w:style>
  <w:style w:type="paragraph" w:customStyle="1" w:styleId="Bullet5">
    <w:name w:val="Bullet 5"/>
    <w:basedOn w:val="ListParagraph"/>
    <w:next w:val="Normal"/>
    <w:link w:val="Bullet5Char"/>
    <w:uiPriority w:val="99"/>
    <w:qFormat/>
    <w:rsid w:val="002565D1"/>
    <w:pPr>
      <w:numPr>
        <w:ilvl w:val="4"/>
        <w:numId w:val="3"/>
      </w:numPr>
      <w:ind w:left="1418" w:hanging="284"/>
    </w:pPr>
    <w:rPr>
      <w:lang w:eastAsia="en-AU"/>
    </w:rPr>
  </w:style>
  <w:style w:type="character" w:customStyle="1" w:styleId="Bullet4Char">
    <w:name w:val="Bullet 4 Char"/>
    <w:basedOn w:val="ListParagraphChar"/>
    <w:link w:val="Bullet4"/>
    <w:rsid w:val="002565D1"/>
    <w:rPr>
      <w:rFonts w:ascii="Times New Roman" w:hAnsi="Times New Roman" w:cs="Times New Roman"/>
      <w:sz w:val="24"/>
      <w:szCs w:val="24"/>
      <w:lang w:eastAsia="en-AU"/>
    </w:rPr>
  </w:style>
  <w:style w:type="character" w:customStyle="1" w:styleId="Bullet5Char">
    <w:name w:val="Bullet 5 Char"/>
    <w:basedOn w:val="ListParagraphChar"/>
    <w:link w:val="Bullet5"/>
    <w:rsid w:val="002565D1"/>
    <w:rPr>
      <w:rFonts w:ascii="Times New Roman" w:hAnsi="Times New Roman" w:cs="Times New Roman"/>
      <w:sz w:val="24"/>
      <w:szCs w:val="24"/>
      <w:lang w:eastAsia="en-AU"/>
    </w:rPr>
  </w:style>
  <w:style w:type="paragraph" w:styleId="NormalWeb">
    <w:name w:val="Normal (Web)"/>
    <w:basedOn w:val="Normal"/>
    <w:uiPriority w:val="99"/>
    <w:semiHidden/>
    <w:unhideWhenUsed/>
    <w:rsid w:val="00BF3D64"/>
  </w:style>
  <w:style w:type="character" w:styleId="CommentReference">
    <w:name w:val="annotation reference"/>
    <w:basedOn w:val="DefaultParagraphFont"/>
    <w:uiPriority w:val="99"/>
    <w:semiHidden/>
    <w:unhideWhenUsed/>
    <w:rsid w:val="00DE3E8C"/>
    <w:rPr>
      <w:sz w:val="16"/>
      <w:szCs w:val="16"/>
    </w:rPr>
  </w:style>
  <w:style w:type="paragraph" w:styleId="CommentText">
    <w:name w:val="annotation text"/>
    <w:basedOn w:val="Normal"/>
    <w:link w:val="CommentTextChar"/>
    <w:uiPriority w:val="99"/>
    <w:unhideWhenUsed/>
    <w:rsid w:val="00DE3E8C"/>
    <w:rPr>
      <w:sz w:val="20"/>
      <w:szCs w:val="20"/>
    </w:rPr>
  </w:style>
  <w:style w:type="character" w:customStyle="1" w:styleId="CommentTextChar">
    <w:name w:val="Comment Text Char"/>
    <w:basedOn w:val="DefaultParagraphFont"/>
    <w:link w:val="CommentText"/>
    <w:uiPriority w:val="99"/>
    <w:rsid w:val="00DE3E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E8C"/>
    <w:rPr>
      <w:b/>
      <w:bCs/>
    </w:rPr>
  </w:style>
  <w:style w:type="character" w:customStyle="1" w:styleId="CommentSubjectChar">
    <w:name w:val="Comment Subject Char"/>
    <w:basedOn w:val="CommentTextChar"/>
    <w:link w:val="CommentSubject"/>
    <w:uiPriority w:val="99"/>
    <w:semiHidden/>
    <w:rsid w:val="00DE3E8C"/>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681078"/>
    <w:pPr>
      <w:spacing w:after="0"/>
    </w:pPr>
    <w:rPr>
      <w:sz w:val="20"/>
      <w:szCs w:val="20"/>
    </w:rPr>
  </w:style>
  <w:style w:type="character" w:customStyle="1" w:styleId="FootnoteTextChar">
    <w:name w:val="Footnote Text Char"/>
    <w:basedOn w:val="DefaultParagraphFont"/>
    <w:link w:val="FootnoteText"/>
    <w:uiPriority w:val="99"/>
    <w:semiHidden/>
    <w:rsid w:val="0068107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81078"/>
    <w:rPr>
      <w:vertAlign w:val="superscript"/>
    </w:rPr>
  </w:style>
  <w:style w:type="paragraph" w:styleId="Revision">
    <w:name w:val="Revision"/>
    <w:hidden/>
    <w:uiPriority w:val="99"/>
    <w:semiHidden/>
    <w:rsid w:val="00395A4E"/>
    <w:pPr>
      <w:spacing w:after="0"/>
    </w:pPr>
    <w:rPr>
      <w:rFonts w:ascii="Times New Roman" w:hAnsi="Times New Roman" w:cs="Times New Roman"/>
      <w:sz w:val="24"/>
      <w:szCs w:val="24"/>
    </w:rPr>
  </w:style>
  <w:style w:type="paragraph" w:styleId="Title">
    <w:name w:val="Title"/>
    <w:aliases w:val="PBO Title"/>
    <w:basedOn w:val="Heading1"/>
    <w:next w:val="Subtitle"/>
    <w:link w:val="TitleChar"/>
    <w:qFormat/>
    <w:rsid w:val="00A734A7"/>
    <w:pPr>
      <w:spacing w:before="4300" w:after="60"/>
      <w:outlineLvl w:val="9"/>
    </w:pPr>
    <w:rPr>
      <w:rFonts w:ascii="Georgia" w:hAnsi="Georgia"/>
      <w:b w:val="0"/>
      <w:bCs/>
      <w:caps w:val="0"/>
      <w:color w:val="264A76"/>
      <w:kern w:val="32"/>
      <w:sz w:val="44"/>
      <w:szCs w:val="44"/>
    </w:rPr>
  </w:style>
  <w:style w:type="character" w:customStyle="1" w:styleId="TitleChar">
    <w:name w:val="Title Char"/>
    <w:aliases w:val="PBO Title Char"/>
    <w:basedOn w:val="DefaultParagraphFont"/>
    <w:link w:val="Title"/>
    <w:rsid w:val="00A734A7"/>
    <w:rPr>
      <w:rFonts w:ascii="Georgia" w:eastAsia="Times New Roman" w:hAnsi="Georgia" w:cs="Times New Roman"/>
      <w:bCs/>
      <w:color w:val="264A76"/>
      <w:kern w:val="32"/>
      <w:sz w:val="44"/>
      <w:szCs w:val="44"/>
      <w:lang w:eastAsia="en-AU"/>
    </w:rPr>
  </w:style>
  <w:style w:type="paragraph" w:customStyle="1" w:styleId="PBOheading1">
    <w:name w:val="PBO heading 1"/>
    <w:basedOn w:val="Heading1"/>
    <w:next w:val="Normal"/>
    <w:uiPriority w:val="1"/>
    <w:qFormat/>
    <w:rsid w:val="00A55569"/>
    <w:pPr>
      <w:spacing w:before="680" w:after="480"/>
    </w:pPr>
    <w:rPr>
      <w:rFonts w:ascii="Georgia" w:hAnsi="Georgia"/>
      <w:b w:val="0"/>
      <w:bCs/>
      <w:caps w:val="0"/>
      <w:color w:val="264A76"/>
      <w:kern w:val="32"/>
      <w:sz w:val="36"/>
      <w:szCs w:val="24"/>
      <w:lang w:eastAsia="en-US"/>
    </w:rPr>
  </w:style>
  <w:style w:type="paragraph" w:customStyle="1" w:styleId="PBOheading2">
    <w:name w:val="PBO heading 2"/>
    <w:basedOn w:val="Heading2"/>
    <w:next w:val="Normal"/>
    <w:uiPriority w:val="1"/>
    <w:qFormat/>
    <w:rsid w:val="00A55569"/>
    <w:pPr>
      <w:keepLines/>
      <w:spacing w:before="320" w:after="170" w:line="288" w:lineRule="auto"/>
    </w:pPr>
    <w:rPr>
      <w:rFonts w:asciiTheme="majorHAnsi" w:eastAsiaTheme="majorEastAsia" w:hAnsiTheme="majorHAnsi" w:cstheme="majorBidi"/>
      <w:b w:val="0"/>
      <w:bCs/>
      <w:color w:val="264A76"/>
      <w:sz w:val="30"/>
      <w:szCs w:val="26"/>
      <w:lang w:eastAsia="en-AU"/>
    </w:rPr>
  </w:style>
  <w:style w:type="paragraph" w:customStyle="1" w:styleId="PBOtext">
    <w:name w:val="PBO text"/>
    <w:basedOn w:val="Normal"/>
    <w:uiPriority w:val="99"/>
    <w:qFormat/>
    <w:rsid w:val="00A55569"/>
    <w:pPr>
      <w:spacing w:before="120" w:after="113"/>
    </w:pPr>
    <w:rPr>
      <w:rFonts w:eastAsia="Cambria"/>
      <w:szCs w:val="20"/>
      <w:lang w:eastAsia="en-AU"/>
    </w:rPr>
  </w:style>
  <w:style w:type="paragraph" w:customStyle="1" w:styleId="PBOfiguretableheading">
    <w:name w:val="PBO figure/table heading"/>
    <w:uiPriority w:val="2"/>
    <w:qFormat/>
    <w:rsid w:val="00A55569"/>
    <w:pPr>
      <w:spacing w:before="200" w:after="113" w:line="288" w:lineRule="auto"/>
    </w:pPr>
    <w:rPr>
      <w:rFonts w:ascii="Calibri" w:eastAsia="Cambria" w:hAnsi="Calibri" w:cs="Times New Roman"/>
      <w:b/>
      <w:i/>
      <w:color w:val="2B3B5F"/>
      <w:sz w:val="20"/>
      <w:szCs w:val="24"/>
    </w:rPr>
  </w:style>
  <w:style w:type="table" w:customStyle="1" w:styleId="PBOtable">
    <w:name w:val="PBO table"/>
    <w:basedOn w:val="TableNormal"/>
    <w:qFormat/>
    <w:rsid w:val="00543268"/>
    <w:pPr>
      <w:spacing w:after="0"/>
    </w:pPr>
    <w:rPr>
      <w:rFonts w:ascii="Calibri" w:eastAsia="Cambria" w:hAnsi="Calibri" w:cs="Times New Roman"/>
      <w:sz w:val="18"/>
      <w:szCs w:val="20"/>
      <w:lang w:eastAsia="en-AU"/>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customStyle="1" w:styleId="TableHeading">
    <w:name w:val="Table Heading"/>
    <w:basedOn w:val="Normal"/>
    <w:qFormat/>
    <w:rsid w:val="00C71962"/>
    <w:pPr>
      <w:keepNext/>
      <w:keepLines/>
      <w:spacing w:before="70" w:after="70" w:line="260" w:lineRule="atLeast"/>
      <w:ind w:left="113" w:right="113"/>
    </w:pPr>
    <w:rPr>
      <w:rFonts w:asciiTheme="minorHAnsi" w:hAnsiTheme="minorHAnsi"/>
      <w:b/>
      <w:color w:val="FFFFFF"/>
      <w:sz w:val="20"/>
      <w:szCs w:val="20"/>
    </w:rPr>
  </w:style>
  <w:style w:type="paragraph" w:customStyle="1" w:styleId="TableHeadingCentred">
    <w:name w:val="Table Heading Centred"/>
    <w:basedOn w:val="TableHeading"/>
    <w:qFormat/>
    <w:rsid w:val="00C71962"/>
    <w:pPr>
      <w:jc w:val="center"/>
    </w:pPr>
    <w:rPr>
      <w:color w:val="auto"/>
    </w:rPr>
  </w:style>
  <w:style w:type="paragraph" w:customStyle="1" w:styleId="TableText">
    <w:name w:val="Table Text"/>
    <w:basedOn w:val="Normal"/>
    <w:qFormat/>
    <w:rsid w:val="00C71962"/>
    <w:pPr>
      <w:spacing w:before="70" w:after="70" w:line="260" w:lineRule="atLeast"/>
      <w:ind w:left="113" w:right="113"/>
    </w:pPr>
    <w:rPr>
      <w:rFonts w:asciiTheme="minorHAnsi" w:hAnsiTheme="minorHAnsi"/>
      <w:sz w:val="20"/>
      <w:szCs w:val="20"/>
    </w:rPr>
  </w:style>
  <w:style w:type="paragraph" w:customStyle="1" w:styleId="TableTextCentred">
    <w:name w:val="Table Text Centred"/>
    <w:basedOn w:val="TableText"/>
    <w:qFormat/>
    <w:rsid w:val="00C71962"/>
    <w:pPr>
      <w:jc w:val="center"/>
    </w:pPr>
    <w:rPr>
      <w:rFonts w:eastAsia="Times New Roman"/>
      <w:lang w:eastAsia="en-AU"/>
    </w:rPr>
  </w:style>
  <w:style w:type="table" w:customStyle="1" w:styleId="TableGrid1">
    <w:name w:val="Table Grid1"/>
    <w:basedOn w:val="TableNormal"/>
    <w:next w:val="TableGrid"/>
    <w:rsid w:val="00C71962"/>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
    <w:name w:val="Table Grid2"/>
    <w:basedOn w:val="TableNormal"/>
    <w:next w:val="TableGrid"/>
    <w:rsid w:val="00E76371"/>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Default">
    <w:name w:val="Default"/>
    <w:rsid w:val="004F1A32"/>
    <w:pPr>
      <w:autoSpaceDE w:val="0"/>
      <w:autoSpaceDN w:val="0"/>
      <w:adjustRightInd w:val="0"/>
      <w:spacing w:after="0"/>
    </w:pPr>
    <w:rPr>
      <w:rFonts w:ascii="Georgia" w:hAnsi="Georgia" w:cs="Georgia"/>
      <w:color w:val="000000"/>
      <w:sz w:val="24"/>
      <w:szCs w:val="24"/>
    </w:rPr>
  </w:style>
  <w:style w:type="paragraph" w:styleId="PlainText">
    <w:name w:val="Plain Text"/>
    <w:basedOn w:val="Normal"/>
    <w:link w:val="PlainTextChar"/>
    <w:uiPriority w:val="99"/>
    <w:unhideWhenUsed/>
    <w:rsid w:val="00873004"/>
    <w:pPr>
      <w:spacing w:after="0"/>
    </w:pPr>
    <w:rPr>
      <w:rFonts w:cstheme="minorBidi"/>
      <w:szCs w:val="21"/>
    </w:rPr>
  </w:style>
  <w:style w:type="character" w:customStyle="1" w:styleId="PlainTextChar">
    <w:name w:val="Plain Text Char"/>
    <w:basedOn w:val="DefaultParagraphFont"/>
    <w:link w:val="PlainText"/>
    <w:uiPriority w:val="99"/>
    <w:rsid w:val="00873004"/>
    <w:rPr>
      <w:rFonts w:ascii="Calibri" w:hAnsi="Calibri"/>
      <w:szCs w:val="21"/>
    </w:rPr>
  </w:style>
  <w:style w:type="table" w:customStyle="1" w:styleId="TableGrid11">
    <w:name w:val="Table Grid11"/>
    <w:basedOn w:val="TableNormal"/>
    <w:next w:val="TableGrid"/>
    <w:rsid w:val="00764FC5"/>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1">
    <w:name w:val="Table Grid21"/>
    <w:basedOn w:val="TableNormal"/>
    <w:next w:val="TableGrid"/>
    <w:rsid w:val="006F4E2B"/>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styleId="EndnoteText">
    <w:name w:val="endnote text"/>
    <w:basedOn w:val="Normal"/>
    <w:link w:val="EndnoteTextChar"/>
    <w:uiPriority w:val="99"/>
    <w:semiHidden/>
    <w:unhideWhenUsed/>
    <w:rsid w:val="003B1CA0"/>
    <w:pPr>
      <w:spacing w:after="0"/>
    </w:pPr>
    <w:rPr>
      <w:sz w:val="20"/>
      <w:szCs w:val="20"/>
    </w:rPr>
  </w:style>
  <w:style w:type="character" w:customStyle="1" w:styleId="EndnoteTextChar">
    <w:name w:val="Endnote Text Char"/>
    <w:basedOn w:val="DefaultParagraphFont"/>
    <w:link w:val="EndnoteText"/>
    <w:uiPriority w:val="99"/>
    <w:semiHidden/>
    <w:rsid w:val="003B1CA0"/>
    <w:rPr>
      <w:rFonts w:ascii="Calibri" w:hAnsi="Calibri" w:cs="Times New Roman"/>
      <w:sz w:val="20"/>
      <w:szCs w:val="20"/>
    </w:rPr>
  </w:style>
  <w:style w:type="character" w:styleId="EndnoteReference">
    <w:name w:val="endnote reference"/>
    <w:basedOn w:val="DefaultParagraphFont"/>
    <w:uiPriority w:val="99"/>
    <w:semiHidden/>
    <w:unhideWhenUsed/>
    <w:rsid w:val="003B1C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5269">
      <w:bodyDiv w:val="1"/>
      <w:marLeft w:val="0"/>
      <w:marRight w:val="0"/>
      <w:marTop w:val="0"/>
      <w:marBottom w:val="0"/>
      <w:divBdr>
        <w:top w:val="none" w:sz="0" w:space="0" w:color="auto"/>
        <w:left w:val="none" w:sz="0" w:space="0" w:color="auto"/>
        <w:bottom w:val="none" w:sz="0" w:space="0" w:color="auto"/>
        <w:right w:val="none" w:sz="0" w:space="0" w:color="auto"/>
      </w:divBdr>
    </w:div>
    <w:div w:id="77291559">
      <w:bodyDiv w:val="1"/>
      <w:marLeft w:val="0"/>
      <w:marRight w:val="0"/>
      <w:marTop w:val="0"/>
      <w:marBottom w:val="0"/>
      <w:divBdr>
        <w:top w:val="none" w:sz="0" w:space="0" w:color="auto"/>
        <w:left w:val="none" w:sz="0" w:space="0" w:color="auto"/>
        <w:bottom w:val="none" w:sz="0" w:space="0" w:color="auto"/>
        <w:right w:val="none" w:sz="0" w:space="0" w:color="auto"/>
      </w:divBdr>
    </w:div>
    <w:div w:id="79328208">
      <w:bodyDiv w:val="1"/>
      <w:marLeft w:val="0"/>
      <w:marRight w:val="0"/>
      <w:marTop w:val="0"/>
      <w:marBottom w:val="0"/>
      <w:divBdr>
        <w:top w:val="none" w:sz="0" w:space="0" w:color="auto"/>
        <w:left w:val="none" w:sz="0" w:space="0" w:color="auto"/>
        <w:bottom w:val="none" w:sz="0" w:space="0" w:color="auto"/>
        <w:right w:val="none" w:sz="0" w:space="0" w:color="auto"/>
      </w:divBdr>
    </w:div>
    <w:div w:id="242646002">
      <w:bodyDiv w:val="1"/>
      <w:marLeft w:val="0"/>
      <w:marRight w:val="0"/>
      <w:marTop w:val="0"/>
      <w:marBottom w:val="0"/>
      <w:divBdr>
        <w:top w:val="none" w:sz="0" w:space="0" w:color="auto"/>
        <w:left w:val="none" w:sz="0" w:space="0" w:color="auto"/>
        <w:bottom w:val="none" w:sz="0" w:space="0" w:color="auto"/>
        <w:right w:val="none" w:sz="0" w:space="0" w:color="auto"/>
      </w:divBdr>
    </w:div>
    <w:div w:id="287668639">
      <w:bodyDiv w:val="1"/>
      <w:marLeft w:val="0"/>
      <w:marRight w:val="0"/>
      <w:marTop w:val="0"/>
      <w:marBottom w:val="0"/>
      <w:divBdr>
        <w:top w:val="none" w:sz="0" w:space="0" w:color="auto"/>
        <w:left w:val="none" w:sz="0" w:space="0" w:color="auto"/>
        <w:bottom w:val="none" w:sz="0" w:space="0" w:color="auto"/>
        <w:right w:val="none" w:sz="0" w:space="0" w:color="auto"/>
      </w:divBdr>
    </w:div>
    <w:div w:id="328868213">
      <w:bodyDiv w:val="1"/>
      <w:marLeft w:val="0"/>
      <w:marRight w:val="0"/>
      <w:marTop w:val="0"/>
      <w:marBottom w:val="0"/>
      <w:divBdr>
        <w:top w:val="none" w:sz="0" w:space="0" w:color="auto"/>
        <w:left w:val="none" w:sz="0" w:space="0" w:color="auto"/>
        <w:bottom w:val="none" w:sz="0" w:space="0" w:color="auto"/>
        <w:right w:val="none" w:sz="0" w:space="0" w:color="auto"/>
      </w:divBdr>
    </w:div>
    <w:div w:id="332414468">
      <w:bodyDiv w:val="1"/>
      <w:marLeft w:val="0"/>
      <w:marRight w:val="0"/>
      <w:marTop w:val="0"/>
      <w:marBottom w:val="0"/>
      <w:divBdr>
        <w:top w:val="none" w:sz="0" w:space="0" w:color="auto"/>
        <w:left w:val="none" w:sz="0" w:space="0" w:color="auto"/>
        <w:bottom w:val="none" w:sz="0" w:space="0" w:color="auto"/>
        <w:right w:val="none" w:sz="0" w:space="0" w:color="auto"/>
      </w:divBdr>
    </w:div>
    <w:div w:id="349994608">
      <w:bodyDiv w:val="1"/>
      <w:marLeft w:val="0"/>
      <w:marRight w:val="0"/>
      <w:marTop w:val="0"/>
      <w:marBottom w:val="0"/>
      <w:divBdr>
        <w:top w:val="none" w:sz="0" w:space="0" w:color="auto"/>
        <w:left w:val="none" w:sz="0" w:space="0" w:color="auto"/>
        <w:bottom w:val="none" w:sz="0" w:space="0" w:color="auto"/>
        <w:right w:val="none" w:sz="0" w:space="0" w:color="auto"/>
      </w:divBdr>
    </w:div>
    <w:div w:id="369576706">
      <w:bodyDiv w:val="1"/>
      <w:marLeft w:val="0"/>
      <w:marRight w:val="0"/>
      <w:marTop w:val="0"/>
      <w:marBottom w:val="0"/>
      <w:divBdr>
        <w:top w:val="none" w:sz="0" w:space="0" w:color="auto"/>
        <w:left w:val="none" w:sz="0" w:space="0" w:color="auto"/>
        <w:bottom w:val="none" w:sz="0" w:space="0" w:color="auto"/>
        <w:right w:val="none" w:sz="0" w:space="0" w:color="auto"/>
      </w:divBdr>
    </w:div>
    <w:div w:id="420641894">
      <w:bodyDiv w:val="1"/>
      <w:marLeft w:val="0"/>
      <w:marRight w:val="0"/>
      <w:marTop w:val="0"/>
      <w:marBottom w:val="0"/>
      <w:divBdr>
        <w:top w:val="none" w:sz="0" w:space="0" w:color="auto"/>
        <w:left w:val="none" w:sz="0" w:space="0" w:color="auto"/>
        <w:bottom w:val="none" w:sz="0" w:space="0" w:color="auto"/>
        <w:right w:val="none" w:sz="0" w:space="0" w:color="auto"/>
      </w:divBdr>
    </w:div>
    <w:div w:id="455875492">
      <w:bodyDiv w:val="1"/>
      <w:marLeft w:val="0"/>
      <w:marRight w:val="0"/>
      <w:marTop w:val="0"/>
      <w:marBottom w:val="0"/>
      <w:divBdr>
        <w:top w:val="none" w:sz="0" w:space="0" w:color="auto"/>
        <w:left w:val="none" w:sz="0" w:space="0" w:color="auto"/>
        <w:bottom w:val="none" w:sz="0" w:space="0" w:color="auto"/>
        <w:right w:val="none" w:sz="0" w:space="0" w:color="auto"/>
      </w:divBdr>
    </w:div>
    <w:div w:id="587009434">
      <w:bodyDiv w:val="1"/>
      <w:marLeft w:val="0"/>
      <w:marRight w:val="0"/>
      <w:marTop w:val="0"/>
      <w:marBottom w:val="0"/>
      <w:divBdr>
        <w:top w:val="none" w:sz="0" w:space="0" w:color="auto"/>
        <w:left w:val="none" w:sz="0" w:space="0" w:color="auto"/>
        <w:bottom w:val="none" w:sz="0" w:space="0" w:color="auto"/>
        <w:right w:val="none" w:sz="0" w:space="0" w:color="auto"/>
      </w:divBdr>
    </w:div>
    <w:div w:id="605310042">
      <w:bodyDiv w:val="1"/>
      <w:marLeft w:val="0"/>
      <w:marRight w:val="0"/>
      <w:marTop w:val="0"/>
      <w:marBottom w:val="0"/>
      <w:divBdr>
        <w:top w:val="none" w:sz="0" w:space="0" w:color="auto"/>
        <w:left w:val="none" w:sz="0" w:space="0" w:color="auto"/>
        <w:bottom w:val="none" w:sz="0" w:space="0" w:color="auto"/>
        <w:right w:val="none" w:sz="0" w:space="0" w:color="auto"/>
      </w:divBdr>
    </w:div>
    <w:div w:id="623190876">
      <w:bodyDiv w:val="1"/>
      <w:marLeft w:val="0"/>
      <w:marRight w:val="0"/>
      <w:marTop w:val="0"/>
      <w:marBottom w:val="0"/>
      <w:divBdr>
        <w:top w:val="none" w:sz="0" w:space="0" w:color="auto"/>
        <w:left w:val="none" w:sz="0" w:space="0" w:color="auto"/>
        <w:bottom w:val="none" w:sz="0" w:space="0" w:color="auto"/>
        <w:right w:val="none" w:sz="0" w:space="0" w:color="auto"/>
      </w:divBdr>
    </w:div>
    <w:div w:id="650792176">
      <w:bodyDiv w:val="1"/>
      <w:marLeft w:val="0"/>
      <w:marRight w:val="0"/>
      <w:marTop w:val="0"/>
      <w:marBottom w:val="0"/>
      <w:divBdr>
        <w:top w:val="none" w:sz="0" w:space="0" w:color="auto"/>
        <w:left w:val="none" w:sz="0" w:space="0" w:color="auto"/>
        <w:bottom w:val="none" w:sz="0" w:space="0" w:color="auto"/>
        <w:right w:val="none" w:sz="0" w:space="0" w:color="auto"/>
      </w:divBdr>
    </w:div>
    <w:div w:id="651061456">
      <w:bodyDiv w:val="1"/>
      <w:marLeft w:val="0"/>
      <w:marRight w:val="0"/>
      <w:marTop w:val="0"/>
      <w:marBottom w:val="0"/>
      <w:divBdr>
        <w:top w:val="none" w:sz="0" w:space="0" w:color="auto"/>
        <w:left w:val="none" w:sz="0" w:space="0" w:color="auto"/>
        <w:bottom w:val="none" w:sz="0" w:space="0" w:color="auto"/>
        <w:right w:val="none" w:sz="0" w:space="0" w:color="auto"/>
      </w:divBdr>
    </w:div>
    <w:div w:id="657538990">
      <w:bodyDiv w:val="1"/>
      <w:marLeft w:val="0"/>
      <w:marRight w:val="0"/>
      <w:marTop w:val="0"/>
      <w:marBottom w:val="0"/>
      <w:divBdr>
        <w:top w:val="none" w:sz="0" w:space="0" w:color="auto"/>
        <w:left w:val="none" w:sz="0" w:space="0" w:color="auto"/>
        <w:bottom w:val="none" w:sz="0" w:space="0" w:color="auto"/>
        <w:right w:val="none" w:sz="0" w:space="0" w:color="auto"/>
      </w:divBdr>
    </w:div>
    <w:div w:id="713165247">
      <w:bodyDiv w:val="1"/>
      <w:marLeft w:val="0"/>
      <w:marRight w:val="0"/>
      <w:marTop w:val="0"/>
      <w:marBottom w:val="0"/>
      <w:divBdr>
        <w:top w:val="none" w:sz="0" w:space="0" w:color="auto"/>
        <w:left w:val="none" w:sz="0" w:space="0" w:color="auto"/>
        <w:bottom w:val="none" w:sz="0" w:space="0" w:color="auto"/>
        <w:right w:val="none" w:sz="0" w:space="0" w:color="auto"/>
      </w:divBdr>
    </w:div>
    <w:div w:id="720252416">
      <w:bodyDiv w:val="1"/>
      <w:marLeft w:val="0"/>
      <w:marRight w:val="0"/>
      <w:marTop w:val="0"/>
      <w:marBottom w:val="0"/>
      <w:divBdr>
        <w:top w:val="none" w:sz="0" w:space="0" w:color="auto"/>
        <w:left w:val="none" w:sz="0" w:space="0" w:color="auto"/>
        <w:bottom w:val="none" w:sz="0" w:space="0" w:color="auto"/>
        <w:right w:val="none" w:sz="0" w:space="0" w:color="auto"/>
      </w:divBdr>
    </w:div>
    <w:div w:id="742872543">
      <w:bodyDiv w:val="1"/>
      <w:marLeft w:val="0"/>
      <w:marRight w:val="0"/>
      <w:marTop w:val="0"/>
      <w:marBottom w:val="0"/>
      <w:divBdr>
        <w:top w:val="none" w:sz="0" w:space="0" w:color="auto"/>
        <w:left w:val="none" w:sz="0" w:space="0" w:color="auto"/>
        <w:bottom w:val="none" w:sz="0" w:space="0" w:color="auto"/>
        <w:right w:val="none" w:sz="0" w:space="0" w:color="auto"/>
      </w:divBdr>
    </w:div>
    <w:div w:id="801650745">
      <w:bodyDiv w:val="1"/>
      <w:marLeft w:val="0"/>
      <w:marRight w:val="0"/>
      <w:marTop w:val="0"/>
      <w:marBottom w:val="0"/>
      <w:divBdr>
        <w:top w:val="none" w:sz="0" w:space="0" w:color="auto"/>
        <w:left w:val="none" w:sz="0" w:space="0" w:color="auto"/>
        <w:bottom w:val="none" w:sz="0" w:space="0" w:color="auto"/>
        <w:right w:val="none" w:sz="0" w:space="0" w:color="auto"/>
      </w:divBdr>
    </w:div>
    <w:div w:id="806312877">
      <w:bodyDiv w:val="1"/>
      <w:marLeft w:val="0"/>
      <w:marRight w:val="0"/>
      <w:marTop w:val="0"/>
      <w:marBottom w:val="0"/>
      <w:divBdr>
        <w:top w:val="none" w:sz="0" w:space="0" w:color="auto"/>
        <w:left w:val="none" w:sz="0" w:space="0" w:color="auto"/>
        <w:bottom w:val="none" w:sz="0" w:space="0" w:color="auto"/>
        <w:right w:val="none" w:sz="0" w:space="0" w:color="auto"/>
      </w:divBdr>
    </w:div>
    <w:div w:id="857739311">
      <w:bodyDiv w:val="1"/>
      <w:marLeft w:val="0"/>
      <w:marRight w:val="0"/>
      <w:marTop w:val="0"/>
      <w:marBottom w:val="0"/>
      <w:divBdr>
        <w:top w:val="none" w:sz="0" w:space="0" w:color="auto"/>
        <w:left w:val="none" w:sz="0" w:space="0" w:color="auto"/>
        <w:bottom w:val="none" w:sz="0" w:space="0" w:color="auto"/>
        <w:right w:val="none" w:sz="0" w:space="0" w:color="auto"/>
      </w:divBdr>
    </w:div>
    <w:div w:id="945775721">
      <w:bodyDiv w:val="1"/>
      <w:marLeft w:val="0"/>
      <w:marRight w:val="0"/>
      <w:marTop w:val="0"/>
      <w:marBottom w:val="0"/>
      <w:divBdr>
        <w:top w:val="none" w:sz="0" w:space="0" w:color="auto"/>
        <w:left w:val="none" w:sz="0" w:space="0" w:color="auto"/>
        <w:bottom w:val="none" w:sz="0" w:space="0" w:color="auto"/>
        <w:right w:val="none" w:sz="0" w:space="0" w:color="auto"/>
      </w:divBdr>
    </w:div>
    <w:div w:id="952901572">
      <w:bodyDiv w:val="1"/>
      <w:marLeft w:val="0"/>
      <w:marRight w:val="0"/>
      <w:marTop w:val="0"/>
      <w:marBottom w:val="0"/>
      <w:divBdr>
        <w:top w:val="none" w:sz="0" w:space="0" w:color="auto"/>
        <w:left w:val="none" w:sz="0" w:space="0" w:color="auto"/>
        <w:bottom w:val="none" w:sz="0" w:space="0" w:color="auto"/>
        <w:right w:val="none" w:sz="0" w:space="0" w:color="auto"/>
      </w:divBdr>
    </w:div>
    <w:div w:id="1020276669">
      <w:bodyDiv w:val="1"/>
      <w:marLeft w:val="0"/>
      <w:marRight w:val="0"/>
      <w:marTop w:val="0"/>
      <w:marBottom w:val="0"/>
      <w:divBdr>
        <w:top w:val="none" w:sz="0" w:space="0" w:color="auto"/>
        <w:left w:val="none" w:sz="0" w:space="0" w:color="auto"/>
        <w:bottom w:val="none" w:sz="0" w:space="0" w:color="auto"/>
        <w:right w:val="none" w:sz="0" w:space="0" w:color="auto"/>
      </w:divBdr>
    </w:div>
    <w:div w:id="1064370703">
      <w:bodyDiv w:val="1"/>
      <w:marLeft w:val="0"/>
      <w:marRight w:val="0"/>
      <w:marTop w:val="0"/>
      <w:marBottom w:val="0"/>
      <w:divBdr>
        <w:top w:val="none" w:sz="0" w:space="0" w:color="auto"/>
        <w:left w:val="none" w:sz="0" w:space="0" w:color="auto"/>
        <w:bottom w:val="none" w:sz="0" w:space="0" w:color="auto"/>
        <w:right w:val="none" w:sz="0" w:space="0" w:color="auto"/>
      </w:divBdr>
    </w:div>
    <w:div w:id="1118529679">
      <w:bodyDiv w:val="1"/>
      <w:marLeft w:val="0"/>
      <w:marRight w:val="0"/>
      <w:marTop w:val="0"/>
      <w:marBottom w:val="0"/>
      <w:divBdr>
        <w:top w:val="none" w:sz="0" w:space="0" w:color="auto"/>
        <w:left w:val="none" w:sz="0" w:space="0" w:color="auto"/>
        <w:bottom w:val="none" w:sz="0" w:space="0" w:color="auto"/>
        <w:right w:val="none" w:sz="0" w:space="0" w:color="auto"/>
      </w:divBdr>
    </w:div>
    <w:div w:id="1127508031">
      <w:bodyDiv w:val="1"/>
      <w:marLeft w:val="0"/>
      <w:marRight w:val="0"/>
      <w:marTop w:val="0"/>
      <w:marBottom w:val="0"/>
      <w:divBdr>
        <w:top w:val="none" w:sz="0" w:space="0" w:color="auto"/>
        <w:left w:val="none" w:sz="0" w:space="0" w:color="auto"/>
        <w:bottom w:val="none" w:sz="0" w:space="0" w:color="auto"/>
        <w:right w:val="none" w:sz="0" w:space="0" w:color="auto"/>
      </w:divBdr>
    </w:div>
    <w:div w:id="1131553024">
      <w:bodyDiv w:val="1"/>
      <w:marLeft w:val="0"/>
      <w:marRight w:val="0"/>
      <w:marTop w:val="0"/>
      <w:marBottom w:val="0"/>
      <w:divBdr>
        <w:top w:val="none" w:sz="0" w:space="0" w:color="auto"/>
        <w:left w:val="none" w:sz="0" w:space="0" w:color="auto"/>
        <w:bottom w:val="none" w:sz="0" w:space="0" w:color="auto"/>
        <w:right w:val="none" w:sz="0" w:space="0" w:color="auto"/>
      </w:divBdr>
    </w:div>
    <w:div w:id="1154105354">
      <w:bodyDiv w:val="1"/>
      <w:marLeft w:val="0"/>
      <w:marRight w:val="0"/>
      <w:marTop w:val="0"/>
      <w:marBottom w:val="0"/>
      <w:divBdr>
        <w:top w:val="none" w:sz="0" w:space="0" w:color="auto"/>
        <w:left w:val="none" w:sz="0" w:space="0" w:color="auto"/>
        <w:bottom w:val="none" w:sz="0" w:space="0" w:color="auto"/>
        <w:right w:val="none" w:sz="0" w:space="0" w:color="auto"/>
      </w:divBdr>
    </w:div>
    <w:div w:id="1174495421">
      <w:bodyDiv w:val="1"/>
      <w:marLeft w:val="0"/>
      <w:marRight w:val="0"/>
      <w:marTop w:val="0"/>
      <w:marBottom w:val="0"/>
      <w:divBdr>
        <w:top w:val="none" w:sz="0" w:space="0" w:color="auto"/>
        <w:left w:val="none" w:sz="0" w:space="0" w:color="auto"/>
        <w:bottom w:val="none" w:sz="0" w:space="0" w:color="auto"/>
        <w:right w:val="none" w:sz="0" w:space="0" w:color="auto"/>
      </w:divBdr>
    </w:div>
    <w:div w:id="1191530556">
      <w:bodyDiv w:val="1"/>
      <w:marLeft w:val="0"/>
      <w:marRight w:val="0"/>
      <w:marTop w:val="0"/>
      <w:marBottom w:val="0"/>
      <w:divBdr>
        <w:top w:val="none" w:sz="0" w:space="0" w:color="auto"/>
        <w:left w:val="none" w:sz="0" w:space="0" w:color="auto"/>
        <w:bottom w:val="none" w:sz="0" w:space="0" w:color="auto"/>
        <w:right w:val="none" w:sz="0" w:space="0" w:color="auto"/>
      </w:divBdr>
    </w:div>
    <w:div w:id="1232086034">
      <w:bodyDiv w:val="1"/>
      <w:marLeft w:val="0"/>
      <w:marRight w:val="0"/>
      <w:marTop w:val="0"/>
      <w:marBottom w:val="0"/>
      <w:divBdr>
        <w:top w:val="none" w:sz="0" w:space="0" w:color="auto"/>
        <w:left w:val="none" w:sz="0" w:space="0" w:color="auto"/>
        <w:bottom w:val="none" w:sz="0" w:space="0" w:color="auto"/>
        <w:right w:val="none" w:sz="0" w:space="0" w:color="auto"/>
      </w:divBdr>
    </w:div>
    <w:div w:id="1263034414">
      <w:bodyDiv w:val="1"/>
      <w:marLeft w:val="0"/>
      <w:marRight w:val="0"/>
      <w:marTop w:val="0"/>
      <w:marBottom w:val="0"/>
      <w:divBdr>
        <w:top w:val="none" w:sz="0" w:space="0" w:color="auto"/>
        <w:left w:val="none" w:sz="0" w:space="0" w:color="auto"/>
        <w:bottom w:val="none" w:sz="0" w:space="0" w:color="auto"/>
        <w:right w:val="none" w:sz="0" w:space="0" w:color="auto"/>
      </w:divBdr>
    </w:div>
    <w:div w:id="1270547556">
      <w:bodyDiv w:val="1"/>
      <w:marLeft w:val="0"/>
      <w:marRight w:val="0"/>
      <w:marTop w:val="0"/>
      <w:marBottom w:val="0"/>
      <w:divBdr>
        <w:top w:val="none" w:sz="0" w:space="0" w:color="auto"/>
        <w:left w:val="none" w:sz="0" w:space="0" w:color="auto"/>
        <w:bottom w:val="none" w:sz="0" w:space="0" w:color="auto"/>
        <w:right w:val="none" w:sz="0" w:space="0" w:color="auto"/>
      </w:divBdr>
    </w:div>
    <w:div w:id="1290284960">
      <w:bodyDiv w:val="1"/>
      <w:marLeft w:val="0"/>
      <w:marRight w:val="0"/>
      <w:marTop w:val="0"/>
      <w:marBottom w:val="0"/>
      <w:divBdr>
        <w:top w:val="none" w:sz="0" w:space="0" w:color="auto"/>
        <w:left w:val="none" w:sz="0" w:space="0" w:color="auto"/>
        <w:bottom w:val="none" w:sz="0" w:space="0" w:color="auto"/>
        <w:right w:val="none" w:sz="0" w:space="0" w:color="auto"/>
      </w:divBdr>
    </w:div>
    <w:div w:id="1312756854">
      <w:bodyDiv w:val="1"/>
      <w:marLeft w:val="0"/>
      <w:marRight w:val="0"/>
      <w:marTop w:val="0"/>
      <w:marBottom w:val="0"/>
      <w:divBdr>
        <w:top w:val="none" w:sz="0" w:space="0" w:color="auto"/>
        <w:left w:val="none" w:sz="0" w:space="0" w:color="auto"/>
        <w:bottom w:val="none" w:sz="0" w:space="0" w:color="auto"/>
        <w:right w:val="none" w:sz="0" w:space="0" w:color="auto"/>
      </w:divBdr>
    </w:div>
    <w:div w:id="1329821371">
      <w:bodyDiv w:val="1"/>
      <w:marLeft w:val="0"/>
      <w:marRight w:val="0"/>
      <w:marTop w:val="0"/>
      <w:marBottom w:val="0"/>
      <w:divBdr>
        <w:top w:val="none" w:sz="0" w:space="0" w:color="auto"/>
        <w:left w:val="none" w:sz="0" w:space="0" w:color="auto"/>
        <w:bottom w:val="none" w:sz="0" w:space="0" w:color="auto"/>
        <w:right w:val="none" w:sz="0" w:space="0" w:color="auto"/>
      </w:divBdr>
    </w:div>
    <w:div w:id="1344473984">
      <w:bodyDiv w:val="1"/>
      <w:marLeft w:val="0"/>
      <w:marRight w:val="0"/>
      <w:marTop w:val="0"/>
      <w:marBottom w:val="0"/>
      <w:divBdr>
        <w:top w:val="none" w:sz="0" w:space="0" w:color="auto"/>
        <w:left w:val="none" w:sz="0" w:space="0" w:color="auto"/>
        <w:bottom w:val="none" w:sz="0" w:space="0" w:color="auto"/>
        <w:right w:val="none" w:sz="0" w:space="0" w:color="auto"/>
      </w:divBdr>
    </w:div>
    <w:div w:id="1384477737">
      <w:bodyDiv w:val="1"/>
      <w:marLeft w:val="0"/>
      <w:marRight w:val="0"/>
      <w:marTop w:val="0"/>
      <w:marBottom w:val="0"/>
      <w:divBdr>
        <w:top w:val="none" w:sz="0" w:space="0" w:color="auto"/>
        <w:left w:val="none" w:sz="0" w:space="0" w:color="auto"/>
        <w:bottom w:val="none" w:sz="0" w:space="0" w:color="auto"/>
        <w:right w:val="none" w:sz="0" w:space="0" w:color="auto"/>
      </w:divBdr>
    </w:div>
    <w:div w:id="1412656263">
      <w:bodyDiv w:val="1"/>
      <w:marLeft w:val="0"/>
      <w:marRight w:val="0"/>
      <w:marTop w:val="0"/>
      <w:marBottom w:val="0"/>
      <w:divBdr>
        <w:top w:val="none" w:sz="0" w:space="0" w:color="auto"/>
        <w:left w:val="none" w:sz="0" w:space="0" w:color="auto"/>
        <w:bottom w:val="none" w:sz="0" w:space="0" w:color="auto"/>
        <w:right w:val="none" w:sz="0" w:space="0" w:color="auto"/>
      </w:divBdr>
    </w:div>
    <w:div w:id="1417942551">
      <w:bodyDiv w:val="1"/>
      <w:marLeft w:val="0"/>
      <w:marRight w:val="0"/>
      <w:marTop w:val="0"/>
      <w:marBottom w:val="0"/>
      <w:divBdr>
        <w:top w:val="none" w:sz="0" w:space="0" w:color="auto"/>
        <w:left w:val="none" w:sz="0" w:space="0" w:color="auto"/>
        <w:bottom w:val="none" w:sz="0" w:space="0" w:color="auto"/>
        <w:right w:val="none" w:sz="0" w:space="0" w:color="auto"/>
      </w:divBdr>
    </w:div>
    <w:div w:id="1502507932">
      <w:bodyDiv w:val="1"/>
      <w:marLeft w:val="0"/>
      <w:marRight w:val="0"/>
      <w:marTop w:val="0"/>
      <w:marBottom w:val="0"/>
      <w:divBdr>
        <w:top w:val="none" w:sz="0" w:space="0" w:color="auto"/>
        <w:left w:val="none" w:sz="0" w:space="0" w:color="auto"/>
        <w:bottom w:val="none" w:sz="0" w:space="0" w:color="auto"/>
        <w:right w:val="none" w:sz="0" w:space="0" w:color="auto"/>
      </w:divBdr>
    </w:div>
    <w:div w:id="1592884416">
      <w:bodyDiv w:val="1"/>
      <w:marLeft w:val="0"/>
      <w:marRight w:val="0"/>
      <w:marTop w:val="0"/>
      <w:marBottom w:val="0"/>
      <w:divBdr>
        <w:top w:val="none" w:sz="0" w:space="0" w:color="auto"/>
        <w:left w:val="none" w:sz="0" w:space="0" w:color="auto"/>
        <w:bottom w:val="none" w:sz="0" w:space="0" w:color="auto"/>
        <w:right w:val="none" w:sz="0" w:space="0" w:color="auto"/>
      </w:divBdr>
    </w:div>
    <w:div w:id="1598292924">
      <w:bodyDiv w:val="1"/>
      <w:marLeft w:val="0"/>
      <w:marRight w:val="0"/>
      <w:marTop w:val="0"/>
      <w:marBottom w:val="0"/>
      <w:divBdr>
        <w:top w:val="none" w:sz="0" w:space="0" w:color="auto"/>
        <w:left w:val="none" w:sz="0" w:space="0" w:color="auto"/>
        <w:bottom w:val="none" w:sz="0" w:space="0" w:color="auto"/>
        <w:right w:val="none" w:sz="0" w:space="0" w:color="auto"/>
      </w:divBdr>
      <w:divsChild>
        <w:div w:id="120878157">
          <w:marLeft w:val="0"/>
          <w:marRight w:val="0"/>
          <w:marTop w:val="0"/>
          <w:marBottom w:val="0"/>
          <w:divBdr>
            <w:top w:val="none" w:sz="0" w:space="0" w:color="auto"/>
            <w:left w:val="none" w:sz="0" w:space="0" w:color="auto"/>
            <w:bottom w:val="none" w:sz="0" w:space="0" w:color="auto"/>
            <w:right w:val="none" w:sz="0" w:space="0" w:color="auto"/>
          </w:divBdr>
          <w:divsChild>
            <w:div w:id="1061296593">
              <w:marLeft w:val="0"/>
              <w:marRight w:val="0"/>
              <w:marTop w:val="0"/>
              <w:marBottom w:val="0"/>
              <w:divBdr>
                <w:top w:val="none" w:sz="0" w:space="0" w:color="auto"/>
                <w:left w:val="none" w:sz="0" w:space="0" w:color="auto"/>
                <w:bottom w:val="none" w:sz="0" w:space="0" w:color="auto"/>
                <w:right w:val="none" w:sz="0" w:space="0" w:color="auto"/>
              </w:divBdr>
              <w:divsChild>
                <w:div w:id="335495805">
                  <w:marLeft w:val="0"/>
                  <w:marRight w:val="0"/>
                  <w:marTop w:val="0"/>
                  <w:marBottom w:val="0"/>
                  <w:divBdr>
                    <w:top w:val="none" w:sz="0" w:space="0" w:color="auto"/>
                    <w:left w:val="none" w:sz="0" w:space="0" w:color="auto"/>
                    <w:bottom w:val="none" w:sz="0" w:space="0" w:color="auto"/>
                    <w:right w:val="none" w:sz="0" w:space="0" w:color="auto"/>
                  </w:divBdr>
                  <w:divsChild>
                    <w:div w:id="496698158">
                      <w:marLeft w:val="0"/>
                      <w:marRight w:val="0"/>
                      <w:marTop w:val="0"/>
                      <w:marBottom w:val="0"/>
                      <w:divBdr>
                        <w:top w:val="none" w:sz="0" w:space="0" w:color="auto"/>
                        <w:left w:val="none" w:sz="0" w:space="0" w:color="auto"/>
                        <w:bottom w:val="none" w:sz="0" w:space="0" w:color="auto"/>
                        <w:right w:val="none" w:sz="0" w:space="0" w:color="auto"/>
                      </w:divBdr>
                      <w:divsChild>
                        <w:div w:id="723716221">
                          <w:marLeft w:val="0"/>
                          <w:marRight w:val="0"/>
                          <w:marTop w:val="0"/>
                          <w:marBottom w:val="0"/>
                          <w:divBdr>
                            <w:top w:val="none" w:sz="0" w:space="0" w:color="auto"/>
                            <w:left w:val="none" w:sz="0" w:space="0" w:color="auto"/>
                            <w:bottom w:val="none" w:sz="0" w:space="0" w:color="auto"/>
                            <w:right w:val="none" w:sz="0" w:space="0" w:color="auto"/>
                          </w:divBdr>
                          <w:divsChild>
                            <w:div w:id="1192841736">
                              <w:marLeft w:val="0"/>
                              <w:marRight w:val="0"/>
                              <w:marTop w:val="0"/>
                              <w:marBottom w:val="0"/>
                              <w:divBdr>
                                <w:top w:val="none" w:sz="0" w:space="0" w:color="auto"/>
                                <w:left w:val="none" w:sz="0" w:space="0" w:color="auto"/>
                                <w:bottom w:val="none" w:sz="0" w:space="0" w:color="auto"/>
                                <w:right w:val="none" w:sz="0" w:space="0" w:color="auto"/>
                              </w:divBdr>
                              <w:divsChild>
                                <w:div w:id="1464693046">
                                  <w:marLeft w:val="0"/>
                                  <w:marRight w:val="0"/>
                                  <w:marTop w:val="0"/>
                                  <w:marBottom w:val="0"/>
                                  <w:divBdr>
                                    <w:top w:val="none" w:sz="0" w:space="0" w:color="auto"/>
                                    <w:left w:val="none" w:sz="0" w:space="0" w:color="auto"/>
                                    <w:bottom w:val="none" w:sz="0" w:space="0" w:color="auto"/>
                                    <w:right w:val="none" w:sz="0" w:space="0" w:color="auto"/>
                                  </w:divBdr>
                                  <w:divsChild>
                                    <w:div w:id="19367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694618">
      <w:bodyDiv w:val="1"/>
      <w:marLeft w:val="0"/>
      <w:marRight w:val="0"/>
      <w:marTop w:val="0"/>
      <w:marBottom w:val="0"/>
      <w:divBdr>
        <w:top w:val="none" w:sz="0" w:space="0" w:color="auto"/>
        <w:left w:val="none" w:sz="0" w:space="0" w:color="auto"/>
        <w:bottom w:val="none" w:sz="0" w:space="0" w:color="auto"/>
        <w:right w:val="none" w:sz="0" w:space="0" w:color="auto"/>
      </w:divBdr>
    </w:div>
    <w:div w:id="1686325270">
      <w:bodyDiv w:val="1"/>
      <w:marLeft w:val="0"/>
      <w:marRight w:val="0"/>
      <w:marTop w:val="0"/>
      <w:marBottom w:val="0"/>
      <w:divBdr>
        <w:top w:val="none" w:sz="0" w:space="0" w:color="auto"/>
        <w:left w:val="none" w:sz="0" w:space="0" w:color="auto"/>
        <w:bottom w:val="none" w:sz="0" w:space="0" w:color="auto"/>
        <w:right w:val="none" w:sz="0" w:space="0" w:color="auto"/>
      </w:divBdr>
    </w:div>
    <w:div w:id="1696273352">
      <w:bodyDiv w:val="1"/>
      <w:marLeft w:val="0"/>
      <w:marRight w:val="0"/>
      <w:marTop w:val="0"/>
      <w:marBottom w:val="0"/>
      <w:divBdr>
        <w:top w:val="none" w:sz="0" w:space="0" w:color="auto"/>
        <w:left w:val="none" w:sz="0" w:space="0" w:color="auto"/>
        <w:bottom w:val="none" w:sz="0" w:space="0" w:color="auto"/>
        <w:right w:val="none" w:sz="0" w:space="0" w:color="auto"/>
      </w:divBdr>
    </w:div>
    <w:div w:id="1698654163">
      <w:bodyDiv w:val="1"/>
      <w:marLeft w:val="0"/>
      <w:marRight w:val="0"/>
      <w:marTop w:val="0"/>
      <w:marBottom w:val="0"/>
      <w:divBdr>
        <w:top w:val="none" w:sz="0" w:space="0" w:color="auto"/>
        <w:left w:val="none" w:sz="0" w:space="0" w:color="auto"/>
        <w:bottom w:val="none" w:sz="0" w:space="0" w:color="auto"/>
        <w:right w:val="none" w:sz="0" w:space="0" w:color="auto"/>
      </w:divBdr>
    </w:div>
    <w:div w:id="1744908329">
      <w:bodyDiv w:val="1"/>
      <w:marLeft w:val="0"/>
      <w:marRight w:val="0"/>
      <w:marTop w:val="0"/>
      <w:marBottom w:val="0"/>
      <w:divBdr>
        <w:top w:val="none" w:sz="0" w:space="0" w:color="auto"/>
        <w:left w:val="none" w:sz="0" w:space="0" w:color="auto"/>
        <w:bottom w:val="none" w:sz="0" w:space="0" w:color="auto"/>
        <w:right w:val="none" w:sz="0" w:space="0" w:color="auto"/>
      </w:divBdr>
    </w:div>
    <w:div w:id="1825194032">
      <w:bodyDiv w:val="1"/>
      <w:marLeft w:val="0"/>
      <w:marRight w:val="0"/>
      <w:marTop w:val="0"/>
      <w:marBottom w:val="0"/>
      <w:divBdr>
        <w:top w:val="none" w:sz="0" w:space="0" w:color="auto"/>
        <w:left w:val="none" w:sz="0" w:space="0" w:color="auto"/>
        <w:bottom w:val="none" w:sz="0" w:space="0" w:color="auto"/>
        <w:right w:val="none" w:sz="0" w:space="0" w:color="auto"/>
      </w:divBdr>
    </w:div>
    <w:div w:id="1829900659">
      <w:bodyDiv w:val="1"/>
      <w:marLeft w:val="0"/>
      <w:marRight w:val="0"/>
      <w:marTop w:val="0"/>
      <w:marBottom w:val="0"/>
      <w:divBdr>
        <w:top w:val="none" w:sz="0" w:space="0" w:color="auto"/>
        <w:left w:val="none" w:sz="0" w:space="0" w:color="auto"/>
        <w:bottom w:val="none" w:sz="0" w:space="0" w:color="auto"/>
        <w:right w:val="none" w:sz="0" w:space="0" w:color="auto"/>
      </w:divBdr>
    </w:div>
    <w:div w:id="1846094554">
      <w:bodyDiv w:val="1"/>
      <w:marLeft w:val="0"/>
      <w:marRight w:val="0"/>
      <w:marTop w:val="0"/>
      <w:marBottom w:val="0"/>
      <w:divBdr>
        <w:top w:val="none" w:sz="0" w:space="0" w:color="auto"/>
        <w:left w:val="none" w:sz="0" w:space="0" w:color="auto"/>
        <w:bottom w:val="none" w:sz="0" w:space="0" w:color="auto"/>
        <w:right w:val="none" w:sz="0" w:space="0" w:color="auto"/>
      </w:divBdr>
    </w:div>
    <w:div w:id="1859346249">
      <w:bodyDiv w:val="1"/>
      <w:marLeft w:val="0"/>
      <w:marRight w:val="0"/>
      <w:marTop w:val="0"/>
      <w:marBottom w:val="0"/>
      <w:divBdr>
        <w:top w:val="none" w:sz="0" w:space="0" w:color="auto"/>
        <w:left w:val="none" w:sz="0" w:space="0" w:color="auto"/>
        <w:bottom w:val="none" w:sz="0" w:space="0" w:color="auto"/>
        <w:right w:val="none" w:sz="0" w:space="0" w:color="auto"/>
      </w:divBdr>
    </w:div>
    <w:div w:id="1868448201">
      <w:bodyDiv w:val="1"/>
      <w:marLeft w:val="0"/>
      <w:marRight w:val="0"/>
      <w:marTop w:val="0"/>
      <w:marBottom w:val="0"/>
      <w:divBdr>
        <w:top w:val="none" w:sz="0" w:space="0" w:color="auto"/>
        <w:left w:val="none" w:sz="0" w:space="0" w:color="auto"/>
        <w:bottom w:val="none" w:sz="0" w:space="0" w:color="auto"/>
        <w:right w:val="none" w:sz="0" w:space="0" w:color="auto"/>
      </w:divBdr>
    </w:div>
    <w:div w:id="1891265688">
      <w:bodyDiv w:val="1"/>
      <w:marLeft w:val="0"/>
      <w:marRight w:val="0"/>
      <w:marTop w:val="0"/>
      <w:marBottom w:val="0"/>
      <w:divBdr>
        <w:top w:val="none" w:sz="0" w:space="0" w:color="auto"/>
        <w:left w:val="none" w:sz="0" w:space="0" w:color="auto"/>
        <w:bottom w:val="none" w:sz="0" w:space="0" w:color="auto"/>
        <w:right w:val="none" w:sz="0" w:space="0" w:color="auto"/>
      </w:divBdr>
    </w:div>
    <w:div w:id="1950550186">
      <w:bodyDiv w:val="1"/>
      <w:marLeft w:val="0"/>
      <w:marRight w:val="0"/>
      <w:marTop w:val="0"/>
      <w:marBottom w:val="0"/>
      <w:divBdr>
        <w:top w:val="none" w:sz="0" w:space="0" w:color="auto"/>
        <w:left w:val="none" w:sz="0" w:space="0" w:color="auto"/>
        <w:bottom w:val="none" w:sz="0" w:space="0" w:color="auto"/>
        <w:right w:val="none" w:sz="0" w:space="0" w:color="auto"/>
      </w:divBdr>
    </w:div>
    <w:div w:id="2009554515">
      <w:bodyDiv w:val="1"/>
      <w:marLeft w:val="0"/>
      <w:marRight w:val="0"/>
      <w:marTop w:val="0"/>
      <w:marBottom w:val="0"/>
      <w:divBdr>
        <w:top w:val="none" w:sz="0" w:space="0" w:color="auto"/>
        <w:left w:val="none" w:sz="0" w:space="0" w:color="auto"/>
        <w:bottom w:val="none" w:sz="0" w:space="0" w:color="auto"/>
        <w:right w:val="none" w:sz="0" w:space="0" w:color="auto"/>
      </w:divBdr>
    </w:div>
    <w:div w:id="2015953804">
      <w:bodyDiv w:val="1"/>
      <w:marLeft w:val="0"/>
      <w:marRight w:val="0"/>
      <w:marTop w:val="0"/>
      <w:marBottom w:val="0"/>
      <w:divBdr>
        <w:top w:val="none" w:sz="0" w:space="0" w:color="auto"/>
        <w:left w:val="none" w:sz="0" w:space="0" w:color="auto"/>
        <w:bottom w:val="none" w:sz="0" w:space="0" w:color="auto"/>
        <w:right w:val="none" w:sz="0" w:space="0" w:color="auto"/>
      </w:divBdr>
    </w:div>
    <w:div w:id="2070379489">
      <w:bodyDiv w:val="1"/>
      <w:marLeft w:val="0"/>
      <w:marRight w:val="0"/>
      <w:marTop w:val="0"/>
      <w:marBottom w:val="0"/>
      <w:divBdr>
        <w:top w:val="none" w:sz="0" w:space="0" w:color="auto"/>
        <w:left w:val="none" w:sz="0" w:space="0" w:color="auto"/>
        <w:bottom w:val="none" w:sz="0" w:space="0" w:color="auto"/>
        <w:right w:val="none" w:sz="0" w:space="0" w:color="auto"/>
      </w:divBdr>
    </w:div>
    <w:div w:id="2126777416">
      <w:bodyDiv w:val="1"/>
      <w:marLeft w:val="0"/>
      <w:marRight w:val="0"/>
      <w:marTop w:val="0"/>
      <w:marBottom w:val="0"/>
      <w:divBdr>
        <w:top w:val="none" w:sz="0" w:space="0" w:color="auto"/>
        <w:left w:val="none" w:sz="0" w:space="0" w:color="auto"/>
        <w:bottom w:val="none" w:sz="0" w:space="0" w:color="auto"/>
        <w:right w:val="none" w:sz="0" w:space="0" w:color="auto"/>
      </w:divBdr>
    </w:div>
    <w:div w:id="2134443301">
      <w:bodyDiv w:val="1"/>
      <w:marLeft w:val="0"/>
      <w:marRight w:val="0"/>
      <w:marTop w:val="0"/>
      <w:marBottom w:val="0"/>
      <w:divBdr>
        <w:top w:val="none" w:sz="0" w:space="0" w:color="auto"/>
        <w:left w:val="none" w:sz="0" w:space="0" w:color="auto"/>
        <w:bottom w:val="none" w:sz="0" w:space="0" w:color="auto"/>
        <w:right w:val="none" w:sz="0" w:space="0" w:color="auto"/>
      </w:divBdr>
    </w:div>
    <w:div w:id="213813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ttm\AppData\Local\Hewlett-Packard\HP%20TRIM\TEMP\HPTRIM.3940\12%203624%2021%20PBO%20Normal.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422315939583212E-2"/>
          <c:y val="8.9943998500411029E-2"/>
          <c:w val="0.75994196050009644"/>
          <c:h val="0.73947657048771098"/>
        </c:manualLayout>
      </c:layout>
      <c:barChart>
        <c:barDir val="col"/>
        <c:grouping val="stacked"/>
        <c:varyColors val="0"/>
        <c:ser>
          <c:idx val="7"/>
          <c:order val="0"/>
          <c:tx>
            <c:strRef>
              <c:f>'Senate Estimates perf report'!$B$12</c:f>
              <c:strCache>
                <c:ptCount val="1"/>
                <c:pt idx="0">
                  <c:v>PSL4</c:v>
                </c:pt>
              </c:strCache>
            </c:strRef>
          </c:tx>
          <c:spPr>
            <a:solidFill>
              <a:srgbClr val="788184"/>
            </a:solid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report'!$D$12:$G$12</c:f>
              <c:numCache>
                <c:formatCode>#,###.0_);\(#,###.0\);\-_)\ </c:formatCode>
                <c:ptCount val="4"/>
                <c:pt idx="0">
                  <c:v>0</c:v>
                </c:pt>
                <c:pt idx="1">
                  <c:v>0</c:v>
                </c:pt>
                <c:pt idx="2">
                  <c:v>0</c:v>
                </c:pt>
                <c:pt idx="3">
                  <c:v>1</c:v>
                </c:pt>
              </c:numCache>
            </c:numRef>
          </c:val>
        </c:ser>
        <c:ser>
          <c:idx val="6"/>
          <c:order val="1"/>
          <c:tx>
            <c:strRef>
              <c:f>'Senate Estimates perf report'!$B$11</c:f>
              <c:strCache>
                <c:ptCount val="1"/>
                <c:pt idx="0">
                  <c:v>PSL5</c:v>
                </c:pt>
              </c:strCache>
            </c:strRef>
          </c:tx>
          <c:spPr>
            <a:pattFill prst="wdDnDiag">
              <a:fgClr>
                <a:schemeClr val="tx1">
                  <a:lumMod val="75000"/>
                  <a:lumOff val="25000"/>
                </a:schemeClr>
              </a:fgClr>
              <a:bgClr>
                <a:schemeClr val="bg1"/>
              </a:bgClr>
            </a:patt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report'!$D$11:$G$11</c:f>
              <c:numCache>
                <c:formatCode>#,###.0_);\(#,###.0\);\-_)\ </c:formatCode>
                <c:ptCount val="4"/>
                <c:pt idx="0">
                  <c:v>0</c:v>
                </c:pt>
                <c:pt idx="1">
                  <c:v>0</c:v>
                </c:pt>
                <c:pt idx="2">
                  <c:v>1</c:v>
                </c:pt>
                <c:pt idx="3">
                  <c:v>2</c:v>
                </c:pt>
              </c:numCache>
            </c:numRef>
          </c:val>
        </c:ser>
        <c:ser>
          <c:idx val="5"/>
          <c:order val="2"/>
          <c:tx>
            <c:strRef>
              <c:f>'Senate Estimates perf report'!$B$10</c:f>
              <c:strCache>
                <c:ptCount val="1"/>
                <c:pt idx="0">
                  <c:v>PSL6</c:v>
                </c:pt>
              </c:strCache>
            </c:strRef>
          </c:tx>
          <c:spPr>
            <a:solidFill>
              <a:srgbClr val="E3D1E2"/>
            </a:solidFill>
            <a:ln w="15875" cmpd="sng">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report'!$D$10:$G$10</c:f>
              <c:numCache>
                <c:formatCode>#,###.0_);\(#,###.0\);\-_)\ </c:formatCode>
                <c:ptCount val="4"/>
                <c:pt idx="0">
                  <c:v>1</c:v>
                </c:pt>
                <c:pt idx="1">
                  <c:v>7</c:v>
                </c:pt>
                <c:pt idx="2">
                  <c:v>1</c:v>
                </c:pt>
                <c:pt idx="3">
                  <c:v>0</c:v>
                </c:pt>
              </c:numCache>
            </c:numRef>
          </c:val>
        </c:ser>
        <c:ser>
          <c:idx val="4"/>
          <c:order val="3"/>
          <c:tx>
            <c:strRef>
              <c:f>'Senate Estimates perf report'!$B$9</c:f>
              <c:strCache>
                <c:ptCount val="1"/>
                <c:pt idx="0">
                  <c:v>PEL1</c:v>
                </c:pt>
              </c:strCache>
            </c:strRef>
          </c:tx>
          <c:spPr>
            <a:solidFill>
              <a:srgbClr val="95A4C6"/>
            </a:solid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report'!$D$9:$G$9</c:f>
              <c:numCache>
                <c:formatCode>#,###.0_);\(#,###.0\);\-_)\ </c:formatCode>
                <c:ptCount val="4"/>
                <c:pt idx="0">
                  <c:v>0</c:v>
                </c:pt>
                <c:pt idx="1">
                  <c:v>12</c:v>
                </c:pt>
                <c:pt idx="2">
                  <c:v>4</c:v>
                </c:pt>
                <c:pt idx="3">
                  <c:v>1</c:v>
                </c:pt>
              </c:numCache>
            </c:numRef>
          </c:val>
        </c:ser>
        <c:ser>
          <c:idx val="3"/>
          <c:order val="4"/>
          <c:tx>
            <c:strRef>
              <c:f>'Senate Estimates perf report'!$B$8</c:f>
              <c:strCache>
                <c:ptCount val="1"/>
                <c:pt idx="0">
                  <c:v>PEL2</c:v>
                </c:pt>
              </c:strCache>
            </c:strRef>
          </c:tx>
          <c:spPr>
            <a:solidFill>
              <a:srgbClr val="264A76"/>
            </a:solid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report'!$D$8:$G$8</c:f>
              <c:numCache>
                <c:formatCode>#,###.0_);\(#,###.0\);\-_)\ </c:formatCode>
                <c:ptCount val="4"/>
                <c:pt idx="0">
                  <c:v>0</c:v>
                </c:pt>
                <c:pt idx="1">
                  <c:v>4</c:v>
                </c:pt>
                <c:pt idx="2">
                  <c:v>2</c:v>
                </c:pt>
                <c:pt idx="3">
                  <c:v>2</c:v>
                </c:pt>
              </c:numCache>
            </c:numRef>
          </c:val>
        </c:ser>
        <c:ser>
          <c:idx val="2"/>
          <c:order val="5"/>
          <c:tx>
            <c:strRef>
              <c:f>'Senate Estimates perf report'!$B$7</c:f>
              <c:strCache>
                <c:ptCount val="1"/>
                <c:pt idx="0">
                  <c:v>SES B1</c:v>
                </c:pt>
              </c:strCache>
            </c:strRef>
          </c:tx>
          <c:spPr>
            <a:solidFill>
              <a:srgbClr val="D7DDE9"/>
            </a:solid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report'!$D$7:$G$7</c:f>
              <c:numCache>
                <c:formatCode>#,###.0_);\(#,###.0\);\-_)\ </c:formatCode>
                <c:ptCount val="4"/>
                <c:pt idx="0">
                  <c:v>0</c:v>
                </c:pt>
                <c:pt idx="1">
                  <c:v>2</c:v>
                </c:pt>
                <c:pt idx="2">
                  <c:v>1</c:v>
                </c:pt>
                <c:pt idx="3">
                  <c:v>1</c:v>
                </c:pt>
              </c:numCache>
            </c:numRef>
          </c:val>
        </c:ser>
        <c:ser>
          <c:idx val="1"/>
          <c:order val="6"/>
          <c:tx>
            <c:strRef>
              <c:f>'Senate Estimates perf report'!$B$6</c:f>
              <c:strCache>
                <c:ptCount val="1"/>
                <c:pt idx="0">
                  <c:v>SES B2</c:v>
                </c:pt>
              </c:strCache>
            </c:strRef>
          </c:tx>
          <c:spPr>
            <a:solidFill>
              <a:srgbClr val="751D71"/>
            </a:solid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report'!$D$6:$G$6</c:f>
              <c:numCache>
                <c:formatCode>#,###.0_);\(#,###.0\);\-_)\ </c:formatCode>
                <c:ptCount val="4"/>
                <c:pt idx="0">
                  <c:v>0</c:v>
                </c:pt>
                <c:pt idx="1">
                  <c:v>1</c:v>
                </c:pt>
                <c:pt idx="2">
                  <c:v>1</c:v>
                </c:pt>
                <c:pt idx="3">
                  <c:v>0</c:v>
                </c:pt>
              </c:numCache>
            </c:numRef>
          </c:val>
        </c:ser>
        <c:ser>
          <c:idx val="0"/>
          <c:order val="7"/>
          <c:tx>
            <c:strRef>
              <c:f>'Senate Estimates perf report'!$B$5</c:f>
              <c:strCache>
                <c:ptCount val="1"/>
                <c:pt idx="0">
                  <c:v>PBO</c:v>
                </c:pt>
              </c:strCache>
            </c:strRef>
          </c:tx>
          <c:spPr>
            <a:solidFill>
              <a:schemeClr val="tx1"/>
            </a:solidFill>
            <a:ln w="15875" cmpd="sng">
              <a:solidFill>
                <a:schemeClr val="tx1"/>
              </a:solidFill>
              <a:prstDash val="solid"/>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report'!$D$5:$G$5</c:f>
              <c:numCache>
                <c:formatCode>#,###.0_);\(#,###.0\);\-_)\ </c:formatCode>
                <c:ptCount val="4"/>
                <c:pt idx="0">
                  <c:v>1</c:v>
                </c:pt>
                <c:pt idx="1">
                  <c:v>0</c:v>
                </c:pt>
                <c:pt idx="2">
                  <c:v>0</c:v>
                </c:pt>
                <c:pt idx="3">
                  <c:v>0</c:v>
                </c:pt>
              </c:numCache>
            </c:numRef>
          </c:val>
        </c:ser>
        <c:dLbls>
          <c:showLegendKey val="0"/>
          <c:showVal val="0"/>
          <c:showCatName val="0"/>
          <c:showSerName val="0"/>
          <c:showPercent val="0"/>
          <c:showBubbleSize val="0"/>
        </c:dLbls>
        <c:gapWidth val="150"/>
        <c:overlap val="100"/>
        <c:axId val="225076736"/>
        <c:axId val="225083392"/>
      </c:barChart>
      <c:catAx>
        <c:axId val="225076736"/>
        <c:scaling>
          <c:orientation val="minMax"/>
        </c:scaling>
        <c:delete val="0"/>
        <c:axPos val="b"/>
        <c:majorTickMark val="out"/>
        <c:minorTickMark val="none"/>
        <c:tickLblPos val="nextTo"/>
        <c:txPr>
          <a:bodyPr/>
          <a:lstStyle/>
          <a:p>
            <a:pPr>
              <a:defRPr sz="1000">
                <a:latin typeface="+mn-lt"/>
                <a:cs typeface="Arial" panose="020B0604020202020204" pitchFamily="34" charset="0"/>
              </a:defRPr>
            </a:pPr>
            <a:endParaRPr lang="en-US"/>
          </a:p>
        </c:txPr>
        <c:crossAx val="225083392"/>
        <c:crosses val="autoZero"/>
        <c:auto val="1"/>
        <c:lblAlgn val="ctr"/>
        <c:lblOffset val="100"/>
        <c:noMultiLvlLbl val="0"/>
      </c:catAx>
      <c:valAx>
        <c:axId val="225083392"/>
        <c:scaling>
          <c:orientation val="minMax"/>
        </c:scaling>
        <c:delete val="0"/>
        <c:axPos val="l"/>
        <c:majorGridlines/>
        <c:numFmt formatCode="#,###_);\(#,###\);0_);" sourceLinked="0"/>
        <c:majorTickMark val="out"/>
        <c:minorTickMark val="none"/>
        <c:tickLblPos val="nextTo"/>
        <c:spPr>
          <a:ln>
            <a:noFill/>
          </a:ln>
        </c:spPr>
        <c:txPr>
          <a:bodyPr/>
          <a:lstStyle/>
          <a:p>
            <a:pPr>
              <a:defRPr>
                <a:latin typeface="Arial" panose="020B0604020202020204" pitchFamily="34" charset="0"/>
                <a:cs typeface="Arial" panose="020B0604020202020204" pitchFamily="34" charset="0"/>
              </a:defRPr>
            </a:pPr>
            <a:endParaRPr lang="en-US"/>
          </a:p>
        </c:txPr>
        <c:crossAx val="225076736"/>
        <c:crosses val="autoZero"/>
        <c:crossBetween val="between"/>
        <c:majorUnit val="5"/>
      </c:valAx>
    </c:plotArea>
    <c:legend>
      <c:legendPos val="r"/>
      <c:legendEntry>
        <c:idx val="0"/>
        <c:txPr>
          <a:bodyPr/>
          <a:lstStyle/>
          <a:p>
            <a:pPr>
              <a:defRPr sz="1200" baseline="0">
                <a:latin typeface="Calibri" panose="020F0502020204030204" pitchFamily="34" charset="0"/>
              </a:defRPr>
            </a:pPr>
            <a:endParaRPr lang="en-US"/>
          </a:p>
        </c:txPr>
      </c:legendEntry>
      <c:layout>
        <c:manualLayout>
          <c:xMode val="edge"/>
          <c:yMode val="edge"/>
          <c:x val="0.84116120100372072"/>
          <c:y val="5.6748505087791515E-2"/>
          <c:w val="0.15883881962822621"/>
          <c:h val="0.88645200125700985"/>
        </c:manualLayout>
      </c:layout>
      <c:overlay val="0"/>
      <c:spPr>
        <a:ln w="0"/>
      </c:spPr>
      <c:txPr>
        <a:bodyPr/>
        <a:lstStyle/>
        <a:p>
          <a:pPr>
            <a:defRPr sz="1200" baseline="0">
              <a:latin typeface="Calibri" panose="020F0502020204030204" pitchFamily="34"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D87DD-91FD-445C-9DE5-77C30412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 3624 21 PBO Normal.DOTX</Template>
  <TotalTime>6</TotalTime>
  <Pages>8</Pages>
  <Words>1060</Words>
  <Characters>6054</Characters>
  <Application>Microsoft Office Word</Application>
  <DocSecurity>0</DocSecurity>
  <Lines>263</Lines>
  <Paragraphs>187</Paragraphs>
  <ScaleCrop>false</ScaleCrop>
  <HeadingPairs>
    <vt:vector size="2" baseType="variant">
      <vt:variant>
        <vt:lpstr>Title</vt:lpstr>
      </vt:variant>
      <vt:variant>
        <vt:i4>1</vt:i4>
      </vt:variant>
    </vt:vector>
  </HeadingPairs>
  <TitlesOfParts>
    <vt:vector size="1" baseType="lpstr">
      <vt:lpstr>Report on PBO activity 22 February 2017</vt:lpstr>
    </vt:vector>
  </TitlesOfParts>
  <Company>Parliament of Australia</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PBO activity 22 February 2017</dc:title>
  <dc:creator>PBO@pbo.gov.au</dc:creator>
  <cp:lastModifiedBy>Pratley, Lauren (PBO)</cp:lastModifiedBy>
  <cp:revision>4</cp:revision>
  <cp:lastPrinted>2017-02-17T02:49:00Z</cp:lastPrinted>
  <dcterms:created xsi:type="dcterms:W3CDTF">2017-02-27T03:03:00Z</dcterms:created>
  <dcterms:modified xsi:type="dcterms:W3CDTF">2017-02-27T03:16:00Z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