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BB" w:rsidRDefault="00961DBB" w:rsidP="00961DBB">
      <w:bookmarkStart w:id="0" w:name="_GoBack"/>
      <w:bookmarkEnd w:id="0"/>
    </w:p>
    <w:tbl>
      <w:tblPr>
        <w:tblStyle w:val="TableAsPlaceholder"/>
        <w:tblpPr w:leftFromText="181" w:rightFromText="181" w:vertAnchor="page" w:horzAnchor="margin" w:tblpY="5779"/>
        <w:tblOverlap w:val="never"/>
        <w:tblW w:w="8277" w:type="dxa"/>
        <w:tblLayout w:type="fixed"/>
        <w:tblLook w:val="04A0" w:firstRow="1" w:lastRow="0" w:firstColumn="1" w:lastColumn="0" w:noHBand="0" w:noVBand="1"/>
      </w:tblPr>
      <w:tblGrid>
        <w:gridCol w:w="8277"/>
      </w:tblGrid>
      <w:tr w:rsidR="00961DBB" w:rsidTr="00C8728F">
        <w:trPr>
          <w:trHeight w:val="907"/>
        </w:trPr>
        <w:tc>
          <w:tcPr>
            <w:tcW w:w="8277" w:type="dxa"/>
          </w:tcPr>
          <w:p w:rsidR="00961DBB" w:rsidRDefault="00A278DC" w:rsidP="007262D0">
            <w:pPr>
              <w:pStyle w:val="Title"/>
            </w:pPr>
            <w:r>
              <w:t xml:space="preserve">Consultation paper: Allowing </w:t>
            </w:r>
            <w:r w:rsidR="00404624">
              <w:br/>
            </w:r>
            <w:r>
              <w:t xml:space="preserve">minor parties to opt in to the </w:t>
            </w:r>
            <w:r w:rsidR="00404624">
              <w:br/>
            </w:r>
            <w:r>
              <w:t xml:space="preserve">PBO’s </w:t>
            </w:r>
            <w:r w:rsidR="007262D0">
              <w:t>p</w:t>
            </w:r>
            <w:r>
              <w:t xml:space="preserve">ost-election report of </w:t>
            </w:r>
            <w:r w:rsidR="00404624">
              <w:br/>
            </w:r>
            <w:r>
              <w:t xml:space="preserve">election commitments </w:t>
            </w:r>
          </w:p>
        </w:tc>
      </w:tr>
      <w:tr w:rsidR="00195228" w:rsidTr="00404624">
        <w:trPr>
          <w:trHeight w:val="765"/>
        </w:trPr>
        <w:tc>
          <w:tcPr>
            <w:tcW w:w="8277" w:type="dxa"/>
            <w:vAlign w:val="center"/>
          </w:tcPr>
          <w:p w:rsidR="00195228" w:rsidRPr="009541CC" w:rsidRDefault="00A278DC" w:rsidP="008E6DDD">
            <w:pPr>
              <w:pStyle w:val="Title3"/>
              <w:framePr w:wrap="auto" w:vAnchor="margin" w:hAnchor="text" w:yAlign="inline"/>
              <w:spacing w:after="0"/>
            </w:pPr>
            <w:r>
              <w:t>Date issued:</w:t>
            </w:r>
            <w:r w:rsidR="00C76448">
              <w:t xml:space="preserve"> </w:t>
            </w:r>
            <w:r w:rsidR="003A5246">
              <w:t>05</w:t>
            </w:r>
            <w:r w:rsidR="00C76448">
              <w:t xml:space="preserve"> </w:t>
            </w:r>
            <w:r w:rsidR="008E6DDD">
              <w:t xml:space="preserve">March </w:t>
            </w:r>
            <w:r w:rsidR="00C76448">
              <w:t>2018</w:t>
            </w:r>
            <w:r>
              <w:t xml:space="preserve"> </w:t>
            </w:r>
          </w:p>
        </w:tc>
      </w:tr>
    </w:tbl>
    <w:p w:rsidR="00961DBB" w:rsidRDefault="00961DBB" w:rsidP="00961DBB"/>
    <w:p w:rsidR="00961DBB" w:rsidRDefault="00961DBB">
      <w:pPr>
        <w:sectPr w:rsidR="00961DBB" w:rsidSect="009057D9">
          <w:headerReference w:type="even" r:id="rId9"/>
          <w:headerReference w:type="default" r:id="rId10"/>
          <w:headerReference w:type="first" r:id="rId11"/>
          <w:pgSz w:w="11906" w:h="16838" w:code="9"/>
          <w:pgMar w:top="1361" w:right="1797" w:bottom="1474" w:left="1797" w:header="284" w:footer="454" w:gutter="0"/>
          <w:cols w:space="708"/>
          <w:titlePg/>
          <w:docGrid w:linePitch="360"/>
        </w:sectPr>
      </w:pPr>
    </w:p>
    <w:p w:rsidR="00961DBB" w:rsidRDefault="00961DBB" w:rsidP="00961DBB"/>
    <w:tbl>
      <w:tblPr>
        <w:tblStyle w:val="TableAsPlaceholder"/>
        <w:tblpPr w:leftFromText="181" w:rightFromText="181" w:horzAnchor="margin" w:tblpY="4310"/>
        <w:tblOverlap w:val="never"/>
        <w:tblW w:w="0" w:type="auto"/>
        <w:tblCellMar>
          <w:bottom w:w="57" w:type="dxa"/>
          <w:right w:w="57" w:type="dxa"/>
        </w:tblCellMar>
        <w:tblLook w:val="04A0" w:firstRow="1" w:lastRow="0" w:firstColumn="1" w:lastColumn="0" w:noHBand="0" w:noVBand="1"/>
      </w:tblPr>
      <w:tblGrid>
        <w:gridCol w:w="8220"/>
      </w:tblGrid>
      <w:tr w:rsidR="00961DBB" w:rsidTr="0087390B">
        <w:trPr>
          <w:trHeight w:val="8165"/>
        </w:trPr>
        <w:tc>
          <w:tcPr>
            <w:tcW w:w="8220" w:type="dxa"/>
            <w:vAlign w:val="bottom"/>
          </w:tcPr>
          <w:p w:rsidR="00961DBB" w:rsidRPr="00C77B5C" w:rsidRDefault="00961DBB" w:rsidP="00BB5013">
            <w:pPr>
              <w:pStyle w:val="xDisclaimerText2"/>
              <w:framePr w:hSpace="0" w:wrap="auto" w:hAnchor="text" w:yAlign="inline"/>
              <w:suppressOverlap w:val="0"/>
            </w:pPr>
            <w:bookmarkStart w:id="1" w:name="_DisclaimerMarker"/>
            <w:bookmarkEnd w:id="1"/>
            <w:r w:rsidRPr="00C77B5C">
              <w:t xml:space="preserve">© </w:t>
            </w:r>
            <w:r w:rsidRPr="0087390B">
              <w:t>Commonwealth</w:t>
            </w:r>
            <w:r w:rsidRPr="00C77B5C">
              <w:t xml:space="preserve"> of Australia</w:t>
            </w:r>
            <w:r w:rsidR="00F20647">
              <w:t xml:space="preserve"> </w:t>
            </w:r>
            <w:r w:rsidR="00A278DC">
              <w:t>2018</w:t>
            </w:r>
            <w:bookmarkStart w:id="2" w:name="Here"/>
            <w:bookmarkEnd w:id="2"/>
          </w:p>
          <w:p w:rsidR="00961DBB" w:rsidRPr="00BB5013" w:rsidRDefault="00961DBB" w:rsidP="00BB5013">
            <w:pPr>
              <w:pStyle w:val="xDisclaimerText2"/>
              <w:framePr w:hSpace="0" w:wrap="auto" w:hAnchor="text" w:yAlign="inline"/>
              <w:suppressOverlap w:val="0"/>
            </w:pPr>
            <w:r w:rsidRPr="008E314A">
              <w:t xml:space="preserve">ISSN </w:t>
            </w:r>
            <w:r w:rsidR="00404624" w:rsidRPr="00404624">
              <w:t>978-0-6482138-3-3</w:t>
            </w:r>
            <w:r w:rsidRPr="008E314A">
              <w:t xml:space="preserve"> (</w:t>
            </w:r>
            <w:r w:rsidRPr="00870C85">
              <w:t>Online</w:t>
            </w:r>
            <w:r w:rsidRPr="00C77B5C">
              <w:t>)</w:t>
            </w:r>
          </w:p>
          <w:p w:rsidR="00961DBB" w:rsidRDefault="00961DBB" w:rsidP="00BB5013">
            <w:pPr>
              <w:pStyle w:val="xDisclaimerText2"/>
              <w:framePr w:hSpace="0" w:wrap="auto" w:hAnchor="text" w:yAlign="inline"/>
              <w:suppressOverlap w:val="0"/>
            </w:pPr>
            <w:r w:rsidRPr="00C77B5C">
              <w:t>This work is licensed und</w:t>
            </w:r>
            <w:r w:rsidRPr="00870C85">
              <w:t>e</w:t>
            </w:r>
            <w:r w:rsidRPr="00C77B5C">
              <w:t xml:space="preserve">r </w:t>
            </w:r>
            <w:r w:rsidRPr="008E314A">
              <w:t xml:space="preserve">the Creative </w:t>
            </w:r>
            <w:r w:rsidRPr="0087390B">
              <w:t>Commons</w:t>
            </w:r>
            <w:r w:rsidRPr="008E314A">
              <w:t xml:space="preserve"> Attribution-</w:t>
            </w:r>
            <w:proofErr w:type="spellStart"/>
            <w:r w:rsidRPr="008E314A">
              <w:t>NonCommercial</w:t>
            </w:r>
            <w:proofErr w:type="spellEnd"/>
            <w:r w:rsidRPr="008E314A">
              <w:t>-</w:t>
            </w:r>
            <w:proofErr w:type="spellStart"/>
            <w:r w:rsidRPr="008E314A">
              <w:t>NoDerivs</w:t>
            </w:r>
            <w:proofErr w:type="spellEnd"/>
            <w:r w:rsidRPr="008E314A">
              <w:t xml:space="preserve"> 3.0 Australia License</w:t>
            </w:r>
            <w:r>
              <w:t>.</w:t>
            </w:r>
          </w:p>
          <w:p w:rsidR="00961DBB" w:rsidRPr="0084503F" w:rsidRDefault="003B3D44" w:rsidP="00BB5013">
            <w:pPr>
              <w:pStyle w:val="xDisclaimerText2"/>
              <w:framePr w:hSpace="0" w:wrap="auto" w:hAnchor="text" w:yAlign="inline"/>
              <w:spacing w:before="240"/>
              <w:suppressOverlap w:val="0"/>
            </w:pPr>
            <w:r>
              <w:rPr>
                <w:noProof/>
              </w:rPr>
              <w:drawing>
                <wp:inline distT="0" distB="0" distL="0" distR="0" wp14:anchorId="7C677793" wp14:editId="28634FB8">
                  <wp:extent cx="1079086" cy="37798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reativ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086" cy="377985"/>
                          </a:xfrm>
                          <a:prstGeom prst="rect">
                            <a:avLst/>
                          </a:prstGeom>
                        </pic:spPr>
                      </pic:pic>
                    </a:graphicData>
                  </a:graphic>
                </wp:inline>
              </w:drawing>
            </w:r>
          </w:p>
          <w:p w:rsidR="00961DBB" w:rsidRDefault="00961DBB" w:rsidP="00BB5013">
            <w:pPr>
              <w:pStyle w:val="xDisclaimerText2"/>
              <w:framePr w:hSpace="0" w:wrap="auto" w:hAnchor="text" w:yAlign="inline"/>
              <w:suppressOverlap w:val="0"/>
            </w:pPr>
            <w:r w:rsidRPr="00D0237F">
              <w:t xml:space="preserve">The details of this licence </w:t>
            </w:r>
            <w:r w:rsidRPr="00BB5013">
              <w:t>are</w:t>
            </w:r>
            <w:r w:rsidRPr="00D0237F">
              <w:t xml:space="preserve"> available on the Creative Commons website:</w:t>
            </w:r>
            <w:r w:rsidRPr="00D0237F">
              <w:rPr>
                <w:color w:val="FF0000"/>
              </w:rPr>
              <w:t xml:space="preserve"> </w:t>
            </w:r>
            <w:hyperlink r:id="rId13" w:history="1">
              <w:r w:rsidR="00BB5013" w:rsidRPr="00BB5013">
                <w:t>http://creativecommons.org/licenses/by-nc-nd/3.0/au/</w:t>
              </w:r>
            </w:hyperlink>
            <w:r w:rsidR="00BB5013">
              <w:t xml:space="preserve"> </w:t>
            </w:r>
          </w:p>
          <w:p w:rsidR="00961DBB" w:rsidRPr="00BB5013" w:rsidRDefault="00961DBB" w:rsidP="00BB5013">
            <w:pPr>
              <w:pStyle w:val="xDisclaimerHeading"/>
              <w:framePr w:hSpace="0" w:wrap="auto" w:hAnchor="text" w:yAlign="inline"/>
              <w:suppressOverlap w:val="0"/>
            </w:pPr>
            <w:r>
              <w:t xml:space="preserve">Use </w:t>
            </w:r>
            <w:r w:rsidRPr="00D0237F">
              <w:t>of</w:t>
            </w:r>
            <w:r>
              <w:t xml:space="preserve"> </w:t>
            </w:r>
            <w:r w:rsidRPr="00D0237F">
              <w:t>the</w:t>
            </w:r>
            <w:r>
              <w:t xml:space="preserve"> Coat of Arms</w:t>
            </w:r>
          </w:p>
          <w:p w:rsidR="00961DBB" w:rsidRDefault="00961DBB" w:rsidP="00BB5013">
            <w:pPr>
              <w:pStyle w:val="xDisclaimerText2"/>
              <w:framePr w:hSpace="0" w:wrap="auto" w:hAnchor="text" w:yAlign="inline"/>
              <w:suppressOverlap w:val="0"/>
            </w:pPr>
            <w:r>
              <w:t xml:space="preserve">The terms under which the Coat of Arms </w:t>
            </w:r>
            <w:r w:rsidRPr="00BB5013">
              <w:t>can</w:t>
            </w:r>
            <w:r>
              <w:t xml:space="preserve"> be used are detailed on the following website: </w:t>
            </w:r>
            <w:hyperlink r:id="rId14" w:history="1">
              <w:r w:rsidR="00BB5013" w:rsidRPr="00BB5013">
                <w:t>www.itsanhonour.gov.au/coat-arms</w:t>
              </w:r>
            </w:hyperlink>
            <w:r w:rsidR="00BB5013">
              <w:t xml:space="preserve"> </w:t>
            </w:r>
          </w:p>
          <w:p w:rsidR="00961DBB" w:rsidRPr="008E314A" w:rsidRDefault="00961DBB" w:rsidP="0087390B">
            <w:pPr>
              <w:pStyle w:val="xDisclaimerText"/>
            </w:pPr>
            <w:r w:rsidRPr="008E314A">
              <w:t>Parliament House</w:t>
            </w:r>
          </w:p>
          <w:p w:rsidR="00961DBB" w:rsidRPr="008E314A" w:rsidRDefault="00961DBB" w:rsidP="0087390B">
            <w:pPr>
              <w:pStyle w:val="xDisclaimerText"/>
            </w:pPr>
            <w:r w:rsidRPr="008E314A">
              <w:t>PO Box 6010</w:t>
            </w:r>
          </w:p>
          <w:p w:rsidR="00961DBB" w:rsidRDefault="00961DBB" w:rsidP="0087390B">
            <w:pPr>
              <w:pStyle w:val="xDisclaimerText2"/>
              <w:framePr w:hSpace="0" w:wrap="auto" w:hAnchor="text" w:yAlign="inline"/>
              <w:suppressOverlap w:val="0"/>
            </w:pPr>
            <w:r w:rsidRPr="008E314A">
              <w:t>CANBERRA ACT</w:t>
            </w:r>
            <w:r>
              <w:t xml:space="preserve"> 2600</w:t>
            </w:r>
          </w:p>
          <w:p w:rsidR="00961DBB" w:rsidRPr="008E314A" w:rsidRDefault="00961DBB" w:rsidP="0087390B">
            <w:pPr>
              <w:pStyle w:val="xDisclaimerText"/>
            </w:pPr>
            <w:r>
              <w:t xml:space="preserve">Phone: (02) </w:t>
            </w:r>
            <w:r w:rsidRPr="008E314A">
              <w:t>6277 9500</w:t>
            </w:r>
          </w:p>
          <w:p w:rsidR="00961DBB" w:rsidRDefault="00961DBB" w:rsidP="0087390B">
            <w:pPr>
              <w:pStyle w:val="xDisclaimerText"/>
            </w:pPr>
            <w:r w:rsidRPr="008E314A">
              <w:t>Email: pbo@pbo.gov</w:t>
            </w:r>
            <w:r>
              <w:t>.au</w:t>
            </w:r>
          </w:p>
        </w:tc>
      </w:tr>
    </w:tbl>
    <w:p w:rsidR="00961DBB" w:rsidRDefault="00961DBB" w:rsidP="00961DBB"/>
    <w:p w:rsidR="00961DBB" w:rsidRDefault="00961DBB">
      <w:pPr>
        <w:sectPr w:rsidR="00961DBB" w:rsidSect="00A278DC">
          <w:headerReference w:type="even" r:id="rId15"/>
          <w:headerReference w:type="default" r:id="rId16"/>
          <w:footerReference w:type="default" r:id="rId17"/>
          <w:pgSz w:w="11906" w:h="16838" w:code="9"/>
          <w:pgMar w:top="1361" w:right="1797" w:bottom="1474" w:left="1797" w:header="284" w:footer="454" w:gutter="0"/>
          <w:pgNumType w:fmt="lowerRoman"/>
          <w:cols w:space="708"/>
          <w:docGrid w:linePitch="360"/>
        </w:sectPr>
      </w:pPr>
    </w:p>
    <w:p w:rsidR="00961DBB" w:rsidRPr="00733970" w:rsidRDefault="00903E3F" w:rsidP="00733970">
      <w:pPr>
        <w:pStyle w:val="TOCHeading"/>
      </w:pPr>
      <w:r w:rsidRPr="00903E3F">
        <w:lastRenderedPageBreak/>
        <w:t>Contents</w:t>
      </w:r>
      <w:bookmarkStart w:id="3" w:name="_TOCMarker"/>
      <w:bookmarkEnd w:id="3"/>
    </w:p>
    <w:p w:rsidR="00404624" w:rsidRDefault="00903E3F">
      <w:pPr>
        <w:pStyle w:val="TOC1"/>
        <w:rPr>
          <w:rFonts w:eastAsiaTheme="minorEastAsia"/>
          <w:b w:val="0"/>
          <w:color w:val="auto"/>
          <w:lang w:eastAsia="en-AU"/>
        </w:rPr>
      </w:pPr>
      <w:r>
        <w:fldChar w:fldCharType="begin"/>
      </w:r>
      <w:r>
        <w:instrText xml:space="preserve"> TOC  \h \z \t "</w:instrText>
      </w:r>
      <w:r w:rsidR="00085F97">
        <w:instrText>Heading 1,1,Heading 1 No Numbering,1,Heading 2,2, Heading 3,3,</w:instrText>
      </w:r>
      <w:r>
        <w:instrText xml:space="preserve">Section Heading,5" </w:instrText>
      </w:r>
      <w:r>
        <w:fldChar w:fldCharType="separate"/>
      </w:r>
      <w:hyperlink w:anchor="_Toc507068907" w:history="1">
        <w:r w:rsidR="00404624" w:rsidRPr="00082A06">
          <w:rPr>
            <w:rStyle w:val="Hyperlink"/>
          </w:rPr>
          <w:t>1</w:t>
        </w:r>
        <w:r w:rsidR="00404624">
          <w:rPr>
            <w:rFonts w:eastAsiaTheme="minorEastAsia"/>
            <w:b w:val="0"/>
            <w:color w:val="auto"/>
            <w:lang w:eastAsia="en-AU"/>
          </w:rPr>
          <w:tab/>
        </w:r>
        <w:r w:rsidR="00404624" w:rsidRPr="00082A06">
          <w:rPr>
            <w:rStyle w:val="Hyperlink"/>
          </w:rPr>
          <w:t>Context and consultation process</w:t>
        </w:r>
        <w:r w:rsidR="00404624">
          <w:rPr>
            <w:webHidden/>
          </w:rPr>
          <w:tab/>
        </w:r>
        <w:r w:rsidR="00404624">
          <w:rPr>
            <w:webHidden/>
          </w:rPr>
          <w:fldChar w:fldCharType="begin"/>
        </w:r>
        <w:r w:rsidR="00404624">
          <w:rPr>
            <w:webHidden/>
          </w:rPr>
          <w:instrText xml:space="preserve"> PAGEREF _Toc507068907 \h </w:instrText>
        </w:r>
        <w:r w:rsidR="00404624">
          <w:rPr>
            <w:webHidden/>
          </w:rPr>
        </w:r>
        <w:r w:rsidR="00404624">
          <w:rPr>
            <w:webHidden/>
          </w:rPr>
          <w:fldChar w:fldCharType="separate"/>
        </w:r>
        <w:r w:rsidR="00300885">
          <w:rPr>
            <w:webHidden/>
          </w:rPr>
          <w:t>1</w:t>
        </w:r>
        <w:r w:rsidR="00404624">
          <w:rPr>
            <w:webHidden/>
          </w:rPr>
          <w:fldChar w:fldCharType="end"/>
        </w:r>
      </w:hyperlink>
    </w:p>
    <w:p w:rsidR="00404624" w:rsidRDefault="007D5E61">
      <w:pPr>
        <w:pStyle w:val="TOC2"/>
        <w:rPr>
          <w:rFonts w:eastAsiaTheme="minorEastAsia"/>
          <w:szCs w:val="22"/>
          <w:lang w:eastAsia="en-AU"/>
        </w:rPr>
      </w:pPr>
      <w:hyperlink w:anchor="_Toc507068908" w:history="1">
        <w:r w:rsidR="00404624" w:rsidRPr="00082A06">
          <w:rPr>
            <w:rStyle w:val="Hyperlink"/>
          </w:rPr>
          <w:t>1.1</w:t>
        </w:r>
        <w:r w:rsidR="00404624">
          <w:rPr>
            <w:rFonts w:eastAsiaTheme="minorEastAsia"/>
            <w:szCs w:val="22"/>
            <w:lang w:eastAsia="en-AU"/>
          </w:rPr>
          <w:tab/>
        </w:r>
        <w:r w:rsidR="00404624" w:rsidRPr="00082A06">
          <w:rPr>
            <w:rStyle w:val="Hyperlink"/>
          </w:rPr>
          <w:t>Context</w:t>
        </w:r>
        <w:r w:rsidR="00404624">
          <w:rPr>
            <w:webHidden/>
          </w:rPr>
          <w:tab/>
        </w:r>
        <w:r w:rsidR="00404624">
          <w:rPr>
            <w:webHidden/>
          </w:rPr>
          <w:fldChar w:fldCharType="begin"/>
        </w:r>
        <w:r w:rsidR="00404624">
          <w:rPr>
            <w:webHidden/>
          </w:rPr>
          <w:instrText xml:space="preserve"> PAGEREF _Toc507068908 \h </w:instrText>
        </w:r>
        <w:r w:rsidR="00404624">
          <w:rPr>
            <w:webHidden/>
          </w:rPr>
        </w:r>
        <w:r w:rsidR="00404624">
          <w:rPr>
            <w:webHidden/>
          </w:rPr>
          <w:fldChar w:fldCharType="separate"/>
        </w:r>
        <w:r w:rsidR="00300885">
          <w:rPr>
            <w:webHidden/>
          </w:rPr>
          <w:t>1</w:t>
        </w:r>
        <w:r w:rsidR="00404624">
          <w:rPr>
            <w:webHidden/>
          </w:rPr>
          <w:fldChar w:fldCharType="end"/>
        </w:r>
      </w:hyperlink>
    </w:p>
    <w:p w:rsidR="00404624" w:rsidRDefault="007D5E61">
      <w:pPr>
        <w:pStyle w:val="TOC2"/>
        <w:rPr>
          <w:rFonts w:eastAsiaTheme="minorEastAsia"/>
          <w:szCs w:val="22"/>
          <w:lang w:eastAsia="en-AU"/>
        </w:rPr>
      </w:pPr>
      <w:hyperlink w:anchor="_Toc507068909" w:history="1">
        <w:r w:rsidR="00404624" w:rsidRPr="00082A06">
          <w:rPr>
            <w:rStyle w:val="Hyperlink"/>
          </w:rPr>
          <w:t>1.2</w:t>
        </w:r>
        <w:r w:rsidR="00404624">
          <w:rPr>
            <w:rFonts w:eastAsiaTheme="minorEastAsia"/>
            <w:szCs w:val="22"/>
            <w:lang w:eastAsia="en-AU"/>
          </w:rPr>
          <w:tab/>
        </w:r>
        <w:r w:rsidR="00404624" w:rsidRPr="00082A06">
          <w:rPr>
            <w:rStyle w:val="Hyperlink"/>
          </w:rPr>
          <w:t>Closing date for submissions and contact details</w:t>
        </w:r>
        <w:r w:rsidR="00404624">
          <w:rPr>
            <w:webHidden/>
          </w:rPr>
          <w:tab/>
        </w:r>
        <w:r w:rsidR="00404624">
          <w:rPr>
            <w:webHidden/>
          </w:rPr>
          <w:fldChar w:fldCharType="begin"/>
        </w:r>
        <w:r w:rsidR="00404624">
          <w:rPr>
            <w:webHidden/>
          </w:rPr>
          <w:instrText xml:space="preserve"> PAGEREF _Toc507068909 \h </w:instrText>
        </w:r>
        <w:r w:rsidR="00404624">
          <w:rPr>
            <w:webHidden/>
          </w:rPr>
        </w:r>
        <w:r w:rsidR="00404624">
          <w:rPr>
            <w:webHidden/>
          </w:rPr>
          <w:fldChar w:fldCharType="separate"/>
        </w:r>
        <w:r w:rsidR="00300885">
          <w:rPr>
            <w:webHidden/>
          </w:rPr>
          <w:t>1</w:t>
        </w:r>
        <w:r w:rsidR="00404624">
          <w:rPr>
            <w:webHidden/>
          </w:rPr>
          <w:fldChar w:fldCharType="end"/>
        </w:r>
      </w:hyperlink>
    </w:p>
    <w:p w:rsidR="00404624" w:rsidRDefault="007D5E61">
      <w:pPr>
        <w:pStyle w:val="TOC1"/>
        <w:rPr>
          <w:rFonts w:eastAsiaTheme="minorEastAsia"/>
          <w:b w:val="0"/>
          <w:color w:val="auto"/>
          <w:lang w:eastAsia="en-AU"/>
        </w:rPr>
      </w:pPr>
      <w:hyperlink w:anchor="_Toc507068910" w:history="1">
        <w:r w:rsidR="00404624" w:rsidRPr="00082A06">
          <w:rPr>
            <w:rStyle w:val="Hyperlink"/>
          </w:rPr>
          <w:t>2</w:t>
        </w:r>
        <w:r w:rsidR="00404624">
          <w:rPr>
            <w:rFonts w:eastAsiaTheme="minorEastAsia"/>
            <w:b w:val="0"/>
            <w:color w:val="auto"/>
            <w:lang w:eastAsia="en-AU"/>
          </w:rPr>
          <w:tab/>
        </w:r>
        <w:r w:rsidR="00404624" w:rsidRPr="00082A06">
          <w:rPr>
            <w:rStyle w:val="Hyperlink"/>
          </w:rPr>
          <w:t>The process for preparing the post-election report</w:t>
        </w:r>
        <w:r w:rsidR="00404624">
          <w:rPr>
            <w:webHidden/>
          </w:rPr>
          <w:tab/>
        </w:r>
        <w:r w:rsidR="00404624">
          <w:rPr>
            <w:webHidden/>
          </w:rPr>
          <w:fldChar w:fldCharType="begin"/>
        </w:r>
        <w:r w:rsidR="00404624">
          <w:rPr>
            <w:webHidden/>
          </w:rPr>
          <w:instrText xml:space="preserve"> PAGEREF _Toc507068910 \h </w:instrText>
        </w:r>
        <w:r w:rsidR="00404624">
          <w:rPr>
            <w:webHidden/>
          </w:rPr>
        </w:r>
        <w:r w:rsidR="00404624">
          <w:rPr>
            <w:webHidden/>
          </w:rPr>
          <w:fldChar w:fldCharType="separate"/>
        </w:r>
        <w:r w:rsidR="00300885">
          <w:rPr>
            <w:webHidden/>
          </w:rPr>
          <w:t>2</w:t>
        </w:r>
        <w:r w:rsidR="00404624">
          <w:rPr>
            <w:webHidden/>
          </w:rPr>
          <w:fldChar w:fldCharType="end"/>
        </w:r>
      </w:hyperlink>
    </w:p>
    <w:p w:rsidR="00404624" w:rsidRDefault="007D5E61">
      <w:pPr>
        <w:pStyle w:val="TOC2"/>
        <w:rPr>
          <w:rFonts w:eastAsiaTheme="minorEastAsia"/>
          <w:szCs w:val="22"/>
          <w:lang w:eastAsia="en-AU"/>
        </w:rPr>
      </w:pPr>
      <w:hyperlink w:anchor="_Toc507068911" w:history="1">
        <w:r w:rsidR="00404624" w:rsidRPr="00082A06">
          <w:rPr>
            <w:rStyle w:val="Hyperlink"/>
          </w:rPr>
          <w:t>2.1</w:t>
        </w:r>
        <w:r w:rsidR="00404624">
          <w:rPr>
            <w:rFonts w:eastAsiaTheme="minorEastAsia"/>
            <w:szCs w:val="22"/>
            <w:lang w:eastAsia="en-AU"/>
          </w:rPr>
          <w:tab/>
        </w:r>
        <w:r w:rsidR="00404624" w:rsidRPr="00082A06">
          <w:rPr>
            <w:rStyle w:val="Hyperlink"/>
          </w:rPr>
          <w:t>Prior to the caretaker period</w:t>
        </w:r>
        <w:r w:rsidR="00404624">
          <w:rPr>
            <w:webHidden/>
          </w:rPr>
          <w:tab/>
        </w:r>
        <w:r w:rsidR="00404624">
          <w:rPr>
            <w:webHidden/>
          </w:rPr>
          <w:fldChar w:fldCharType="begin"/>
        </w:r>
        <w:r w:rsidR="00404624">
          <w:rPr>
            <w:webHidden/>
          </w:rPr>
          <w:instrText xml:space="preserve"> PAGEREF _Toc507068911 \h </w:instrText>
        </w:r>
        <w:r w:rsidR="00404624">
          <w:rPr>
            <w:webHidden/>
          </w:rPr>
        </w:r>
        <w:r w:rsidR="00404624">
          <w:rPr>
            <w:webHidden/>
          </w:rPr>
          <w:fldChar w:fldCharType="separate"/>
        </w:r>
        <w:r w:rsidR="00300885">
          <w:rPr>
            <w:webHidden/>
          </w:rPr>
          <w:t>2</w:t>
        </w:r>
        <w:r w:rsidR="00404624">
          <w:rPr>
            <w:webHidden/>
          </w:rPr>
          <w:fldChar w:fldCharType="end"/>
        </w:r>
      </w:hyperlink>
    </w:p>
    <w:p w:rsidR="00404624" w:rsidRDefault="007D5E61">
      <w:pPr>
        <w:pStyle w:val="TOC2"/>
        <w:rPr>
          <w:rFonts w:eastAsiaTheme="minorEastAsia"/>
          <w:szCs w:val="22"/>
          <w:lang w:eastAsia="en-AU"/>
        </w:rPr>
      </w:pPr>
      <w:hyperlink w:anchor="_Toc507068912" w:history="1">
        <w:r w:rsidR="00404624" w:rsidRPr="00082A06">
          <w:rPr>
            <w:rStyle w:val="Hyperlink"/>
          </w:rPr>
          <w:t>2.2</w:t>
        </w:r>
        <w:r w:rsidR="00404624">
          <w:rPr>
            <w:rFonts w:eastAsiaTheme="minorEastAsia"/>
            <w:szCs w:val="22"/>
            <w:lang w:eastAsia="en-AU"/>
          </w:rPr>
          <w:tab/>
        </w:r>
        <w:r w:rsidR="00404624" w:rsidRPr="00082A06">
          <w:rPr>
            <w:rStyle w:val="Hyperlink"/>
          </w:rPr>
          <w:t>The caretaker period</w:t>
        </w:r>
        <w:r w:rsidR="00404624">
          <w:rPr>
            <w:webHidden/>
          </w:rPr>
          <w:tab/>
        </w:r>
        <w:r w:rsidR="00404624">
          <w:rPr>
            <w:webHidden/>
          </w:rPr>
          <w:fldChar w:fldCharType="begin"/>
        </w:r>
        <w:r w:rsidR="00404624">
          <w:rPr>
            <w:webHidden/>
          </w:rPr>
          <w:instrText xml:space="preserve"> PAGEREF _Toc507068912 \h </w:instrText>
        </w:r>
        <w:r w:rsidR="00404624">
          <w:rPr>
            <w:webHidden/>
          </w:rPr>
        </w:r>
        <w:r w:rsidR="00404624">
          <w:rPr>
            <w:webHidden/>
          </w:rPr>
          <w:fldChar w:fldCharType="separate"/>
        </w:r>
        <w:r w:rsidR="00300885">
          <w:rPr>
            <w:webHidden/>
          </w:rPr>
          <w:t>2</w:t>
        </w:r>
        <w:r w:rsidR="00404624">
          <w:rPr>
            <w:webHidden/>
          </w:rPr>
          <w:fldChar w:fldCharType="end"/>
        </w:r>
      </w:hyperlink>
    </w:p>
    <w:p w:rsidR="00404624" w:rsidRDefault="007D5E61">
      <w:pPr>
        <w:pStyle w:val="TOC2"/>
        <w:rPr>
          <w:rFonts w:eastAsiaTheme="minorEastAsia"/>
          <w:szCs w:val="22"/>
          <w:lang w:eastAsia="en-AU"/>
        </w:rPr>
      </w:pPr>
      <w:hyperlink w:anchor="_Toc507068913" w:history="1">
        <w:r w:rsidR="00404624" w:rsidRPr="00082A06">
          <w:rPr>
            <w:rStyle w:val="Hyperlink"/>
          </w:rPr>
          <w:t>2.3</w:t>
        </w:r>
        <w:r w:rsidR="00404624">
          <w:rPr>
            <w:rFonts w:eastAsiaTheme="minorEastAsia"/>
            <w:szCs w:val="22"/>
            <w:lang w:eastAsia="en-AU"/>
          </w:rPr>
          <w:tab/>
        </w:r>
        <w:r w:rsidR="00404624" w:rsidRPr="00082A06">
          <w:rPr>
            <w:rStyle w:val="Hyperlink"/>
          </w:rPr>
          <w:t>The post-election period</w:t>
        </w:r>
        <w:r w:rsidR="00404624">
          <w:rPr>
            <w:webHidden/>
          </w:rPr>
          <w:tab/>
        </w:r>
        <w:r w:rsidR="00404624">
          <w:rPr>
            <w:webHidden/>
          </w:rPr>
          <w:fldChar w:fldCharType="begin"/>
        </w:r>
        <w:r w:rsidR="00404624">
          <w:rPr>
            <w:webHidden/>
          </w:rPr>
          <w:instrText xml:space="preserve"> PAGEREF _Toc507068913 \h </w:instrText>
        </w:r>
        <w:r w:rsidR="00404624">
          <w:rPr>
            <w:webHidden/>
          </w:rPr>
        </w:r>
        <w:r w:rsidR="00404624">
          <w:rPr>
            <w:webHidden/>
          </w:rPr>
          <w:fldChar w:fldCharType="separate"/>
        </w:r>
        <w:r w:rsidR="00300885">
          <w:rPr>
            <w:webHidden/>
          </w:rPr>
          <w:t>3</w:t>
        </w:r>
        <w:r w:rsidR="00404624">
          <w:rPr>
            <w:webHidden/>
          </w:rPr>
          <w:fldChar w:fldCharType="end"/>
        </w:r>
      </w:hyperlink>
    </w:p>
    <w:p w:rsidR="00404624" w:rsidRDefault="007D5E61">
      <w:pPr>
        <w:pStyle w:val="TOC1"/>
        <w:rPr>
          <w:rFonts w:eastAsiaTheme="minorEastAsia"/>
          <w:b w:val="0"/>
          <w:color w:val="auto"/>
          <w:lang w:eastAsia="en-AU"/>
        </w:rPr>
      </w:pPr>
      <w:hyperlink w:anchor="_Toc507068914" w:history="1">
        <w:r w:rsidR="00404624" w:rsidRPr="00082A06">
          <w:rPr>
            <w:rStyle w:val="Hyperlink"/>
          </w:rPr>
          <w:t>3</w:t>
        </w:r>
        <w:r w:rsidR="00404624">
          <w:rPr>
            <w:rFonts w:eastAsiaTheme="minorEastAsia"/>
            <w:b w:val="0"/>
            <w:color w:val="auto"/>
            <w:lang w:eastAsia="en-AU"/>
          </w:rPr>
          <w:tab/>
        </w:r>
        <w:r w:rsidR="00404624" w:rsidRPr="00082A06">
          <w:rPr>
            <w:rStyle w:val="Hyperlink"/>
          </w:rPr>
          <w:t>Considerations for minor parties opting in to the post-election report</w:t>
        </w:r>
        <w:r w:rsidR="00404624">
          <w:rPr>
            <w:webHidden/>
          </w:rPr>
          <w:tab/>
        </w:r>
        <w:r w:rsidR="00404624">
          <w:rPr>
            <w:webHidden/>
          </w:rPr>
          <w:fldChar w:fldCharType="begin"/>
        </w:r>
        <w:r w:rsidR="00404624">
          <w:rPr>
            <w:webHidden/>
          </w:rPr>
          <w:instrText xml:space="preserve"> PAGEREF _Toc507068914 \h </w:instrText>
        </w:r>
        <w:r w:rsidR="00404624">
          <w:rPr>
            <w:webHidden/>
          </w:rPr>
        </w:r>
        <w:r w:rsidR="00404624">
          <w:rPr>
            <w:webHidden/>
          </w:rPr>
          <w:fldChar w:fldCharType="separate"/>
        </w:r>
        <w:r w:rsidR="00300885">
          <w:rPr>
            <w:webHidden/>
          </w:rPr>
          <w:t>5</w:t>
        </w:r>
        <w:r w:rsidR="00404624">
          <w:rPr>
            <w:webHidden/>
          </w:rPr>
          <w:fldChar w:fldCharType="end"/>
        </w:r>
      </w:hyperlink>
    </w:p>
    <w:p w:rsidR="00903E3F" w:rsidRDefault="00903E3F" w:rsidP="00903E3F">
      <w:r>
        <w:fldChar w:fldCharType="end"/>
      </w:r>
    </w:p>
    <w:p w:rsidR="00E915E6" w:rsidRDefault="00E915E6">
      <w:pPr>
        <w:sectPr w:rsidR="00E915E6" w:rsidSect="005468AB">
          <w:headerReference w:type="even" r:id="rId18"/>
          <w:headerReference w:type="default" r:id="rId19"/>
          <w:footerReference w:type="even" r:id="rId20"/>
          <w:footerReference w:type="default" r:id="rId21"/>
          <w:type w:val="oddPage"/>
          <w:pgSz w:w="11906" w:h="16838" w:code="9"/>
          <w:pgMar w:top="1361" w:right="1797" w:bottom="1474" w:left="1797" w:header="284" w:footer="454" w:gutter="0"/>
          <w:pgNumType w:fmt="lowerRoman"/>
          <w:cols w:space="708"/>
          <w:docGrid w:linePitch="360"/>
        </w:sectPr>
      </w:pPr>
    </w:p>
    <w:p w:rsidR="00903E3F" w:rsidRPr="00404624" w:rsidRDefault="00A278DC" w:rsidP="00404624">
      <w:pPr>
        <w:pStyle w:val="Heading1"/>
      </w:pPr>
      <w:bookmarkStart w:id="4" w:name="_Toc507068907"/>
      <w:r w:rsidRPr="00404624">
        <w:lastRenderedPageBreak/>
        <w:t>Context</w:t>
      </w:r>
      <w:r w:rsidR="00E865E0" w:rsidRPr="00404624">
        <w:t xml:space="preserve"> and consultation process</w:t>
      </w:r>
      <w:bookmarkEnd w:id="4"/>
    </w:p>
    <w:p w:rsidR="00A51658" w:rsidRDefault="00A51658" w:rsidP="00A51658">
      <w:pPr>
        <w:pStyle w:val="Heading2"/>
      </w:pPr>
      <w:bookmarkStart w:id="5" w:name="_Toc507068908"/>
      <w:r>
        <w:t>Context</w:t>
      </w:r>
      <w:bookmarkEnd w:id="5"/>
    </w:p>
    <w:p w:rsidR="00C603D7" w:rsidRDefault="007262D0" w:rsidP="00C603D7">
      <w:pPr>
        <w:pStyle w:val="BodyText"/>
      </w:pPr>
      <w:r>
        <w:t>S</w:t>
      </w:r>
      <w:r w:rsidR="00C603D7">
        <w:t xml:space="preserve">ection 64MA of the </w:t>
      </w:r>
      <w:r w:rsidR="00C603D7" w:rsidRPr="00C603D7">
        <w:rPr>
          <w:i/>
        </w:rPr>
        <w:t>Parliamentary Service Act 1999</w:t>
      </w:r>
      <w:r w:rsidR="00C603D7">
        <w:t xml:space="preserve"> requires the Parliamentary Budget Officer to release a report within 30 days of the end of the caretaker period for a general election outlining the financial impact of all the election commitments that have a material impact on the budget for all designated Parliamentary parties – that is, parties with 5 or more members.</w:t>
      </w:r>
    </w:p>
    <w:p w:rsidR="00C603D7" w:rsidRDefault="00C603D7" w:rsidP="00C603D7">
      <w:pPr>
        <w:pStyle w:val="BodyText"/>
      </w:pPr>
      <w:r>
        <w:t xml:space="preserve">The </w:t>
      </w:r>
      <w:r w:rsidRPr="00C603D7">
        <w:rPr>
          <w:i/>
        </w:rPr>
        <w:t>Parliamentary Budget Office Review 2016</w:t>
      </w:r>
      <w:r w:rsidR="00404624">
        <w:rPr>
          <w:i/>
        </w:rPr>
        <w:t>–</w:t>
      </w:r>
      <w:r w:rsidRPr="00C603D7">
        <w:rPr>
          <w:i/>
        </w:rPr>
        <w:t>17 – Report of the Independent Review Panel</w:t>
      </w:r>
      <w:r>
        <w:t xml:space="preserve"> recommended that the Parliamentary Budget Office (PBO) ‘should provide parliamentary political parties with fewer than five Members or Senators the option to have the financial impact of their election com</w:t>
      </w:r>
      <w:r w:rsidR="007262D0">
        <w:t>mitments included in the PBO’s p</w:t>
      </w:r>
      <w:r>
        <w:t xml:space="preserve">ost-election </w:t>
      </w:r>
      <w:r w:rsidR="007262D0">
        <w:t>r</w:t>
      </w:r>
      <w:r>
        <w:t>eport of election commitments’ (recommendation 13).</w:t>
      </w:r>
    </w:p>
    <w:p w:rsidR="00E865E0" w:rsidRDefault="00E865E0" w:rsidP="00E865E0">
      <w:pPr>
        <w:pStyle w:val="BodyText"/>
      </w:pPr>
      <w:r>
        <w:t xml:space="preserve">The Independent Review Panel’s recommendation was motivated by the observation that minor parties and independent members now </w:t>
      </w:r>
      <w:r w:rsidR="008371F4">
        <w:t>have</w:t>
      </w:r>
      <w:r>
        <w:t xml:space="preserve"> a prominent role on some budget-related issues. </w:t>
      </w:r>
    </w:p>
    <w:p w:rsidR="002A5D59" w:rsidRDefault="00B34914" w:rsidP="00C603D7">
      <w:pPr>
        <w:pStyle w:val="BodyText"/>
      </w:pPr>
      <w:r>
        <w:t>We have</w:t>
      </w:r>
      <w:r w:rsidR="00271056">
        <w:t xml:space="preserve"> interpreted the</w:t>
      </w:r>
      <w:r w:rsidR="00E865E0" w:rsidRPr="00E865E0">
        <w:t xml:space="preserve"> </w:t>
      </w:r>
      <w:r w:rsidR="00E865E0">
        <w:t>Independent Review Panel’s</w:t>
      </w:r>
      <w:r w:rsidR="00271056">
        <w:t xml:space="preserve"> recommendation as covering all independent parliamentarians and parliamentary political parties with fewer than five Members or Senators.  </w:t>
      </w:r>
      <w:r>
        <w:t>We</w:t>
      </w:r>
      <w:r w:rsidR="002A5D59">
        <w:t xml:space="preserve"> agreed to this recommendation and committed to explore options to give effect to it.</w:t>
      </w:r>
      <w:r w:rsidR="00846746" w:rsidRPr="00846746">
        <w:t xml:space="preserve"> </w:t>
      </w:r>
      <w:r w:rsidR="00846746">
        <w:t xml:space="preserve"> </w:t>
      </w:r>
    </w:p>
    <w:p w:rsidR="00141551" w:rsidRDefault="00C666B3" w:rsidP="00A51658">
      <w:pPr>
        <w:pStyle w:val="BodyText"/>
      </w:pPr>
      <w:r>
        <w:t>This consultation paper</w:t>
      </w:r>
      <w:r w:rsidR="00C603D7">
        <w:t xml:space="preserve"> </w:t>
      </w:r>
      <w:r w:rsidR="004B5B83">
        <w:t>provides information on</w:t>
      </w:r>
      <w:r w:rsidR="002A5D59">
        <w:t xml:space="preserve"> the </w:t>
      </w:r>
      <w:r w:rsidR="004B5B83">
        <w:t xml:space="preserve">process for preparing the </w:t>
      </w:r>
      <w:r w:rsidR="002A5D59">
        <w:t xml:space="preserve">post-election report, including the requirements placed on the PBO </w:t>
      </w:r>
      <w:r w:rsidR="008371F4">
        <w:t xml:space="preserve">and designated Parliamentary parties </w:t>
      </w:r>
      <w:r w:rsidR="002A5D59">
        <w:t xml:space="preserve">by the </w:t>
      </w:r>
      <w:r w:rsidR="002A5D59" w:rsidRPr="00C603D7">
        <w:rPr>
          <w:i/>
        </w:rPr>
        <w:t>Parliamentary Service Act 1999</w:t>
      </w:r>
      <w:r w:rsidR="00271056">
        <w:rPr>
          <w:i/>
        </w:rPr>
        <w:t>,</w:t>
      </w:r>
      <w:r w:rsidR="002A5D59">
        <w:t xml:space="preserve"> </w:t>
      </w:r>
      <w:r w:rsidR="004B5B83">
        <w:t xml:space="preserve">and the factors </w:t>
      </w:r>
      <w:r w:rsidR="00B34914">
        <w:t>we</w:t>
      </w:r>
      <w:r w:rsidR="004B5B83">
        <w:t xml:space="preserve"> will need to consider in allowing non-designated </w:t>
      </w:r>
      <w:r>
        <w:t>P</w:t>
      </w:r>
      <w:r w:rsidR="004B5B83">
        <w:t>arliamentary parties to opt in to the report</w:t>
      </w:r>
      <w:r w:rsidR="00C603D7">
        <w:t xml:space="preserve">.  </w:t>
      </w:r>
      <w:r w:rsidR="00A51658">
        <w:t>It seeks feedback from parliamentarians and their staff, as well as interested stakeholders, on these matters.</w:t>
      </w:r>
    </w:p>
    <w:p w:rsidR="00A51658" w:rsidRDefault="00B34914" w:rsidP="00A51658">
      <w:pPr>
        <w:pStyle w:val="BodyText"/>
      </w:pPr>
      <w:r>
        <w:t>We</w:t>
      </w:r>
      <w:r w:rsidR="00A51658">
        <w:t xml:space="preserve"> will consider feedback from this consultation process and will publish an information paper in </w:t>
      </w:r>
      <w:r w:rsidR="00A51658" w:rsidRPr="00E50442">
        <w:t>mid-2018</w:t>
      </w:r>
      <w:r w:rsidR="00A51658">
        <w:t xml:space="preserve"> that provides </w:t>
      </w:r>
      <w:r w:rsidR="008371F4">
        <w:t>details</w:t>
      </w:r>
      <w:r w:rsidR="00A51658">
        <w:t xml:space="preserve"> on </w:t>
      </w:r>
      <w:r w:rsidR="008371F4">
        <w:t xml:space="preserve">how </w:t>
      </w:r>
      <w:r>
        <w:t>we</w:t>
      </w:r>
      <w:r w:rsidR="008371F4">
        <w:t xml:space="preserve"> will allow minor parties to opt in to the next post-election report</w:t>
      </w:r>
      <w:r w:rsidR="00A51658">
        <w:t xml:space="preserve">. </w:t>
      </w:r>
    </w:p>
    <w:p w:rsidR="00A51658" w:rsidRPr="003B6DA6" w:rsidRDefault="00A51658" w:rsidP="003B6DA6">
      <w:pPr>
        <w:pStyle w:val="Heading2"/>
      </w:pPr>
      <w:bookmarkStart w:id="6" w:name="_Toc507068909"/>
      <w:r w:rsidRPr="003B6DA6">
        <w:t>Closing date for submissions and contact details</w:t>
      </w:r>
      <w:bookmarkEnd w:id="6"/>
    </w:p>
    <w:p w:rsidR="00C603D7" w:rsidRDefault="003B6DA6" w:rsidP="003B6DA6">
      <w:pPr>
        <w:pStyle w:val="BodyText"/>
      </w:pPr>
      <w:r>
        <w:t xml:space="preserve">Submissions are requested by </w:t>
      </w:r>
      <w:r w:rsidR="007B103F">
        <w:t>13</w:t>
      </w:r>
      <w:r w:rsidR="00E50442">
        <w:t xml:space="preserve"> </w:t>
      </w:r>
      <w:r w:rsidR="007B103F">
        <w:t>April</w:t>
      </w:r>
      <w:r w:rsidR="00E50442">
        <w:t xml:space="preserve"> 2018. </w:t>
      </w:r>
      <w:r>
        <w:t xml:space="preserve"> Submissions can be emailed to </w:t>
      </w:r>
      <w:hyperlink r:id="rId22" w:history="1">
        <w:r w:rsidRPr="00556FF0">
          <w:rPr>
            <w:rStyle w:val="Hyperlink"/>
          </w:rPr>
          <w:t>PBO@pbo.gov.au</w:t>
        </w:r>
      </w:hyperlink>
      <w:r>
        <w:t xml:space="preserve"> and will be made public unless otherwise requested.  Enquiries can be directed to </w:t>
      </w:r>
      <w:r w:rsidR="00E50442">
        <w:t>Tim Pyne</w:t>
      </w:r>
      <w:r>
        <w:t xml:space="preserve"> on (02) 6277 </w:t>
      </w:r>
      <w:r w:rsidR="00E50442">
        <w:t>9560</w:t>
      </w:r>
      <w:r>
        <w:t>.</w:t>
      </w:r>
      <w:r w:rsidR="00C603D7">
        <w:br w:type="page"/>
      </w:r>
    </w:p>
    <w:p w:rsidR="00C603D7" w:rsidRDefault="00C603D7" w:rsidP="00C603D7">
      <w:pPr>
        <w:pStyle w:val="Heading1"/>
      </w:pPr>
      <w:bookmarkStart w:id="7" w:name="_Toc507068910"/>
      <w:r>
        <w:lastRenderedPageBreak/>
        <w:t>The process for preparing the post-election report</w:t>
      </w:r>
      <w:bookmarkEnd w:id="7"/>
    </w:p>
    <w:p w:rsidR="001602EA" w:rsidRDefault="00A271C7" w:rsidP="001602EA">
      <w:pPr>
        <w:pStyle w:val="BodyText"/>
      </w:pPr>
      <w:r>
        <w:t>An election year</w:t>
      </w:r>
      <w:r w:rsidR="001602EA">
        <w:t xml:space="preserve"> is the busiest and most resource intensive </w:t>
      </w:r>
      <w:r>
        <w:t>year</w:t>
      </w:r>
      <w:r w:rsidR="001602EA">
        <w:t xml:space="preserve"> of the Parliamentary </w:t>
      </w:r>
      <w:r w:rsidR="00EF416A">
        <w:t>cycle</w:t>
      </w:r>
      <w:r w:rsidR="001602EA">
        <w:t xml:space="preserve"> for the </w:t>
      </w:r>
      <w:r>
        <w:t xml:space="preserve">PBO.  The </w:t>
      </w:r>
      <w:r w:rsidR="00326E39">
        <w:t xml:space="preserve">lead up to caretaker, </w:t>
      </w:r>
      <w:r>
        <w:t xml:space="preserve">caretaker and immediate post-caretaker period generally represent the peak work load of the </w:t>
      </w:r>
      <w:r w:rsidR="00EF416A">
        <w:t>P</w:t>
      </w:r>
      <w:r>
        <w:t xml:space="preserve">arliamentary cycle for the PBO due to the legislative obligations </w:t>
      </w:r>
      <w:r w:rsidR="00B34914">
        <w:t>we</w:t>
      </w:r>
      <w:r>
        <w:t xml:space="preserve"> must fulfil during this period.  </w:t>
      </w:r>
    </w:p>
    <w:p w:rsidR="00A271C7" w:rsidRDefault="00A271C7" w:rsidP="001602EA">
      <w:pPr>
        <w:pStyle w:val="BodyText"/>
      </w:pPr>
      <w:r>
        <w:t>This section details the work of the PBO in the periods on either side of a general election, culminating in the publication of the post-election report.</w:t>
      </w:r>
    </w:p>
    <w:p w:rsidR="002378DB" w:rsidRDefault="00F94AED" w:rsidP="002378DB">
      <w:pPr>
        <w:pStyle w:val="Heading2"/>
      </w:pPr>
      <w:bookmarkStart w:id="8" w:name="_Toc507068911"/>
      <w:r>
        <w:t>Prior to the</w:t>
      </w:r>
      <w:r w:rsidR="002378DB">
        <w:t xml:space="preserve"> </w:t>
      </w:r>
      <w:r>
        <w:t>caretaker period</w:t>
      </w:r>
      <w:bookmarkEnd w:id="8"/>
    </w:p>
    <w:p w:rsidR="002378DB" w:rsidRDefault="002378DB" w:rsidP="002A5D59">
      <w:pPr>
        <w:pStyle w:val="Heading4"/>
      </w:pPr>
      <w:r>
        <w:t>Tracking election commitments</w:t>
      </w:r>
    </w:p>
    <w:p w:rsidR="00EF416A" w:rsidRDefault="00EF416A" w:rsidP="00EF416A">
      <w:pPr>
        <w:pStyle w:val="BodyText"/>
      </w:pPr>
      <w:r w:rsidRPr="00747AC6">
        <w:t xml:space="preserve">In the lead up to a general election, </w:t>
      </w:r>
      <w:r w:rsidR="00B34914">
        <w:t>we</w:t>
      </w:r>
      <w:r w:rsidRPr="00747AC6">
        <w:t xml:space="preserve"> maintain a register of publicly announced election </w:t>
      </w:r>
      <w:r w:rsidR="00075F99">
        <w:t>commitments</w:t>
      </w:r>
      <w:r w:rsidRPr="00747AC6">
        <w:t>.</w:t>
      </w:r>
      <w:r w:rsidR="00075F99">
        <w:t xml:space="preserve"> </w:t>
      </w:r>
      <w:r w:rsidRPr="00747AC6">
        <w:t xml:space="preserve"> Th</w:t>
      </w:r>
      <w:r>
        <w:t>e</w:t>
      </w:r>
      <w:r w:rsidRPr="00747AC6">
        <w:t xml:space="preserve"> register track</w:t>
      </w:r>
      <w:r>
        <w:t>s</w:t>
      </w:r>
      <w:r w:rsidRPr="00747AC6">
        <w:t xml:space="preserve"> and record</w:t>
      </w:r>
      <w:r>
        <w:t>s</w:t>
      </w:r>
      <w:r w:rsidRPr="00747AC6">
        <w:t xml:space="preserve"> those policies that are publicly announced as election commitments by </w:t>
      </w:r>
      <w:r w:rsidR="00B34914">
        <w:t xml:space="preserve">Parliamentarians and candidates </w:t>
      </w:r>
      <w:r w:rsidR="00765B61">
        <w:t xml:space="preserve">of </w:t>
      </w:r>
      <w:r w:rsidRPr="00747AC6">
        <w:t xml:space="preserve">parties </w:t>
      </w:r>
      <w:r>
        <w:t xml:space="preserve">that </w:t>
      </w:r>
      <w:r w:rsidR="00075F99">
        <w:t>a</w:t>
      </w:r>
      <w:r>
        <w:t>re expected to be designated Parliamentary parties</w:t>
      </w:r>
      <w:r w:rsidRPr="00747AC6">
        <w:t>.</w:t>
      </w:r>
    </w:p>
    <w:p w:rsidR="0051069C" w:rsidRDefault="00765B61" w:rsidP="0051069C">
      <w:pPr>
        <w:pStyle w:val="BodyText"/>
      </w:pPr>
      <w:r>
        <w:t>We do</w:t>
      </w:r>
      <w:r w:rsidR="00075F99">
        <w:t xml:space="preserve"> this as the </w:t>
      </w:r>
      <w:r w:rsidR="002378DB" w:rsidRPr="002378DB">
        <w:t>post-election report must include, for each designated parliamentary party, costings of all the election commitments of that party that the Parliamentary Budget Officer, in his or her best professional judgement, reasonably believes would have a material impact on the Commonwealth budget</w:t>
      </w:r>
      <w:r w:rsidR="003D342F">
        <w:t xml:space="preserve">.  </w:t>
      </w:r>
    </w:p>
    <w:p w:rsidR="002378DB" w:rsidRPr="007B103F" w:rsidRDefault="0051069C" w:rsidP="002378DB">
      <w:pPr>
        <w:pStyle w:val="BodyText"/>
      </w:pPr>
      <w:r>
        <w:t xml:space="preserve">During this period, we continue to prepare policy costings for Parliamentarians, including those that have been submitted on a confidential basis.  Information on our policy costing role is outlined in </w:t>
      </w:r>
      <w:r w:rsidR="007B103F">
        <w:t>the i</w:t>
      </w:r>
      <w:r>
        <w:t xml:space="preserve">nformation paper, </w:t>
      </w:r>
      <w:hyperlink r:id="rId23" w:history="1">
        <w:proofErr w:type="gramStart"/>
        <w:r w:rsidRPr="00B34914">
          <w:rPr>
            <w:rStyle w:val="Hyperlink"/>
            <w:i/>
          </w:rPr>
          <w:t>What</w:t>
        </w:r>
        <w:proofErr w:type="gramEnd"/>
        <w:r w:rsidRPr="00B34914">
          <w:rPr>
            <w:rStyle w:val="Hyperlink"/>
            <w:i/>
          </w:rPr>
          <w:t xml:space="preserve"> is a Parliamentary Budget Office Costing?</w:t>
        </w:r>
      </w:hyperlink>
      <w:r w:rsidR="007B103F">
        <w:rPr>
          <w:rStyle w:val="Hyperlink"/>
          <w:u w:val="none"/>
        </w:rPr>
        <w:t xml:space="preserve"> </w:t>
      </w:r>
      <w:proofErr w:type="gramStart"/>
      <w:r w:rsidR="007B103F">
        <w:rPr>
          <w:rStyle w:val="Hyperlink"/>
          <w:u w:val="none"/>
        </w:rPr>
        <w:t>(PBO, 2017).</w:t>
      </w:r>
      <w:proofErr w:type="gramEnd"/>
    </w:p>
    <w:p w:rsidR="00F94AED" w:rsidRDefault="00F94AED" w:rsidP="00F94AED">
      <w:pPr>
        <w:pStyle w:val="Heading2"/>
      </w:pPr>
      <w:bookmarkStart w:id="9" w:name="_Toc507068912"/>
      <w:r>
        <w:t>The caretaker period</w:t>
      </w:r>
      <w:bookmarkEnd w:id="9"/>
    </w:p>
    <w:p w:rsidR="0057720C" w:rsidRDefault="0057720C" w:rsidP="0057720C">
      <w:pPr>
        <w:pStyle w:val="BodyText"/>
      </w:pPr>
      <w:r w:rsidRPr="0057720C">
        <w:t xml:space="preserve">The </w:t>
      </w:r>
      <w:r w:rsidRPr="0057720C">
        <w:rPr>
          <w:i/>
        </w:rPr>
        <w:t>Charter of Budget Honesty Act 1998</w:t>
      </w:r>
      <w:r w:rsidRPr="0057720C">
        <w:t xml:space="preserve"> provides for the Secretary to the Treasury and the Secretary of the De</w:t>
      </w:r>
      <w:r>
        <w:t>partment of Finance</w:t>
      </w:r>
      <w:r w:rsidRPr="0057720C">
        <w:t xml:space="preserve"> to publicly release a Pre-election Economic and Fiscal Outlook report (PEFO) within 10 days of the issue of the writs for a general election.</w:t>
      </w:r>
    </w:p>
    <w:p w:rsidR="0057720C" w:rsidRDefault="0057720C" w:rsidP="0057720C">
      <w:pPr>
        <w:pStyle w:val="BodyText"/>
      </w:pPr>
      <w:r w:rsidRPr="0057720C">
        <w:t>The purpose of the PEFO is to provide updated information on the economic and fiscal outlook. The information in the report takes into account, to the fullest extent possible, all Government decisions made before the issue of the writs for the election and all other circumstances that may have a material effect on the economic and fiscal outlook.</w:t>
      </w:r>
    </w:p>
    <w:p w:rsidR="0057720C" w:rsidRDefault="0057720C" w:rsidP="0057720C">
      <w:pPr>
        <w:pStyle w:val="BodyText"/>
      </w:pPr>
      <w:r>
        <w:t>As a general rule, we will not finalise any costings during the caretaker period until after the release of the PEFO to ensure that they take into account the latest information available.</w:t>
      </w:r>
    </w:p>
    <w:p w:rsidR="00F94AED" w:rsidRDefault="008618DD" w:rsidP="002A5D59">
      <w:pPr>
        <w:pStyle w:val="Heading4"/>
      </w:pPr>
      <w:r>
        <w:t>Continued tracking of election commitments</w:t>
      </w:r>
    </w:p>
    <w:p w:rsidR="008618DD" w:rsidRDefault="007B103F" w:rsidP="002378DB">
      <w:pPr>
        <w:pStyle w:val="BodyText"/>
      </w:pPr>
      <w:r>
        <w:t>During the caretaker period, w</w:t>
      </w:r>
      <w:r w:rsidR="00765B61">
        <w:t>e</w:t>
      </w:r>
      <w:r w:rsidR="00CA384E">
        <w:t xml:space="preserve"> continue to monitor the election commitments </w:t>
      </w:r>
      <w:r w:rsidR="00075F99">
        <w:t>of designated Parliamentary</w:t>
      </w:r>
      <w:r w:rsidR="00084670">
        <w:t xml:space="preserve"> parties</w:t>
      </w:r>
      <w:r w:rsidR="00075F99">
        <w:t xml:space="preserve"> and </w:t>
      </w:r>
      <w:r w:rsidR="00CA384E" w:rsidRPr="00747AC6">
        <w:t xml:space="preserve">maintain </w:t>
      </w:r>
      <w:r w:rsidR="00075F99">
        <w:t>the</w:t>
      </w:r>
      <w:r w:rsidR="00CA384E" w:rsidRPr="00747AC6">
        <w:t xml:space="preserve"> register of publicly announced election </w:t>
      </w:r>
      <w:r w:rsidR="00BA34DC">
        <w:t>commitments</w:t>
      </w:r>
      <w:r w:rsidR="00CA384E">
        <w:t>.</w:t>
      </w:r>
    </w:p>
    <w:p w:rsidR="00B60266" w:rsidRDefault="00B60266" w:rsidP="002A5D59">
      <w:pPr>
        <w:pStyle w:val="Heading4"/>
      </w:pPr>
      <w:r>
        <w:lastRenderedPageBreak/>
        <w:t>Continued preparation of confidential costings</w:t>
      </w:r>
      <w:r w:rsidR="00075F99">
        <w:t xml:space="preserve"> for Parliamentarians</w:t>
      </w:r>
    </w:p>
    <w:p w:rsidR="00B60266" w:rsidRPr="00B60266" w:rsidRDefault="00B60266" w:rsidP="00B60266">
      <w:pPr>
        <w:pStyle w:val="BodyText"/>
      </w:pPr>
      <w:r w:rsidRPr="00B60266">
        <w:t xml:space="preserve">Costing requests </w:t>
      </w:r>
      <w:r w:rsidR="00075F99">
        <w:t>submitted</w:t>
      </w:r>
      <w:r w:rsidRPr="00B60266">
        <w:t xml:space="preserve"> to </w:t>
      </w:r>
      <w:r w:rsidR="0057720C">
        <w:t>us</w:t>
      </w:r>
      <w:r w:rsidRPr="00B60266">
        <w:t xml:space="preserve"> before the commencement of the caretaker period may be completed and provided to a </w:t>
      </w:r>
      <w:r w:rsidR="00075F99">
        <w:t>P</w:t>
      </w:r>
      <w:r w:rsidRPr="00B60266">
        <w:t>arliamentarian on a confidential basis after the caretaker period has commenced, provided the costing can be complet</w:t>
      </w:r>
      <w:r>
        <w:t>ed before the general election.</w:t>
      </w:r>
    </w:p>
    <w:p w:rsidR="008618DD" w:rsidRDefault="008618DD" w:rsidP="002A5D59">
      <w:pPr>
        <w:pStyle w:val="Heading4"/>
      </w:pPr>
      <w:r>
        <w:t>Caretaker costings</w:t>
      </w:r>
    </w:p>
    <w:p w:rsidR="005D5FAF" w:rsidRDefault="005D5FAF" w:rsidP="00D56028">
      <w:pPr>
        <w:pStyle w:val="BodyText"/>
      </w:pPr>
      <w:r w:rsidRPr="005D5FAF">
        <w:t xml:space="preserve">During the caretaker period, </w:t>
      </w:r>
      <w:r w:rsidR="00765B61">
        <w:t>we</w:t>
      </w:r>
      <w:r w:rsidRPr="005D5FAF">
        <w:t xml:space="preserve"> may be asked to cost election commitments either by an authorised member of a parliamentary party (including a minority party) or by an independent member.</w:t>
      </w:r>
      <w:r w:rsidR="007D0165">
        <w:t xml:space="preserve"> </w:t>
      </w:r>
    </w:p>
    <w:p w:rsidR="007D0165" w:rsidRDefault="007D0165" w:rsidP="007D0165">
      <w:pPr>
        <w:pStyle w:val="BodyText"/>
      </w:pPr>
      <w:r>
        <w:t xml:space="preserve">The </w:t>
      </w:r>
      <w:r w:rsidR="00075F99">
        <w:t>legislation</w:t>
      </w:r>
      <w:r>
        <w:t xml:space="preserve"> requires that the Parliamentary Budget Officer must</w:t>
      </w:r>
      <w:r w:rsidR="00075F99">
        <w:t>,</w:t>
      </w:r>
      <w:r>
        <w:t xml:space="preserve"> as soon as practicable after the request has been made and before polling day, publicly release the request and a costing of the policy.  </w:t>
      </w:r>
      <w:r w:rsidRPr="00B60266">
        <w:t xml:space="preserve">All </w:t>
      </w:r>
      <w:r>
        <w:t>caretaker</w:t>
      </w:r>
      <w:r w:rsidRPr="00B60266">
        <w:t xml:space="preserve"> costing requests and responses to those requests </w:t>
      </w:r>
      <w:r w:rsidR="00075F99">
        <w:t>are</w:t>
      </w:r>
      <w:r w:rsidRPr="00B60266">
        <w:t xml:space="preserve"> published on the PBO election costing webpage.</w:t>
      </w:r>
    </w:p>
    <w:p w:rsidR="00D56028" w:rsidRDefault="00D56028" w:rsidP="00D56028">
      <w:pPr>
        <w:pStyle w:val="BodyText"/>
      </w:pPr>
      <w:r>
        <w:t xml:space="preserve">The </w:t>
      </w:r>
      <w:r w:rsidRPr="00D56028">
        <w:t>Treasury</w:t>
      </w:r>
      <w:r>
        <w:t xml:space="preserve"> and Department of </w:t>
      </w:r>
      <w:r w:rsidRPr="00D56028">
        <w:t xml:space="preserve">Finance can also be asked </w:t>
      </w:r>
      <w:r w:rsidR="0051069C" w:rsidRPr="00D56028">
        <w:t xml:space="preserve">by the relevant party Leader </w:t>
      </w:r>
      <w:r w:rsidRPr="00D56028">
        <w:t>to cost the election commitments of a parliamentary party</w:t>
      </w:r>
      <w:r w:rsidR="009F0EEA">
        <w:t xml:space="preserve"> </w:t>
      </w:r>
      <w:r w:rsidR="0051069C">
        <w:t xml:space="preserve">during the caretaker period </w:t>
      </w:r>
      <w:r w:rsidR="009F0EEA">
        <w:t>(unless it has already been lodged with the PBO)</w:t>
      </w:r>
      <w:r w:rsidR="005D5FAF">
        <w:t xml:space="preserve">.  </w:t>
      </w:r>
      <w:r w:rsidR="00765B61">
        <w:t>Our</w:t>
      </w:r>
      <w:r w:rsidRPr="00D56028">
        <w:t xml:space="preserve"> post-election reporting function mean</w:t>
      </w:r>
      <w:r w:rsidR="00234CF0">
        <w:t>s</w:t>
      </w:r>
      <w:r w:rsidRPr="00D56028">
        <w:t xml:space="preserve"> that </w:t>
      </w:r>
      <w:r w:rsidR="00765B61">
        <w:t>we</w:t>
      </w:r>
      <w:r w:rsidRPr="00D56028">
        <w:t xml:space="preserve"> will be required to scrutinise all costings undertaken by Treasury</w:t>
      </w:r>
      <w:r w:rsidR="005D5FAF">
        <w:t xml:space="preserve"> and </w:t>
      </w:r>
      <w:r w:rsidRPr="00D56028">
        <w:t>Finance in the caretaker period in order to ensure that the Parliamentary Budget Officer is satisfied that those costings accurately reflect the budgetary impact of the election policy commitments.</w:t>
      </w:r>
    </w:p>
    <w:p w:rsidR="008618DD" w:rsidRDefault="008618DD" w:rsidP="002A5D59">
      <w:pPr>
        <w:pStyle w:val="Heading4"/>
      </w:pPr>
      <w:r>
        <w:t>List of ele</w:t>
      </w:r>
      <w:r w:rsidR="00BC1FD2">
        <w:t>ction commitments from parties</w:t>
      </w:r>
    </w:p>
    <w:p w:rsidR="00BC1FD2" w:rsidRDefault="00BE7468" w:rsidP="002378DB">
      <w:pPr>
        <w:pStyle w:val="BodyText"/>
      </w:pPr>
      <w:r w:rsidRPr="00BE7468">
        <w:t xml:space="preserve">Each designated </w:t>
      </w:r>
      <w:r w:rsidR="00075F99">
        <w:t xml:space="preserve">Parliamentary </w:t>
      </w:r>
      <w:r w:rsidRPr="00BE7468">
        <w:t xml:space="preserve">party must, before 5pm on the day before polling day in the election, </w:t>
      </w:r>
      <w:r w:rsidR="007D5574">
        <w:t>provide</w:t>
      </w:r>
      <w:r w:rsidRPr="00BE7468">
        <w:t xml:space="preserve"> the Parliamentary Budget Officer </w:t>
      </w:r>
      <w:r w:rsidR="007D5574">
        <w:t xml:space="preserve">with </w:t>
      </w:r>
      <w:r w:rsidRPr="00BE7468">
        <w:t xml:space="preserve">a list of its publicly announced </w:t>
      </w:r>
      <w:r w:rsidR="00234CF0">
        <w:t>election commitments</w:t>
      </w:r>
      <w:r w:rsidRPr="00BE7468">
        <w:t>.</w:t>
      </w:r>
    </w:p>
    <w:p w:rsidR="00F94AED" w:rsidRDefault="00F94AED" w:rsidP="00F94AED">
      <w:pPr>
        <w:pStyle w:val="Heading2"/>
      </w:pPr>
      <w:bookmarkStart w:id="10" w:name="_Toc507068913"/>
      <w:r>
        <w:t>The post-election period</w:t>
      </w:r>
      <w:bookmarkEnd w:id="10"/>
    </w:p>
    <w:p w:rsidR="0066422C" w:rsidRDefault="0066422C" w:rsidP="002A5D59">
      <w:pPr>
        <w:pStyle w:val="Heading4"/>
      </w:pPr>
      <w:r>
        <w:t xml:space="preserve">Finalising the list of </w:t>
      </w:r>
      <w:r w:rsidRPr="0066422C">
        <w:t>election commitments</w:t>
      </w:r>
    </w:p>
    <w:p w:rsidR="008618DD" w:rsidRDefault="008618DD" w:rsidP="008618DD">
      <w:pPr>
        <w:pStyle w:val="BodyText"/>
      </w:pPr>
      <w:r>
        <w:t xml:space="preserve">On the day after polling day, the Parliamentary Budget Officer must release </w:t>
      </w:r>
      <w:r w:rsidR="00234CF0">
        <w:t xml:space="preserve">the </w:t>
      </w:r>
      <w:r>
        <w:t xml:space="preserve">list of </w:t>
      </w:r>
      <w:r w:rsidR="00234CF0">
        <w:t xml:space="preserve">election commitments </w:t>
      </w:r>
      <w:r>
        <w:t>that has been provided</w:t>
      </w:r>
      <w:r w:rsidR="007D0165">
        <w:t xml:space="preserve"> by </w:t>
      </w:r>
      <w:r w:rsidR="00234CF0">
        <w:t xml:space="preserve">each </w:t>
      </w:r>
      <w:r w:rsidR="007D0165">
        <w:t xml:space="preserve">designated </w:t>
      </w:r>
      <w:r w:rsidR="00075F99">
        <w:t xml:space="preserve">Parliamentary </w:t>
      </w:r>
      <w:r w:rsidR="00234CF0">
        <w:t>party</w:t>
      </w:r>
      <w:r>
        <w:t>, or where no list has been provided, a statement to that effect.</w:t>
      </w:r>
    </w:p>
    <w:p w:rsidR="00E92C88" w:rsidRDefault="008618DD" w:rsidP="00E92C88">
      <w:pPr>
        <w:pStyle w:val="BodyText"/>
        <w:rPr>
          <w:rFonts w:cstheme="minorBidi"/>
        </w:rPr>
      </w:pPr>
      <w:r>
        <w:t>Within three days after the end of the caretaker period</w:t>
      </w:r>
      <w:r w:rsidR="007D0165">
        <w:t xml:space="preserve">, </w:t>
      </w:r>
      <w:r>
        <w:t xml:space="preserve">the Parliamentary Budget Officer must prepare a list of those </w:t>
      </w:r>
      <w:r w:rsidR="00234CF0">
        <w:t xml:space="preserve">election commitments </w:t>
      </w:r>
      <w:r>
        <w:t xml:space="preserve">that in his or her best professional judgement would have a material </w:t>
      </w:r>
      <w:r w:rsidR="00075F99">
        <w:t>impact</w:t>
      </w:r>
      <w:r>
        <w:t xml:space="preserve"> on the budget</w:t>
      </w:r>
      <w:r w:rsidR="00234CF0" w:rsidRPr="00234CF0">
        <w:t xml:space="preserve"> </w:t>
      </w:r>
      <w:r w:rsidR="00234CF0">
        <w:t>for each designated Parliamentary party</w:t>
      </w:r>
      <w:r w:rsidR="00814E1E">
        <w:t xml:space="preserve">.  In preparing this list, the Parliamentary Budget Officer must </w:t>
      </w:r>
      <w:r>
        <w:t>hav</w:t>
      </w:r>
      <w:r w:rsidR="00814E1E">
        <w:t>e</w:t>
      </w:r>
      <w:r>
        <w:t xml:space="preserve"> regard to the list provided to </w:t>
      </w:r>
      <w:r w:rsidR="00765B61">
        <w:t>us</w:t>
      </w:r>
      <w:r>
        <w:t xml:space="preserve"> by </w:t>
      </w:r>
      <w:r w:rsidR="00962C96">
        <w:t>the</w:t>
      </w:r>
      <w:r>
        <w:t xml:space="preserve"> party and </w:t>
      </w:r>
      <w:r w:rsidR="00765B61">
        <w:t>we</w:t>
      </w:r>
      <w:r w:rsidR="00814E1E">
        <w:t xml:space="preserve"> use</w:t>
      </w:r>
      <w:r w:rsidR="00765B61">
        <w:t xml:space="preserve"> our</w:t>
      </w:r>
      <w:r w:rsidR="00814E1E">
        <w:t xml:space="preserve"> </w:t>
      </w:r>
      <w:r w:rsidR="00814E1E" w:rsidRPr="00814E1E">
        <w:t xml:space="preserve">register of publicly announced election </w:t>
      </w:r>
      <w:r w:rsidR="00234CF0">
        <w:t xml:space="preserve">commitments </w:t>
      </w:r>
      <w:r w:rsidR="003A035C">
        <w:t xml:space="preserve">to </w:t>
      </w:r>
      <w:r w:rsidR="00962C96">
        <w:t>cross-check the list provided by the party</w:t>
      </w:r>
      <w:r w:rsidR="003A035C">
        <w:t>.</w:t>
      </w:r>
    </w:p>
    <w:p w:rsidR="008618DD" w:rsidRDefault="00E92C88" w:rsidP="00E92C88">
      <w:pPr>
        <w:pStyle w:val="BodyText"/>
      </w:pPr>
      <w:r>
        <w:rPr>
          <w:rFonts w:cstheme="minorBidi"/>
        </w:rPr>
        <w:t>T</w:t>
      </w:r>
      <w:r w:rsidR="008618DD">
        <w:t>he Parliamentary Budget Officer must give the list to the party</w:t>
      </w:r>
      <w:r>
        <w:t xml:space="preserve"> </w:t>
      </w:r>
      <w:r>
        <w:rPr>
          <w:rFonts w:cstheme="minorBidi"/>
        </w:rPr>
        <w:t>and</w:t>
      </w:r>
      <w:r w:rsidR="008618DD">
        <w:t xml:space="preserve"> </w:t>
      </w:r>
      <w:r>
        <w:t xml:space="preserve">include </w:t>
      </w:r>
      <w:r w:rsidR="008618DD">
        <w:t xml:space="preserve">a statement explaining the reasons for </w:t>
      </w:r>
      <w:r>
        <w:t>any</w:t>
      </w:r>
      <w:r w:rsidR="008618DD">
        <w:t xml:space="preserve"> difference</w:t>
      </w:r>
      <w:r>
        <w:t xml:space="preserve">s between the list provided by the designated </w:t>
      </w:r>
      <w:r w:rsidR="00075F99">
        <w:t xml:space="preserve">Parliamentary </w:t>
      </w:r>
      <w:r>
        <w:t>party and the Parliamentary Budget Officer’s list</w:t>
      </w:r>
      <w:r w:rsidR="008618DD">
        <w:t>.</w:t>
      </w:r>
    </w:p>
    <w:p w:rsidR="00855825" w:rsidRPr="0066422C" w:rsidRDefault="00855825" w:rsidP="0066422C">
      <w:pPr>
        <w:pStyle w:val="BodyText"/>
        <w:rPr>
          <w:rFonts w:cstheme="minorBidi"/>
        </w:rPr>
      </w:pPr>
      <w:r w:rsidRPr="0066422C">
        <w:rPr>
          <w:rFonts w:cstheme="minorBidi"/>
        </w:rPr>
        <w:t>The party has three days to provide the Parliamentary Budget Officer with any comments on the list of its election commitments</w:t>
      </w:r>
      <w:r w:rsidR="0066422C" w:rsidRPr="0066422C">
        <w:rPr>
          <w:rFonts w:cstheme="minorBidi"/>
        </w:rPr>
        <w:t>.  T</w:t>
      </w:r>
      <w:r w:rsidRPr="0066422C">
        <w:rPr>
          <w:rFonts w:cstheme="minorBidi"/>
        </w:rPr>
        <w:t>he Parliamentary Budget Officer may take account of such comments, but is not required to do so.</w:t>
      </w:r>
    </w:p>
    <w:p w:rsidR="0066422C" w:rsidRDefault="0066422C" w:rsidP="002A5D59">
      <w:pPr>
        <w:pStyle w:val="Heading4"/>
      </w:pPr>
      <w:r>
        <w:lastRenderedPageBreak/>
        <w:t>Preparing the Post-Election Report</w:t>
      </w:r>
    </w:p>
    <w:p w:rsidR="00716CD5" w:rsidRDefault="00716CD5" w:rsidP="0066422C">
      <w:pPr>
        <w:pStyle w:val="BodyText"/>
        <w:rPr>
          <w:rFonts w:cstheme="minorBidi"/>
        </w:rPr>
      </w:pPr>
      <w:r>
        <w:rPr>
          <w:rFonts w:cstheme="minorBidi"/>
        </w:rPr>
        <w:t xml:space="preserve">The post-election report must be released </w:t>
      </w:r>
      <w:r w:rsidRPr="00716CD5">
        <w:rPr>
          <w:rFonts w:cstheme="minorBidi"/>
        </w:rPr>
        <w:t xml:space="preserve">within 30 days </w:t>
      </w:r>
      <w:r w:rsidR="007B103F">
        <w:rPr>
          <w:rFonts w:cstheme="minorBidi"/>
        </w:rPr>
        <w:t>of</w:t>
      </w:r>
      <w:r w:rsidRPr="00716CD5">
        <w:rPr>
          <w:rFonts w:cstheme="minorBidi"/>
        </w:rPr>
        <w:t xml:space="preserve"> the end of the caretaker period for a general election</w:t>
      </w:r>
      <w:r>
        <w:rPr>
          <w:rFonts w:cstheme="minorBidi"/>
        </w:rPr>
        <w:t>.</w:t>
      </w:r>
    </w:p>
    <w:p w:rsidR="0066422C" w:rsidRDefault="003D342F" w:rsidP="0066422C">
      <w:pPr>
        <w:pStyle w:val="BodyText"/>
        <w:rPr>
          <w:rFonts w:cstheme="minorBidi"/>
        </w:rPr>
      </w:pPr>
      <w:r w:rsidRPr="003D342F">
        <w:rPr>
          <w:rFonts w:cstheme="minorBidi"/>
        </w:rPr>
        <w:t>The post-election report must include, for each designated party, costings of all the election commitments of that party that the Parliamentary Budget Officer believes would have a material impact on the Commonwealth budget for the current financial year and the following three financial years</w:t>
      </w:r>
      <w:r>
        <w:rPr>
          <w:rFonts w:cstheme="minorBidi"/>
        </w:rPr>
        <w:t xml:space="preserve">, </w:t>
      </w:r>
      <w:r w:rsidRPr="003D342F">
        <w:rPr>
          <w:rFonts w:cstheme="minorBidi"/>
        </w:rPr>
        <w:t>along with the total combined impact of those commitments on the budget.</w:t>
      </w:r>
    </w:p>
    <w:p w:rsidR="003612C4" w:rsidRDefault="00765B61" w:rsidP="0066422C">
      <w:pPr>
        <w:pStyle w:val="BodyText"/>
        <w:rPr>
          <w:rFonts w:cstheme="minorBidi"/>
        </w:rPr>
      </w:pPr>
      <w:r>
        <w:rPr>
          <w:rFonts w:cstheme="minorBidi"/>
        </w:rPr>
        <w:t>We</w:t>
      </w:r>
      <w:r w:rsidR="007F6827" w:rsidRPr="00716CD5">
        <w:rPr>
          <w:rFonts w:cstheme="minorBidi"/>
        </w:rPr>
        <w:t xml:space="preserve"> </w:t>
      </w:r>
      <w:r w:rsidR="00716CD5" w:rsidRPr="00716CD5">
        <w:rPr>
          <w:rFonts w:cstheme="minorBidi"/>
        </w:rPr>
        <w:t>use</w:t>
      </w:r>
      <w:r w:rsidR="00716CD5">
        <w:rPr>
          <w:rFonts w:cstheme="minorBidi"/>
        </w:rPr>
        <w:t xml:space="preserve"> the period after the caretaker period to</w:t>
      </w:r>
      <w:r w:rsidR="003612C4">
        <w:rPr>
          <w:rFonts w:cstheme="minorBidi"/>
        </w:rPr>
        <w:t>:</w:t>
      </w:r>
    </w:p>
    <w:p w:rsidR="003612C4" w:rsidRDefault="00716CD5" w:rsidP="003612C4">
      <w:pPr>
        <w:pStyle w:val="ListBullet"/>
      </w:pPr>
      <w:r>
        <w:t>prepare policy costings of election commitments</w:t>
      </w:r>
      <w:r w:rsidR="003612C4">
        <w:t xml:space="preserve"> of designated </w:t>
      </w:r>
      <w:r w:rsidR="00801111">
        <w:t xml:space="preserve">Parliamentary </w:t>
      </w:r>
      <w:r w:rsidR="003612C4">
        <w:t>parties</w:t>
      </w:r>
    </w:p>
    <w:p w:rsidR="003612C4" w:rsidRDefault="003612C4" w:rsidP="003612C4">
      <w:pPr>
        <w:pStyle w:val="ListBullet"/>
      </w:pPr>
      <w:r>
        <w:t xml:space="preserve">calculate the </w:t>
      </w:r>
      <w:r w:rsidRPr="003612C4">
        <w:t xml:space="preserve">combined impact </w:t>
      </w:r>
      <w:r>
        <w:t xml:space="preserve">of each designated </w:t>
      </w:r>
      <w:r w:rsidR="00801111">
        <w:t xml:space="preserve">Parliamentary </w:t>
      </w:r>
      <w:r>
        <w:t xml:space="preserve">party’s </w:t>
      </w:r>
      <w:r w:rsidR="00BA34DC">
        <w:t>election commitments</w:t>
      </w:r>
      <w:r>
        <w:t xml:space="preserve">, including taking into account the financial impact of interactions between a party’s </w:t>
      </w:r>
      <w:r w:rsidR="00BA34DC">
        <w:t xml:space="preserve">election commitments </w:t>
      </w:r>
      <w:r>
        <w:t>where appropriate</w:t>
      </w:r>
      <w:r w:rsidR="00321A1F" w:rsidRPr="00321A1F">
        <w:t xml:space="preserve"> </w:t>
      </w:r>
      <w:r w:rsidR="00321A1F">
        <w:t xml:space="preserve">and </w:t>
      </w:r>
      <w:r w:rsidR="00234CF0">
        <w:t xml:space="preserve">aggregate </w:t>
      </w:r>
      <w:r w:rsidR="00321A1F">
        <w:t>public debt interest (PDI) costs</w:t>
      </w:r>
    </w:p>
    <w:p w:rsidR="003D342F" w:rsidRDefault="00716CD5" w:rsidP="003612C4">
      <w:pPr>
        <w:pStyle w:val="ListBullet"/>
      </w:pPr>
      <w:proofErr w:type="gramStart"/>
      <w:r>
        <w:t>finalise</w:t>
      </w:r>
      <w:proofErr w:type="gramEnd"/>
      <w:r>
        <w:t xml:space="preserve"> the post-election report. </w:t>
      </w:r>
      <w:r w:rsidR="003612C4">
        <w:t xml:space="preserve"> </w:t>
      </w:r>
    </w:p>
    <w:p w:rsidR="0049298C" w:rsidRDefault="0049298C" w:rsidP="00D60D94">
      <w:pPr>
        <w:pStyle w:val="BodyText"/>
      </w:pPr>
      <w:r>
        <w:t xml:space="preserve">In addition to </w:t>
      </w:r>
      <w:r w:rsidR="00590267">
        <w:t xml:space="preserve">the </w:t>
      </w:r>
      <w:r>
        <w:t xml:space="preserve">legislative requirement for the post-election report to include the financial impact of election commitments for </w:t>
      </w:r>
      <w:r w:rsidRPr="003D342F">
        <w:rPr>
          <w:rFonts w:cstheme="minorBidi"/>
        </w:rPr>
        <w:t>the current financial year and the following three financial years</w:t>
      </w:r>
      <w:r>
        <w:rPr>
          <w:rFonts w:cstheme="minorBidi"/>
        </w:rPr>
        <w:t xml:space="preserve">, </w:t>
      </w:r>
      <w:r w:rsidR="00765B61">
        <w:rPr>
          <w:rFonts w:cstheme="minorBidi"/>
        </w:rPr>
        <w:t>we have</w:t>
      </w:r>
      <w:r>
        <w:rPr>
          <w:rFonts w:cstheme="minorBidi"/>
        </w:rPr>
        <w:t xml:space="preserve"> agreed to the </w:t>
      </w:r>
      <w:r w:rsidRPr="0049298C">
        <w:rPr>
          <w:rFonts w:cstheme="minorBidi"/>
        </w:rPr>
        <w:t>Independent Review Panel</w:t>
      </w:r>
      <w:r>
        <w:rPr>
          <w:rFonts w:cstheme="minorBidi"/>
        </w:rPr>
        <w:t>’s recommendation to extend the report</w:t>
      </w:r>
      <w:r w:rsidR="0091519E">
        <w:rPr>
          <w:rFonts w:cstheme="minorBidi"/>
        </w:rPr>
        <w:t>ing</w:t>
      </w:r>
      <w:r>
        <w:rPr>
          <w:rFonts w:cstheme="minorBidi"/>
        </w:rPr>
        <w:t xml:space="preserve"> of the financial impacts </w:t>
      </w:r>
      <w:r w:rsidR="0091519E">
        <w:rPr>
          <w:rFonts w:cstheme="minorBidi"/>
        </w:rPr>
        <w:t xml:space="preserve">of election commitments </w:t>
      </w:r>
      <w:r>
        <w:rPr>
          <w:rFonts w:cstheme="minorBidi"/>
        </w:rPr>
        <w:t xml:space="preserve">to </w:t>
      </w:r>
      <w:r w:rsidR="0091519E">
        <w:rPr>
          <w:rFonts w:cstheme="minorBidi"/>
        </w:rPr>
        <w:t>include the medium-term period (current financial year a</w:t>
      </w:r>
      <w:r w:rsidR="0091519E" w:rsidRPr="0091519E">
        <w:rPr>
          <w:rFonts w:cstheme="minorBidi"/>
        </w:rPr>
        <w:t xml:space="preserve">nd the following </w:t>
      </w:r>
      <w:r w:rsidR="0091519E">
        <w:rPr>
          <w:rFonts w:cstheme="minorBidi"/>
        </w:rPr>
        <w:t>ten</w:t>
      </w:r>
      <w:r w:rsidR="0091519E" w:rsidRPr="0091519E">
        <w:rPr>
          <w:rFonts w:cstheme="minorBidi"/>
        </w:rPr>
        <w:t xml:space="preserve"> financial years</w:t>
      </w:r>
      <w:r w:rsidR="0091519E">
        <w:rPr>
          <w:rFonts w:cstheme="minorBidi"/>
        </w:rPr>
        <w:t>)</w:t>
      </w:r>
      <w:r w:rsidR="00801111">
        <w:rPr>
          <w:rFonts w:cstheme="minorBidi"/>
        </w:rPr>
        <w:t xml:space="preserve"> </w:t>
      </w:r>
      <w:r w:rsidR="00EB31E4">
        <w:rPr>
          <w:rFonts w:cstheme="minorBidi"/>
        </w:rPr>
        <w:t>in the next post-election report</w:t>
      </w:r>
      <w:r w:rsidR="00801111">
        <w:rPr>
          <w:rFonts w:cstheme="minorBidi"/>
        </w:rPr>
        <w:t xml:space="preserve"> (recommendation 11)</w:t>
      </w:r>
      <w:r w:rsidR="0091519E">
        <w:rPr>
          <w:rFonts w:cstheme="minorBidi"/>
        </w:rPr>
        <w:t>.</w:t>
      </w:r>
    </w:p>
    <w:p w:rsidR="00855825" w:rsidRDefault="00D60D94" w:rsidP="00D60D94">
      <w:pPr>
        <w:pStyle w:val="BodyText"/>
      </w:pPr>
      <w:r w:rsidRPr="00D60D94">
        <w:t xml:space="preserve">The Parliamentary Budget Officer is </w:t>
      </w:r>
      <w:r w:rsidR="003612C4">
        <w:t xml:space="preserve">required </w:t>
      </w:r>
      <w:r w:rsidRPr="00D60D94">
        <w:t xml:space="preserve">to give each designated Parliamentary party a </w:t>
      </w:r>
      <w:r w:rsidR="003612C4">
        <w:t xml:space="preserve">confidential </w:t>
      </w:r>
      <w:r w:rsidRPr="00D60D94">
        <w:t xml:space="preserve">copy of the part of the </w:t>
      </w:r>
      <w:r w:rsidR="00962C96" w:rsidRPr="00D60D94">
        <w:t xml:space="preserve">post-election </w:t>
      </w:r>
      <w:r w:rsidRPr="00D60D94">
        <w:t>report which sets out costings and totals for that party’s election commitments at least 48 hours before publicly releasing the report.</w:t>
      </w:r>
      <w:r w:rsidR="003612C4">
        <w:t xml:space="preserve"> </w:t>
      </w:r>
      <w:r w:rsidRPr="00D60D94">
        <w:t xml:space="preserve"> </w:t>
      </w:r>
      <w:r w:rsidR="003612C4">
        <w:t>The partie</w:t>
      </w:r>
      <w:r w:rsidR="00801111">
        <w:t>s</w:t>
      </w:r>
      <w:r w:rsidR="003612C4">
        <w:t xml:space="preserve"> have the opportunity to provide</w:t>
      </w:r>
      <w:r w:rsidRPr="00D60D94">
        <w:t xml:space="preserve"> comments </w:t>
      </w:r>
      <w:r w:rsidR="003612C4">
        <w:t>on the report</w:t>
      </w:r>
      <w:r w:rsidRPr="00D60D94">
        <w:t>.</w:t>
      </w:r>
      <w:r w:rsidR="003612C4">
        <w:t xml:space="preserve"> </w:t>
      </w:r>
      <w:r w:rsidRPr="00D60D94">
        <w:t xml:space="preserve"> If </w:t>
      </w:r>
      <w:r w:rsidR="00765B61">
        <w:t>we are</w:t>
      </w:r>
      <w:r w:rsidRPr="00D60D94">
        <w:t xml:space="preserve"> given comments from the party, </w:t>
      </w:r>
      <w:r w:rsidR="00234CF0">
        <w:t>we</w:t>
      </w:r>
      <w:r w:rsidR="00234CF0" w:rsidRPr="00D60D94">
        <w:t xml:space="preserve"> </w:t>
      </w:r>
      <w:r w:rsidRPr="00D60D94">
        <w:t>may include the comments in the report, or revise the report to take account of the comments, if it is practicable to do so.</w:t>
      </w:r>
    </w:p>
    <w:p w:rsidR="003612C4" w:rsidRPr="0049298C" w:rsidRDefault="003612C4" w:rsidP="0049298C">
      <w:pPr>
        <w:pStyle w:val="BodyText"/>
        <w:rPr>
          <w:rFonts w:cstheme="minorBidi"/>
        </w:rPr>
      </w:pPr>
    </w:p>
    <w:p w:rsidR="003D342F" w:rsidRDefault="003D342F">
      <w:pPr>
        <w:rPr>
          <w:rFonts w:cs="Times New Roman"/>
          <w:spacing w:val="-1"/>
        </w:rPr>
      </w:pPr>
      <w:r>
        <w:rPr>
          <w:rFonts w:cs="Times New Roman"/>
          <w:spacing w:val="-1"/>
        </w:rPr>
        <w:br w:type="page"/>
      </w:r>
    </w:p>
    <w:p w:rsidR="002378DB" w:rsidRDefault="001D72EA" w:rsidP="004B5B83">
      <w:pPr>
        <w:pStyle w:val="Heading1"/>
      </w:pPr>
      <w:bookmarkStart w:id="11" w:name="_Toc507068914"/>
      <w:r>
        <w:lastRenderedPageBreak/>
        <w:t>Considerations for m</w:t>
      </w:r>
      <w:r w:rsidR="004134CC">
        <w:t xml:space="preserve">inor parties opting </w:t>
      </w:r>
      <w:r w:rsidR="00C76448">
        <w:br/>
      </w:r>
      <w:r w:rsidR="004134CC">
        <w:t>in to the post-election report</w:t>
      </w:r>
      <w:bookmarkEnd w:id="11"/>
    </w:p>
    <w:p w:rsidR="00234CF0" w:rsidRPr="00234CF0" w:rsidRDefault="00234CF0" w:rsidP="005D0F0C">
      <w:pPr>
        <w:pStyle w:val="BodyText"/>
      </w:pPr>
      <w:r w:rsidRPr="00234CF0">
        <w:t xml:space="preserve">This </w:t>
      </w:r>
      <w:r w:rsidR="00820C57">
        <w:t>section outlines</w:t>
      </w:r>
      <w:r w:rsidRPr="00234CF0">
        <w:t xml:space="preserve"> the factors </w:t>
      </w:r>
      <w:r w:rsidR="00820C57">
        <w:t xml:space="preserve">that </w:t>
      </w:r>
      <w:r w:rsidRPr="00234CF0">
        <w:t xml:space="preserve">we will need to consider in allowing non-designated Parliamentary parties to opt in to the </w:t>
      </w:r>
      <w:r w:rsidR="00820C57">
        <w:t xml:space="preserve">post-election </w:t>
      </w:r>
      <w:r w:rsidRPr="00234CF0">
        <w:t xml:space="preserve">report.  It </w:t>
      </w:r>
      <w:r w:rsidR="00820C57">
        <w:t>includes propositions on how the PBO would implement the expanded scope of the report</w:t>
      </w:r>
      <w:r w:rsidRPr="00234CF0">
        <w:t>.</w:t>
      </w:r>
      <w:r w:rsidR="00820C57">
        <w:t xml:space="preserve">  We welcome feedback on these propositions.</w:t>
      </w:r>
    </w:p>
    <w:p w:rsidR="00520281" w:rsidRPr="00AD77B2" w:rsidRDefault="00520281" w:rsidP="00520281">
      <w:pPr>
        <w:pStyle w:val="Heading4"/>
      </w:pPr>
      <w:r>
        <w:t>Engaging with the PBO early</w:t>
      </w:r>
    </w:p>
    <w:p w:rsidR="001540EB" w:rsidRDefault="001540EB" w:rsidP="00820C57">
      <w:pPr>
        <w:pStyle w:val="BodyText"/>
      </w:pPr>
      <w:r>
        <w:t xml:space="preserve">The earlier </w:t>
      </w:r>
      <w:r w:rsidR="00E66151">
        <w:t>a party engages with us on a policy costing request, the better placed we are to incorporate it into the post-election report if it is publicly announced as an election commitment.</w:t>
      </w:r>
      <w:r w:rsidR="0015192E">
        <w:t xml:space="preserve">  We will also need sufficient notice from minor parties of their intention to opt in to the post-election report to allow us to </w:t>
      </w:r>
      <w:r w:rsidR="0015192E" w:rsidRPr="0015192E">
        <w:t xml:space="preserve">plan for the production </w:t>
      </w:r>
      <w:r w:rsidR="0015192E">
        <w:t xml:space="preserve">and release </w:t>
      </w:r>
      <w:r w:rsidR="0015192E" w:rsidRPr="0015192E">
        <w:t>of the report</w:t>
      </w:r>
      <w:r w:rsidR="0015192E">
        <w:t>.</w:t>
      </w:r>
    </w:p>
    <w:p w:rsidR="0015192E" w:rsidRDefault="00520281" w:rsidP="00F348F0">
      <w:pPr>
        <w:pStyle w:val="BodyText"/>
      </w:pPr>
      <w:r>
        <w:t xml:space="preserve">Simple policies and updates to previously costed policies can generally be completed more quickly than complex policies or policies that have not been costed before.  </w:t>
      </w:r>
      <w:r w:rsidR="0015192E">
        <w:t>The factors that affect the time it takes us to prepare policy costings are outlined in</w:t>
      </w:r>
      <w:r w:rsidR="007B103F">
        <w:t xml:space="preserve"> the PBO information paper, </w:t>
      </w:r>
      <w:hyperlink r:id="rId24" w:history="1">
        <w:r w:rsidR="0015192E" w:rsidRPr="00FC3666">
          <w:rPr>
            <w:rStyle w:val="Hyperlink"/>
            <w:i/>
          </w:rPr>
          <w:t>PBO costing processes, timeframes and prioritisation framework</w:t>
        </w:r>
      </w:hyperlink>
      <w:r w:rsidR="007B103F">
        <w:t xml:space="preserve"> (PBO, 2018)</w:t>
      </w:r>
      <w:r w:rsidR="00091BD3">
        <w:t>.</w:t>
      </w:r>
      <w:r w:rsidR="0015192E">
        <w:t xml:space="preserve">  </w:t>
      </w:r>
    </w:p>
    <w:p w:rsidR="00F348F0" w:rsidRDefault="00765B61" w:rsidP="00F348F0">
      <w:pPr>
        <w:pStyle w:val="BodyText"/>
      </w:pPr>
      <w:r>
        <w:t>We</w:t>
      </w:r>
      <w:r w:rsidR="00F348F0">
        <w:t xml:space="preserve"> require an adequate level of policy specification to be able prepare a policy costing </w:t>
      </w:r>
      <w:r w:rsidR="00E66151">
        <w:t>and early engagement with us can help to ensure that we have that information</w:t>
      </w:r>
      <w:r w:rsidR="00F348F0">
        <w:t xml:space="preserve">.  </w:t>
      </w:r>
      <w:r w:rsidR="00691009">
        <w:t>The costing request template</w:t>
      </w:r>
      <w:r w:rsidR="0015192E">
        <w:t xml:space="preserve"> give</w:t>
      </w:r>
      <w:r w:rsidR="00691009">
        <w:t xml:space="preserve">s </w:t>
      </w:r>
      <w:r w:rsidR="0015192E">
        <w:t xml:space="preserve">an indication of the type of information we need and is </w:t>
      </w:r>
      <w:r w:rsidR="00691009">
        <w:t xml:space="preserve">available on the </w:t>
      </w:r>
      <w:hyperlink r:id="rId25" w:history="1">
        <w:r w:rsidR="00691009" w:rsidRPr="00691009">
          <w:rPr>
            <w:rStyle w:val="Hyperlink"/>
          </w:rPr>
          <w:t>PBO website</w:t>
        </w:r>
      </w:hyperlink>
      <w:r w:rsidR="00691009">
        <w:t>.</w:t>
      </w:r>
      <w:r w:rsidR="0015192E">
        <w:t xml:space="preserve">  </w:t>
      </w:r>
    </w:p>
    <w:p w:rsidR="0080707C" w:rsidRDefault="00580615" w:rsidP="004A36DA">
      <w:pPr>
        <w:pStyle w:val="BodyText"/>
      </w:pPr>
      <w:r w:rsidRPr="00321A1F">
        <w:t xml:space="preserve">The </w:t>
      </w:r>
      <w:r w:rsidR="007B103F">
        <w:t xml:space="preserve">information </w:t>
      </w:r>
      <w:r w:rsidRPr="00321A1F">
        <w:t xml:space="preserve">paper </w:t>
      </w:r>
      <w:hyperlink r:id="rId26" w:history="1">
        <w:proofErr w:type="gramStart"/>
        <w:r w:rsidRPr="00580615">
          <w:rPr>
            <w:rStyle w:val="Hyperlink"/>
            <w:i/>
          </w:rPr>
          <w:t>What</w:t>
        </w:r>
        <w:proofErr w:type="gramEnd"/>
        <w:r w:rsidRPr="00580615">
          <w:rPr>
            <w:rStyle w:val="Hyperlink"/>
            <w:i/>
          </w:rPr>
          <w:t xml:space="preserve"> is a Parliamentary Budget Office costing?</w:t>
        </w:r>
      </w:hyperlink>
      <w:r w:rsidR="007B103F" w:rsidRPr="007B103F">
        <w:t xml:space="preserve"> </w:t>
      </w:r>
      <w:r w:rsidR="007B103F">
        <w:t>(PBO 2017)</w:t>
      </w:r>
      <w:r w:rsidRPr="00580615">
        <w:t xml:space="preserve"> looks at what a policy costing </w:t>
      </w:r>
      <w:r w:rsidR="00321A1F">
        <w:t xml:space="preserve">is </w:t>
      </w:r>
      <w:r w:rsidRPr="00580615">
        <w:t>and how it is prepared.</w:t>
      </w:r>
    </w:p>
    <w:tbl>
      <w:tblPr>
        <w:tblStyle w:val="PullOutBoxTable1"/>
        <w:tblpPr w:leftFromText="180" w:rightFromText="180" w:vertAnchor="text" w:horzAnchor="margin" w:tblpY="24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600" w:firstRow="0" w:lastRow="0" w:firstColumn="0" w:lastColumn="0" w:noHBand="1" w:noVBand="1"/>
      </w:tblPr>
      <w:tblGrid>
        <w:gridCol w:w="271"/>
        <w:gridCol w:w="8042"/>
      </w:tblGrid>
      <w:tr w:rsidR="00C76448" w:rsidRPr="008B0124" w:rsidTr="00A67218">
        <w:trPr>
          <w:trHeight w:val="895"/>
        </w:trPr>
        <w:tc>
          <w:tcPr>
            <w:tcW w:w="163" w:type="pct"/>
            <w:shd w:val="clear" w:color="auto" w:fill="2B3B5F" w:themeFill="text2"/>
          </w:tcPr>
          <w:p w:rsidR="00C76448" w:rsidRPr="008B0124" w:rsidRDefault="00C76448" w:rsidP="00A67218">
            <w:pPr>
              <w:keepNext/>
              <w:keepLines/>
              <w:spacing w:before="114" w:after="114" w:line="360" w:lineRule="atLeast"/>
              <w:ind w:left="227" w:right="170"/>
              <w:rPr>
                <w:b/>
                <w:color w:val="2B3B5F" w:themeColor="text2"/>
                <w:spacing w:val="-1"/>
              </w:rPr>
            </w:pPr>
          </w:p>
        </w:tc>
        <w:tc>
          <w:tcPr>
            <w:tcW w:w="4837" w:type="pct"/>
          </w:tcPr>
          <w:p w:rsidR="00C76448" w:rsidRPr="008B0124" w:rsidRDefault="00C76448" w:rsidP="00A67218">
            <w:pPr>
              <w:keepNext/>
              <w:keepLines/>
              <w:spacing w:after="60"/>
              <w:ind w:left="113"/>
              <w:outlineLvl w:val="4"/>
              <w:rPr>
                <w:rFonts w:eastAsiaTheme="majorEastAsia" w:cstheme="majorBidi"/>
                <w:b/>
                <w:color w:val="2B3B5F" w:themeColor="text2"/>
                <w:sz w:val="24"/>
                <w:szCs w:val="24"/>
              </w:rPr>
            </w:pPr>
            <w:r w:rsidRPr="008B0124">
              <w:rPr>
                <w:rFonts w:eastAsiaTheme="majorEastAsia" w:cstheme="majorBidi"/>
                <w:b/>
                <w:color w:val="2B3B5F" w:themeColor="text2"/>
                <w:sz w:val="24"/>
                <w:szCs w:val="24"/>
              </w:rPr>
              <w:t>Proposition 1</w:t>
            </w:r>
          </w:p>
          <w:p w:rsidR="00C76448" w:rsidRPr="008B0124" w:rsidRDefault="00C76448" w:rsidP="00C76448">
            <w:pPr>
              <w:pStyle w:val="PullOutBoxNumber"/>
              <w:numPr>
                <w:ilvl w:val="0"/>
                <w:numId w:val="0"/>
              </w:numPr>
              <w:tabs>
                <w:tab w:val="num" w:pos="453"/>
              </w:tabs>
              <w:spacing w:after="0"/>
              <w:ind w:left="113"/>
              <w:rPr>
                <w:b/>
              </w:rPr>
            </w:pPr>
            <w:r w:rsidRPr="008B0124">
              <w:t>In order to allow us to plan for the production of the post-election report, minor parties would be required to notify us of their intention to opt in to the post-election report by COB on the first day of the caretaker period.</w:t>
            </w:r>
          </w:p>
        </w:tc>
      </w:tr>
    </w:tbl>
    <w:p w:rsidR="001D72EA" w:rsidRPr="001D72EA" w:rsidRDefault="001D72EA" w:rsidP="00BF3BEB">
      <w:pPr>
        <w:pStyle w:val="Heading4"/>
      </w:pPr>
      <w:r>
        <w:t>Timing of r</w:t>
      </w:r>
      <w:r w:rsidRPr="001D72EA">
        <w:t xml:space="preserve">elease of the </w:t>
      </w:r>
      <w:r>
        <w:t>p</w:t>
      </w:r>
      <w:r w:rsidRPr="001D72EA">
        <w:t>ost-election report</w:t>
      </w:r>
    </w:p>
    <w:p w:rsidR="001D72EA" w:rsidRDefault="001D72EA" w:rsidP="004A36DA">
      <w:pPr>
        <w:pStyle w:val="BodyText"/>
      </w:pPr>
      <w:r>
        <w:t xml:space="preserve">The preparation of the post-election report within the legislated timeframes fully utilises the resources of the PBO.  There is little scope to significantly expand the scope of the post-election report within the existing legislative framework and </w:t>
      </w:r>
      <w:r w:rsidR="00765B61">
        <w:t>our</w:t>
      </w:r>
      <w:r>
        <w:t xml:space="preserve"> current resourcing profile and still meet the legislated timeframes.  </w:t>
      </w:r>
    </w:p>
    <w:tbl>
      <w:tblPr>
        <w:tblStyle w:val="PullOutBoxTable1"/>
        <w:tblpPr w:leftFromText="180" w:rightFromText="180" w:vertAnchor="text" w:horzAnchor="margin" w:tblpY="24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600" w:firstRow="0" w:lastRow="0" w:firstColumn="0" w:lastColumn="0" w:noHBand="1" w:noVBand="1"/>
      </w:tblPr>
      <w:tblGrid>
        <w:gridCol w:w="271"/>
        <w:gridCol w:w="8042"/>
      </w:tblGrid>
      <w:tr w:rsidR="00C76448" w:rsidRPr="008B0124" w:rsidTr="00A67218">
        <w:trPr>
          <w:trHeight w:val="895"/>
        </w:trPr>
        <w:tc>
          <w:tcPr>
            <w:tcW w:w="163" w:type="pct"/>
            <w:shd w:val="clear" w:color="auto" w:fill="2B3B5F" w:themeFill="text2"/>
          </w:tcPr>
          <w:p w:rsidR="00C76448" w:rsidRPr="008B0124" w:rsidRDefault="00C76448" w:rsidP="00A67218">
            <w:pPr>
              <w:keepNext/>
              <w:keepLines/>
              <w:spacing w:before="114" w:after="114" w:line="360" w:lineRule="atLeast"/>
              <w:ind w:left="227" w:right="170"/>
              <w:rPr>
                <w:b/>
                <w:color w:val="2B3B5F" w:themeColor="text2"/>
                <w:spacing w:val="-1"/>
              </w:rPr>
            </w:pPr>
          </w:p>
        </w:tc>
        <w:tc>
          <w:tcPr>
            <w:tcW w:w="4837" w:type="pct"/>
          </w:tcPr>
          <w:p w:rsidR="00C76448" w:rsidRPr="008B0124" w:rsidRDefault="00C76448" w:rsidP="00A67218">
            <w:pPr>
              <w:keepNext/>
              <w:keepLines/>
              <w:spacing w:after="60"/>
              <w:ind w:left="113"/>
              <w:outlineLvl w:val="4"/>
              <w:rPr>
                <w:rFonts w:eastAsiaTheme="majorEastAsia" w:cstheme="majorBidi"/>
                <w:b/>
                <w:color w:val="2B3B5F" w:themeColor="text2"/>
                <w:sz w:val="24"/>
                <w:szCs w:val="24"/>
              </w:rPr>
            </w:pPr>
            <w:r w:rsidRPr="008B0124">
              <w:rPr>
                <w:rFonts w:eastAsiaTheme="majorEastAsia" w:cstheme="majorBidi"/>
                <w:b/>
                <w:color w:val="2B3B5F" w:themeColor="text2"/>
                <w:sz w:val="24"/>
                <w:szCs w:val="24"/>
              </w:rPr>
              <w:t xml:space="preserve">Proposition </w:t>
            </w:r>
            <w:r>
              <w:rPr>
                <w:rFonts w:eastAsiaTheme="majorEastAsia" w:cstheme="majorBidi"/>
                <w:b/>
                <w:color w:val="2B3B5F" w:themeColor="text2"/>
                <w:sz w:val="24"/>
                <w:szCs w:val="24"/>
              </w:rPr>
              <w:t>2</w:t>
            </w:r>
          </w:p>
          <w:p w:rsidR="00C76448" w:rsidRPr="008B0124" w:rsidRDefault="00C76448" w:rsidP="00C76448">
            <w:pPr>
              <w:pStyle w:val="PullOutBoxNumber"/>
              <w:numPr>
                <w:ilvl w:val="0"/>
                <w:numId w:val="0"/>
              </w:numPr>
              <w:tabs>
                <w:tab w:val="num" w:pos="453"/>
              </w:tabs>
              <w:spacing w:after="0"/>
              <w:ind w:left="113"/>
              <w:rPr>
                <w:b/>
              </w:rPr>
            </w:pPr>
            <w:r w:rsidRPr="00C76448">
              <w:t>If minor parties choose to opt in to the post-election re</w:t>
            </w:r>
            <w:r>
              <w:t xml:space="preserve">port, we would release the </w:t>
            </w:r>
            <w:r>
              <w:br/>
              <w:t>post-</w:t>
            </w:r>
            <w:r w:rsidRPr="00C76448">
              <w:t>election report consistent with its legislative requirements and then release an addendum to the report containing minor party commitments as soon as possible after the release of the main report.</w:t>
            </w:r>
          </w:p>
        </w:tc>
      </w:tr>
    </w:tbl>
    <w:p w:rsidR="00832098" w:rsidRDefault="00832098" w:rsidP="00BF3BEB">
      <w:pPr>
        <w:pStyle w:val="Heading4"/>
      </w:pPr>
      <w:r>
        <w:lastRenderedPageBreak/>
        <w:t>Providing the Parliamentary Budget Officer with a list of election commitments</w:t>
      </w:r>
    </w:p>
    <w:p w:rsidR="00832098" w:rsidRPr="00832098" w:rsidRDefault="00295607" w:rsidP="004A36DA">
      <w:pPr>
        <w:pStyle w:val="BodyText"/>
      </w:pPr>
      <w:r>
        <w:t>D</w:t>
      </w:r>
      <w:r w:rsidR="00832098">
        <w:t xml:space="preserve">esignated </w:t>
      </w:r>
      <w:r>
        <w:t>P</w:t>
      </w:r>
      <w:r w:rsidR="00832098">
        <w:t>arliamentary parties are required to provide the Parliamentary Budget Officer with a list of election commitmen</w:t>
      </w:r>
      <w:r w:rsidR="00091BD3">
        <w:t xml:space="preserve">ts on the day prior to </w:t>
      </w:r>
      <w:proofErr w:type="gramStart"/>
      <w:r w:rsidR="00091BD3">
        <w:t xml:space="preserve">election </w:t>
      </w:r>
      <w:r w:rsidR="00832098">
        <w:t>day</w:t>
      </w:r>
      <w:proofErr w:type="gramEnd"/>
      <w:r w:rsidR="00832098">
        <w:t xml:space="preserve">.  </w:t>
      </w:r>
    </w:p>
    <w:tbl>
      <w:tblPr>
        <w:tblStyle w:val="PullOutBoxTable1"/>
        <w:tblpPr w:leftFromText="180" w:rightFromText="180" w:vertAnchor="text" w:horzAnchor="margin" w:tblpY="24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600" w:firstRow="0" w:lastRow="0" w:firstColumn="0" w:lastColumn="0" w:noHBand="1" w:noVBand="1"/>
      </w:tblPr>
      <w:tblGrid>
        <w:gridCol w:w="271"/>
        <w:gridCol w:w="8042"/>
      </w:tblGrid>
      <w:tr w:rsidR="00C76448" w:rsidRPr="008B0124" w:rsidTr="00A67218">
        <w:trPr>
          <w:trHeight w:val="895"/>
        </w:trPr>
        <w:tc>
          <w:tcPr>
            <w:tcW w:w="163" w:type="pct"/>
            <w:shd w:val="clear" w:color="auto" w:fill="2B3B5F" w:themeFill="text2"/>
          </w:tcPr>
          <w:p w:rsidR="00C76448" w:rsidRPr="008B0124" w:rsidRDefault="00C76448" w:rsidP="00A67218">
            <w:pPr>
              <w:keepNext/>
              <w:keepLines/>
              <w:spacing w:before="114" w:after="114" w:line="360" w:lineRule="atLeast"/>
              <w:ind w:left="227" w:right="170"/>
              <w:rPr>
                <w:b/>
                <w:color w:val="2B3B5F" w:themeColor="text2"/>
                <w:spacing w:val="-1"/>
              </w:rPr>
            </w:pPr>
          </w:p>
        </w:tc>
        <w:tc>
          <w:tcPr>
            <w:tcW w:w="4837" w:type="pct"/>
          </w:tcPr>
          <w:p w:rsidR="00C76448" w:rsidRPr="008B0124" w:rsidRDefault="00C76448" w:rsidP="00A67218">
            <w:pPr>
              <w:keepNext/>
              <w:keepLines/>
              <w:spacing w:after="60"/>
              <w:ind w:left="113"/>
              <w:outlineLvl w:val="4"/>
              <w:rPr>
                <w:rFonts w:eastAsiaTheme="majorEastAsia" w:cstheme="majorBidi"/>
                <w:b/>
                <w:color w:val="2B3B5F" w:themeColor="text2"/>
                <w:sz w:val="24"/>
                <w:szCs w:val="24"/>
              </w:rPr>
            </w:pPr>
            <w:r w:rsidRPr="008B0124">
              <w:rPr>
                <w:rFonts w:eastAsiaTheme="majorEastAsia" w:cstheme="majorBidi"/>
                <w:b/>
                <w:color w:val="2B3B5F" w:themeColor="text2"/>
                <w:sz w:val="24"/>
                <w:szCs w:val="24"/>
              </w:rPr>
              <w:t xml:space="preserve">Proposition </w:t>
            </w:r>
            <w:r>
              <w:rPr>
                <w:rFonts w:eastAsiaTheme="majorEastAsia" w:cstheme="majorBidi"/>
                <w:b/>
                <w:color w:val="2B3B5F" w:themeColor="text2"/>
                <w:sz w:val="24"/>
                <w:szCs w:val="24"/>
              </w:rPr>
              <w:t>3</w:t>
            </w:r>
          </w:p>
          <w:p w:rsidR="00C76448" w:rsidRDefault="00C76448" w:rsidP="00C76448">
            <w:pPr>
              <w:pStyle w:val="PullOutBoxNumber"/>
              <w:tabs>
                <w:tab w:val="num" w:pos="453"/>
              </w:tabs>
              <w:ind w:left="113"/>
            </w:pPr>
            <w:r>
              <w:t xml:space="preserve">Consistent with the requirements for designated Parliamentary parties, any minor party wishing to opt in to the post-election report would be required to provide a final and complete list of election commitments to the Parliamentary Budget Officer by 5pm on the day before polling day in the election. </w:t>
            </w:r>
          </w:p>
          <w:p w:rsidR="00C76448" w:rsidRPr="008B0124" w:rsidRDefault="00C76448" w:rsidP="00C76448">
            <w:pPr>
              <w:pStyle w:val="PullOutBoxNumber"/>
              <w:numPr>
                <w:ilvl w:val="0"/>
                <w:numId w:val="0"/>
              </w:numPr>
              <w:tabs>
                <w:tab w:val="num" w:pos="453"/>
              </w:tabs>
              <w:spacing w:after="0"/>
              <w:ind w:left="113"/>
              <w:rPr>
                <w:b/>
              </w:rPr>
            </w:pPr>
            <w:r>
              <w:t>The Parliamentary Budget Officer would publicly release the list of election commitments provided by any minor parties at the same time as releasing the lists from the designated Parliamentary parties.</w:t>
            </w:r>
          </w:p>
        </w:tc>
      </w:tr>
    </w:tbl>
    <w:p w:rsidR="002378DB" w:rsidRPr="0032351E" w:rsidRDefault="002C1AF6" w:rsidP="00BF3BEB">
      <w:pPr>
        <w:pStyle w:val="Heading4"/>
      </w:pPr>
      <w:r>
        <w:t>Identifying all e</w:t>
      </w:r>
      <w:r w:rsidR="0032351E">
        <w:t>lection c</w:t>
      </w:r>
      <w:r w:rsidR="002378DB" w:rsidRPr="0032351E">
        <w:t>ommitments that have a material impact on the budget</w:t>
      </w:r>
    </w:p>
    <w:p w:rsidR="002378DB" w:rsidRDefault="0091011F" w:rsidP="002378DB">
      <w:pPr>
        <w:pStyle w:val="BodyText"/>
      </w:pPr>
      <w:r>
        <w:t xml:space="preserve">In the lead up to the election, </w:t>
      </w:r>
      <w:r w:rsidR="00765B61">
        <w:t>we</w:t>
      </w:r>
      <w:r w:rsidR="00DA301A">
        <w:t xml:space="preserve"> allocate resources to the tracking of election commitments made </w:t>
      </w:r>
      <w:r w:rsidR="00321A1F">
        <w:t xml:space="preserve">by parliamentarians and candidates of </w:t>
      </w:r>
      <w:r w:rsidR="00DA301A">
        <w:t>designated Parliamentary parties to provide the Parliamentary Budget Officer with the information required to ensure that</w:t>
      </w:r>
      <w:r w:rsidR="002378DB">
        <w:t xml:space="preserve">, in his or her best professional judgement, </w:t>
      </w:r>
      <w:r w:rsidR="00DA301A">
        <w:t xml:space="preserve">all election commitments that have a </w:t>
      </w:r>
      <w:r w:rsidR="002378DB">
        <w:t xml:space="preserve">material impact on the Commonwealth budget </w:t>
      </w:r>
      <w:r w:rsidR="00DA301A">
        <w:t>are included in the post-election report.</w:t>
      </w:r>
    </w:p>
    <w:p w:rsidR="00FC2008" w:rsidRDefault="0091011F" w:rsidP="004A36DA">
      <w:pPr>
        <w:pStyle w:val="BodyText"/>
      </w:pPr>
      <w:r>
        <w:t xml:space="preserve">Expanding the monitoring of election commitments to </w:t>
      </w:r>
      <w:r w:rsidR="00321A1F">
        <w:t xml:space="preserve">parliamentarians and candidates from </w:t>
      </w:r>
      <w:r>
        <w:t>minor</w:t>
      </w:r>
      <w:r w:rsidR="00FC2008">
        <w:t xml:space="preserve"> parties</w:t>
      </w:r>
      <w:r>
        <w:t xml:space="preserve"> would be a significant task and would not be possible within </w:t>
      </w:r>
      <w:r w:rsidR="00765B61">
        <w:t>our</w:t>
      </w:r>
      <w:r>
        <w:t xml:space="preserve"> </w:t>
      </w:r>
      <w:r w:rsidR="00FC2008">
        <w:t>current</w:t>
      </w:r>
      <w:r>
        <w:t xml:space="preserve"> resourc</w:t>
      </w:r>
      <w:r w:rsidR="00B42EA9">
        <w:t>ing</w:t>
      </w:r>
      <w:r>
        <w:t xml:space="preserve"> profile.</w:t>
      </w:r>
    </w:p>
    <w:tbl>
      <w:tblPr>
        <w:tblStyle w:val="PullOutBoxTable1"/>
        <w:tblpPr w:leftFromText="180" w:rightFromText="180" w:vertAnchor="text" w:horzAnchor="margin" w:tblpY="24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600" w:firstRow="0" w:lastRow="0" w:firstColumn="0" w:lastColumn="0" w:noHBand="1" w:noVBand="1"/>
      </w:tblPr>
      <w:tblGrid>
        <w:gridCol w:w="271"/>
        <w:gridCol w:w="8042"/>
      </w:tblGrid>
      <w:tr w:rsidR="00C76448" w:rsidRPr="008B0124" w:rsidTr="00A67218">
        <w:trPr>
          <w:trHeight w:val="895"/>
        </w:trPr>
        <w:tc>
          <w:tcPr>
            <w:tcW w:w="163" w:type="pct"/>
            <w:shd w:val="clear" w:color="auto" w:fill="2B3B5F" w:themeFill="text2"/>
          </w:tcPr>
          <w:p w:rsidR="00C76448" w:rsidRPr="008B0124" w:rsidRDefault="00C76448" w:rsidP="00A67218">
            <w:pPr>
              <w:keepNext/>
              <w:keepLines/>
              <w:spacing w:before="114" w:after="114" w:line="360" w:lineRule="atLeast"/>
              <w:ind w:left="227" w:right="170"/>
              <w:rPr>
                <w:b/>
                <w:color w:val="2B3B5F" w:themeColor="text2"/>
                <w:spacing w:val="-1"/>
              </w:rPr>
            </w:pPr>
          </w:p>
        </w:tc>
        <w:tc>
          <w:tcPr>
            <w:tcW w:w="4837" w:type="pct"/>
          </w:tcPr>
          <w:p w:rsidR="00C76448" w:rsidRPr="008B0124" w:rsidRDefault="00C76448" w:rsidP="00A67218">
            <w:pPr>
              <w:keepNext/>
              <w:keepLines/>
              <w:spacing w:after="60"/>
              <w:ind w:left="113"/>
              <w:outlineLvl w:val="4"/>
              <w:rPr>
                <w:rFonts w:eastAsiaTheme="majorEastAsia" w:cstheme="majorBidi"/>
                <w:b/>
                <w:color w:val="2B3B5F" w:themeColor="text2"/>
                <w:sz w:val="24"/>
                <w:szCs w:val="24"/>
              </w:rPr>
            </w:pPr>
            <w:r w:rsidRPr="008B0124">
              <w:rPr>
                <w:rFonts w:eastAsiaTheme="majorEastAsia" w:cstheme="majorBidi"/>
                <w:b/>
                <w:color w:val="2B3B5F" w:themeColor="text2"/>
                <w:sz w:val="24"/>
                <w:szCs w:val="24"/>
              </w:rPr>
              <w:t xml:space="preserve">Proposition </w:t>
            </w:r>
            <w:r>
              <w:rPr>
                <w:rFonts w:eastAsiaTheme="majorEastAsia" w:cstheme="majorBidi"/>
                <w:b/>
                <w:color w:val="2B3B5F" w:themeColor="text2"/>
                <w:sz w:val="24"/>
                <w:szCs w:val="24"/>
              </w:rPr>
              <w:t>4</w:t>
            </w:r>
          </w:p>
          <w:p w:rsidR="00C76448" w:rsidRPr="008B0124" w:rsidRDefault="00C76448" w:rsidP="00C76448">
            <w:pPr>
              <w:pStyle w:val="PullOutBoxNumber"/>
              <w:numPr>
                <w:ilvl w:val="0"/>
                <w:numId w:val="0"/>
              </w:numPr>
              <w:tabs>
                <w:tab w:val="num" w:pos="453"/>
              </w:tabs>
              <w:spacing w:after="0"/>
              <w:ind w:left="113"/>
              <w:rPr>
                <w:b/>
              </w:rPr>
            </w:pPr>
            <w:r w:rsidRPr="00C76448">
              <w:t>If minor parties provide a list of election commitments to be included in the post-election report, the Parliamentary Budget Officer would accept that list as final and not make any judgements about whether the list includes all of the election commitments of that party that would have a material impact on the budget.</w:t>
            </w:r>
          </w:p>
        </w:tc>
      </w:tr>
    </w:tbl>
    <w:p w:rsidR="004134CC" w:rsidRDefault="004134CC" w:rsidP="00BF3BEB">
      <w:pPr>
        <w:pStyle w:val="Heading4"/>
      </w:pPr>
      <w:r w:rsidRPr="00C27001">
        <w:t>Interactions between election commitments</w:t>
      </w:r>
    </w:p>
    <w:p w:rsidR="00C27001" w:rsidRDefault="00B10509" w:rsidP="00C27001">
      <w:pPr>
        <w:pStyle w:val="BodyText"/>
      </w:pPr>
      <w:r>
        <w:t xml:space="preserve">For each designated </w:t>
      </w:r>
      <w:r w:rsidR="002C1AF6">
        <w:t xml:space="preserve">Parliamentary </w:t>
      </w:r>
      <w:r>
        <w:t xml:space="preserve">party, the post-election report </w:t>
      </w:r>
      <w:r w:rsidR="000179EB">
        <w:t xml:space="preserve">is required to include </w:t>
      </w:r>
      <w:r w:rsidR="00B84B2C" w:rsidRPr="00B84B2C">
        <w:t xml:space="preserve">the combined impact of each party’s </w:t>
      </w:r>
      <w:r w:rsidR="00112413">
        <w:t>election commitments</w:t>
      </w:r>
      <w:r w:rsidR="00112413" w:rsidRPr="00B84B2C">
        <w:t xml:space="preserve"> </w:t>
      </w:r>
      <w:r w:rsidR="000179EB">
        <w:t xml:space="preserve">in the budget year and the following three years.  </w:t>
      </w:r>
      <w:r w:rsidR="00B42EA9">
        <w:t>T</w:t>
      </w:r>
      <w:r w:rsidR="000179EB">
        <w:t xml:space="preserve">his requires </w:t>
      </w:r>
      <w:r w:rsidR="00765B61">
        <w:t>us</w:t>
      </w:r>
      <w:r w:rsidR="000179EB">
        <w:t xml:space="preserve"> to calculate, document and </w:t>
      </w:r>
      <w:r w:rsidR="00B84B2C" w:rsidRPr="00B84B2C">
        <w:t>includ</w:t>
      </w:r>
      <w:r w:rsidR="000179EB">
        <w:t>e</w:t>
      </w:r>
      <w:r w:rsidR="00B84B2C" w:rsidRPr="00B84B2C">
        <w:t xml:space="preserve"> the financial impact of interactions between a party’s </w:t>
      </w:r>
      <w:r w:rsidR="00112413">
        <w:t xml:space="preserve">election commitments </w:t>
      </w:r>
      <w:r w:rsidR="002C1AF6">
        <w:t>in the post-election report</w:t>
      </w:r>
      <w:r w:rsidR="00B42EA9">
        <w:t xml:space="preserve"> where the interactions are significant</w:t>
      </w:r>
      <w:r w:rsidR="000179EB">
        <w:t>.</w:t>
      </w:r>
    </w:p>
    <w:p w:rsidR="00AA2D37" w:rsidRPr="00BC414D" w:rsidRDefault="00AA2D37" w:rsidP="004A36DA">
      <w:pPr>
        <w:pStyle w:val="BodyText"/>
      </w:pPr>
      <w:r w:rsidRPr="00AA2D37">
        <w:t>Where a party has election commitments that involve very large changes in Commonwealth programs and revenues, significant uncertainty about the financial implications can result from data limitations</w:t>
      </w:r>
      <w:r w:rsidR="00002C51">
        <w:t>,</w:t>
      </w:r>
      <w:r w:rsidRPr="00AA2D37">
        <w:t xml:space="preserve"> costing assumptions</w:t>
      </w:r>
      <w:r w:rsidR="00112413">
        <w:t>, behavioural responses</w:t>
      </w:r>
      <w:r w:rsidR="00002C51">
        <w:t xml:space="preserve"> and </w:t>
      </w:r>
      <w:r w:rsidR="00112413">
        <w:t xml:space="preserve">the potential </w:t>
      </w:r>
      <w:r w:rsidR="00002C51">
        <w:t>broader impacts on economic activity</w:t>
      </w:r>
      <w:r w:rsidR="00112413">
        <w:t xml:space="preserve">.  In these circumstances, </w:t>
      </w:r>
      <w:r w:rsidR="00002C51">
        <w:t xml:space="preserve">the magnitude, timing and direction of </w:t>
      </w:r>
      <w:r w:rsidR="009915F7">
        <w:t xml:space="preserve">the </w:t>
      </w:r>
      <w:r w:rsidR="00112413">
        <w:t xml:space="preserve">direct and flow-on effects to the budget </w:t>
      </w:r>
      <w:r w:rsidR="0024480A">
        <w:t>may</w:t>
      </w:r>
      <w:r w:rsidR="00002C51">
        <w:t xml:space="preserve"> be highly uncertain and depend on implementation details</w:t>
      </w:r>
      <w:r w:rsidR="003E539B">
        <w:t xml:space="preserve">.  </w:t>
      </w:r>
    </w:p>
    <w:tbl>
      <w:tblPr>
        <w:tblStyle w:val="PullOutBoxTable1"/>
        <w:tblpPr w:leftFromText="180" w:rightFromText="180" w:vertAnchor="text" w:horzAnchor="margin" w:tblpY="24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600" w:firstRow="0" w:lastRow="0" w:firstColumn="0" w:lastColumn="0" w:noHBand="1" w:noVBand="1"/>
      </w:tblPr>
      <w:tblGrid>
        <w:gridCol w:w="271"/>
        <w:gridCol w:w="8042"/>
      </w:tblGrid>
      <w:tr w:rsidR="00C76448" w:rsidRPr="008B0124" w:rsidTr="00A67218">
        <w:trPr>
          <w:trHeight w:val="895"/>
        </w:trPr>
        <w:tc>
          <w:tcPr>
            <w:tcW w:w="163" w:type="pct"/>
            <w:shd w:val="clear" w:color="auto" w:fill="2B3B5F" w:themeFill="text2"/>
          </w:tcPr>
          <w:p w:rsidR="00C76448" w:rsidRPr="008B0124" w:rsidRDefault="00C76448" w:rsidP="00A67218">
            <w:pPr>
              <w:keepNext/>
              <w:keepLines/>
              <w:spacing w:before="114" w:after="114" w:line="360" w:lineRule="atLeast"/>
              <w:ind w:left="227" w:right="170"/>
              <w:rPr>
                <w:b/>
                <w:color w:val="2B3B5F" w:themeColor="text2"/>
                <w:spacing w:val="-1"/>
              </w:rPr>
            </w:pPr>
          </w:p>
        </w:tc>
        <w:tc>
          <w:tcPr>
            <w:tcW w:w="4837" w:type="pct"/>
          </w:tcPr>
          <w:p w:rsidR="00C76448" w:rsidRPr="008B0124" w:rsidRDefault="00C76448" w:rsidP="00A67218">
            <w:pPr>
              <w:keepNext/>
              <w:keepLines/>
              <w:spacing w:after="60"/>
              <w:ind w:left="113"/>
              <w:outlineLvl w:val="4"/>
              <w:rPr>
                <w:rFonts w:eastAsiaTheme="majorEastAsia" w:cstheme="majorBidi"/>
                <w:b/>
                <w:color w:val="2B3B5F" w:themeColor="text2"/>
                <w:sz w:val="24"/>
                <w:szCs w:val="24"/>
              </w:rPr>
            </w:pPr>
            <w:r w:rsidRPr="008B0124">
              <w:rPr>
                <w:rFonts w:eastAsiaTheme="majorEastAsia" w:cstheme="majorBidi"/>
                <w:b/>
                <w:color w:val="2B3B5F" w:themeColor="text2"/>
                <w:sz w:val="24"/>
                <w:szCs w:val="24"/>
              </w:rPr>
              <w:t xml:space="preserve">Proposition </w:t>
            </w:r>
            <w:r>
              <w:rPr>
                <w:rFonts w:eastAsiaTheme="majorEastAsia" w:cstheme="majorBidi"/>
                <w:b/>
                <w:color w:val="2B3B5F" w:themeColor="text2"/>
                <w:sz w:val="24"/>
                <w:szCs w:val="24"/>
              </w:rPr>
              <w:t>5</w:t>
            </w:r>
          </w:p>
          <w:p w:rsidR="00C76448" w:rsidRPr="008B0124" w:rsidRDefault="00B42EA9" w:rsidP="00B42EA9">
            <w:pPr>
              <w:pStyle w:val="PullOutBoxNumber"/>
              <w:numPr>
                <w:ilvl w:val="0"/>
                <w:numId w:val="0"/>
              </w:numPr>
              <w:tabs>
                <w:tab w:val="num" w:pos="453"/>
              </w:tabs>
              <w:spacing w:after="0"/>
              <w:ind w:left="113"/>
              <w:rPr>
                <w:b/>
              </w:rPr>
            </w:pPr>
            <w:r>
              <w:t>While the PBO will endeavour to calculate, document and include the financial impact of significant interactions between election commitments for minor parties, we may need to make judgements about whether these can be estimated with sufficient confidence.  Where they cannot be confidently estimated, we would note why this is the case.</w:t>
            </w:r>
            <w:r w:rsidR="007B103F">
              <w:t xml:space="preserve">  The combined impact of the parties’ election commitments may not be provided in such circumstances.</w:t>
            </w:r>
          </w:p>
        </w:tc>
      </w:tr>
    </w:tbl>
    <w:p w:rsidR="00DA301A" w:rsidRDefault="00DA301A" w:rsidP="00BF3BEB">
      <w:pPr>
        <w:pStyle w:val="Heading4"/>
      </w:pPr>
      <w:r w:rsidRPr="00C27001">
        <w:t>Parliamentarians or parties no longer represented in the Parliament</w:t>
      </w:r>
      <w:r w:rsidR="0014363D">
        <w:t xml:space="preserve"> following the election</w:t>
      </w:r>
    </w:p>
    <w:p w:rsidR="00C27001" w:rsidRDefault="00E62195" w:rsidP="00C27001">
      <w:pPr>
        <w:pStyle w:val="BodyText"/>
      </w:pPr>
      <w:r>
        <w:t xml:space="preserve">The post-election report is required to include the financial impacts of the election commitments of designated </w:t>
      </w:r>
      <w:r w:rsidR="00F348F0">
        <w:t xml:space="preserve">Parliamentary </w:t>
      </w:r>
      <w:r>
        <w:t>parties regardless of each party’s representation in the Parliament following the election.</w:t>
      </w:r>
      <w:r w:rsidR="00957EE3">
        <w:t xml:space="preserve">  However, it is not unreasonable to expect that a designated </w:t>
      </w:r>
      <w:r w:rsidR="00F348F0">
        <w:t xml:space="preserve">Parliamentary </w:t>
      </w:r>
      <w:r w:rsidR="00957EE3">
        <w:t>party will have some representation in the Parliament following an election, even if its representation is diminished.</w:t>
      </w:r>
    </w:p>
    <w:p w:rsidR="00957EE3" w:rsidRDefault="00957EE3" w:rsidP="00957EE3">
      <w:pPr>
        <w:pStyle w:val="BodyText"/>
      </w:pPr>
      <w:r>
        <w:t xml:space="preserve">The Independent Review Panel’s </w:t>
      </w:r>
      <w:r w:rsidR="00F348F0">
        <w:t>motivation</w:t>
      </w:r>
      <w:r>
        <w:t xml:space="preserve"> for recommending that minor parties be </w:t>
      </w:r>
      <w:r w:rsidR="003E539B">
        <w:t>given the option</w:t>
      </w:r>
      <w:r>
        <w:t xml:space="preserve"> to opt in to the post-election report is that m</w:t>
      </w:r>
      <w:r w:rsidRPr="00957EE3">
        <w:t xml:space="preserve">inor parties and independent members now play a prominent role on some budget-related issues. </w:t>
      </w:r>
    </w:p>
    <w:p w:rsidR="00957EE3" w:rsidRDefault="006B4E5A" w:rsidP="00C27001">
      <w:pPr>
        <w:pStyle w:val="BodyText"/>
      </w:pPr>
      <w:r>
        <w:t>Given their lower level of representation prior to the election, t</w:t>
      </w:r>
      <w:r w:rsidR="00957EE3">
        <w:t xml:space="preserve">he likelihood that minor parties are no longer represented in the Parliament following the election is greater than </w:t>
      </w:r>
      <w:r>
        <w:t xml:space="preserve">for designated </w:t>
      </w:r>
      <w:r w:rsidR="00F348F0">
        <w:t xml:space="preserve">Parliamentary </w:t>
      </w:r>
      <w:r>
        <w:t>parties</w:t>
      </w:r>
      <w:r w:rsidR="00957EE3">
        <w:t>.</w:t>
      </w:r>
      <w:r>
        <w:t xml:space="preserve">  This is particularly true for independent </w:t>
      </w:r>
      <w:r w:rsidR="00F348F0">
        <w:t>M</w:t>
      </w:r>
      <w:r>
        <w:t xml:space="preserve">embers and </w:t>
      </w:r>
      <w:r w:rsidR="00F348F0">
        <w:t>S</w:t>
      </w:r>
      <w:r>
        <w:t>enators.</w:t>
      </w:r>
    </w:p>
    <w:p w:rsidR="006B4E5A" w:rsidRDefault="00321A1F" w:rsidP="004A36DA">
      <w:pPr>
        <w:pStyle w:val="BodyText"/>
      </w:pPr>
      <w:r>
        <w:t xml:space="preserve">There is also a need to be able to contact </w:t>
      </w:r>
      <w:r w:rsidR="00D304C9">
        <w:t>representatives</w:t>
      </w:r>
      <w:r>
        <w:t xml:space="preserve"> of </w:t>
      </w:r>
      <w:r w:rsidR="00D304C9">
        <w:t>P</w:t>
      </w:r>
      <w:r>
        <w:t xml:space="preserve">arliamentary parties in the post-election period, including </w:t>
      </w:r>
      <w:r w:rsidR="00D304C9">
        <w:t>for the purposes of f</w:t>
      </w:r>
      <w:r>
        <w:t xml:space="preserve">inalising the list of </w:t>
      </w:r>
      <w:r w:rsidRPr="0066422C">
        <w:t>election commitments</w:t>
      </w:r>
      <w:r w:rsidR="00D304C9">
        <w:t xml:space="preserve">, clarifying policy specifications and providing a </w:t>
      </w:r>
      <w:r w:rsidR="00D304C9" w:rsidRPr="00D304C9">
        <w:t xml:space="preserve">confidential copy of the </w:t>
      </w:r>
      <w:r w:rsidR="00D304C9">
        <w:t xml:space="preserve">relevant </w:t>
      </w:r>
      <w:r w:rsidR="00D304C9" w:rsidRPr="00D304C9">
        <w:t>part</w:t>
      </w:r>
      <w:r w:rsidR="00D304C9">
        <w:t>s</w:t>
      </w:r>
      <w:r w:rsidR="00D304C9" w:rsidRPr="00D304C9">
        <w:t xml:space="preserve"> of the post-election report </w:t>
      </w:r>
      <w:r w:rsidR="00D304C9">
        <w:t>prior to its publication.  The fact that Parliamentarians and their staff lose access to their Parliamentary information technology accounts if they are not re-elected provides a practical challenge to ongoing engagement with unsuccessful candidates.</w:t>
      </w:r>
    </w:p>
    <w:tbl>
      <w:tblPr>
        <w:tblStyle w:val="PullOutBoxTable1"/>
        <w:tblpPr w:leftFromText="180" w:rightFromText="180" w:vertAnchor="text" w:horzAnchor="margin" w:tblpY="24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600" w:firstRow="0" w:lastRow="0" w:firstColumn="0" w:lastColumn="0" w:noHBand="1" w:noVBand="1"/>
      </w:tblPr>
      <w:tblGrid>
        <w:gridCol w:w="271"/>
        <w:gridCol w:w="8042"/>
      </w:tblGrid>
      <w:tr w:rsidR="00C76448" w:rsidRPr="008B0124" w:rsidTr="00A67218">
        <w:trPr>
          <w:trHeight w:val="895"/>
        </w:trPr>
        <w:tc>
          <w:tcPr>
            <w:tcW w:w="163" w:type="pct"/>
            <w:shd w:val="clear" w:color="auto" w:fill="2B3B5F" w:themeFill="text2"/>
          </w:tcPr>
          <w:p w:rsidR="00C76448" w:rsidRPr="008B0124" w:rsidRDefault="00C76448" w:rsidP="00A67218">
            <w:pPr>
              <w:keepNext/>
              <w:keepLines/>
              <w:spacing w:before="114" w:after="114" w:line="360" w:lineRule="atLeast"/>
              <w:ind w:left="227" w:right="170"/>
              <w:rPr>
                <w:b/>
                <w:color w:val="2B3B5F" w:themeColor="text2"/>
                <w:spacing w:val="-1"/>
              </w:rPr>
            </w:pPr>
          </w:p>
        </w:tc>
        <w:tc>
          <w:tcPr>
            <w:tcW w:w="4837" w:type="pct"/>
          </w:tcPr>
          <w:p w:rsidR="00C76448" w:rsidRPr="008B0124" w:rsidRDefault="00C76448" w:rsidP="00A67218">
            <w:pPr>
              <w:keepNext/>
              <w:keepLines/>
              <w:spacing w:after="60"/>
              <w:ind w:left="113"/>
              <w:outlineLvl w:val="4"/>
              <w:rPr>
                <w:rFonts w:eastAsiaTheme="majorEastAsia" w:cstheme="majorBidi"/>
                <w:b/>
                <w:color w:val="2B3B5F" w:themeColor="text2"/>
                <w:sz w:val="24"/>
                <w:szCs w:val="24"/>
              </w:rPr>
            </w:pPr>
            <w:r w:rsidRPr="008B0124">
              <w:rPr>
                <w:rFonts w:eastAsiaTheme="majorEastAsia" w:cstheme="majorBidi"/>
                <w:b/>
                <w:color w:val="2B3B5F" w:themeColor="text2"/>
                <w:sz w:val="24"/>
                <w:szCs w:val="24"/>
              </w:rPr>
              <w:t xml:space="preserve">Proposition </w:t>
            </w:r>
            <w:r>
              <w:rPr>
                <w:rFonts w:eastAsiaTheme="majorEastAsia" w:cstheme="majorBidi"/>
                <w:b/>
                <w:color w:val="2B3B5F" w:themeColor="text2"/>
                <w:sz w:val="24"/>
                <w:szCs w:val="24"/>
              </w:rPr>
              <w:t>6</w:t>
            </w:r>
          </w:p>
          <w:p w:rsidR="00C76448" w:rsidRPr="008B0124" w:rsidRDefault="00C76448" w:rsidP="00C76448">
            <w:pPr>
              <w:pStyle w:val="PullOutBoxNumber"/>
              <w:numPr>
                <w:ilvl w:val="0"/>
                <w:numId w:val="0"/>
              </w:numPr>
              <w:tabs>
                <w:tab w:val="num" w:pos="453"/>
              </w:tabs>
              <w:spacing w:after="0"/>
              <w:ind w:left="113"/>
              <w:rPr>
                <w:b/>
              </w:rPr>
            </w:pPr>
            <w:r w:rsidRPr="00C76448">
              <w:t>If a minor party opts in to the post-election report and no longer has a representative in the Parliament following the election, their election commitments would be excluded from the post-election report on the basis that they will no longer have an ongoing role in budget-related deliberations.</w:t>
            </w:r>
          </w:p>
        </w:tc>
      </w:tr>
    </w:tbl>
    <w:p w:rsidR="00691009" w:rsidRDefault="00691009" w:rsidP="00691009">
      <w:pPr>
        <w:pStyle w:val="BodyText"/>
      </w:pPr>
    </w:p>
    <w:p w:rsidR="004A36DA" w:rsidRDefault="004A36DA">
      <w:pPr>
        <w:rPr>
          <w:rFonts w:cs="Times New Roman"/>
          <w:spacing w:val="-1"/>
        </w:rPr>
      </w:pPr>
      <w:r>
        <w:br w:type="page"/>
      </w:r>
    </w:p>
    <w:p w:rsidR="00691009" w:rsidRDefault="004A36DA" w:rsidP="00691009">
      <w:pPr>
        <w:pStyle w:val="BodyText"/>
      </w:pPr>
      <w:r>
        <w:rPr>
          <w:noProof/>
          <w:lang w:eastAsia="en-AU"/>
        </w:rPr>
        <w:lastRenderedPageBreak/>
        <mc:AlternateContent>
          <mc:Choice Requires="wpg">
            <w:drawing>
              <wp:anchor distT="0" distB="0" distL="114300" distR="114300" simplePos="0" relativeHeight="251660288" behindDoc="0" locked="0" layoutInCell="1" allowOverlap="1">
                <wp:simplePos x="0" y="0"/>
                <wp:positionH relativeFrom="column">
                  <wp:posOffset>-1140765</wp:posOffset>
                </wp:positionH>
                <wp:positionV relativeFrom="paragraph">
                  <wp:posOffset>-857250</wp:posOffset>
                </wp:positionV>
                <wp:extent cx="7563917" cy="10687507"/>
                <wp:effectExtent l="0" t="0" r="0" b="0"/>
                <wp:wrapNone/>
                <wp:docPr id="9" name="Group 9"/>
                <wp:cNvGraphicFramePr/>
                <a:graphic xmlns:a="http://schemas.openxmlformats.org/drawingml/2006/main">
                  <a:graphicData uri="http://schemas.microsoft.com/office/word/2010/wordprocessingGroup">
                    <wpg:wgp>
                      <wpg:cNvGrpSpPr/>
                      <wpg:grpSpPr>
                        <a:xfrm>
                          <a:off x="0" y="0"/>
                          <a:ext cx="7563917" cy="10687507"/>
                          <a:chOff x="0" y="0"/>
                          <a:chExt cx="7563917" cy="10687507"/>
                        </a:xfrm>
                      </wpg:grpSpPr>
                      <pic:pic xmlns:pic="http://schemas.openxmlformats.org/drawingml/2006/picture">
                        <pic:nvPicPr>
                          <pic:cNvPr id="24" name="Picture 24"/>
                          <pic:cNvPicPr>
                            <a:picLocks/>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563917" cy="10687507"/>
                          </a:xfrm>
                          <a:prstGeom prst="rect">
                            <a:avLst/>
                          </a:prstGeom>
                        </pic:spPr>
                      </pic:pic>
                      <wps:wsp>
                        <wps:cNvPr id="25" name="Text Box 2"/>
                        <wps:cNvSpPr txBox="1">
                          <a:spLocks noChangeArrowheads="1"/>
                        </wps:cNvSpPr>
                        <wps:spPr bwMode="auto">
                          <a:xfrm>
                            <a:off x="2523744" y="8756294"/>
                            <a:ext cx="2519680" cy="608330"/>
                          </a:xfrm>
                          <a:prstGeom prst="rect">
                            <a:avLst/>
                          </a:prstGeom>
                          <a:noFill/>
                          <a:ln w="9525">
                            <a:noFill/>
                            <a:miter lim="800000"/>
                            <a:headEnd/>
                            <a:tailEnd/>
                          </a:ln>
                        </wps:spPr>
                        <wps:txbx>
                          <w:txbxContent>
                            <w:p w:rsidR="004A36DA" w:rsidRPr="0061135C" w:rsidRDefault="007D5E61" w:rsidP="004A36DA">
                              <w:pPr>
                                <w:pStyle w:val="xBackPageWebAddress"/>
                                <w:jc w:val="center"/>
                              </w:pPr>
                              <w:hyperlink r:id="rId28" w:history="1">
                                <w:r w:rsidR="004A36DA" w:rsidRPr="0061135C">
                                  <w:t>www.pbo.gov.au</w:t>
                                </w:r>
                              </w:hyperlink>
                            </w:p>
                          </w:txbxContent>
                        </wps:txbx>
                        <wps:bodyPr rot="0" vert="horz" wrap="square" lIns="91440" tIns="45720" rIns="91440" bIns="45720" anchor="b" anchorCtr="0">
                          <a:noAutofit/>
                        </wps:bodyPr>
                      </wps:wsp>
                    </wpg:wgp>
                  </a:graphicData>
                </a:graphic>
              </wp:anchor>
            </w:drawing>
          </mc:Choice>
          <mc:Fallback>
            <w:pict>
              <v:group id="Group 9" o:spid="_x0000_s1026" style="position:absolute;margin-left:-89.8pt;margin-top:-67.5pt;width:595.6pt;height:841.55pt;z-index:251660288" coordsize="75639,106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width:75639;height:106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DK7jFAAAA2wAAAA8AAABkcnMvZG93bnJldi54bWxEj0FrwkAUhO9C/8PyCl6k2VRESnQNbaBg&#10;oVBMS8DbI/tMgtm3aXabxH/vFgSPw8x8w2zTybRioN41lhU8RzEI4tLqhisFP9/vTy8gnEfW2Fom&#10;BRdykO4eZltMtB35QEPuKxEg7BJUUHvfJVK6siaDLrIdcfBOtjfog+wrqXscA9y0chnHa2mw4bBQ&#10;Y0dZTeU5/zMK8rHAc15dvmT2tjgeToX8/P0YlJo/Tq8bEJ4mfw/f2nutYLmC/y/hB8jd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wyu4xQAAANsAAAAPAAAAAAAAAAAAAAAA&#10;AJ8CAABkcnMvZG93bnJldi54bWxQSwUGAAAAAAQABAD3AAAAkQMAAAAA&#10;">
                  <v:imagedata r:id="rId29" o:title=""/>
                  <v:path arrowok="t"/>
                  <o:lock v:ext="edit" aspectratio="f"/>
                </v:shape>
                <v:shapetype id="_x0000_t202" coordsize="21600,21600" o:spt="202" path="m,l,21600r21600,l21600,xe">
                  <v:stroke joinstyle="miter"/>
                  <v:path gradientshapeok="t" o:connecttype="rect"/>
                </v:shapetype>
                <v:shape id="Text Box 2" o:spid="_x0000_s1028" type="#_x0000_t202" style="position:absolute;left:25237;top:87562;width:25197;height:608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amlsUA&#10;AADbAAAADwAAAGRycy9kb3ducmV2LnhtbESP0WrCQBRE3wv9h+UW+mY2SpSSukqxFfoi1rQfcJO9&#10;JrHZuyG7Mcnfu0Khj8PMnGHW29E04kqdqy0rmEcxCOLC6ppLBT/f+9kLCOeRNTaWScFEDrabx4c1&#10;ptoOfKJr5ksRIOxSVFB536ZSuqIigy6yLXHwzrYz6IPsSqk7HALcNHIRxytpsOawUGFLu4qK36w3&#10;Cj6+8ilP5pd98h5PuT4Oh13RH5R6fhrfXkF4Gv1/+K/9qRUslnD/En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qaWxQAAANsAAAAPAAAAAAAAAAAAAAAAAJgCAABkcnMv&#10;ZG93bnJldi54bWxQSwUGAAAAAAQABAD1AAAAigMAAAAA&#10;" filled="f" stroked="f">
                  <v:textbox>
                    <w:txbxContent>
                      <w:p w:rsidR="004A36DA" w:rsidRPr="0061135C" w:rsidRDefault="004A36DA" w:rsidP="004A36DA">
                        <w:pPr>
                          <w:pStyle w:val="xBackPageWebAddress"/>
                          <w:jc w:val="center"/>
                        </w:pPr>
                        <w:hyperlink r:id="rId30" w:history="1">
                          <w:r w:rsidRPr="0061135C">
                            <w:t>www.pbo.gov.au</w:t>
                          </w:r>
                        </w:hyperlink>
                      </w:p>
                    </w:txbxContent>
                  </v:textbox>
                </v:shape>
              </v:group>
            </w:pict>
          </mc:Fallback>
        </mc:AlternateContent>
      </w:r>
    </w:p>
    <w:sectPr w:rsidR="00691009" w:rsidSect="00404624">
      <w:headerReference w:type="even" r:id="rId31"/>
      <w:headerReference w:type="default" r:id="rId32"/>
      <w:footerReference w:type="even" r:id="rId33"/>
      <w:footerReference w:type="default" r:id="rId34"/>
      <w:headerReference w:type="first" r:id="rId35"/>
      <w:footerReference w:type="first" r:id="rId36"/>
      <w:type w:val="oddPage"/>
      <w:pgSz w:w="11907" w:h="16839" w:code="9"/>
      <w:pgMar w:top="1361" w:right="1797" w:bottom="1474" w:left="1797" w:header="283"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8DC" w:rsidRDefault="00A278DC" w:rsidP="00A20802">
      <w:pPr>
        <w:spacing w:line="240" w:lineRule="auto"/>
      </w:pPr>
      <w:r>
        <w:separator/>
      </w:r>
    </w:p>
    <w:p w:rsidR="00A278DC" w:rsidRDefault="00A278DC"/>
  </w:endnote>
  <w:endnote w:type="continuationSeparator" w:id="0">
    <w:p w:rsidR="00A278DC" w:rsidRDefault="00A278DC" w:rsidP="00A20802">
      <w:pPr>
        <w:spacing w:line="240" w:lineRule="auto"/>
      </w:pPr>
      <w:r>
        <w:continuationSeparator/>
      </w:r>
    </w:p>
    <w:p w:rsidR="00A278DC" w:rsidRDefault="00A27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6E" w:rsidRDefault="000E26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0E266E" w:rsidRPr="00EB388E" w:rsidTr="00C80200">
      <w:trPr>
        <w:trHeight w:val="340"/>
      </w:trPr>
      <w:tc>
        <w:tcPr>
          <w:tcW w:w="567" w:type="dxa"/>
          <w:tcBorders>
            <w:right w:val="single" w:sz="4" w:space="0" w:color="788184" w:themeColor="background2"/>
          </w:tcBorders>
          <w:vAlign w:val="center"/>
        </w:tcPr>
        <w:p w:rsidR="000E266E" w:rsidRPr="00CB70DF" w:rsidRDefault="000E266E" w:rsidP="00C8020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404624">
            <w:rPr>
              <w:noProof/>
            </w:rPr>
            <w:t>iv</w:t>
          </w:r>
          <w:r w:rsidRPr="00EB388E">
            <w:fldChar w:fldCharType="end"/>
          </w:r>
        </w:p>
      </w:tc>
      <w:tc>
        <w:tcPr>
          <w:tcW w:w="8164" w:type="dxa"/>
          <w:tcBorders>
            <w:left w:val="single" w:sz="4" w:space="0" w:color="788184" w:themeColor="background2"/>
          </w:tcBorders>
          <w:vAlign w:val="center"/>
        </w:tcPr>
        <w:p w:rsidR="000E266E" w:rsidRPr="00CB70DF" w:rsidRDefault="0090746E" w:rsidP="00C80200">
          <w:pPr>
            <w:pStyle w:val="FooterLeft"/>
            <w:framePr w:wrap="auto" w:vAnchor="margin" w:hAnchor="text" w:yAlign="inline"/>
          </w:pPr>
          <w:fldSimple w:instr=" STYLEREF  Title  \* MERGEFORMAT ">
            <w:r w:rsidR="00404624">
              <w:rPr>
                <w:noProof/>
              </w:rPr>
              <w:t xml:space="preserve">Consultation paper: Allowing </w:t>
            </w:r>
            <w:r w:rsidR="00404624">
              <w:rPr>
                <w:noProof/>
              </w:rPr>
              <w:br/>
              <w:t xml:space="preserve">minor parties to opt in to the </w:t>
            </w:r>
            <w:r w:rsidR="00404624">
              <w:rPr>
                <w:noProof/>
              </w:rPr>
              <w:br/>
              <w:t xml:space="preserve">PBO’s post-election report of </w:t>
            </w:r>
            <w:r w:rsidR="00404624">
              <w:rPr>
                <w:noProof/>
              </w:rPr>
              <w:br/>
              <w:t>election commitments</w:t>
            </w:r>
          </w:fldSimple>
        </w:p>
      </w:tc>
    </w:tr>
    <w:tr w:rsidR="000E266E" w:rsidRPr="00EB388E" w:rsidTr="00C80200">
      <w:trPr>
        <w:trHeight w:hRule="exact" w:val="403"/>
      </w:trPr>
      <w:tc>
        <w:tcPr>
          <w:tcW w:w="567" w:type="dxa"/>
          <w:tcMar>
            <w:bottom w:w="284" w:type="dxa"/>
          </w:tcMar>
        </w:tcPr>
        <w:p w:rsidR="000E266E" w:rsidRPr="00EB388E" w:rsidRDefault="000E266E" w:rsidP="00C80200">
          <w:pPr>
            <w:pStyle w:val="FooterRightPageNumber"/>
          </w:pPr>
        </w:p>
      </w:tc>
      <w:tc>
        <w:tcPr>
          <w:tcW w:w="8164" w:type="dxa"/>
          <w:tcMar>
            <w:bottom w:w="284" w:type="dxa"/>
          </w:tcMar>
        </w:tcPr>
        <w:p w:rsidR="000E266E" w:rsidRPr="00090E70" w:rsidRDefault="000E266E" w:rsidP="00C80200"/>
      </w:tc>
    </w:tr>
  </w:tbl>
  <w:p w:rsidR="000E266E" w:rsidRDefault="000E266E">
    <w:pPr>
      <w:pStyle w:val="Footer"/>
    </w:pPr>
  </w:p>
  <w:p w:rsidR="000E266E" w:rsidRPr="004816D7" w:rsidRDefault="000E266E" w:rsidP="004816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0E266E" w:rsidRPr="00EB388E" w:rsidTr="0087390B">
      <w:trPr>
        <w:trHeight w:val="340"/>
      </w:trPr>
      <w:tc>
        <w:tcPr>
          <w:tcW w:w="8164" w:type="dxa"/>
          <w:tcBorders>
            <w:right w:val="single" w:sz="4" w:space="0" w:color="788184" w:themeColor="background2"/>
          </w:tcBorders>
          <w:vAlign w:val="center"/>
        </w:tcPr>
        <w:p w:rsidR="000E266E" w:rsidRPr="00CB70DF" w:rsidRDefault="0090746E" w:rsidP="001C48DE">
          <w:pPr>
            <w:pStyle w:val="FooterRight"/>
            <w:framePr w:wrap="auto" w:vAnchor="margin" w:hAnchor="text" w:xAlign="left" w:yAlign="inline"/>
          </w:pPr>
          <w:fldSimple w:instr=" STYLEREF  &quot;TOC Heading&quot;  \* MERGEFORMAT ">
            <w:r w:rsidR="007D5E61">
              <w:rPr>
                <w:noProof/>
              </w:rPr>
              <w:t>Contents</w:t>
            </w:r>
          </w:fldSimple>
        </w:p>
      </w:tc>
      <w:tc>
        <w:tcPr>
          <w:tcW w:w="567" w:type="dxa"/>
          <w:tcBorders>
            <w:left w:val="single" w:sz="4" w:space="0" w:color="788184" w:themeColor="background2"/>
          </w:tcBorders>
          <w:vAlign w:val="center"/>
        </w:tcPr>
        <w:p w:rsidR="000E266E" w:rsidRPr="00CB70DF" w:rsidRDefault="000E266E" w:rsidP="00E915E6">
          <w:pPr>
            <w:pStyle w:val="FooterRightPageNumber"/>
          </w:pPr>
          <w:r w:rsidRPr="00EB388E">
            <w:fldChar w:fldCharType="begin"/>
          </w:r>
          <w:r w:rsidRPr="00EB388E">
            <w:instrText xml:space="preserve"> PAGE   \* MERGEFORMAT </w:instrText>
          </w:r>
          <w:r w:rsidRPr="00EB388E">
            <w:fldChar w:fldCharType="separate"/>
          </w:r>
          <w:r w:rsidR="007D5E61">
            <w:t>iii</w:t>
          </w:r>
          <w:r w:rsidRPr="00EB388E">
            <w:fldChar w:fldCharType="end"/>
          </w:r>
        </w:p>
      </w:tc>
    </w:tr>
    <w:tr w:rsidR="000E266E" w:rsidRPr="00EB388E" w:rsidTr="004F1297">
      <w:trPr>
        <w:trHeight w:hRule="exact" w:val="403"/>
      </w:trPr>
      <w:tc>
        <w:tcPr>
          <w:tcW w:w="8164" w:type="dxa"/>
        </w:tcPr>
        <w:p w:rsidR="000E266E" w:rsidRPr="00090E70" w:rsidRDefault="000E266E" w:rsidP="0087390B"/>
      </w:tc>
      <w:tc>
        <w:tcPr>
          <w:tcW w:w="567" w:type="dxa"/>
          <w:tcMar>
            <w:bottom w:w="284" w:type="dxa"/>
          </w:tcMar>
        </w:tcPr>
        <w:p w:rsidR="000E266E" w:rsidRPr="00090E70" w:rsidRDefault="000E266E" w:rsidP="0087390B"/>
      </w:tc>
    </w:tr>
  </w:tbl>
  <w:p w:rsidR="000E266E" w:rsidRDefault="000E266E">
    <w:pPr>
      <w:pStyle w:val="Footer"/>
    </w:pPr>
  </w:p>
  <w:p w:rsidR="000E266E" w:rsidRPr="004816D7" w:rsidRDefault="000E266E" w:rsidP="004816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6F711A" w:rsidRPr="00EB388E" w:rsidTr="006F711A">
      <w:trPr>
        <w:trHeight w:val="340"/>
      </w:trPr>
      <w:tc>
        <w:tcPr>
          <w:tcW w:w="567" w:type="dxa"/>
          <w:tcBorders>
            <w:right w:val="single" w:sz="4" w:space="0" w:color="788184" w:themeColor="background2"/>
          </w:tcBorders>
          <w:vAlign w:val="center"/>
        </w:tcPr>
        <w:p w:rsidR="006F711A" w:rsidRPr="00CB70DF" w:rsidRDefault="006F711A" w:rsidP="006F711A">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7D5E61">
            <w:rPr>
              <w:noProof/>
            </w:rPr>
            <w:t>6</w:t>
          </w:r>
          <w:r w:rsidRPr="00EB388E">
            <w:fldChar w:fldCharType="end"/>
          </w:r>
        </w:p>
      </w:tc>
      <w:tc>
        <w:tcPr>
          <w:tcW w:w="8164" w:type="dxa"/>
          <w:tcBorders>
            <w:left w:val="single" w:sz="4" w:space="0" w:color="788184" w:themeColor="background2"/>
          </w:tcBorders>
          <w:vAlign w:val="center"/>
        </w:tcPr>
        <w:p w:rsidR="006F711A" w:rsidRPr="00CB70DF" w:rsidRDefault="008B0124" w:rsidP="008B0124">
          <w:pPr>
            <w:pStyle w:val="FooterLeft"/>
            <w:framePr w:wrap="auto" w:vAnchor="margin" w:hAnchor="text" w:yAlign="inline"/>
            <w:spacing w:before="0" w:after="0"/>
          </w:pPr>
          <w:r>
            <w:rPr>
              <w:noProof/>
            </w:rPr>
            <w:t xml:space="preserve">Allowing minor parties to opt in to the PBO’s </w:t>
          </w:r>
          <w:r>
            <w:rPr>
              <w:noProof/>
            </w:rPr>
            <w:br/>
            <w:t>post-electionreport of election commitments</w:t>
          </w:r>
        </w:p>
      </w:tc>
    </w:tr>
    <w:tr w:rsidR="006F711A" w:rsidRPr="00EB388E" w:rsidTr="006F711A">
      <w:trPr>
        <w:trHeight w:hRule="exact" w:val="403"/>
      </w:trPr>
      <w:tc>
        <w:tcPr>
          <w:tcW w:w="567" w:type="dxa"/>
          <w:tcMar>
            <w:bottom w:w="284" w:type="dxa"/>
          </w:tcMar>
        </w:tcPr>
        <w:p w:rsidR="006F711A" w:rsidRPr="00EB388E" w:rsidRDefault="006F711A" w:rsidP="006F711A">
          <w:pPr>
            <w:pStyle w:val="FooterRightPageNumber"/>
          </w:pPr>
        </w:p>
      </w:tc>
      <w:tc>
        <w:tcPr>
          <w:tcW w:w="8164" w:type="dxa"/>
          <w:tcMar>
            <w:bottom w:w="284" w:type="dxa"/>
          </w:tcMar>
        </w:tcPr>
        <w:p w:rsidR="006F711A" w:rsidRPr="00090E70" w:rsidRDefault="006F711A" w:rsidP="006F711A"/>
      </w:tc>
    </w:tr>
  </w:tbl>
  <w:p w:rsidR="006F711A" w:rsidRDefault="006F711A">
    <w:pPr>
      <w:pStyle w:val="Footer"/>
    </w:pPr>
  </w:p>
  <w:p w:rsidR="006F711A" w:rsidRPr="004816D7" w:rsidRDefault="006F711A" w:rsidP="0001723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6F711A" w:rsidRPr="00EB388E" w:rsidTr="006F711A">
      <w:trPr>
        <w:trHeight w:val="340"/>
      </w:trPr>
      <w:tc>
        <w:tcPr>
          <w:tcW w:w="8164" w:type="dxa"/>
          <w:tcBorders>
            <w:right w:val="single" w:sz="4" w:space="0" w:color="788184" w:themeColor="background2"/>
          </w:tcBorders>
          <w:vAlign w:val="center"/>
        </w:tcPr>
        <w:p w:rsidR="006F711A" w:rsidRPr="00CB70DF" w:rsidRDefault="007D5E61" w:rsidP="006F711A">
          <w:pPr>
            <w:pStyle w:val="FooterRight"/>
            <w:framePr w:wrap="auto" w:vAnchor="margin" w:hAnchor="text" w:xAlign="left" w:yAlign="inline"/>
          </w:pPr>
          <w:r>
            <w:fldChar w:fldCharType="begin"/>
          </w:r>
          <w:r>
            <w:instrText xml:space="preserve"> STYLEREF  "Heading 1"  \* MERGEFORMAT </w:instrText>
          </w:r>
          <w:r>
            <w:fldChar w:fldCharType="separate"/>
          </w:r>
          <w:r>
            <w:rPr>
              <w:noProof/>
            </w:rPr>
            <w:t>Context and consultation process</w:t>
          </w:r>
          <w:r>
            <w:rPr>
              <w:noProof/>
            </w:rPr>
            <w:fldChar w:fldCharType="end"/>
          </w:r>
        </w:p>
      </w:tc>
      <w:tc>
        <w:tcPr>
          <w:tcW w:w="567" w:type="dxa"/>
          <w:tcBorders>
            <w:left w:val="single" w:sz="4" w:space="0" w:color="788184" w:themeColor="background2"/>
          </w:tcBorders>
          <w:vAlign w:val="center"/>
        </w:tcPr>
        <w:p w:rsidR="006F711A" w:rsidRPr="00CB70DF" w:rsidRDefault="006F711A" w:rsidP="006F711A">
          <w:pPr>
            <w:pStyle w:val="FooterRightPageNumber"/>
          </w:pPr>
          <w:r w:rsidRPr="00EB388E">
            <w:fldChar w:fldCharType="begin"/>
          </w:r>
          <w:r w:rsidRPr="00EB388E">
            <w:instrText xml:space="preserve"> PAGE   \* MERGEFORMAT </w:instrText>
          </w:r>
          <w:r w:rsidRPr="00EB388E">
            <w:fldChar w:fldCharType="separate"/>
          </w:r>
          <w:r w:rsidR="007D5E61">
            <w:t>1</w:t>
          </w:r>
          <w:r w:rsidRPr="00EB388E">
            <w:fldChar w:fldCharType="end"/>
          </w:r>
        </w:p>
      </w:tc>
    </w:tr>
    <w:tr w:rsidR="006F711A" w:rsidRPr="00EB388E" w:rsidTr="006F711A">
      <w:trPr>
        <w:trHeight w:hRule="exact" w:val="403"/>
      </w:trPr>
      <w:tc>
        <w:tcPr>
          <w:tcW w:w="8164" w:type="dxa"/>
        </w:tcPr>
        <w:p w:rsidR="006F711A" w:rsidRPr="00090E70" w:rsidRDefault="006F711A" w:rsidP="006F711A"/>
      </w:tc>
      <w:tc>
        <w:tcPr>
          <w:tcW w:w="567" w:type="dxa"/>
          <w:tcMar>
            <w:bottom w:w="284" w:type="dxa"/>
          </w:tcMar>
        </w:tcPr>
        <w:p w:rsidR="006F711A" w:rsidRPr="00090E70" w:rsidRDefault="006F711A" w:rsidP="006F711A"/>
      </w:tc>
    </w:tr>
  </w:tbl>
  <w:p w:rsidR="006F711A" w:rsidRDefault="006F711A">
    <w:pPr>
      <w:pStyle w:val="Footer"/>
    </w:pPr>
  </w:p>
  <w:p w:rsidR="006F711A" w:rsidRPr="004816D7" w:rsidRDefault="006F711A" w:rsidP="009160F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1A" w:rsidRDefault="006F7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8DC" w:rsidRPr="000557A7" w:rsidRDefault="00A278DC" w:rsidP="008D5A11">
      <w:pPr>
        <w:pBdr>
          <w:top w:val="single" w:sz="4" w:space="1" w:color="auto"/>
        </w:pBdr>
        <w:spacing w:before="240" w:line="60" w:lineRule="exact"/>
        <w:rPr>
          <w:sz w:val="16"/>
          <w:szCs w:val="16"/>
        </w:rPr>
      </w:pPr>
    </w:p>
  </w:footnote>
  <w:footnote w:type="continuationSeparator" w:id="0">
    <w:p w:rsidR="00A278DC" w:rsidRDefault="00A278DC" w:rsidP="00A20802">
      <w:pPr>
        <w:spacing w:line="240" w:lineRule="auto"/>
      </w:pPr>
      <w:r>
        <w:continuationSeparator/>
      </w:r>
    </w:p>
    <w:p w:rsidR="00A278DC" w:rsidRDefault="00A278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6E" w:rsidRDefault="000E266E">
    <w:pPr>
      <w:pStyle w:val="Header"/>
    </w:pPr>
    <w:r>
      <w:rPr>
        <w:noProof/>
        <w:lang w:eastAsia="en-AU"/>
      </w:rPr>
      <mc:AlternateContent>
        <mc:Choice Requires="wps">
          <w:drawing>
            <wp:anchor distT="0" distB="0" distL="114300" distR="114300" simplePos="0" relativeHeight="251663360" behindDoc="1" locked="1" layoutInCell="1" allowOverlap="1" wp14:anchorId="5630E801" wp14:editId="2D415FA8">
              <wp:simplePos x="0" y="0"/>
              <wp:positionH relativeFrom="page">
                <wp:align>center</wp:align>
              </wp:positionH>
              <wp:positionV relativeFrom="page">
                <wp:align>center</wp:align>
              </wp:positionV>
              <wp:extent cx="7560000" cy="1796400"/>
              <wp:effectExtent l="0" t="0" r="0" b="0"/>
              <wp:wrapNone/>
              <wp:docPr id="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66E" w:rsidRPr="0001226A" w:rsidRDefault="000E266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9" type="#_x0000_t202" style="position:absolute;margin-left:0;margin-top:0;width:595.3pt;height:141.4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IOtgIAALw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" filled="f" stroked="f">
              <v:textbox>
                <w:txbxContent>
                  <w:p w:rsidR="000E266E" w:rsidRPr="0001226A" w:rsidRDefault="000E266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1A" w:rsidRDefault="006F711A">
    <w:pPr>
      <w:pStyle w:val="Header"/>
    </w:pPr>
    <w:r>
      <w:rPr>
        <w:noProof/>
        <w:lang w:eastAsia="en-AU"/>
      </w:rPr>
      <w:drawing>
        <wp:anchor distT="0" distB="0" distL="114300" distR="114300" simplePos="0" relativeHeight="251688960" behindDoc="1" locked="0" layoutInCell="1" allowOverlap="1" wp14:anchorId="0EAAD0D4" wp14:editId="4A1A0305">
          <wp:simplePos x="0" y="0"/>
          <wp:positionH relativeFrom="page">
            <wp:posOffset>0</wp:posOffset>
          </wp:positionH>
          <wp:positionV relativeFrom="page">
            <wp:posOffset>0</wp:posOffset>
          </wp:positionV>
          <wp:extent cx="7563600" cy="10695600"/>
          <wp:effectExtent l="0" t="0" r="0" b="0"/>
          <wp:wrapNone/>
          <wp:docPr id="17" name="Picture 17"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87936" behindDoc="1" locked="1" layoutInCell="1" allowOverlap="1" wp14:anchorId="62F2C4E2" wp14:editId="16780BCA">
              <wp:simplePos x="0" y="0"/>
              <wp:positionH relativeFrom="page">
                <wp:align>center</wp:align>
              </wp:positionH>
              <wp:positionV relativeFrom="page">
                <wp:align>center</wp:align>
              </wp:positionV>
              <wp:extent cx="7560000" cy="1796400"/>
              <wp:effectExtent l="0" t="0" r="0" b="0"/>
              <wp:wrapNone/>
              <wp:docPr id="1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11A" w:rsidRPr="0001226A" w:rsidRDefault="006F711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0;margin-top:0;width:595.3pt;height:141.45pt;z-index:-2516285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QPugIAAMQ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EmiNA+6AgAA&#10;xAUAAA4AAAAAAAAAAAAAAAAALgIAAGRycy9lMm9Eb2MueG1sUEsBAi0AFAAGAAgAAAAhADTFRM7b&#10;AAAABgEAAA8AAAAAAAAAAAAAAAAAFAUAAGRycy9kb3ducmV2LnhtbFBLBQYAAAAABAAEAPMAAAAc&#10;BgAAAAA=&#10;" filled="f" stroked="f">
              <v:textbox>
                <w:txbxContent>
                  <w:p w:rsidR="006F711A" w:rsidRPr="0001226A" w:rsidRDefault="006F711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6E" w:rsidRDefault="000E266E">
    <w:pPr>
      <w:pStyle w:val="Header"/>
    </w:pPr>
    <w:r>
      <w:rPr>
        <w:noProof/>
        <w:lang w:eastAsia="en-AU"/>
      </w:rPr>
      <mc:AlternateContent>
        <mc:Choice Requires="wps">
          <w:drawing>
            <wp:anchor distT="0" distB="0" distL="114300" distR="114300" simplePos="0" relativeHeight="251665408" behindDoc="1" locked="1" layoutInCell="1" allowOverlap="1" wp14:anchorId="0031CADE" wp14:editId="114045BF">
              <wp:simplePos x="0" y="0"/>
              <wp:positionH relativeFrom="page">
                <wp:align>center</wp:align>
              </wp:positionH>
              <wp:positionV relativeFrom="page">
                <wp:align>center</wp:align>
              </wp:positionV>
              <wp:extent cx="7560000" cy="1796400"/>
              <wp:effectExtent l="0" t="0" r="0" b="0"/>
              <wp:wrapNone/>
              <wp:docPr id="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66E" w:rsidRPr="0001226A" w:rsidRDefault="000E266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0;margin-top:0;width:595.3pt;height:141.45pt;z-index:-2516510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IeAB0W6AgAA&#10;wwUAAA4AAAAAAAAAAAAAAAAALgIAAGRycy9lMm9Eb2MueG1sUEsBAi0AFAAGAAgAAAAhADTFRM7b&#10;AAAABgEAAA8AAAAAAAAAAAAAAAAAFAUAAGRycy9kb3ducmV2LnhtbFBLBQYAAAAABAAEAPMAAAAc&#10;BgAAAAA=&#10;" filled="f" stroked="f">
              <v:textbox>
                <w:txbxContent>
                  <w:p w:rsidR="000E266E" w:rsidRPr="0001226A" w:rsidRDefault="000E266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6E" w:rsidRDefault="000E266E">
    <w:pPr>
      <w:pStyle w:val="Header"/>
    </w:pPr>
    <w:r>
      <w:rPr>
        <w:noProof/>
        <w:lang w:eastAsia="en-AU"/>
      </w:rPr>
      <w:drawing>
        <wp:anchor distT="0" distB="0" distL="114300" distR="114300" simplePos="0" relativeHeight="251674624" behindDoc="1" locked="0" layoutInCell="1" allowOverlap="1" wp14:anchorId="01327B6F" wp14:editId="08B6107E">
          <wp:simplePos x="0" y="0"/>
          <wp:positionH relativeFrom="page">
            <wp:posOffset>0</wp:posOffset>
          </wp:positionH>
          <wp:positionV relativeFrom="page">
            <wp:posOffset>0</wp:posOffset>
          </wp:positionV>
          <wp:extent cx="7563600" cy="10695600"/>
          <wp:effectExtent l="0" t="0" r="0" b="0"/>
          <wp:wrapNone/>
          <wp:docPr id="10" name="Picture 10"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1312" behindDoc="1" locked="1" layoutInCell="1" allowOverlap="1" wp14:anchorId="4BA369F8" wp14:editId="57253D46">
              <wp:simplePos x="0" y="0"/>
              <wp:positionH relativeFrom="page">
                <wp:align>center</wp:align>
              </wp:positionH>
              <wp:positionV relativeFrom="page">
                <wp:align>center</wp:align>
              </wp:positionV>
              <wp:extent cx="7560000" cy="1796400"/>
              <wp:effectExtent l="0" t="0" r="0" b="0"/>
              <wp:wrapNone/>
              <wp:docPr id="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66E" w:rsidRPr="0001226A" w:rsidRDefault="000E266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595.3pt;height:141.45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OSugIAAMM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Gtyw5K6AgAA&#10;wwUAAA4AAAAAAAAAAAAAAAAALgIAAGRycy9lMm9Eb2MueG1sUEsBAi0AFAAGAAgAAAAhADTFRM7b&#10;AAAABgEAAA8AAAAAAAAAAAAAAAAAFAUAAGRycy9kb3ducmV2LnhtbFBLBQYAAAAABAAEAPMAAAAc&#10;BgAAAAA=&#10;" filled="f" stroked="f">
              <v:textbox>
                <w:txbxContent>
                  <w:p w:rsidR="000E266E" w:rsidRPr="0001226A" w:rsidRDefault="000E266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6E" w:rsidRDefault="000E266E">
    <w:pPr>
      <w:pStyle w:val="Header"/>
    </w:pPr>
    <w:r>
      <w:rPr>
        <w:noProof/>
        <w:lang w:eastAsia="en-AU"/>
      </w:rPr>
      <mc:AlternateContent>
        <mc:Choice Requires="wps">
          <w:drawing>
            <wp:anchor distT="0" distB="0" distL="114300" distR="114300" simplePos="0" relativeHeight="251667456" behindDoc="1" locked="1" layoutInCell="1" allowOverlap="1" wp14:anchorId="43BD1177" wp14:editId="4753E43D">
              <wp:simplePos x="0" y="0"/>
              <wp:positionH relativeFrom="page">
                <wp:align>center</wp:align>
              </wp:positionH>
              <wp:positionV relativeFrom="page">
                <wp:align>center</wp:align>
              </wp:positionV>
              <wp:extent cx="7560000" cy="1796400"/>
              <wp:effectExtent l="0" t="0" r="0" b="0"/>
              <wp:wrapNone/>
              <wp:docPr id="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66E" w:rsidRPr="0001226A" w:rsidRDefault="000E266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0;margin-top:0;width:595.3pt;height:141.45pt;z-index:-2516490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CbXotK6AgAA&#10;wwUAAA4AAAAAAAAAAAAAAAAALgIAAGRycy9lMm9Eb2MueG1sUEsBAi0AFAAGAAgAAAAhADTFRM7b&#10;AAAABgEAAA8AAAAAAAAAAAAAAAAAFAUAAGRycy9kb3ducmV2LnhtbFBLBQYAAAAABAAEAPMAAAAc&#10;BgAAAAA=&#10;" filled="f" stroked="f">
              <v:textbox>
                <w:txbxContent>
                  <w:p w:rsidR="000E266E" w:rsidRPr="0001226A" w:rsidRDefault="000E266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6E" w:rsidRDefault="000E266E">
    <w:pPr>
      <w:pStyle w:val="Header"/>
    </w:pPr>
    <w:r>
      <w:rPr>
        <w:noProof/>
        <w:lang w:eastAsia="en-AU"/>
      </w:rPr>
      <mc:AlternateContent>
        <mc:Choice Requires="wps">
          <w:drawing>
            <wp:anchor distT="0" distB="0" distL="114300" distR="114300" simplePos="0" relativeHeight="251669504" behindDoc="1" locked="1" layoutInCell="1" allowOverlap="1" wp14:anchorId="7867C21C" wp14:editId="3F8EB717">
              <wp:simplePos x="0" y="0"/>
              <wp:positionH relativeFrom="page">
                <wp:align>center</wp:align>
              </wp:positionH>
              <wp:positionV relativeFrom="page">
                <wp:align>center</wp:align>
              </wp:positionV>
              <wp:extent cx="7560000" cy="1796400"/>
              <wp:effectExtent l="0" t="0" r="0" b="0"/>
              <wp:wrapNone/>
              <wp:docPr id="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66E" w:rsidRPr="0001226A" w:rsidRDefault="000E266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0;margin-top:0;width:595.3pt;height:141.45pt;z-index:-2516469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mC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FPCCYK6AgAA&#10;wwUAAA4AAAAAAAAAAAAAAAAALgIAAGRycy9lMm9Eb2MueG1sUEsBAi0AFAAGAAgAAAAhADTFRM7b&#10;AAAABgEAAA8AAAAAAAAAAAAAAAAAFAUAAGRycy9kb3ducmV2LnhtbFBLBQYAAAAABAAEAPMAAAAc&#10;BgAAAAA=&#10;" filled="f" stroked="f">
              <v:textbox>
                <w:txbxContent>
                  <w:p w:rsidR="000E266E" w:rsidRPr="0001226A" w:rsidRDefault="000E266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6E" w:rsidRDefault="000E266E">
    <w:pPr>
      <w:pStyle w:val="Header"/>
    </w:pPr>
    <w:r>
      <w:rPr>
        <w:noProof/>
        <w:lang w:eastAsia="en-AU"/>
      </w:rPr>
      <mc:AlternateContent>
        <mc:Choice Requires="wps">
          <w:drawing>
            <wp:anchor distT="0" distB="0" distL="114300" distR="114300" simplePos="0" relativeHeight="251673600" behindDoc="1" locked="1" layoutInCell="1" allowOverlap="1" wp14:anchorId="6112BE0D" wp14:editId="2711EA9E">
              <wp:simplePos x="0" y="0"/>
              <wp:positionH relativeFrom="page">
                <wp:align>center</wp:align>
              </wp:positionH>
              <wp:positionV relativeFrom="page">
                <wp:align>center</wp:align>
              </wp:positionV>
              <wp:extent cx="7560000" cy="1796400"/>
              <wp:effectExtent l="0" t="0" r="0" b="0"/>
              <wp:wrapNone/>
              <wp:docPr id="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66E" w:rsidRPr="0001226A" w:rsidRDefault="000E266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0;margin-top:0;width:595.3pt;height:141.45pt;z-index:-2516428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MkOloi6AgAA&#10;wwUAAA4AAAAAAAAAAAAAAAAALgIAAGRycy9lMm9Eb2MueG1sUEsBAi0AFAAGAAgAAAAhADTFRM7b&#10;AAAABgEAAA8AAAAAAAAAAAAAAAAAFAUAAGRycy9kb3ducmV2LnhtbFBLBQYAAAAABAAEAPMAAAAc&#10;BgAAAAA=&#10;" filled="f" stroked="f">
              <v:textbox>
                <w:txbxContent>
                  <w:p w:rsidR="000E266E" w:rsidRPr="0001226A" w:rsidRDefault="000E266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6E" w:rsidRDefault="000E266E">
    <w:pPr>
      <w:pStyle w:val="Header"/>
    </w:pPr>
    <w:r>
      <w:rPr>
        <w:noProof/>
        <w:lang w:eastAsia="en-AU"/>
      </w:rPr>
      <mc:AlternateContent>
        <mc:Choice Requires="wps">
          <w:drawing>
            <wp:anchor distT="0" distB="0" distL="114300" distR="114300" simplePos="0" relativeHeight="251671552" behindDoc="1" locked="1" layoutInCell="1" allowOverlap="1" wp14:anchorId="75626678" wp14:editId="5B01F6D6">
              <wp:simplePos x="0" y="0"/>
              <wp:positionH relativeFrom="page">
                <wp:align>center</wp:align>
              </wp:positionH>
              <wp:positionV relativeFrom="page">
                <wp:align>center</wp:align>
              </wp:positionV>
              <wp:extent cx="7560000" cy="1796400"/>
              <wp:effectExtent l="0" t="0" r="0" b="0"/>
              <wp:wrapNone/>
              <wp:docPr id="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66E" w:rsidRPr="0001226A" w:rsidRDefault="000E266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0;margin-top:0;width:595.3pt;height:141.45pt;z-index:-2516449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s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L+yBiy6AgAA&#10;wwUAAA4AAAAAAAAAAAAAAAAALgIAAGRycy9lMm9Eb2MueG1sUEsBAi0AFAAGAAgAAAAhADTFRM7b&#10;AAAABgEAAA8AAAAAAAAAAAAAAAAAFAUAAGRycy9kb3ducmV2LnhtbFBLBQYAAAAABAAEAPMAAAAc&#10;BgAAAAA=&#10;" filled="f" stroked="f">
              <v:textbox>
                <w:txbxContent>
                  <w:p w:rsidR="000E266E" w:rsidRPr="0001226A" w:rsidRDefault="000E266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1A" w:rsidRDefault="006F711A">
    <w:pPr>
      <w:pStyle w:val="Header"/>
    </w:pPr>
    <w:r>
      <w:rPr>
        <w:noProof/>
        <w:lang w:eastAsia="en-AU"/>
      </w:rPr>
      <mc:AlternateContent>
        <mc:Choice Requires="wps">
          <w:drawing>
            <wp:anchor distT="0" distB="0" distL="114300" distR="114300" simplePos="0" relativeHeight="251685888" behindDoc="1" locked="1" layoutInCell="1" allowOverlap="1" wp14:anchorId="7929D0F3" wp14:editId="5441E859">
              <wp:simplePos x="0" y="0"/>
              <wp:positionH relativeFrom="page">
                <wp:align>center</wp:align>
              </wp:positionH>
              <wp:positionV relativeFrom="page">
                <wp:align>center</wp:align>
              </wp:positionV>
              <wp:extent cx="7560000" cy="1796400"/>
              <wp:effectExtent l="0" t="0" r="0" b="0"/>
              <wp:wrapNone/>
              <wp:docPr id="1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11A" w:rsidRPr="0001226A" w:rsidRDefault="006F711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0;margin-top:0;width:595.3pt;height:141.45pt;z-index:-2516305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HV+kBW6AgAA&#10;xAUAAA4AAAAAAAAAAAAAAAAALgIAAGRycy9lMm9Eb2MueG1sUEsBAi0AFAAGAAgAAAAhADTFRM7b&#10;AAAABgEAAA8AAAAAAAAAAAAAAAAAFAUAAGRycy9kb3ducmV2LnhtbFBLBQYAAAAABAAEAPMAAAAc&#10;BgAAAAA=&#10;" filled="f" stroked="f">
              <v:textbox>
                <w:txbxContent>
                  <w:p w:rsidR="006F711A" w:rsidRPr="0001226A" w:rsidRDefault="006F711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1A" w:rsidRDefault="006F711A">
    <w:pPr>
      <w:pStyle w:val="Header"/>
    </w:pPr>
    <w:r>
      <w:rPr>
        <w:noProof/>
        <w:lang w:eastAsia="en-AU"/>
      </w:rPr>
      <mc:AlternateContent>
        <mc:Choice Requires="wps">
          <w:drawing>
            <wp:anchor distT="0" distB="0" distL="114300" distR="114300" simplePos="0" relativeHeight="251683840" behindDoc="1" locked="1" layoutInCell="1" allowOverlap="1" wp14:anchorId="7F7B71B9" wp14:editId="3DC6CCC7">
              <wp:simplePos x="0" y="0"/>
              <wp:positionH relativeFrom="page">
                <wp:align>center</wp:align>
              </wp:positionH>
              <wp:positionV relativeFrom="page">
                <wp:align>center</wp:align>
              </wp:positionV>
              <wp:extent cx="7560000" cy="1796400"/>
              <wp:effectExtent l="0" t="0" r="0" b="0"/>
              <wp:wrapNone/>
              <wp:docPr id="1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11A" w:rsidRPr="0001226A" w:rsidRDefault="006F711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0;margin-top:0;width:595.3pt;height:141.45pt;z-index:-2516326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VPugIAAMQ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AQHVU+6AgAA&#10;xAUAAA4AAAAAAAAAAAAAAAAALgIAAGRycy9lMm9Eb2MueG1sUEsBAi0AFAAGAAgAAAAhADTFRM7b&#10;AAAABgEAAA8AAAAAAAAAAAAAAAAAFAUAAGRycy9kb3ducmV2LnhtbFBLBQYAAAAABAAEAPMAAAAc&#10;BgAAAAA=&#10;" filled="f" stroked="f">
              <v:textbox>
                <w:txbxContent>
                  <w:p w:rsidR="006F711A" w:rsidRPr="0001226A" w:rsidRDefault="006F711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nsid w:val="0D745448"/>
    <w:multiLevelType w:val="multilevel"/>
    <w:tmpl w:val="CABC0242"/>
    <w:name w:val="PBOHeadings"/>
    <w:lvl w:ilvl="0">
      <w:start w:val="1"/>
      <w:numFmt w:val="decimal"/>
      <w:pStyle w:val="Heading1"/>
      <w:lvlText w:val="%1"/>
      <w:lvlJc w:val="left"/>
      <w:pPr>
        <w:ind w:left="765" w:hanging="765"/>
      </w:pPr>
      <w:rPr>
        <w:rFonts w:hint="default"/>
      </w:rPr>
    </w:lvl>
    <w:lvl w:ilvl="1">
      <w:start w:val="1"/>
      <w:numFmt w:val="decimal"/>
      <w:pStyle w:val="Heading2"/>
      <w:lvlText w:val="%1.%2"/>
      <w:lvlJc w:val="left"/>
      <w:pPr>
        <w:ind w:left="765" w:hanging="765"/>
      </w:pPr>
      <w:rPr>
        <w:rFonts w:hint="default"/>
      </w:rPr>
    </w:lvl>
    <w:lvl w:ilvl="2">
      <w:start w:val="1"/>
      <w:numFmt w:val="decimal"/>
      <w:pStyle w:val="Heading3"/>
      <w:lvlText w:val="%1.%2.%3"/>
      <w:lvlJc w:val="left"/>
      <w:pPr>
        <w:ind w:left="765" w:hanging="765"/>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2">
    <w:nsid w:val="0FB2573F"/>
    <w:multiLevelType w:val="multilevel"/>
    <w:tmpl w:val="93FEDA8E"/>
    <w:name w:val="TableFootnotes"/>
    <w:lvl w:ilvl="0">
      <w:start w:val="1"/>
      <w:numFmt w:val="decimal"/>
      <w:pStyle w:val="TableFootnotes"/>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3">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nsid w:val="5D0540A9"/>
    <w:multiLevelType w:val="multilevel"/>
    <w:tmpl w:val="0588A4BC"/>
    <w:name w:val="AppendicesNumbering"/>
    <w:lvl w:ilvl="0">
      <w:start w:val="1"/>
      <w:numFmt w:val="upperLetter"/>
      <w:pStyle w:val="Heading8"/>
      <w:suff w:val="nothing"/>
      <w:lvlText w:val="Appendix %1"/>
      <w:lvlJc w:val="left"/>
      <w:pPr>
        <w:ind w:left="0" w:firstLine="0"/>
      </w:pPr>
      <w:rPr>
        <w:rFonts w:hint="default"/>
        <w:b w:val="0"/>
        <w:i w:val="0"/>
        <w:sz w:val="40"/>
      </w:rPr>
    </w:lvl>
    <w:lvl w:ilvl="1">
      <w:start w:val="1"/>
      <w:numFmt w:val="decimal"/>
      <w:pStyle w:val="Heading9"/>
      <w:lvlText w:val="%1%2."/>
      <w:lvlJc w:val="left"/>
      <w:pPr>
        <w:tabs>
          <w:tab w:val="num" w:pos="765"/>
        </w:tabs>
        <w:ind w:left="765" w:hanging="765"/>
      </w:pPr>
      <w:rPr>
        <w:rFonts w:hint="default"/>
        <w:sz w:val="26"/>
      </w:rPr>
    </w:lvl>
    <w:lvl w:ilvl="2">
      <w:start w:val="1"/>
      <w:numFmt w:val="decimal"/>
      <w:pStyle w:val="AppendixHeading2"/>
      <w:lvlText w:val="%1%2.%3"/>
      <w:lvlJc w:val="left"/>
      <w:pPr>
        <w:tabs>
          <w:tab w:val="num" w:pos="765"/>
        </w:tabs>
        <w:ind w:left="765" w:hanging="765"/>
      </w:pPr>
      <w:rPr>
        <w:rFonts w:hint="default"/>
      </w:rPr>
    </w:lvl>
    <w:lvl w:ilvl="3">
      <w:start w:val="1"/>
      <w:numFmt w:val="decimal"/>
      <w:pStyle w:val="AppendixHeading3"/>
      <w:lvlText w:val="%1%2.%3.%4"/>
      <w:lvlJc w:val="left"/>
      <w:pPr>
        <w:tabs>
          <w:tab w:val="num" w:pos="765"/>
        </w:tabs>
        <w:ind w:left="765" w:hanging="765"/>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7">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9">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6"/>
  </w:num>
  <w:num w:numId="2">
    <w:abstractNumId w:val="0"/>
  </w:num>
  <w:num w:numId="3">
    <w:abstractNumId w:val="9"/>
  </w:num>
  <w:num w:numId="4">
    <w:abstractNumId w:val="5"/>
  </w:num>
  <w:num w:numId="5">
    <w:abstractNumId w:val="4"/>
  </w:num>
  <w:num w:numId="6">
    <w:abstractNumId w:val="8"/>
  </w:num>
  <w:num w:numId="7">
    <w:abstractNumId w:val="2"/>
  </w:num>
  <w:num w:numId="8">
    <w:abstractNumId w:val="3"/>
  </w:num>
  <w:num w:numId="9">
    <w:abstractNumId w:val="7"/>
  </w:num>
  <w:num w:numId="10">
    <w:abstractNumId w:val="1"/>
  </w:num>
  <w:num w:numId="1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ppendix"/>
    <w:docVar w:name="Disclaimer" w:val="True"/>
    <w:docVar w:name="Foreword" w:val="True"/>
    <w:docVar w:name="Heading1Numbered" w:val="True"/>
    <w:docVar w:name="Heading2Numbered" w:val="True"/>
    <w:docVar w:name="Heading3Numbered" w:val="True"/>
    <w:docVar w:name="IsWordingOverview" w:val="True"/>
    <w:docVar w:name="NumberedBodyText" w:val="False"/>
    <w:docVar w:name="optHeading1OddPage" w:val="True"/>
    <w:docVar w:name="Overview" w:val="False"/>
    <w:docVar w:name="PageSetup" w:val="Double"/>
    <w:docVar w:name="RibbonLabel" w:val="Appendix"/>
    <w:docVar w:name="TOC" w:val="True"/>
    <w:docVar w:name="TOCNew" w:val="True"/>
    <w:docVar w:name="Version" w:val="Version 1"/>
  </w:docVars>
  <w:rsids>
    <w:rsidRoot w:val="00A278DC"/>
    <w:rsid w:val="00002C51"/>
    <w:rsid w:val="0000322C"/>
    <w:rsid w:val="00003CDD"/>
    <w:rsid w:val="000168A7"/>
    <w:rsid w:val="000179EB"/>
    <w:rsid w:val="000278D0"/>
    <w:rsid w:val="00027E62"/>
    <w:rsid w:val="000307C8"/>
    <w:rsid w:val="00030F73"/>
    <w:rsid w:val="00035ADE"/>
    <w:rsid w:val="0004224B"/>
    <w:rsid w:val="00046226"/>
    <w:rsid w:val="0005330D"/>
    <w:rsid w:val="000557A7"/>
    <w:rsid w:val="00055805"/>
    <w:rsid w:val="00056CB3"/>
    <w:rsid w:val="00063068"/>
    <w:rsid w:val="00067A28"/>
    <w:rsid w:val="0007260F"/>
    <w:rsid w:val="00075F99"/>
    <w:rsid w:val="000805D5"/>
    <w:rsid w:val="0008103B"/>
    <w:rsid w:val="00084670"/>
    <w:rsid w:val="00085F97"/>
    <w:rsid w:val="00091BD3"/>
    <w:rsid w:val="00092A33"/>
    <w:rsid w:val="000A2FEC"/>
    <w:rsid w:val="000A348F"/>
    <w:rsid w:val="000B0CF6"/>
    <w:rsid w:val="000B6942"/>
    <w:rsid w:val="000C09FA"/>
    <w:rsid w:val="000C37A9"/>
    <w:rsid w:val="000C6728"/>
    <w:rsid w:val="000C702E"/>
    <w:rsid w:val="000D15E9"/>
    <w:rsid w:val="000D3182"/>
    <w:rsid w:val="000D45C4"/>
    <w:rsid w:val="000E18F3"/>
    <w:rsid w:val="000E266E"/>
    <w:rsid w:val="000F1515"/>
    <w:rsid w:val="000F16B5"/>
    <w:rsid w:val="000F616E"/>
    <w:rsid w:val="001027AB"/>
    <w:rsid w:val="00110D43"/>
    <w:rsid w:val="00112413"/>
    <w:rsid w:val="001159EA"/>
    <w:rsid w:val="00125410"/>
    <w:rsid w:val="00130858"/>
    <w:rsid w:val="00136C26"/>
    <w:rsid w:val="0014059F"/>
    <w:rsid w:val="00141551"/>
    <w:rsid w:val="001417CE"/>
    <w:rsid w:val="0014363D"/>
    <w:rsid w:val="0014479F"/>
    <w:rsid w:val="001508D6"/>
    <w:rsid w:val="0015192E"/>
    <w:rsid w:val="001540EB"/>
    <w:rsid w:val="00154DC5"/>
    <w:rsid w:val="001602EA"/>
    <w:rsid w:val="00160C8D"/>
    <w:rsid w:val="001629C0"/>
    <w:rsid w:val="00165122"/>
    <w:rsid w:val="00165854"/>
    <w:rsid w:val="00173DFD"/>
    <w:rsid w:val="00180FF9"/>
    <w:rsid w:val="00195228"/>
    <w:rsid w:val="00195696"/>
    <w:rsid w:val="00196532"/>
    <w:rsid w:val="001A10BB"/>
    <w:rsid w:val="001A1EFC"/>
    <w:rsid w:val="001A48EF"/>
    <w:rsid w:val="001A49CC"/>
    <w:rsid w:val="001A5553"/>
    <w:rsid w:val="001A716E"/>
    <w:rsid w:val="001B2C65"/>
    <w:rsid w:val="001B7058"/>
    <w:rsid w:val="001C3A4F"/>
    <w:rsid w:val="001C4121"/>
    <w:rsid w:val="001C48DE"/>
    <w:rsid w:val="001D1852"/>
    <w:rsid w:val="001D52E3"/>
    <w:rsid w:val="001D576F"/>
    <w:rsid w:val="001D72EA"/>
    <w:rsid w:val="001D7C29"/>
    <w:rsid w:val="001E0475"/>
    <w:rsid w:val="001F5C90"/>
    <w:rsid w:val="001F767C"/>
    <w:rsid w:val="00210FCF"/>
    <w:rsid w:val="00222EFF"/>
    <w:rsid w:val="002240D5"/>
    <w:rsid w:val="002261A7"/>
    <w:rsid w:val="00226AEC"/>
    <w:rsid w:val="00234C16"/>
    <w:rsid w:val="00234CF0"/>
    <w:rsid w:val="002378DB"/>
    <w:rsid w:val="0024480A"/>
    <w:rsid w:val="002533A1"/>
    <w:rsid w:val="002545F3"/>
    <w:rsid w:val="0026344F"/>
    <w:rsid w:val="00266A17"/>
    <w:rsid w:val="00270372"/>
    <w:rsid w:val="00271056"/>
    <w:rsid w:val="00275534"/>
    <w:rsid w:val="00277075"/>
    <w:rsid w:val="002775D2"/>
    <w:rsid w:val="00281ADD"/>
    <w:rsid w:val="00287E38"/>
    <w:rsid w:val="00293E0D"/>
    <w:rsid w:val="00293E80"/>
    <w:rsid w:val="00295607"/>
    <w:rsid w:val="002973B0"/>
    <w:rsid w:val="00297C14"/>
    <w:rsid w:val="002A220F"/>
    <w:rsid w:val="002A24F1"/>
    <w:rsid w:val="002A5778"/>
    <w:rsid w:val="002A5D59"/>
    <w:rsid w:val="002B1E84"/>
    <w:rsid w:val="002B2085"/>
    <w:rsid w:val="002B3EC4"/>
    <w:rsid w:val="002C1AF6"/>
    <w:rsid w:val="002C37D5"/>
    <w:rsid w:val="002D34DB"/>
    <w:rsid w:val="002D34E8"/>
    <w:rsid w:val="002D4B11"/>
    <w:rsid w:val="002D6803"/>
    <w:rsid w:val="002E5633"/>
    <w:rsid w:val="002F1963"/>
    <w:rsid w:val="002F5B6E"/>
    <w:rsid w:val="002F61B5"/>
    <w:rsid w:val="00300885"/>
    <w:rsid w:val="0030209B"/>
    <w:rsid w:val="003127E4"/>
    <w:rsid w:val="00313215"/>
    <w:rsid w:val="003174C3"/>
    <w:rsid w:val="00321A1F"/>
    <w:rsid w:val="0032351E"/>
    <w:rsid w:val="0032557A"/>
    <w:rsid w:val="00326E39"/>
    <w:rsid w:val="00337E8C"/>
    <w:rsid w:val="00340778"/>
    <w:rsid w:val="00344D2C"/>
    <w:rsid w:val="003458CE"/>
    <w:rsid w:val="00345A57"/>
    <w:rsid w:val="00346D90"/>
    <w:rsid w:val="00351F62"/>
    <w:rsid w:val="00355254"/>
    <w:rsid w:val="003601F4"/>
    <w:rsid w:val="003612C4"/>
    <w:rsid w:val="003671E2"/>
    <w:rsid w:val="00372AE6"/>
    <w:rsid w:val="003837E1"/>
    <w:rsid w:val="0038584D"/>
    <w:rsid w:val="0039257F"/>
    <w:rsid w:val="003931DE"/>
    <w:rsid w:val="00397D1A"/>
    <w:rsid w:val="003A035C"/>
    <w:rsid w:val="003A163C"/>
    <w:rsid w:val="003A2B4E"/>
    <w:rsid w:val="003A2FBB"/>
    <w:rsid w:val="003A3799"/>
    <w:rsid w:val="003A4913"/>
    <w:rsid w:val="003A5246"/>
    <w:rsid w:val="003A54A9"/>
    <w:rsid w:val="003A7083"/>
    <w:rsid w:val="003B38B3"/>
    <w:rsid w:val="003B3A97"/>
    <w:rsid w:val="003B3D44"/>
    <w:rsid w:val="003B6DA6"/>
    <w:rsid w:val="003C7CC2"/>
    <w:rsid w:val="003D342F"/>
    <w:rsid w:val="003D50B6"/>
    <w:rsid w:val="003E05DF"/>
    <w:rsid w:val="003E539B"/>
    <w:rsid w:val="003E6085"/>
    <w:rsid w:val="003E6CA3"/>
    <w:rsid w:val="003F4C96"/>
    <w:rsid w:val="00404624"/>
    <w:rsid w:val="00406002"/>
    <w:rsid w:val="00406AD3"/>
    <w:rsid w:val="00412E42"/>
    <w:rsid w:val="004134CC"/>
    <w:rsid w:val="00426356"/>
    <w:rsid w:val="00426929"/>
    <w:rsid w:val="00442C16"/>
    <w:rsid w:val="00446439"/>
    <w:rsid w:val="00450BDA"/>
    <w:rsid w:val="00453A3E"/>
    <w:rsid w:val="0045452F"/>
    <w:rsid w:val="0045766B"/>
    <w:rsid w:val="00474BB7"/>
    <w:rsid w:val="004816D7"/>
    <w:rsid w:val="0048342E"/>
    <w:rsid w:val="00487478"/>
    <w:rsid w:val="0048782D"/>
    <w:rsid w:val="00490C07"/>
    <w:rsid w:val="0049298C"/>
    <w:rsid w:val="00494DC1"/>
    <w:rsid w:val="004A36DA"/>
    <w:rsid w:val="004A3F56"/>
    <w:rsid w:val="004A5E21"/>
    <w:rsid w:val="004A666A"/>
    <w:rsid w:val="004B143F"/>
    <w:rsid w:val="004B49A0"/>
    <w:rsid w:val="004B5B83"/>
    <w:rsid w:val="004C6306"/>
    <w:rsid w:val="004C6F5E"/>
    <w:rsid w:val="004C7E94"/>
    <w:rsid w:val="004D7CF8"/>
    <w:rsid w:val="004D7EDA"/>
    <w:rsid w:val="004E0E49"/>
    <w:rsid w:val="004E197A"/>
    <w:rsid w:val="004E5D52"/>
    <w:rsid w:val="004F07D7"/>
    <w:rsid w:val="004F1297"/>
    <w:rsid w:val="004F16DB"/>
    <w:rsid w:val="004F4D7E"/>
    <w:rsid w:val="004F5B16"/>
    <w:rsid w:val="004F5D9D"/>
    <w:rsid w:val="004F68E5"/>
    <w:rsid w:val="004F741B"/>
    <w:rsid w:val="00503253"/>
    <w:rsid w:val="00503BB0"/>
    <w:rsid w:val="00503E03"/>
    <w:rsid w:val="0051069C"/>
    <w:rsid w:val="00512226"/>
    <w:rsid w:val="005147C6"/>
    <w:rsid w:val="005159B1"/>
    <w:rsid w:val="00520281"/>
    <w:rsid w:val="00522502"/>
    <w:rsid w:val="005255A1"/>
    <w:rsid w:val="0052641C"/>
    <w:rsid w:val="0053795D"/>
    <w:rsid w:val="00544522"/>
    <w:rsid w:val="005468AB"/>
    <w:rsid w:val="005501A0"/>
    <w:rsid w:val="00550831"/>
    <w:rsid w:val="00554273"/>
    <w:rsid w:val="005637E0"/>
    <w:rsid w:val="005642B6"/>
    <w:rsid w:val="00571D5E"/>
    <w:rsid w:val="0057720C"/>
    <w:rsid w:val="00580615"/>
    <w:rsid w:val="005823D0"/>
    <w:rsid w:val="00590267"/>
    <w:rsid w:val="005A2748"/>
    <w:rsid w:val="005A443F"/>
    <w:rsid w:val="005B58D4"/>
    <w:rsid w:val="005C07B3"/>
    <w:rsid w:val="005C284E"/>
    <w:rsid w:val="005C47D4"/>
    <w:rsid w:val="005D0F0C"/>
    <w:rsid w:val="005D51D0"/>
    <w:rsid w:val="005D5FAF"/>
    <w:rsid w:val="005D6F83"/>
    <w:rsid w:val="005D7877"/>
    <w:rsid w:val="005D7CCF"/>
    <w:rsid w:val="005E58C4"/>
    <w:rsid w:val="005E5D8F"/>
    <w:rsid w:val="005F5A5C"/>
    <w:rsid w:val="005F5CD9"/>
    <w:rsid w:val="0061135C"/>
    <w:rsid w:val="006113BA"/>
    <w:rsid w:val="006136DD"/>
    <w:rsid w:val="006149F0"/>
    <w:rsid w:val="006220A5"/>
    <w:rsid w:val="00624AC8"/>
    <w:rsid w:val="00633C60"/>
    <w:rsid w:val="0064126D"/>
    <w:rsid w:val="006451B8"/>
    <w:rsid w:val="00645722"/>
    <w:rsid w:val="00652432"/>
    <w:rsid w:val="00657840"/>
    <w:rsid w:val="0066003C"/>
    <w:rsid w:val="0066041E"/>
    <w:rsid w:val="00663FDE"/>
    <w:rsid w:val="0066422C"/>
    <w:rsid w:val="00673CCC"/>
    <w:rsid w:val="00675C98"/>
    <w:rsid w:val="0069026B"/>
    <w:rsid w:val="00691009"/>
    <w:rsid w:val="006956EA"/>
    <w:rsid w:val="006A490C"/>
    <w:rsid w:val="006B4E5A"/>
    <w:rsid w:val="006B4F7D"/>
    <w:rsid w:val="006C114C"/>
    <w:rsid w:val="006C3864"/>
    <w:rsid w:val="006C5383"/>
    <w:rsid w:val="006C5E72"/>
    <w:rsid w:val="006D2AEC"/>
    <w:rsid w:val="006D4C8E"/>
    <w:rsid w:val="006E19D1"/>
    <w:rsid w:val="006E1CBB"/>
    <w:rsid w:val="006F100B"/>
    <w:rsid w:val="006F239A"/>
    <w:rsid w:val="006F2C9D"/>
    <w:rsid w:val="006F711A"/>
    <w:rsid w:val="0070637D"/>
    <w:rsid w:val="007071DD"/>
    <w:rsid w:val="0070771F"/>
    <w:rsid w:val="00712A14"/>
    <w:rsid w:val="00716C04"/>
    <w:rsid w:val="00716CD5"/>
    <w:rsid w:val="00717180"/>
    <w:rsid w:val="007179D2"/>
    <w:rsid w:val="00720750"/>
    <w:rsid w:val="0072549C"/>
    <w:rsid w:val="00725A80"/>
    <w:rsid w:val="007262D0"/>
    <w:rsid w:val="00733970"/>
    <w:rsid w:val="00744FCF"/>
    <w:rsid w:val="00747AC6"/>
    <w:rsid w:val="00754C58"/>
    <w:rsid w:val="00765B61"/>
    <w:rsid w:val="007735E9"/>
    <w:rsid w:val="00776E78"/>
    <w:rsid w:val="0078138A"/>
    <w:rsid w:val="00783014"/>
    <w:rsid w:val="007834DC"/>
    <w:rsid w:val="007959D8"/>
    <w:rsid w:val="0079630F"/>
    <w:rsid w:val="007A04C2"/>
    <w:rsid w:val="007B103F"/>
    <w:rsid w:val="007B146A"/>
    <w:rsid w:val="007B323B"/>
    <w:rsid w:val="007C0E7C"/>
    <w:rsid w:val="007C0EAA"/>
    <w:rsid w:val="007C44B2"/>
    <w:rsid w:val="007C6496"/>
    <w:rsid w:val="007C745E"/>
    <w:rsid w:val="007D0165"/>
    <w:rsid w:val="007D5574"/>
    <w:rsid w:val="007D5E61"/>
    <w:rsid w:val="007E3F8C"/>
    <w:rsid w:val="007F2058"/>
    <w:rsid w:val="007F6827"/>
    <w:rsid w:val="007F7685"/>
    <w:rsid w:val="0080011D"/>
    <w:rsid w:val="00800EA5"/>
    <w:rsid w:val="00801111"/>
    <w:rsid w:val="00801C01"/>
    <w:rsid w:val="0080707C"/>
    <w:rsid w:val="008130BB"/>
    <w:rsid w:val="00814E1E"/>
    <w:rsid w:val="00820C57"/>
    <w:rsid w:val="008237FA"/>
    <w:rsid w:val="00825D37"/>
    <w:rsid w:val="00832098"/>
    <w:rsid w:val="008369B0"/>
    <w:rsid w:val="008371F4"/>
    <w:rsid w:val="00846746"/>
    <w:rsid w:val="00855825"/>
    <w:rsid w:val="0085732C"/>
    <w:rsid w:val="00860B45"/>
    <w:rsid w:val="008618DD"/>
    <w:rsid w:val="0086198B"/>
    <w:rsid w:val="00863860"/>
    <w:rsid w:val="008638B5"/>
    <w:rsid w:val="008734DB"/>
    <w:rsid w:val="0087390B"/>
    <w:rsid w:val="008745A1"/>
    <w:rsid w:val="008768E9"/>
    <w:rsid w:val="0087751B"/>
    <w:rsid w:val="00890995"/>
    <w:rsid w:val="008914FB"/>
    <w:rsid w:val="008941E4"/>
    <w:rsid w:val="00897E99"/>
    <w:rsid w:val="008A4829"/>
    <w:rsid w:val="008B0124"/>
    <w:rsid w:val="008B2384"/>
    <w:rsid w:val="008B38D6"/>
    <w:rsid w:val="008B4802"/>
    <w:rsid w:val="008B69E3"/>
    <w:rsid w:val="008C1FD1"/>
    <w:rsid w:val="008C24A8"/>
    <w:rsid w:val="008C35EF"/>
    <w:rsid w:val="008C5996"/>
    <w:rsid w:val="008D5A11"/>
    <w:rsid w:val="008D5E23"/>
    <w:rsid w:val="008E015F"/>
    <w:rsid w:val="008E6D59"/>
    <w:rsid w:val="008E6DDD"/>
    <w:rsid w:val="008F5D66"/>
    <w:rsid w:val="009028AA"/>
    <w:rsid w:val="00903E3F"/>
    <w:rsid w:val="009049C3"/>
    <w:rsid w:val="009057D9"/>
    <w:rsid w:val="0090746E"/>
    <w:rsid w:val="0090774A"/>
    <w:rsid w:val="0091011F"/>
    <w:rsid w:val="00910D07"/>
    <w:rsid w:val="00914B2F"/>
    <w:rsid w:val="009150E6"/>
    <w:rsid w:val="0091519E"/>
    <w:rsid w:val="00917F89"/>
    <w:rsid w:val="009255EE"/>
    <w:rsid w:val="00925603"/>
    <w:rsid w:val="00925F76"/>
    <w:rsid w:val="00932E89"/>
    <w:rsid w:val="0093359D"/>
    <w:rsid w:val="00933F2B"/>
    <w:rsid w:val="00942EEB"/>
    <w:rsid w:val="0094468E"/>
    <w:rsid w:val="00945261"/>
    <w:rsid w:val="009506A5"/>
    <w:rsid w:val="009541CC"/>
    <w:rsid w:val="00956564"/>
    <w:rsid w:val="00956D5A"/>
    <w:rsid w:val="00957EE3"/>
    <w:rsid w:val="00961B2C"/>
    <w:rsid w:val="00961DBB"/>
    <w:rsid w:val="00962C96"/>
    <w:rsid w:val="0096618E"/>
    <w:rsid w:val="00981433"/>
    <w:rsid w:val="00985C07"/>
    <w:rsid w:val="009915F7"/>
    <w:rsid w:val="00995B4F"/>
    <w:rsid w:val="00997582"/>
    <w:rsid w:val="009A2C21"/>
    <w:rsid w:val="009A3E58"/>
    <w:rsid w:val="009A5F02"/>
    <w:rsid w:val="009A7AB1"/>
    <w:rsid w:val="009B38C1"/>
    <w:rsid w:val="009C6DAA"/>
    <w:rsid w:val="009D0E74"/>
    <w:rsid w:val="009D1A96"/>
    <w:rsid w:val="009D370B"/>
    <w:rsid w:val="009E2087"/>
    <w:rsid w:val="009E252B"/>
    <w:rsid w:val="009E3265"/>
    <w:rsid w:val="009E3353"/>
    <w:rsid w:val="009E446D"/>
    <w:rsid w:val="009E7C09"/>
    <w:rsid w:val="009F0EEA"/>
    <w:rsid w:val="009F146D"/>
    <w:rsid w:val="009F4F1E"/>
    <w:rsid w:val="00A015E4"/>
    <w:rsid w:val="00A075BC"/>
    <w:rsid w:val="00A11222"/>
    <w:rsid w:val="00A12C39"/>
    <w:rsid w:val="00A134FB"/>
    <w:rsid w:val="00A20802"/>
    <w:rsid w:val="00A25B4F"/>
    <w:rsid w:val="00A271C7"/>
    <w:rsid w:val="00A278DC"/>
    <w:rsid w:val="00A43745"/>
    <w:rsid w:val="00A442BF"/>
    <w:rsid w:val="00A51658"/>
    <w:rsid w:val="00A53716"/>
    <w:rsid w:val="00A5629E"/>
    <w:rsid w:val="00A64832"/>
    <w:rsid w:val="00A730CC"/>
    <w:rsid w:val="00A732DB"/>
    <w:rsid w:val="00A86F04"/>
    <w:rsid w:val="00A946C4"/>
    <w:rsid w:val="00AA2D37"/>
    <w:rsid w:val="00AC01F8"/>
    <w:rsid w:val="00AC059A"/>
    <w:rsid w:val="00AD0308"/>
    <w:rsid w:val="00AD377A"/>
    <w:rsid w:val="00AD67BB"/>
    <w:rsid w:val="00AD77B2"/>
    <w:rsid w:val="00AE1CC1"/>
    <w:rsid w:val="00AE3EA4"/>
    <w:rsid w:val="00AF1B02"/>
    <w:rsid w:val="00AF41E4"/>
    <w:rsid w:val="00B06A75"/>
    <w:rsid w:val="00B06BC3"/>
    <w:rsid w:val="00B10509"/>
    <w:rsid w:val="00B15A0F"/>
    <w:rsid w:val="00B20236"/>
    <w:rsid w:val="00B20937"/>
    <w:rsid w:val="00B220A0"/>
    <w:rsid w:val="00B22B64"/>
    <w:rsid w:val="00B22FEA"/>
    <w:rsid w:val="00B24321"/>
    <w:rsid w:val="00B30FEB"/>
    <w:rsid w:val="00B34914"/>
    <w:rsid w:val="00B40AA3"/>
    <w:rsid w:val="00B42EA9"/>
    <w:rsid w:val="00B44478"/>
    <w:rsid w:val="00B6002C"/>
    <w:rsid w:val="00B60266"/>
    <w:rsid w:val="00B620EE"/>
    <w:rsid w:val="00B671AE"/>
    <w:rsid w:val="00B84B2C"/>
    <w:rsid w:val="00B85366"/>
    <w:rsid w:val="00B87F60"/>
    <w:rsid w:val="00B92FFB"/>
    <w:rsid w:val="00B93D3D"/>
    <w:rsid w:val="00BA34DC"/>
    <w:rsid w:val="00BA471F"/>
    <w:rsid w:val="00BB5013"/>
    <w:rsid w:val="00BB528E"/>
    <w:rsid w:val="00BC1FD2"/>
    <w:rsid w:val="00BC2600"/>
    <w:rsid w:val="00BC36F0"/>
    <w:rsid w:val="00BC414D"/>
    <w:rsid w:val="00BC4FA7"/>
    <w:rsid w:val="00BC5E30"/>
    <w:rsid w:val="00BC6525"/>
    <w:rsid w:val="00BD02C5"/>
    <w:rsid w:val="00BD068D"/>
    <w:rsid w:val="00BE0D9A"/>
    <w:rsid w:val="00BE1A50"/>
    <w:rsid w:val="00BE2F0D"/>
    <w:rsid w:val="00BE7468"/>
    <w:rsid w:val="00BF0BD5"/>
    <w:rsid w:val="00BF3BEB"/>
    <w:rsid w:val="00BF55F8"/>
    <w:rsid w:val="00C051FD"/>
    <w:rsid w:val="00C20C7D"/>
    <w:rsid w:val="00C20DEF"/>
    <w:rsid w:val="00C24B25"/>
    <w:rsid w:val="00C27001"/>
    <w:rsid w:val="00C32C2F"/>
    <w:rsid w:val="00C3738A"/>
    <w:rsid w:val="00C4315A"/>
    <w:rsid w:val="00C43F5E"/>
    <w:rsid w:val="00C44074"/>
    <w:rsid w:val="00C4651F"/>
    <w:rsid w:val="00C51D0B"/>
    <w:rsid w:val="00C52A50"/>
    <w:rsid w:val="00C603D7"/>
    <w:rsid w:val="00C642D4"/>
    <w:rsid w:val="00C666B3"/>
    <w:rsid w:val="00C730F4"/>
    <w:rsid w:val="00C76448"/>
    <w:rsid w:val="00C80200"/>
    <w:rsid w:val="00C8270B"/>
    <w:rsid w:val="00C833CC"/>
    <w:rsid w:val="00C841A9"/>
    <w:rsid w:val="00C8728F"/>
    <w:rsid w:val="00C97FBC"/>
    <w:rsid w:val="00CA0B7E"/>
    <w:rsid w:val="00CA384E"/>
    <w:rsid w:val="00CA5598"/>
    <w:rsid w:val="00CA5EF8"/>
    <w:rsid w:val="00CB28A3"/>
    <w:rsid w:val="00CC00A0"/>
    <w:rsid w:val="00CC5455"/>
    <w:rsid w:val="00CC6C06"/>
    <w:rsid w:val="00CD5509"/>
    <w:rsid w:val="00CE1EB0"/>
    <w:rsid w:val="00CE3DF2"/>
    <w:rsid w:val="00CE6625"/>
    <w:rsid w:val="00CF0C0F"/>
    <w:rsid w:val="00CF1690"/>
    <w:rsid w:val="00CF1F2A"/>
    <w:rsid w:val="00CF5CE3"/>
    <w:rsid w:val="00CF7412"/>
    <w:rsid w:val="00D030F8"/>
    <w:rsid w:val="00D077B7"/>
    <w:rsid w:val="00D20297"/>
    <w:rsid w:val="00D21E6B"/>
    <w:rsid w:val="00D23634"/>
    <w:rsid w:val="00D304C9"/>
    <w:rsid w:val="00D34551"/>
    <w:rsid w:val="00D457D6"/>
    <w:rsid w:val="00D50170"/>
    <w:rsid w:val="00D56028"/>
    <w:rsid w:val="00D60D94"/>
    <w:rsid w:val="00D64CE2"/>
    <w:rsid w:val="00D75F56"/>
    <w:rsid w:val="00D7751B"/>
    <w:rsid w:val="00D815DC"/>
    <w:rsid w:val="00D822B5"/>
    <w:rsid w:val="00D83D3C"/>
    <w:rsid w:val="00D867AE"/>
    <w:rsid w:val="00D87BBB"/>
    <w:rsid w:val="00D87C87"/>
    <w:rsid w:val="00D921C4"/>
    <w:rsid w:val="00D9296A"/>
    <w:rsid w:val="00D93C23"/>
    <w:rsid w:val="00D95638"/>
    <w:rsid w:val="00D9584C"/>
    <w:rsid w:val="00DA14D9"/>
    <w:rsid w:val="00DA301A"/>
    <w:rsid w:val="00DB13AD"/>
    <w:rsid w:val="00DB23F9"/>
    <w:rsid w:val="00DB58BE"/>
    <w:rsid w:val="00DB6176"/>
    <w:rsid w:val="00DB6AA0"/>
    <w:rsid w:val="00DB7C3A"/>
    <w:rsid w:val="00DD32AB"/>
    <w:rsid w:val="00DD5BF6"/>
    <w:rsid w:val="00DE1865"/>
    <w:rsid w:val="00DE6CEF"/>
    <w:rsid w:val="00DF11C2"/>
    <w:rsid w:val="00DF4593"/>
    <w:rsid w:val="00E10D05"/>
    <w:rsid w:val="00E2223E"/>
    <w:rsid w:val="00E22D98"/>
    <w:rsid w:val="00E24623"/>
    <w:rsid w:val="00E252E3"/>
    <w:rsid w:val="00E37EF3"/>
    <w:rsid w:val="00E40505"/>
    <w:rsid w:val="00E42A41"/>
    <w:rsid w:val="00E45766"/>
    <w:rsid w:val="00E50442"/>
    <w:rsid w:val="00E567E5"/>
    <w:rsid w:val="00E62195"/>
    <w:rsid w:val="00E66151"/>
    <w:rsid w:val="00E6708B"/>
    <w:rsid w:val="00E73A8C"/>
    <w:rsid w:val="00E75050"/>
    <w:rsid w:val="00E76F42"/>
    <w:rsid w:val="00E865E0"/>
    <w:rsid w:val="00E915E6"/>
    <w:rsid w:val="00E92C88"/>
    <w:rsid w:val="00EA3E11"/>
    <w:rsid w:val="00EA550B"/>
    <w:rsid w:val="00EA6EB3"/>
    <w:rsid w:val="00EB31E4"/>
    <w:rsid w:val="00EB4A8E"/>
    <w:rsid w:val="00EB5EF3"/>
    <w:rsid w:val="00EB695D"/>
    <w:rsid w:val="00ED1784"/>
    <w:rsid w:val="00ED39CE"/>
    <w:rsid w:val="00ED4134"/>
    <w:rsid w:val="00EE05F1"/>
    <w:rsid w:val="00EE471A"/>
    <w:rsid w:val="00EE506B"/>
    <w:rsid w:val="00EE5492"/>
    <w:rsid w:val="00EF416A"/>
    <w:rsid w:val="00F07BD5"/>
    <w:rsid w:val="00F122D6"/>
    <w:rsid w:val="00F15BF4"/>
    <w:rsid w:val="00F17940"/>
    <w:rsid w:val="00F2046C"/>
    <w:rsid w:val="00F20647"/>
    <w:rsid w:val="00F31392"/>
    <w:rsid w:val="00F348B5"/>
    <w:rsid w:val="00F348F0"/>
    <w:rsid w:val="00F3652B"/>
    <w:rsid w:val="00F377B9"/>
    <w:rsid w:val="00F37AB7"/>
    <w:rsid w:val="00F45442"/>
    <w:rsid w:val="00F5145E"/>
    <w:rsid w:val="00F558EA"/>
    <w:rsid w:val="00F613CB"/>
    <w:rsid w:val="00F61F79"/>
    <w:rsid w:val="00F656A4"/>
    <w:rsid w:val="00F66215"/>
    <w:rsid w:val="00F6665E"/>
    <w:rsid w:val="00F7075F"/>
    <w:rsid w:val="00F71D76"/>
    <w:rsid w:val="00F8349F"/>
    <w:rsid w:val="00F83FB7"/>
    <w:rsid w:val="00F85935"/>
    <w:rsid w:val="00F85D29"/>
    <w:rsid w:val="00F94AED"/>
    <w:rsid w:val="00F969D3"/>
    <w:rsid w:val="00FA190E"/>
    <w:rsid w:val="00FA54D8"/>
    <w:rsid w:val="00FC2008"/>
    <w:rsid w:val="00FC4FB7"/>
    <w:rsid w:val="00FD357B"/>
    <w:rsid w:val="00FD38FC"/>
    <w:rsid w:val="00FD6119"/>
    <w:rsid w:val="00FD688E"/>
    <w:rsid w:val="00FD7C0C"/>
    <w:rsid w:val="00FE045C"/>
    <w:rsid w:val="00FE0C52"/>
    <w:rsid w:val="00FE1692"/>
    <w:rsid w:val="00FF0566"/>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10"/>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10"/>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10"/>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2"/>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3"/>
      </w:numPr>
      <w:spacing w:before="113" w:after="113"/>
    </w:pPr>
    <w:rPr>
      <w:spacing w:val="-1"/>
    </w:rPr>
  </w:style>
  <w:style w:type="paragraph" w:styleId="ListNumber2">
    <w:name w:val="List Number 2"/>
    <w:basedOn w:val="Normal"/>
    <w:qFormat/>
    <w:rsid w:val="00961DBB"/>
    <w:pPr>
      <w:numPr>
        <w:ilvl w:val="1"/>
        <w:numId w:val="3"/>
      </w:numPr>
      <w:spacing w:before="113" w:after="113"/>
    </w:pPr>
    <w:rPr>
      <w:spacing w:val="-1"/>
    </w:rPr>
  </w:style>
  <w:style w:type="paragraph" w:styleId="ListNumber3">
    <w:name w:val="List Number 3"/>
    <w:basedOn w:val="Normal"/>
    <w:qFormat/>
    <w:rsid w:val="00961DBB"/>
    <w:pPr>
      <w:numPr>
        <w:ilvl w:val="2"/>
        <w:numId w:val="3"/>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99"/>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4"/>
      </w:numPr>
    </w:pPr>
  </w:style>
  <w:style w:type="paragraph" w:customStyle="1" w:styleId="PullOutBoxBullet2">
    <w:name w:val="Pull Out Box Bullet 2"/>
    <w:basedOn w:val="PullOutBoxBodyText"/>
    <w:qFormat/>
    <w:rsid w:val="00961DBB"/>
    <w:pPr>
      <w:numPr>
        <w:ilvl w:val="1"/>
        <w:numId w:val="4"/>
      </w:numPr>
    </w:pPr>
  </w:style>
  <w:style w:type="paragraph" w:customStyle="1" w:styleId="PullOutBoxBullet3">
    <w:name w:val="Pull Out Box Bullet 3"/>
    <w:basedOn w:val="PullOutBoxBodyText"/>
    <w:qFormat/>
    <w:rsid w:val="00961DBB"/>
    <w:pPr>
      <w:numPr>
        <w:ilvl w:val="2"/>
        <w:numId w:val="4"/>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5"/>
      </w:numPr>
    </w:pPr>
  </w:style>
  <w:style w:type="paragraph" w:customStyle="1" w:styleId="PullOutBoxNumber2">
    <w:name w:val="Pull Out Box Number 2"/>
    <w:basedOn w:val="PullOutBoxBodyText"/>
    <w:qFormat/>
    <w:rsid w:val="00961DBB"/>
    <w:pPr>
      <w:numPr>
        <w:ilvl w:val="1"/>
        <w:numId w:val="5"/>
      </w:numPr>
    </w:pPr>
  </w:style>
  <w:style w:type="paragraph" w:customStyle="1" w:styleId="PullOutBoxNumber3">
    <w:name w:val="Pull Out Box Number 3"/>
    <w:basedOn w:val="PullOutBoxBodyText"/>
    <w:qFormat/>
    <w:rsid w:val="00961DBB"/>
    <w:pPr>
      <w:numPr>
        <w:ilvl w:val="2"/>
        <w:numId w:val="5"/>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6"/>
      </w:numPr>
    </w:pPr>
  </w:style>
  <w:style w:type="paragraph" w:customStyle="1" w:styleId="QuoteBullet2">
    <w:name w:val="Quote Bullet 2"/>
    <w:basedOn w:val="Quote"/>
    <w:qFormat/>
    <w:rsid w:val="00961DBB"/>
    <w:pPr>
      <w:numPr>
        <w:ilvl w:val="1"/>
        <w:numId w:val="6"/>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7"/>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9"/>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uiPriority w:val="39"/>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character" w:styleId="CommentReference">
    <w:name w:val="annotation reference"/>
    <w:basedOn w:val="DefaultParagraphFont"/>
    <w:semiHidden/>
    <w:unhideWhenUsed/>
    <w:rsid w:val="00084670"/>
    <w:rPr>
      <w:sz w:val="16"/>
      <w:szCs w:val="16"/>
    </w:rPr>
  </w:style>
  <w:style w:type="paragraph" w:styleId="CommentText">
    <w:name w:val="annotation text"/>
    <w:basedOn w:val="Normal"/>
    <w:link w:val="CommentTextChar"/>
    <w:semiHidden/>
    <w:unhideWhenUsed/>
    <w:rsid w:val="00084670"/>
    <w:pPr>
      <w:spacing w:line="240" w:lineRule="auto"/>
    </w:pPr>
    <w:rPr>
      <w:sz w:val="20"/>
      <w:szCs w:val="20"/>
    </w:rPr>
  </w:style>
  <w:style w:type="character" w:customStyle="1" w:styleId="CommentTextChar">
    <w:name w:val="Comment Text Char"/>
    <w:basedOn w:val="DefaultParagraphFont"/>
    <w:link w:val="CommentText"/>
    <w:semiHidden/>
    <w:rsid w:val="00084670"/>
    <w:rPr>
      <w:sz w:val="20"/>
      <w:szCs w:val="20"/>
    </w:rPr>
  </w:style>
  <w:style w:type="paragraph" w:styleId="CommentSubject">
    <w:name w:val="annotation subject"/>
    <w:basedOn w:val="CommentText"/>
    <w:next w:val="CommentText"/>
    <w:link w:val="CommentSubjectChar"/>
    <w:semiHidden/>
    <w:unhideWhenUsed/>
    <w:rsid w:val="00084670"/>
    <w:rPr>
      <w:b/>
      <w:bCs/>
    </w:rPr>
  </w:style>
  <w:style w:type="character" w:customStyle="1" w:styleId="CommentSubjectChar">
    <w:name w:val="Comment Subject Char"/>
    <w:basedOn w:val="CommentTextChar"/>
    <w:link w:val="CommentSubject"/>
    <w:semiHidden/>
    <w:rsid w:val="00084670"/>
    <w:rPr>
      <w:b/>
      <w:bCs/>
      <w:sz w:val="20"/>
      <w:szCs w:val="20"/>
    </w:rPr>
  </w:style>
  <w:style w:type="character" w:styleId="FollowedHyperlink">
    <w:name w:val="FollowedHyperlink"/>
    <w:basedOn w:val="DefaultParagraphFont"/>
    <w:semiHidden/>
    <w:unhideWhenUsed/>
    <w:rsid w:val="00B34914"/>
    <w:rPr>
      <w:color w:val="000000" w:themeColor="followedHyperlink"/>
      <w:u w:val="single"/>
    </w:rPr>
  </w:style>
  <w:style w:type="table" w:customStyle="1" w:styleId="PullOutBoxTable1">
    <w:name w:val="Pull Out Box Table1"/>
    <w:basedOn w:val="TableNormal"/>
    <w:uiPriority w:val="99"/>
    <w:rsid w:val="008B0124"/>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10"/>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10"/>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10"/>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2"/>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3"/>
      </w:numPr>
      <w:spacing w:before="113" w:after="113"/>
    </w:pPr>
    <w:rPr>
      <w:spacing w:val="-1"/>
    </w:rPr>
  </w:style>
  <w:style w:type="paragraph" w:styleId="ListNumber2">
    <w:name w:val="List Number 2"/>
    <w:basedOn w:val="Normal"/>
    <w:qFormat/>
    <w:rsid w:val="00961DBB"/>
    <w:pPr>
      <w:numPr>
        <w:ilvl w:val="1"/>
        <w:numId w:val="3"/>
      </w:numPr>
      <w:spacing w:before="113" w:after="113"/>
    </w:pPr>
    <w:rPr>
      <w:spacing w:val="-1"/>
    </w:rPr>
  </w:style>
  <w:style w:type="paragraph" w:styleId="ListNumber3">
    <w:name w:val="List Number 3"/>
    <w:basedOn w:val="Normal"/>
    <w:qFormat/>
    <w:rsid w:val="00961DBB"/>
    <w:pPr>
      <w:numPr>
        <w:ilvl w:val="2"/>
        <w:numId w:val="3"/>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99"/>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4"/>
      </w:numPr>
    </w:pPr>
  </w:style>
  <w:style w:type="paragraph" w:customStyle="1" w:styleId="PullOutBoxBullet2">
    <w:name w:val="Pull Out Box Bullet 2"/>
    <w:basedOn w:val="PullOutBoxBodyText"/>
    <w:qFormat/>
    <w:rsid w:val="00961DBB"/>
    <w:pPr>
      <w:numPr>
        <w:ilvl w:val="1"/>
        <w:numId w:val="4"/>
      </w:numPr>
    </w:pPr>
  </w:style>
  <w:style w:type="paragraph" w:customStyle="1" w:styleId="PullOutBoxBullet3">
    <w:name w:val="Pull Out Box Bullet 3"/>
    <w:basedOn w:val="PullOutBoxBodyText"/>
    <w:qFormat/>
    <w:rsid w:val="00961DBB"/>
    <w:pPr>
      <w:numPr>
        <w:ilvl w:val="2"/>
        <w:numId w:val="4"/>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5"/>
      </w:numPr>
    </w:pPr>
  </w:style>
  <w:style w:type="paragraph" w:customStyle="1" w:styleId="PullOutBoxNumber2">
    <w:name w:val="Pull Out Box Number 2"/>
    <w:basedOn w:val="PullOutBoxBodyText"/>
    <w:qFormat/>
    <w:rsid w:val="00961DBB"/>
    <w:pPr>
      <w:numPr>
        <w:ilvl w:val="1"/>
        <w:numId w:val="5"/>
      </w:numPr>
    </w:pPr>
  </w:style>
  <w:style w:type="paragraph" w:customStyle="1" w:styleId="PullOutBoxNumber3">
    <w:name w:val="Pull Out Box Number 3"/>
    <w:basedOn w:val="PullOutBoxBodyText"/>
    <w:qFormat/>
    <w:rsid w:val="00961DBB"/>
    <w:pPr>
      <w:numPr>
        <w:ilvl w:val="2"/>
        <w:numId w:val="5"/>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6"/>
      </w:numPr>
    </w:pPr>
  </w:style>
  <w:style w:type="paragraph" w:customStyle="1" w:styleId="QuoteBullet2">
    <w:name w:val="Quote Bullet 2"/>
    <w:basedOn w:val="Quote"/>
    <w:qFormat/>
    <w:rsid w:val="00961DBB"/>
    <w:pPr>
      <w:numPr>
        <w:ilvl w:val="1"/>
        <w:numId w:val="6"/>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7"/>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9"/>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uiPriority w:val="39"/>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character" w:styleId="CommentReference">
    <w:name w:val="annotation reference"/>
    <w:basedOn w:val="DefaultParagraphFont"/>
    <w:semiHidden/>
    <w:unhideWhenUsed/>
    <w:rsid w:val="00084670"/>
    <w:rPr>
      <w:sz w:val="16"/>
      <w:szCs w:val="16"/>
    </w:rPr>
  </w:style>
  <w:style w:type="paragraph" w:styleId="CommentText">
    <w:name w:val="annotation text"/>
    <w:basedOn w:val="Normal"/>
    <w:link w:val="CommentTextChar"/>
    <w:semiHidden/>
    <w:unhideWhenUsed/>
    <w:rsid w:val="00084670"/>
    <w:pPr>
      <w:spacing w:line="240" w:lineRule="auto"/>
    </w:pPr>
    <w:rPr>
      <w:sz w:val="20"/>
      <w:szCs w:val="20"/>
    </w:rPr>
  </w:style>
  <w:style w:type="character" w:customStyle="1" w:styleId="CommentTextChar">
    <w:name w:val="Comment Text Char"/>
    <w:basedOn w:val="DefaultParagraphFont"/>
    <w:link w:val="CommentText"/>
    <w:semiHidden/>
    <w:rsid w:val="00084670"/>
    <w:rPr>
      <w:sz w:val="20"/>
      <w:szCs w:val="20"/>
    </w:rPr>
  </w:style>
  <w:style w:type="paragraph" w:styleId="CommentSubject">
    <w:name w:val="annotation subject"/>
    <w:basedOn w:val="CommentText"/>
    <w:next w:val="CommentText"/>
    <w:link w:val="CommentSubjectChar"/>
    <w:semiHidden/>
    <w:unhideWhenUsed/>
    <w:rsid w:val="00084670"/>
    <w:rPr>
      <w:b/>
      <w:bCs/>
    </w:rPr>
  </w:style>
  <w:style w:type="character" w:customStyle="1" w:styleId="CommentSubjectChar">
    <w:name w:val="Comment Subject Char"/>
    <w:basedOn w:val="CommentTextChar"/>
    <w:link w:val="CommentSubject"/>
    <w:semiHidden/>
    <w:rsid w:val="00084670"/>
    <w:rPr>
      <w:b/>
      <w:bCs/>
      <w:sz w:val="20"/>
      <w:szCs w:val="20"/>
    </w:rPr>
  </w:style>
  <w:style w:type="character" w:styleId="FollowedHyperlink">
    <w:name w:val="FollowedHyperlink"/>
    <w:basedOn w:val="DefaultParagraphFont"/>
    <w:semiHidden/>
    <w:unhideWhenUsed/>
    <w:rsid w:val="00B34914"/>
    <w:rPr>
      <w:color w:val="000000" w:themeColor="followedHyperlink"/>
      <w:u w:val="single"/>
    </w:rPr>
  </w:style>
  <w:style w:type="table" w:customStyle="1" w:styleId="PullOutBoxTable1">
    <w:name w:val="Pull Out Box Table1"/>
    <w:basedOn w:val="TableNormal"/>
    <w:uiPriority w:val="99"/>
    <w:rsid w:val="008B0124"/>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nc-nd/3.0/au/" TargetMode="External"/><Relationship Id="rId18" Type="http://schemas.openxmlformats.org/officeDocument/2006/relationships/header" Target="header6.xml"/><Relationship Id="rId26" Type="http://schemas.openxmlformats.org/officeDocument/2006/relationships/hyperlink" Target="https://www.aph.gov.au/About_Parliament/Parliamentary_Departments/Parliamentary_Budget_Office/Reports/Information_papers"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www.aph.gov.au/About_Parliament/Parliamentary_Departments/Parliamentary_Budget_Office/templates"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2.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s://www.aph.gov.au/About_Parliament/Parliamentary_Departments/Parliamentary_Budget_Office/Reports/Information_papers" TargetMode="Externa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www.aph.gov.au/About_Parliament/Parliamentary_Departments/Parliamentary_Budget_Office/Reports/Information_papers" TargetMode="External"/><Relationship Id="rId28" Type="http://schemas.openxmlformats.org/officeDocument/2006/relationships/hyperlink" Target="http://www.pbo.gov.au/" TargetMode="External"/><Relationship Id="rId36"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tsanhonour.gov.au/coat-arms" TargetMode="External"/><Relationship Id="rId22" Type="http://schemas.openxmlformats.org/officeDocument/2006/relationships/hyperlink" Target="mailto:PBO@pbo.gov.au" TargetMode="External"/><Relationship Id="rId27" Type="http://schemas.openxmlformats.org/officeDocument/2006/relationships/image" Target="media/image3.png"/><Relationship Id="rId30" Type="http://schemas.openxmlformats.org/officeDocument/2006/relationships/hyperlink" Target="http://www.pbo.gov.au/" TargetMode="External"/><Relationship Id="rId35" Type="http://schemas.openxmlformats.org/officeDocument/2006/relationships/header" Target="header10.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2.%20Publications\Research%20Report.dotm" TargetMode="External"/></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23F3B-83D0-43F4-AF0D-D52D7F145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Report.dotm</Template>
  <TotalTime>1444</TotalTime>
  <Pages>12</Pages>
  <Words>2963</Words>
  <Characters>16509</Characters>
  <Application>Microsoft Office Word</Application>
  <DocSecurity>0</DocSecurity>
  <Lines>305</Lines>
  <Paragraphs>131</Paragraphs>
  <ScaleCrop>false</ScaleCrop>
  <HeadingPairs>
    <vt:vector size="2" baseType="variant">
      <vt:variant>
        <vt:lpstr>Title</vt:lpstr>
      </vt:variant>
      <vt:variant>
        <vt:i4>1</vt:i4>
      </vt:variant>
    </vt:vector>
  </HeadingPairs>
  <TitlesOfParts>
    <vt:vector size="1" baseType="lpstr">
      <vt:lpstr>Consultation paper: Allowing minor parties to opt into the PBO’s post-election report of election commitments</vt:lpstr>
    </vt:vector>
  </TitlesOfParts>
  <Company>Parliament of Australia</Company>
  <LinksUpToDate>false</LinksUpToDate>
  <CharactersWithSpaces>19341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Allowing minor parties to opt into the PBO’s post-election report of election commitments</dc:title>
  <dc:creator>PBO@pbo.gov.au</dc:creator>
  <cp:lastModifiedBy>Pratley, Lauren (PBO)</cp:lastModifiedBy>
  <cp:revision>80</cp:revision>
  <cp:lastPrinted>2018-01-19T03:40:00Z</cp:lastPrinted>
  <dcterms:created xsi:type="dcterms:W3CDTF">2018-01-12T04:26:00Z</dcterms:created>
  <dcterms:modified xsi:type="dcterms:W3CDTF">2018-03-04T23:39:00Z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True</vt:lpwstr>
  </property>
  <property fmtid="{D5CDD505-2E9C-101B-9397-08002B2CF9AE}" pid="11" name="xAppendixName">
    <vt:lpwstr>Appendix</vt:lpwstr>
  </property>
  <property fmtid="{D5CDD505-2E9C-101B-9397-08002B2CF9AE}" pid="12" name="_MarkAsFinal">
    <vt:bool>true</vt:bool>
  </property>
</Properties>
</file>