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D95526">
        <w:rPr>
          <w:b/>
          <w:sz w:val="48"/>
        </w:rPr>
        <w:t>9</w:t>
      </w:r>
      <w:r w:rsidR="003C5934">
        <w:rPr>
          <w:b/>
          <w:sz w:val="48"/>
        </w:rPr>
        <w:t xml:space="preserve"> of 201</w:t>
      </w:r>
      <w:r w:rsidR="00377200">
        <w:rPr>
          <w:b/>
          <w:sz w:val="48"/>
        </w:rPr>
        <w:t>4</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D95526">
      <w:pPr>
        <w:spacing w:line="240" w:lineRule="auto"/>
        <w:jc w:val="center"/>
        <w:rPr>
          <w:b/>
          <w:sz w:val="32"/>
        </w:rPr>
      </w:pPr>
      <w:r>
        <w:rPr>
          <w:b/>
          <w:sz w:val="32"/>
        </w:rPr>
        <w:t>16</w:t>
      </w:r>
      <w:r w:rsidR="00B63DBB">
        <w:rPr>
          <w:b/>
          <w:sz w:val="32"/>
        </w:rPr>
        <w:t xml:space="preserve"> </w:t>
      </w:r>
      <w:r w:rsidR="006A726E">
        <w:rPr>
          <w:b/>
          <w:sz w:val="32"/>
        </w:rPr>
        <w:t>Ju</w:t>
      </w:r>
      <w:r w:rsidR="00FB7AFC">
        <w:rPr>
          <w:b/>
          <w:sz w:val="32"/>
        </w:rPr>
        <w:t>ly</w:t>
      </w:r>
      <w:r w:rsidR="005E39EA">
        <w:rPr>
          <w:b/>
          <w:sz w:val="32"/>
        </w:rPr>
        <w:t xml:space="preserve"> </w:t>
      </w:r>
      <w:r w:rsidR="00377200">
        <w:rPr>
          <w:b/>
          <w:sz w:val="32"/>
        </w:rPr>
        <w:t>2014</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79760B" w:rsidRDefault="0079760B" w:rsidP="0079760B">
      <w:pPr>
        <w:spacing w:before="240" w:after="120" w:line="240" w:lineRule="auto"/>
        <w:jc w:val="center"/>
        <w:rPr>
          <w:b/>
          <w:sz w:val="32"/>
        </w:rPr>
      </w:pPr>
    </w:p>
    <w:p w:rsidR="0079760B" w:rsidRDefault="0079760B" w:rsidP="0079760B">
      <w:pPr>
        <w:spacing w:before="240" w:after="120" w:line="240" w:lineRule="auto"/>
        <w:jc w:val="center"/>
        <w:rPr>
          <w:b/>
          <w:sz w:val="32"/>
        </w:rPr>
      </w:pPr>
      <w:r>
        <w:rPr>
          <w:b/>
          <w:sz w:val="32"/>
        </w:rPr>
        <w:t>Members of the Committee</w:t>
      </w:r>
    </w:p>
    <w:p w:rsidR="0079760B" w:rsidRDefault="0079760B" w:rsidP="0079760B">
      <w:pPr>
        <w:jc w:val="center"/>
      </w:pPr>
    </w:p>
    <w:p w:rsidR="0079760B" w:rsidRDefault="0079760B" w:rsidP="0079760B">
      <w:pPr>
        <w:jc w:val="center"/>
      </w:pPr>
    </w:p>
    <w:p w:rsidR="0079760B" w:rsidRDefault="0079760B" w:rsidP="0079760B">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79760B" w:rsidTr="004D7097">
        <w:tc>
          <w:tcPr>
            <w:tcW w:w="4786" w:type="dxa"/>
          </w:tcPr>
          <w:p w:rsidR="0079760B" w:rsidRDefault="0079760B" w:rsidP="004D7097">
            <w:pPr>
              <w:spacing w:after="60"/>
              <w:jc w:val="left"/>
            </w:pPr>
            <w:r w:rsidRPr="00457763">
              <w:t xml:space="preserve">Senator </w:t>
            </w:r>
            <w:r>
              <w:t>Helen Polley</w:t>
            </w:r>
            <w:r w:rsidRPr="00457763">
              <w:t xml:space="preserve"> (Chair)</w:t>
            </w:r>
          </w:p>
        </w:tc>
        <w:tc>
          <w:tcPr>
            <w:tcW w:w="3827" w:type="dxa"/>
          </w:tcPr>
          <w:p w:rsidR="0079760B" w:rsidRDefault="0079760B" w:rsidP="004D7097">
            <w:pPr>
              <w:spacing w:after="60"/>
              <w:jc w:val="left"/>
            </w:pPr>
            <w:r>
              <w:t>ALP, Tasmania</w:t>
            </w:r>
          </w:p>
        </w:tc>
      </w:tr>
      <w:tr w:rsidR="0079760B" w:rsidTr="004D7097">
        <w:tc>
          <w:tcPr>
            <w:tcW w:w="4786" w:type="dxa"/>
          </w:tcPr>
          <w:p w:rsidR="0079760B" w:rsidRPr="00457763" w:rsidRDefault="0079760B" w:rsidP="004D7097">
            <w:pPr>
              <w:spacing w:after="60"/>
              <w:jc w:val="left"/>
            </w:pPr>
            <w:r>
              <w:t>Senator John Williams (Deputy Chair)</w:t>
            </w:r>
          </w:p>
        </w:tc>
        <w:tc>
          <w:tcPr>
            <w:tcW w:w="3827" w:type="dxa"/>
          </w:tcPr>
          <w:p w:rsidR="0079760B" w:rsidRDefault="0079760B" w:rsidP="004D7097">
            <w:pPr>
              <w:spacing w:after="60"/>
              <w:jc w:val="left"/>
            </w:pPr>
            <w:r>
              <w:t>NATS, New South Wales</w:t>
            </w:r>
          </w:p>
        </w:tc>
      </w:tr>
      <w:tr w:rsidR="0079760B" w:rsidTr="004D7097">
        <w:tc>
          <w:tcPr>
            <w:tcW w:w="4786" w:type="dxa"/>
          </w:tcPr>
          <w:p w:rsidR="0079760B" w:rsidRPr="00457763" w:rsidRDefault="0079760B" w:rsidP="004D7097">
            <w:pPr>
              <w:spacing w:after="60"/>
              <w:jc w:val="left"/>
            </w:pPr>
            <w:r w:rsidRPr="00457763">
              <w:t xml:space="preserve">Senator </w:t>
            </w:r>
            <w:r>
              <w:t>Cory Bernardi</w:t>
            </w:r>
          </w:p>
        </w:tc>
        <w:tc>
          <w:tcPr>
            <w:tcW w:w="3827" w:type="dxa"/>
          </w:tcPr>
          <w:p w:rsidR="0079760B" w:rsidRDefault="0079760B" w:rsidP="004D7097">
            <w:pPr>
              <w:spacing w:after="60"/>
              <w:jc w:val="left"/>
            </w:pPr>
            <w:r>
              <w:t>LP, South Australia</w:t>
            </w:r>
          </w:p>
        </w:tc>
      </w:tr>
      <w:tr w:rsidR="0079760B" w:rsidTr="004D7097">
        <w:tc>
          <w:tcPr>
            <w:tcW w:w="4786" w:type="dxa"/>
          </w:tcPr>
          <w:p w:rsidR="0079760B" w:rsidRPr="00457763" w:rsidRDefault="0079760B" w:rsidP="004D7097">
            <w:pPr>
              <w:spacing w:after="60"/>
              <w:jc w:val="left"/>
            </w:pPr>
            <w:r>
              <w:t>Senator the Hon Bill Heffernan</w:t>
            </w:r>
          </w:p>
        </w:tc>
        <w:tc>
          <w:tcPr>
            <w:tcW w:w="3827" w:type="dxa"/>
          </w:tcPr>
          <w:p w:rsidR="0079760B" w:rsidRDefault="0079760B" w:rsidP="004D7097">
            <w:pPr>
              <w:spacing w:after="60"/>
              <w:jc w:val="left"/>
            </w:pPr>
            <w:r>
              <w:t>LP, New South Wales</w:t>
            </w:r>
          </w:p>
        </w:tc>
      </w:tr>
      <w:tr w:rsidR="0079760B" w:rsidTr="004D7097">
        <w:tc>
          <w:tcPr>
            <w:tcW w:w="4786" w:type="dxa"/>
          </w:tcPr>
          <w:p w:rsidR="0079760B" w:rsidRPr="00457763" w:rsidRDefault="0079760B" w:rsidP="004D7097">
            <w:pPr>
              <w:spacing w:after="60"/>
              <w:jc w:val="left"/>
            </w:pPr>
            <w:r w:rsidRPr="00457763">
              <w:t xml:space="preserve">Senator </w:t>
            </w:r>
            <w:r>
              <w:t>the Hon Kate Lundy</w:t>
            </w:r>
          </w:p>
        </w:tc>
        <w:tc>
          <w:tcPr>
            <w:tcW w:w="3827" w:type="dxa"/>
          </w:tcPr>
          <w:p w:rsidR="0079760B" w:rsidRDefault="0079760B" w:rsidP="004D7097">
            <w:pPr>
              <w:spacing w:after="60"/>
              <w:jc w:val="left"/>
            </w:pPr>
            <w:r>
              <w:t>ALP, Australian Capital Territory</w:t>
            </w:r>
          </w:p>
        </w:tc>
      </w:tr>
      <w:tr w:rsidR="0079760B" w:rsidTr="004D7097">
        <w:tc>
          <w:tcPr>
            <w:tcW w:w="4786" w:type="dxa"/>
          </w:tcPr>
          <w:p w:rsidR="0079760B" w:rsidRPr="00457763" w:rsidRDefault="0079760B" w:rsidP="004D7097">
            <w:pPr>
              <w:spacing w:after="60"/>
              <w:jc w:val="left"/>
            </w:pPr>
            <w:r w:rsidRPr="00457763">
              <w:t xml:space="preserve">Senator </w:t>
            </w:r>
            <w:r>
              <w:t>Rachel Siewert</w:t>
            </w:r>
          </w:p>
        </w:tc>
        <w:tc>
          <w:tcPr>
            <w:tcW w:w="3827" w:type="dxa"/>
          </w:tcPr>
          <w:p w:rsidR="0079760B" w:rsidRDefault="0079760B" w:rsidP="004D7097">
            <w:pPr>
              <w:spacing w:after="60"/>
              <w:jc w:val="left"/>
            </w:pPr>
            <w:r>
              <w:t>AG, Western Australia</w:t>
            </w:r>
          </w:p>
        </w:tc>
      </w:tr>
    </w:tbl>
    <w:p w:rsidR="0079760B" w:rsidRDefault="0079760B" w:rsidP="0079760B">
      <w:pPr>
        <w:jc w:val="left"/>
      </w:pPr>
    </w:p>
    <w:p w:rsidR="0079760B" w:rsidRDefault="0079760B" w:rsidP="0079760B">
      <w:pPr>
        <w:jc w:val="left"/>
      </w:pPr>
    </w:p>
    <w:p w:rsidR="0079760B" w:rsidRDefault="0079760B" w:rsidP="0079760B">
      <w:pPr>
        <w:jc w:val="left"/>
      </w:pPr>
    </w:p>
    <w:p w:rsidR="0079760B" w:rsidRPr="00FA436C" w:rsidRDefault="0079760B" w:rsidP="0079760B">
      <w:pPr>
        <w:spacing w:after="120"/>
        <w:jc w:val="left"/>
        <w:rPr>
          <w:b/>
        </w:rPr>
      </w:pPr>
      <w:r>
        <w:rPr>
          <w:b/>
        </w:rPr>
        <w:t>Secretariat</w:t>
      </w:r>
    </w:p>
    <w:p w:rsidR="0079760B" w:rsidRDefault="0079760B" w:rsidP="0079760B">
      <w:pPr>
        <w:spacing w:after="60"/>
        <w:jc w:val="left"/>
      </w:pPr>
      <w:r>
        <w:t>Ms Toni Dawes, Secretary</w:t>
      </w:r>
    </w:p>
    <w:p w:rsidR="0079760B" w:rsidRDefault="0079760B" w:rsidP="0079760B">
      <w:pPr>
        <w:spacing w:after="60"/>
        <w:jc w:val="left"/>
      </w:pPr>
      <w:r>
        <w:t>Mr Gerry McInally, Acting Secretary</w:t>
      </w:r>
    </w:p>
    <w:p w:rsidR="0079760B" w:rsidRDefault="0079760B" w:rsidP="0079760B">
      <w:pPr>
        <w:spacing w:after="60"/>
        <w:jc w:val="left"/>
      </w:pPr>
      <w:r>
        <w:t>Mr Glenn Ryall, Principal Research Officer</w:t>
      </w:r>
    </w:p>
    <w:p w:rsidR="0079760B" w:rsidRDefault="0079760B" w:rsidP="0079760B">
      <w:pPr>
        <w:jc w:val="left"/>
      </w:pPr>
      <w:r>
        <w:t>Ms Ingrid Zappe, Legislative Research Officer</w:t>
      </w:r>
    </w:p>
    <w:p w:rsidR="0079760B" w:rsidRDefault="0079760B" w:rsidP="0079760B">
      <w:pPr>
        <w:jc w:val="left"/>
      </w:pPr>
    </w:p>
    <w:p w:rsidR="0079760B" w:rsidRDefault="0079760B" w:rsidP="0079760B">
      <w:pPr>
        <w:jc w:val="left"/>
      </w:pPr>
    </w:p>
    <w:p w:rsidR="0079760B" w:rsidRDefault="0079760B" w:rsidP="0079760B">
      <w:pPr>
        <w:jc w:val="left"/>
      </w:pPr>
    </w:p>
    <w:p w:rsidR="0079760B" w:rsidRPr="00FA436C" w:rsidRDefault="0079760B" w:rsidP="0079760B">
      <w:pPr>
        <w:spacing w:after="120"/>
        <w:jc w:val="left"/>
        <w:rPr>
          <w:b/>
        </w:rPr>
      </w:pPr>
      <w:r>
        <w:rPr>
          <w:b/>
        </w:rPr>
        <w:t>Committee legal adviser</w:t>
      </w:r>
    </w:p>
    <w:p w:rsidR="0079760B" w:rsidRDefault="0079760B" w:rsidP="0079760B">
      <w:pPr>
        <w:jc w:val="left"/>
      </w:pPr>
      <w:r>
        <w:t>Associate Professor Leighton McDonald</w:t>
      </w:r>
    </w:p>
    <w:p w:rsidR="0079760B" w:rsidRDefault="0079760B" w:rsidP="0079760B">
      <w:pPr>
        <w:jc w:val="left"/>
      </w:pPr>
    </w:p>
    <w:p w:rsidR="0079760B" w:rsidRDefault="0079760B" w:rsidP="0079760B">
      <w:pPr>
        <w:jc w:val="left"/>
      </w:pPr>
    </w:p>
    <w:p w:rsidR="0079760B" w:rsidRDefault="0079760B" w:rsidP="0079760B">
      <w:pPr>
        <w:jc w:val="left"/>
      </w:pPr>
    </w:p>
    <w:p w:rsidR="0079760B" w:rsidRPr="00FA436C" w:rsidRDefault="0079760B" w:rsidP="0079760B">
      <w:pPr>
        <w:spacing w:after="120"/>
        <w:jc w:val="left"/>
        <w:rPr>
          <w:b/>
        </w:rPr>
      </w:pPr>
      <w:r>
        <w:rPr>
          <w:b/>
        </w:rPr>
        <w:t>Committee contacts</w:t>
      </w:r>
    </w:p>
    <w:p w:rsidR="0079760B" w:rsidRDefault="0079760B" w:rsidP="0079760B">
      <w:pPr>
        <w:jc w:val="left"/>
      </w:pPr>
      <w:r>
        <w:t xml:space="preserve">PO Box 6100 </w:t>
      </w:r>
    </w:p>
    <w:p w:rsidR="0079760B" w:rsidRDefault="0079760B" w:rsidP="0079760B">
      <w:pPr>
        <w:jc w:val="left"/>
      </w:pPr>
      <w:r>
        <w:t>Parliament House</w:t>
      </w:r>
    </w:p>
    <w:p w:rsidR="0079760B" w:rsidRDefault="0079760B" w:rsidP="0079760B">
      <w:pPr>
        <w:jc w:val="left"/>
      </w:pPr>
      <w:proofErr w:type="gramStart"/>
      <w:r>
        <w:t>Canberra  ACT</w:t>
      </w:r>
      <w:proofErr w:type="gramEnd"/>
      <w:r>
        <w:t xml:space="preserve">  2600</w:t>
      </w:r>
    </w:p>
    <w:p w:rsidR="0079760B" w:rsidRDefault="0079760B" w:rsidP="0079760B">
      <w:pPr>
        <w:jc w:val="left"/>
      </w:pPr>
      <w:r>
        <w:t>Phone: 02 6277 3050</w:t>
      </w:r>
    </w:p>
    <w:p w:rsidR="0079760B" w:rsidRDefault="0079760B" w:rsidP="0079760B">
      <w:pPr>
        <w:jc w:val="left"/>
      </w:pPr>
      <w:r>
        <w:t>Email:  scrutiny.sen@aph.gov.au</w:t>
      </w:r>
    </w:p>
    <w:p w:rsidR="0079760B" w:rsidRDefault="0079760B" w:rsidP="0079760B">
      <w:pPr>
        <w:jc w:val="left"/>
      </w:pPr>
      <w:r>
        <w:t xml:space="preserve">Website:  </w:t>
      </w:r>
      <w:r w:rsidRPr="00CC3818">
        <w:t>http://www.aph.gov.au/senate_scrutiny</w:t>
      </w:r>
    </w:p>
    <w:p w:rsidR="0079760B" w:rsidRDefault="0079760B" w:rsidP="0079760B">
      <w:pPr>
        <w:spacing w:line="240" w:lineRule="auto"/>
        <w:jc w:val="left"/>
        <w:rPr>
          <w:b/>
          <w:sz w:val="32"/>
        </w:rPr>
      </w:pPr>
      <w:r>
        <w:rPr>
          <w:b/>
          <w:sz w:val="32"/>
        </w:rPr>
        <w:br w:type="page"/>
      </w:r>
      <w:r>
        <w:rPr>
          <w:b/>
          <w:sz w:val="32"/>
        </w:rPr>
        <w:lastRenderedPageBreak/>
        <w:br w:type="page"/>
      </w:r>
    </w:p>
    <w:p w:rsidR="0079760B" w:rsidRDefault="0079760B" w:rsidP="0079760B">
      <w:pPr>
        <w:spacing w:before="240" w:after="240" w:line="240" w:lineRule="auto"/>
        <w:jc w:val="center"/>
        <w:rPr>
          <w:b/>
          <w:sz w:val="32"/>
        </w:rPr>
      </w:pPr>
    </w:p>
    <w:p w:rsidR="0079760B" w:rsidRDefault="0079760B" w:rsidP="0079760B">
      <w:pPr>
        <w:spacing w:before="240" w:after="240" w:line="240" w:lineRule="auto"/>
        <w:jc w:val="center"/>
        <w:rPr>
          <w:b/>
          <w:sz w:val="32"/>
        </w:rPr>
      </w:pPr>
    </w:p>
    <w:p w:rsidR="0079760B" w:rsidRDefault="0079760B" w:rsidP="0079760B">
      <w:pPr>
        <w:spacing w:before="240" w:after="240" w:line="240" w:lineRule="auto"/>
        <w:jc w:val="center"/>
        <w:rPr>
          <w:b/>
          <w:sz w:val="32"/>
        </w:rPr>
      </w:pPr>
      <w:r>
        <w:rPr>
          <w:b/>
          <w:sz w:val="32"/>
        </w:rPr>
        <w:t>Terms of Reference</w:t>
      </w:r>
    </w:p>
    <w:p w:rsidR="0079760B" w:rsidRDefault="0079760B" w:rsidP="0079760B">
      <w:pPr>
        <w:spacing w:after="360" w:line="240" w:lineRule="auto"/>
        <w:jc w:val="center"/>
      </w:pPr>
    </w:p>
    <w:p w:rsidR="0079760B" w:rsidRDefault="0079760B" w:rsidP="0079760B">
      <w:pPr>
        <w:spacing w:after="360" w:line="240" w:lineRule="auto"/>
        <w:jc w:val="center"/>
      </w:pPr>
      <w:r>
        <w:t xml:space="preserve">Extract from </w:t>
      </w:r>
      <w:r>
        <w:rPr>
          <w:b/>
        </w:rPr>
        <w:t>Standing Order 24</w:t>
      </w:r>
    </w:p>
    <w:p w:rsidR="0079760B" w:rsidRDefault="0079760B" w:rsidP="0079760B">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79760B" w:rsidRDefault="0079760B" w:rsidP="0079760B">
      <w:pPr>
        <w:tabs>
          <w:tab w:val="left" w:pos="8576"/>
        </w:tabs>
        <w:spacing w:before="120"/>
        <w:ind w:left="1701" w:hanging="567"/>
      </w:pPr>
      <w:r>
        <w:t>(</w:t>
      </w:r>
      <w:proofErr w:type="gramStart"/>
      <w:r>
        <w:t>i</w:t>
      </w:r>
      <w:proofErr w:type="gramEnd"/>
      <w:r>
        <w:t>)</w:t>
      </w:r>
      <w:r>
        <w:tab/>
        <w:t>trespass unduly on personal rights and liberties;</w:t>
      </w:r>
    </w:p>
    <w:p w:rsidR="0079760B" w:rsidRDefault="0079760B" w:rsidP="0079760B">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79760B" w:rsidRDefault="0079760B" w:rsidP="0079760B">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79760B" w:rsidRDefault="0079760B" w:rsidP="0079760B">
      <w:pPr>
        <w:tabs>
          <w:tab w:val="left" w:pos="8576"/>
        </w:tabs>
        <w:spacing w:before="120"/>
        <w:ind w:left="1701" w:hanging="567"/>
      </w:pPr>
      <w:r>
        <w:t>(iv)</w:t>
      </w:r>
      <w:r>
        <w:tab/>
      </w:r>
      <w:proofErr w:type="gramStart"/>
      <w:r>
        <w:t>inappropriately</w:t>
      </w:r>
      <w:proofErr w:type="gramEnd"/>
      <w:r>
        <w:t xml:space="preserve"> delegate legislative powers; or</w:t>
      </w:r>
    </w:p>
    <w:p w:rsidR="0079760B" w:rsidRDefault="0079760B" w:rsidP="0079760B">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79760B" w:rsidRDefault="0079760B" w:rsidP="0079760B">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79760B" w:rsidRPr="000E6DD3" w:rsidRDefault="0079760B" w:rsidP="0079760B">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79760B" w:rsidRDefault="0079760B" w:rsidP="0079760B">
      <w:pPr>
        <w:tabs>
          <w:tab w:val="left" w:pos="426"/>
          <w:tab w:val="left" w:pos="1134"/>
          <w:tab w:val="left" w:pos="1701"/>
        </w:tabs>
        <w:spacing w:after="180" w:line="240" w:lineRule="auto"/>
        <w:ind w:left="1134" w:hanging="1134"/>
        <w:rPr>
          <w:szCs w:val="26"/>
        </w:rPr>
        <w:sectPr w:rsidR="0079760B" w:rsidSect="0091482F">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843" w:header="720" w:footer="720" w:gutter="170"/>
          <w:pgNumType w:start="5"/>
          <w:cols w:space="720"/>
          <w:docGrid w:linePitch="354"/>
        </w:sectPr>
      </w:pPr>
    </w:p>
    <w:p w:rsidR="0079760B" w:rsidRDefault="0079760B" w:rsidP="0079760B">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79760B" w:rsidTr="004D7097">
        <w:tc>
          <w:tcPr>
            <w:tcW w:w="6663" w:type="dxa"/>
          </w:tcPr>
          <w:p w:rsidR="0079760B" w:rsidRPr="004D4608" w:rsidRDefault="0079760B" w:rsidP="004D7097">
            <w:pPr>
              <w:spacing w:after="180"/>
              <w:jc w:val="left"/>
              <w:rPr>
                <w:b/>
              </w:rPr>
            </w:pPr>
            <w:r>
              <w:rPr>
                <w:b/>
              </w:rPr>
              <w:t>Commentary on bills</w:t>
            </w:r>
          </w:p>
        </w:tc>
        <w:tc>
          <w:tcPr>
            <w:tcW w:w="1275" w:type="dxa"/>
            <w:vAlign w:val="bottom"/>
          </w:tcPr>
          <w:p w:rsidR="0079760B" w:rsidRDefault="0079760B" w:rsidP="004D7097">
            <w:pPr>
              <w:spacing w:after="120"/>
              <w:jc w:val="right"/>
            </w:pPr>
          </w:p>
        </w:tc>
      </w:tr>
    </w:tbl>
    <w:p w:rsidR="0079760B" w:rsidRDefault="0079760B" w:rsidP="0079760B">
      <w:pPr>
        <w:pStyle w:val="TOCBullet"/>
        <w:tabs>
          <w:tab w:val="clear" w:pos="7655"/>
        </w:tabs>
        <w:ind w:left="567" w:right="1672" w:hanging="567"/>
        <w:rPr>
          <w:rFonts w:asciiTheme="minorHAnsi" w:eastAsiaTheme="minorEastAsia" w:hAnsiTheme="minorHAnsi" w:cstheme="minorBidi"/>
          <w:sz w:val="22"/>
          <w:szCs w:val="22"/>
        </w:rPr>
      </w:pPr>
      <w:r>
        <w:t>Motor Vehicle Standards (Cheaper Transport) Bill 2014</w:t>
      </w:r>
      <w:r>
        <w:tab/>
        <w:t>1</w:t>
      </w:r>
    </w:p>
    <w:p w:rsidR="0079760B" w:rsidRPr="0076667E" w:rsidRDefault="0079760B" w:rsidP="0079760B">
      <w:pPr>
        <w:pStyle w:val="TOC3"/>
        <w:rPr>
          <w:noProof/>
        </w:rPr>
      </w:pPr>
      <w:r w:rsidRPr="004A44EB">
        <w:rPr>
          <w:b/>
          <w:noProof/>
        </w:rPr>
        <w:t>Commentary on amendments to bills</w:t>
      </w:r>
      <w:r w:rsidRPr="0076667E">
        <w:rPr>
          <w:noProof/>
        </w:rPr>
        <w:tab/>
      </w:r>
      <w:r>
        <w:rPr>
          <w:noProof/>
        </w:rPr>
        <w:t>4</w:t>
      </w:r>
    </w:p>
    <w:p w:rsidR="0079760B" w:rsidRPr="005A6D2C" w:rsidRDefault="0079760B" w:rsidP="0079760B">
      <w:pPr>
        <w:pStyle w:val="ListParagraph"/>
        <w:numPr>
          <w:ilvl w:val="0"/>
          <w:numId w:val="35"/>
        </w:numPr>
        <w:tabs>
          <w:tab w:val="right" w:pos="8222"/>
        </w:tabs>
        <w:spacing w:after="60"/>
        <w:ind w:left="851" w:right="822" w:hanging="284"/>
        <w:contextualSpacing w:val="0"/>
        <w:jc w:val="left"/>
        <w:rPr>
          <w:rFonts w:eastAsiaTheme="minorEastAsia"/>
          <w:sz w:val="24"/>
          <w:szCs w:val="24"/>
        </w:rPr>
      </w:pPr>
      <w:r>
        <w:rPr>
          <w:sz w:val="24"/>
          <w:szCs w:val="24"/>
        </w:rPr>
        <w:t xml:space="preserve">Trade Support Loans Bill </w:t>
      </w:r>
      <w:r w:rsidRPr="005A6D2C">
        <w:rPr>
          <w:sz w:val="24"/>
          <w:szCs w:val="24"/>
        </w:rPr>
        <w:t>2014</w:t>
      </w:r>
    </w:p>
    <w:p w:rsidR="0079760B" w:rsidRDefault="0079760B" w:rsidP="0079760B">
      <w:pPr>
        <w:pStyle w:val="TOC3"/>
        <w:spacing w:after="360"/>
      </w:pPr>
      <w:r w:rsidRPr="00D5773C">
        <w:rPr>
          <w:b/>
        </w:rPr>
        <w:t>Scrutiny of standing appropriations</w:t>
      </w:r>
      <w:r>
        <w:tab/>
        <w:t>5</w:t>
      </w:r>
    </w:p>
    <w:p w:rsidR="0079760B" w:rsidRDefault="0079760B" w:rsidP="0079760B"/>
    <w:p w:rsidR="0079760B" w:rsidRPr="00C213AC" w:rsidRDefault="0079760B" w:rsidP="0079760B"/>
    <w:p w:rsidR="0079760B" w:rsidRPr="00C4597F" w:rsidRDefault="0079760B" w:rsidP="0079760B">
      <w:pPr>
        <w:pStyle w:val="H2"/>
        <w:pBdr>
          <w:top w:val="single" w:sz="4" w:space="1" w:color="auto"/>
          <w:left w:val="single" w:sz="4" w:space="4" w:color="auto"/>
          <w:bottom w:val="single" w:sz="4" w:space="1" w:color="auto"/>
          <w:right w:val="single" w:sz="4" w:space="4" w:color="auto"/>
        </w:pBdr>
        <w:jc w:val="left"/>
        <w:rPr>
          <w:b w:val="0"/>
          <w:sz w:val="16"/>
          <w:szCs w:val="16"/>
        </w:rPr>
      </w:pPr>
      <w:bookmarkStart w:id="0" w:name="_Toc347917629"/>
      <w:bookmarkStart w:id="1" w:name="_Toc351551361"/>
      <w:bookmarkStart w:id="2" w:name="_Toc351551431"/>
      <w:bookmarkStart w:id="3" w:name="_Toc351551538"/>
    </w:p>
    <w:p w:rsidR="0079760B" w:rsidRPr="00D92660" w:rsidRDefault="0079760B" w:rsidP="0079760B">
      <w:pPr>
        <w:pStyle w:val="H2"/>
        <w:pBdr>
          <w:top w:val="single" w:sz="4" w:space="1" w:color="auto"/>
          <w:left w:val="single" w:sz="4" w:space="4" w:color="auto"/>
          <w:bottom w:val="single" w:sz="4" w:space="1" w:color="auto"/>
          <w:right w:val="single" w:sz="4" w:space="4" w:color="auto"/>
        </w:pBdr>
        <w:spacing w:line="240" w:lineRule="auto"/>
        <w:jc w:val="center"/>
        <w:rPr>
          <w:sz w:val="24"/>
          <w:szCs w:val="24"/>
        </w:rPr>
      </w:pPr>
      <w:r w:rsidRPr="00D92660">
        <w:rPr>
          <w:sz w:val="24"/>
          <w:szCs w:val="24"/>
        </w:rPr>
        <w:t>Senate Standing Legislation Committee Inquiries</w:t>
      </w:r>
      <w:bookmarkEnd w:id="0"/>
      <w:bookmarkEnd w:id="1"/>
      <w:bookmarkEnd w:id="2"/>
      <w:bookmarkEnd w:id="3"/>
    </w:p>
    <w:p w:rsidR="0079760B" w:rsidRDefault="0079760B" w:rsidP="0079760B">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79760B" w:rsidRPr="00C4597F" w:rsidRDefault="0079760B" w:rsidP="0079760B">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79760B" w:rsidRDefault="0079760B" w:rsidP="0079760B">
      <w:pPr>
        <w:tabs>
          <w:tab w:val="left" w:pos="1170"/>
        </w:tabs>
        <w:jc w:val="left"/>
      </w:pPr>
    </w:p>
    <w:p w:rsidR="0079760B" w:rsidRDefault="0079760B" w:rsidP="0079760B">
      <w:pPr>
        <w:tabs>
          <w:tab w:val="left" w:pos="1170"/>
        </w:tabs>
        <w:jc w:val="left"/>
      </w:pPr>
    </w:p>
    <w:p w:rsidR="0079760B" w:rsidRDefault="0079760B" w:rsidP="0079760B">
      <w:pPr>
        <w:tabs>
          <w:tab w:val="left" w:pos="1170"/>
        </w:tabs>
        <w:jc w:val="left"/>
      </w:pPr>
    </w:p>
    <w:p w:rsidR="0079760B" w:rsidRDefault="0079760B" w:rsidP="0079760B">
      <w:pPr>
        <w:tabs>
          <w:tab w:val="left" w:pos="1170"/>
        </w:tabs>
        <w:jc w:val="left"/>
      </w:pPr>
    </w:p>
    <w:p w:rsidR="0079760B" w:rsidRDefault="0079760B" w:rsidP="0079760B">
      <w:pPr>
        <w:tabs>
          <w:tab w:val="left" w:pos="1170"/>
        </w:tabs>
        <w:jc w:val="left"/>
      </w:pPr>
    </w:p>
    <w:p w:rsidR="0079760B" w:rsidRDefault="0079760B" w:rsidP="0079760B">
      <w:pPr>
        <w:tabs>
          <w:tab w:val="left" w:pos="1170"/>
        </w:tabs>
        <w:jc w:val="left"/>
        <w:sectPr w:rsidR="0079760B" w:rsidSect="00E10390">
          <w:headerReference w:type="even" r:id="rId14"/>
          <w:headerReference w:type="default" r:id="rId15"/>
          <w:footerReference w:type="even" r:id="rId16"/>
          <w:footerReference w:type="default" r:id="rId17"/>
          <w:headerReference w:type="first" r:id="rId18"/>
          <w:footerReference w:type="first" r:id="rId19"/>
          <w:pgSz w:w="11906" w:h="16838"/>
          <w:pgMar w:top="1701" w:right="1700" w:bottom="1701" w:left="1843" w:header="720" w:footer="720" w:gutter="170"/>
          <w:pgNumType w:fmt="lowerRoman" w:start="5"/>
          <w:cols w:space="720"/>
          <w:titlePg/>
          <w:docGrid w:linePitch="354"/>
        </w:sectPr>
      </w:pPr>
    </w:p>
    <w:p w:rsidR="0079760B" w:rsidRPr="001A7095" w:rsidRDefault="0079760B" w:rsidP="0079760B">
      <w:pPr>
        <w:pStyle w:val="H1"/>
      </w:pPr>
      <w:r>
        <w:lastRenderedPageBreak/>
        <w:t>Motor Vehicle Standards (Cheaper Transport) Bill 2014</w:t>
      </w:r>
    </w:p>
    <w:p w:rsidR="0079760B" w:rsidRPr="001A7095" w:rsidRDefault="0079760B" w:rsidP="0079760B">
      <w:r w:rsidRPr="001A7095">
        <w:t xml:space="preserve">Introduced into the </w:t>
      </w:r>
      <w:r>
        <w:t xml:space="preserve">Senate </w:t>
      </w:r>
      <w:r w:rsidRPr="001A7095">
        <w:t xml:space="preserve">on </w:t>
      </w:r>
      <w:r>
        <w:t>10 July 2014</w:t>
      </w:r>
    </w:p>
    <w:p w:rsidR="0079760B" w:rsidRPr="001A7095" w:rsidRDefault="0079760B" w:rsidP="0079760B">
      <w:r>
        <w:t>By</w:t>
      </w:r>
      <w:r w:rsidRPr="001A7095">
        <w:t xml:space="preserve">: </w:t>
      </w:r>
      <w:r>
        <w:t>Senator Milne</w:t>
      </w:r>
    </w:p>
    <w:p w:rsidR="0079760B" w:rsidRDefault="0079760B" w:rsidP="0079760B"/>
    <w:p w:rsidR="0079760B" w:rsidRPr="001A7095" w:rsidRDefault="0079760B" w:rsidP="0079760B">
      <w:pPr>
        <w:pStyle w:val="H2"/>
      </w:pPr>
      <w:r w:rsidRPr="001A7095">
        <w:t>Background</w:t>
      </w:r>
    </w:p>
    <w:p w:rsidR="0079760B" w:rsidRDefault="0079760B" w:rsidP="0079760B"/>
    <w:p w:rsidR="0079760B" w:rsidRDefault="0079760B" w:rsidP="0079760B">
      <w:pPr>
        <w:rPr>
          <w:i/>
        </w:rPr>
      </w:pPr>
      <w:r>
        <w:t>This bill seeks to set carbon emissions standards for new passenger vehicles and light commercial vehicles purchased in Australia from 2017.</w:t>
      </w:r>
    </w:p>
    <w:p w:rsidR="0079760B" w:rsidRDefault="0079760B" w:rsidP="0079760B"/>
    <w:p w:rsidR="0079760B" w:rsidRPr="00332E8E" w:rsidRDefault="0079760B" w:rsidP="0079760B">
      <w:pPr>
        <w:pStyle w:val="H2"/>
      </w:pPr>
      <w:r w:rsidRPr="00A45BEB">
        <w:t>Delegation of legislative power</w:t>
      </w:r>
    </w:p>
    <w:p w:rsidR="0079760B" w:rsidRPr="00332E8E" w:rsidRDefault="0079760B" w:rsidP="0079760B">
      <w:pPr>
        <w:pStyle w:val="H2"/>
      </w:pPr>
      <w:r w:rsidRPr="00332E8E">
        <w:t xml:space="preserve">Clause 3, definitions of </w:t>
      </w:r>
      <w:r w:rsidRPr="005B1944">
        <w:rPr>
          <w:i/>
        </w:rPr>
        <w:t>light commercial vehicle</w:t>
      </w:r>
      <w:r w:rsidRPr="00332E8E">
        <w:t xml:space="preserve"> and </w:t>
      </w:r>
      <w:r w:rsidRPr="005B1944">
        <w:rPr>
          <w:i/>
        </w:rPr>
        <w:t>passenger vehicle</w:t>
      </w:r>
    </w:p>
    <w:p w:rsidR="0079760B" w:rsidRDefault="0079760B" w:rsidP="0079760B"/>
    <w:p w:rsidR="0079760B" w:rsidRDefault="0079760B" w:rsidP="0079760B">
      <w:r>
        <w:t xml:space="preserve">The meaning of the above phrases, which are relevant to determining the application of the vehicle carbon emissions standard (see subclause 4(2)), is defined by reference to the ‘meaning given by the regulations’ or if the </w:t>
      </w:r>
      <w:r w:rsidRPr="00570221">
        <w:t>regulations</w:t>
      </w:r>
      <w:r>
        <w:t xml:space="preserve"> do not give a definition, by reference to meanings specified in the Australian Design Rule (as in force at the commencement of this Act). Given the importance of these definitions to determining the scope of the scheme it is regrettable that the explanatory memorandum does not state the reasons for enabling them to be altered by delegated legislation. </w:t>
      </w:r>
      <w:r w:rsidRPr="005B1944">
        <w:rPr>
          <w:b/>
        </w:rPr>
        <w:t>The committee therefore seeks the Senator's advice as to the justification for the proposed approach.</w:t>
      </w:r>
    </w:p>
    <w:p w:rsidR="0079760B" w:rsidRDefault="0079760B" w:rsidP="0079760B"/>
    <w:p w:rsidR="0079760B" w:rsidRDefault="0079760B" w:rsidP="0079760B">
      <w:pPr>
        <w:ind w:left="567" w:right="567"/>
        <w:rPr>
          <w:i/>
        </w:rPr>
      </w:pPr>
      <w:r>
        <w:rPr>
          <w:i/>
        </w:rPr>
        <w:t>Pending the Senator's reply, the committee draws Senators’ attention to the approach as it may be considered to delegate legislative powers inappropriately in breach of principle 1(a</w:t>
      </w:r>
      <w:proofErr w:type="gramStart"/>
      <w:r>
        <w:rPr>
          <w:i/>
        </w:rPr>
        <w:t>)(</w:t>
      </w:r>
      <w:proofErr w:type="gramEnd"/>
      <w:r>
        <w:rPr>
          <w:i/>
        </w:rPr>
        <w:t>iv) of the committee’s terms of reference.</w:t>
      </w:r>
    </w:p>
    <w:p w:rsidR="0079760B" w:rsidRDefault="0079760B" w:rsidP="0079760B">
      <w:pPr>
        <w:ind w:left="567" w:right="567"/>
        <w:rPr>
          <w:i/>
        </w:rPr>
      </w:pPr>
    </w:p>
    <w:p w:rsidR="0079760B" w:rsidRDefault="0079760B" w:rsidP="0079760B">
      <w:pPr>
        <w:pStyle w:val="H2"/>
      </w:pPr>
      <w:r w:rsidRPr="00834BE9">
        <w:t>Strict liability</w:t>
      </w:r>
    </w:p>
    <w:p w:rsidR="0079760B" w:rsidRPr="000A6E93" w:rsidRDefault="0079760B" w:rsidP="0079760B">
      <w:pPr>
        <w:pStyle w:val="H2"/>
      </w:pPr>
      <w:r w:rsidRPr="000A6E93">
        <w:t xml:space="preserve">Reversal of onus – </w:t>
      </w:r>
      <w:r w:rsidRPr="00EB3150">
        <w:t xml:space="preserve">reasonable excuse </w:t>
      </w:r>
      <w:r w:rsidRPr="000A6E93">
        <w:t>defence</w:t>
      </w:r>
    </w:p>
    <w:p w:rsidR="0079760B" w:rsidRPr="00834BE9" w:rsidRDefault="0079760B" w:rsidP="0079760B">
      <w:pPr>
        <w:pStyle w:val="H2"/>
      </w:pPr>
      <w:r w:rsidRPr="00834BE9">
        <w:t>Subclause 15(3)</w:t>
      </w:r>
    </w:p>
    <w:p w:rsidR="0079760B" w:rsidRDefault="0079760B" w:rsidP="0079760B"/>
    <w:p w:rsidR="0079760B" w:rsidRDefault="0079760B" w:rsidP="0079760B">
      <w:r>
        <w:t xml:space="preserve">Subclause 15(1) makes it an offence for a person to fail to give information or a return that the person is required to give under this Act or the regulations. Subclause (2) provides that the offence provision does not apply if the person has a reasonable excuse, though the defendant bears an evidential burden of </w:t>
      </w:r>
      <w:r>
        <w:lastRenderedPageBreak/>
        <w:t>proof in relation to establishing this matter.  Subclause 15(3) provides that the offence created by subsection (1) is an offence of strict liability.</w:t>
      </w:r>
    </w:p>
    <w:p w:rsidR="0079760B" w:rsidRDefault="0079760B" w:rsidP="0079760B"/>
    <w:p w:rsidR="0079760B" w:rsidRDefault="0079760B" w:rsidP="0079760B">
      <w:pPr>
        <w:spacing w:after="120"/>
      </w:pPr>
      <w:r>
        <w:t>The explanatory memorandum justifies this approach to strict liability by noting:</w:t>
      </w:r>
    </w:p>
    <w:p w:rsidR="0079760B" w:rsidRDefault="0079760B" w:rsidP="0079760B">
      <w:pPr>
        <w:pStyle w:val="ListParagraph"/>
        <w:numPr>
          <w:ilvl w:val="0"/>
          <w:numId w:val="36"/>
        </w:numPr>
        <w:spacing w:after="120"/>
        <w:ind w:left="714" w:hanging="357"/>
        <w:contextualSpacing w:val="0"/>
      </w:pPr>
      <w:r>
        <w:t>that the difficulty of proving intention, and the ease of complying with the reporting requirements, justifies strict liability;</w:t>
      </w:r>
    </w:p>
    <w:p w:rsidR="0079760B" w:rsidRDefault="0079760B" w:rsidP="0079760B">
      <w:pPr>
        <w:pStyle w:val="ListParagraph"/>
        <w:numPr>
          <w:ilvl w:val="0"/>
          <w:numId w:val="36"/>
        </w:numPr>
        <w:spacing w:after="120"/>
        <w:ind w:left="714" w:hanging="357"/>
        <w:contextualSpacing w:val="0"/>
      </w:pPr>
      <w:r>
        <w:t xml:space="preserve">the existence of the reasonable excuse defence; and </w:t>
      </w:r>
    </w:p>
    <w:p w:rsidR="0079760B" w:rsidRDefault="0079760B" w:rsidP="0079760B">
      <w:pPr>
        <w:pStyle w:val="ListParagraph"/>
        <w:numPr>
          <w:ilvl w:val="0"/>
          <w:numId w:val="36"/>
        </w:numPr>
      </w:pPr>
      <w:proofErr w:type="gramStart"/>
      <w:r>
        <w:t>the</w:t>
      </w:r>
      <w:proofErr w:type="gramEnd"/>
      <w:r>
        <w:t xml:space="preserve"> penalty (60 penalty units) does not extend to imprisonment. [It is also consistent within the maximum penalty recommended for strict liability offences in the </w:t>
      </w:r>
      <w:r w:rsidRPr="00834BE9">
        <w:rPr>
          <w:i/>
        </w:rPr>
        <w:t xml:space="preserve">Guide </w:t>
      </w:r>
      <w:r>
        <w:rPr>
          <w:i/>
        </w:rPr>
        <w:t>to</w:t>
      </w:r>
      <w:r w:rsidRPr="00834BE9">
        <w:rPr>
          <w:i/>
        </w:rPr>
        <w:t xml:space="preserve"> Framing Commonwealth Offences</w:t>
      </w:r>
      <w:r>
        <w:t xml:space="preserve">.] </w:t>
      </w:r>
    </w:p>
    <w:p w:rsidR="0079760B" w:rsidRDefault="0079760B" w:rsidP="0079760B"/>
    <w:p w:rsidR="0079760B" w:rsidRDefault="0079760B" w:rsidP="0079760B">
      <w:r>
        <w:t xml:space="preserve">It should be noted, however, that the </w:t>
      </w:r>
      <w:r w:rsidRPr="00834BE9">
        <w:rPr>
          <w:i/>
        </w:rPr>
        <w:t xml:space="preserve">Guide </w:t>
      </w:r>
      <w:r>
        <w:rPr>
          <w:i/>
        </w:rPr>
        <w:t>to</w:t>
      </w:r>
      <w:r w:rsidRPr="00834BE9">
        <w:rPr>
          <w:i/>
        </w:rPr>
        <w:t xml:space="preserve"> Framing Commonwealth Offences</w:t>
      </w:r>
      <w:r>
        <w:rPr>
          <w:i/>
        </w:rPr>
        <w:t xml:space="preserve"> </w:t>
      </w:r>
      <w:r>
        <w:t xml:space="preserve">recommends against framing defences in terms of ‘reasonable excuses’ given the uncertainties associated with what may constitute such an excuse and, thus, the associated difficulties that defendants may face in adducing relevant evidence. It may also be noted that the appropriateness of placing an evidential burden on the defendant in relation to the reasonable excuse defence is not specifically addressed. </w:t>
      </w:r>
      <w:r w:rsidRPr="005A1078">
        <w:rPr>
          <w:b/>
        </w:rPr>
        <w:t>Nevertheless, in light of the explanation provided the committee leaves the question of whether the proposed approach is appropriate to the Senate as a whole.</w:t>
      </w:r>
    </w:p>
    <w:p w:rsidR="0079760B" w:rsidRDefault="0079760B" w:rsidP="0079760B"/>
    <w:p w:rsidR="0079760B" w:rsidRDefault="0079760B" w:rsidP="0079760B">
      <w:pPr>
        <w:ind w:left="567" w:right="567"/>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79760B" w:rsidRDefault="0079760B" w:rsidP="0079760B">
      <w:pPr>
        <w:ind w:left="567" w:right="567"/>
        <w:rPr>
          <w:i/>
        </w:rPr>
      </w:pPr>
    </w:p>
    <w:p w:rsidR="0079760B" w:rsidRPr="00834BE9" w:rsidRDefault="0079760B" w:rsidP="0079760B">
      <w:pPr>
        <w:pStyle w:val="H2"/>
      </w:pPr>
      <w:r>
        <w:t>Privilege against s</w:t>
      </w:r>
      <w:r w:rsidRPr="00834BE9">
        <w:t>elf-incrimination</w:t>
      </w:r>
    </w:p>
    <w:p w:rsidR="0079760B" w:rsidRPr="00834BE9" w:rsidRDefault="0079760B" w:rsidP="0079760B">
      <w:pPr>
        <w:pStyle w:val="H2"/>
      </w:pPr>
      <w:r w:rsidRPr="00834BE9">
        <w:t>Subclause</w:t>
      </w:r>
      <w:r>
        <w:t xml:space="preserve"> </w:t>
      </w:r>
      <w:r w:rsidRPr="00834BE9">
        <w:t>15(4)</w:t>
      </w:r>
    </w:p>
    <w:p w:rsidR="0079760B" w:rsidRDefault="0079760B" w:rsidP="0079760B"/>
    <w:p w:rsidR="0079760B" w:rsidRDefault="0079760B" w:rsidP="0079760B">
      <w:pPr>
        <w:rPr>
          <w:color w:val="676767"/>
        </w:rPr>
      </w:pPr>
      <w:r>
        <w:t>The committee routinely comments on provisions that abrogate the common law privilege against self-incrimination. The committee has, however, accepted that there may be circumstances in which the abrogation of the privilege is justified. In particular, it is easier to justify the abrogation of the privilege where the legislation provides for a use and derivative use immunity.</w:t>
      </w:r>
      <w:r>
        <w:rPr>
          <w:color w:val="676767"/>
        </w:rPr>
        <w:t xml:space="preserve"> </w:t>
      </w:r>
    </w:p>
    <w:p w:rsidR="0079760B" w:rsidRDefault="0079760B" w:rsidP="0079760B"/>
    <w:p w:rsidR="0079760B" w:rsidRDefault="0079760B" w:rsidP="0079760B">
      <w:r>
        <w:t xml:space="preserve">In this instance, subclause 15(4) provides that a person is not excused from a clause 14 requirement to provide information on the ground that doing so might tend to incriminate them.  While the bill does include both a use and derivative use immunity, the explanatory memorandum does not address the </w:t>
      </w:r>
      <w:r>
        <w:lastRenderedPageBreak/>
        <w:t xml:space="preserve">need </w:t>
      </w:r>
      <w:r w:rsidRPr="003F1B14">
        <w:t>for the abrogation of the privilege against self</w:t>
      </w:r>
      <w:r w:rsidRPr="003F1B14">
        <w:noBreakHyphen/>
        <w:t>incrimination</w:t>
      </w:r>
      <w:r>
        <w:t>.</w:t>
      </w:r>
      <w:r w:rsidRPr="003F1B14">
        <w:t xml:space="preserve"> </w:t>
      </w:r>
      <w:r w:rsidRPr="00150CBF">
        <w:rPr>
          <w:b/>
        </w:rPr>
        <w:t>The committee therefore seeks the Senator's advice as to the justification for the approach, includ</w:t>
      </w:r>
      <w:r>
        <w:rPr>
          <w:b/>
        </w:rPr>
        <w:t>ing</w:t>
      </w:r>
      <w:r w:rsidRPr="00150CBF">
        <w:rPr>
          <w:b/>
        </w:rPr>
        <w:t xml:space="preserve"> addressing relevant principles detailed in the </w:t>
      </w:r>
      <w:r w:rsidRPr="00150CBF">
        <w:rPr>
          <w:b/>
          <w:i/>
        </w:rPr>
        <w:t>Guide to Framing Commonwealth Offences</w:t>
      </w:r>
      <w:r w:rsidRPr="00150CBF">
        <w:rPr>
          <w:b/>
        </w:rPr>
        <w:t xml:space="preserve">. </w:t>
      </w:r>
    </w:p>
    <w:p w:rsidR="0079760B" w:rsidRDefault="0079760B" w:rsidP="0079760B"/>
    <w:p w:rsidR="0079760B" w:rsidRDefault="0079760B" w:rsidP="0079760B">
      <w:pPr>
        <w:ind w:left="567" w:right="567"/>
        <w:rPr>
          <w:i/>
        </w:rPr>
      </w:pPr>
      <w:r>
        <w:rPr>
          <w:i/>
        </w:rPr>
        <w:t>Pending the Senator's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79760B" w:rsidRDefault="0079760B" w:rsidP="0079760B"/>
    <w:p w:rsidR="0079760B" w:rsidRPr="00011D2F" w:rsidRDefault="0079760B" w:rsidP="0079760B">
      <w:pPr>
        <w:pStyle w:val="H2"/>
      </w:pPr>
      <w:r w:rsidRPr="00011D2F">
        <w:t>Reversal of onus</w:t>
      </w:r>
    </w:p>
    <w:p w:rsidR="0079760B" w:rsidRPr="00011D2F" w:rsidRDefault="0079760B" w:rsidP="0079760B">
      <w:pPr>
        <w:pStyle w:val="H2"/>
      </w:pPr>
      <w:r w:rsidRPr="00011D2F">
        <w:t>Subclauses 16(2) and 16(4)</w:t>
      </w:r>
    </w:p>
    <w:p w:rsidR="0079760B" w:rsidRDefault="0079760B" w:rsidP="0079760B"/>
    <w:p w:rsidR="0079760B" w:rsidRDefault="0079760B" w:rsidP="0079760B">
      <w:pPr>
        <w:spacing w:after="120"/>
      </w:pPr>
      <w:r>
        <w:t xml:space="preserve">Subclause 16(1) provides that the actions of an employee or director of a body corporate will be attributed to the body corporate provided that they are within the scope of their employment duties. </w:t>
      </w:r>
    </w:p>
    <w:p w:rsidR="0079760B" w:rsidRDefault="0079760B" w:rsidP="0079760B">
      <w:pPr>
        <w:spacing w:after="120"/>
      </w:pPr>
      <w:r>
        <w:t>Subparagraph 16(1</w:t>
      </w:r>
      <w:proofErr w:type="gramStart"/>
      <w:r>
        <w:t>)(</w:t>
      </w:r>
      <w:proofErr w:type="gramEnd"/>
      <w:r>
        <w:t>b)(ii) provides that conduct of an employee or agent will be taken to have been engaged in by the body corporate if it is proved:</w:t>
      </w:r>
    </w:p>
    <w:p w:rsidR="0079760B" w:rsidRDefault="0079760B" w:rsidP="0079760B">
      <w:pPr>
        <w:pStyle w:val="I1"/>
      </w:pPr>
      <w:r>
        <w:t xml:space="preserve">…that an employee or agent of the body corporate with duties of such responsibility that his or her conduct may fairly be assumed to represent the policy of the body corporate engaged in the relevant conduct or expressly, tacitly or impliedly authorised or permitted the relevant conduct. </w:t>
      </w:r>
    </w:p>
    <w:p w:rsidR="0079760B" w:rsidRDefault="0079760B" w:rsidP="0079760B">
      <w:pPr>
        <w:pStyle w:val="I1"/>
      </w:pPr>
    </w:p>
    <w:p w:rsidR="0079760B" w:rsidRDefault="0079760B" w:rsidP="0079760B">
      <w:r>
        <w:t>Subclause 16(2) provides that subparagraph 16(1</w:t>
      </w:r>
      <w:proofErr w:type="gramStart"/>
      <w:r>
        <w:t>)(</w:t>
      </w:r>
      <w:proofErr w:type="gramEnd"/>
      <w:r>
        <w:t>b)(ii) ‘does not apply if the body corporate proves that it exercised due diligence to prevent the relevant conduct’. Subclause 16(2) thus appears to place a legal burden of proof on the body corporate in relation to this defence.</w:t>
      </w:r>
    </w:p>
    <w:p w:rsidR="0079760B" w:rsidRDefault="0079760B" w:rsidP="0079760B"/>
    <w:p w:rsidR="0079760B" w:rsidRDefault="0079760B" w:rsidP="0079760B">
      <w:r>
        <w:t>A similar issue also arises in subclause 16(4) in relation to individuals.</w:t>
      </w:r>
    </w:p>
    <w:p w:rsidR="0079760B" w:rsidRDefault="0079760B" w:rsidP="0079760B"/>
    <w:p w:rsidR="0079760B" w:rsidRDefault="0079760B" w:rsidP="0079760B">
      <w:pPr>
        <w:spacing w:after="120"/>
      </w:pPr>
      <w:r>
        <w:t xml:space="preserve">Unfortunately, the explanatory memorandum does not address the justification for this approach. </w:t>
      </w:r>
      <w:r w:rsidRPr="008A587D">
        <w:rPr>
          <w:b/>
        </w:rPr>
        <w:t xml:space="preserve">The committee therefore seeks the Senator's advice on this matter generally, and is </w:t>
      </w:r>
      <w:r>
        <w:rPr>
          <w:b/>
        </w:rPr>
        <w:t>particularly</w:t>
      </w:r>
      <w:r w:rsidRPr="008A587D">
        <w:rPr>
          <w:b/>
        </w:rPr>
        <w:t xml:space="preserve"> interested in whether consideration has been given to the imposition of a lesser evidential burden of proof.</w:t>
      </w:r>
      <w:r>
        <w:t xml:space="preserve"> </w:t>
      </w:r>
    </w:p>
    <w:p w:rsidR="0079760B" w:rsidRDefault="0079760B" w:rsidP="0079760B">
      <w:pPr>
        <w:ind w:left="567" w:right="567"/>
        <w:rPr>
          <w:i/>
        </w:rPr>
      </w:pPr>
      <w:r>
        <w:rPr>
          <w:i/>
        </w:rPr>
        <w:t>Pending the Senator's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79760B" w:rsidRDefault="0079760B" w:rsidP="0079760B">
      <w:pPr>
        <w:spacing w:line="240" w:lineRule="auto"/>
        <w:jc w:val="left"/>
      </w:pPr>
      <w:r>
        <w:br w:type="page"/>
      </w:r>
    </w:p>
    <w:p w:rsidR="0079760B" w:rsidRDefault="0079760B" w:rsidP="0079760B">
      <w:pPr>
        <w:pStyle w:val="H1"/>
      </w:pPr>
      <w:r>
        <w:lastRenderedPageBreak/>
        <w:t>COMMENTARY ON AMENDMENTS TO BILLS</w:t>
      </w:r>
    </w:p>
    <w:p w:rsidR="0079760B" w:rsidRDefault="0079760B" w:rsidP="0079760B">
      <w:pPr>
        <w:rPr>
          <w:sz w:val="22"/>
        </w:rPr>
      </w:pPr>
    </w:p>
    <w:p w:rsidR="0079760B" w:rsidRPr="00671D62" w:rsidRDefault="0079760B" w:rsidP="0079760B">
      <w:pPr>
        <w:rPr>
          <w:b/>
          <w:szCs w:val="26"/>
        </w:rPr>
      </w:pPr>
      <w:r>
        <w:rPr>
          <w:b/>
          <w:szCs w:val="26"/>
        </w:rPr>
        <w:t xml:space="preserve">Trade Support Loans Bill </w:t>
      </w:r>
      <w:r w:rsidRPr="00671D62">
        <w:rPr>
          <w:b/>
          <w:szCs w:val="26"/>
        </w:rPr>
        <w:t>2014</w:t>
      </w:r>
    </w:p>
    <w:p w:rsidR="0079760B" w:rsidRDefault="0079760B" w:rsidP="0079760B">
      <w:pPr>
        <w:rPr>
          <w:b/>
          <w:i/>
          <w:sz w:val="24"/>
          <w:szCs w:val="24"/>
        </w:rPr>
      </w:pPr>
      <w:r w:rsidRPr="00052526">
        <w:rPr>
          <w:b/>
          <w:i/>
          <w:sz w:val="24"/>
          <w:szCs w:val="24"/>
        </w:rPr>
        <w:t xml:space="preserve">[Digest </w:t>
      </w:r>
      <w:r>
        <w:rPr>
          <w:b/>
          <w:i/>
          <w:sz w:val="24"/>
          <w:szCs w:val="24"/>
        </w:rPr>
        <w:t>6</w:t>
      </w:r>
      <w:r w:rsidRPr="00052526">
        <w:rPr>
          <w:b/>
          <w:i/>
          <w:sz w:val="24"/>
          <w:szCs w:val="24"/>
        </w:rPr>
        <w:t>/1</w:t>
      </w:r>
      <w:r>
        <w:rPr>
          <w:b/>
          <w:i/>
          <w:sz w:val="24"/>
          <w:szCs w:val="24"/>
        </w:rPr>
        <w:t>4</w:t>
      </w:r>
      <w:r w:rsidRPr="00052526">
        <w:rPr>
          <w:b/>
          <w:i/>
          <w:sz w:val="24"/>
          <w:szCs w:val="24"/>
        </w:rPr>
        <w:t xml:space="preserve"> –</w:t>
      </w:r>
      <w:r>
        <w:rPr>
          <w:b/>
          <w:i/>
          <w:sz w:val="24"/>
          <w:szCs w:val="24"/>
        </w:rPr>
        <w:t xml:space="preserve"> awaiting response]</w:t>
      </w:r>
    </w:p>
    <w:p w:rsidR="0079760B" w:rsidRDefault="0079760B" w:rsidP="0079760B"/>
    <w:p w:rsidR="0079760B" w:rsidRDefault="0079760B" w:rsidP="0079760B">
      <w:r>
        <w:t>On 14 July 2014 the Senate agreed to two Opposition amendments and the bill was read a third time.  The committee has no comment on these amendments.</w:t>
      </w:r>
    </w:p>
    <w:p w:rsidR="0079760B" w:rsidRDefault="0079760B" w:rsidP="0079760B"/>
    <w:p w:rsidR="0079760B" w:rsidRDefault="0079760B" w:rsidP="0079760B"/>
    <w:p w:rsidR="0079760B" w:rsidRDefault="0079760B" w:rsidP="0079760B">
      <w:pPr>
        <w:spacing w:line="240" w:lineRule="auto"/>
        <w:jc w:val="left"/>
      </w:pPr>
      <w:r>
        <w:br w:type="page"/>
      </w:r>
    </w:p>
    <w:p w:rsidR="0079760B" w:rsidRDefault="0079760B" w:rsidP="0079760B">
      <w:pPr>
        <w:jc w:val="center"/>
        <w:outlineLvl w:val="0"/>
        <w:rPr>
          <w:b/>
          <w:sz w:val="32"/>
          <w:szCs w:val="32"/>
        </w:rPr>
      </w:pPr>
      <w:r w:rsidRPr="003B474B">
        <w:rPr>
          <w:b/>
          <w:sz w:val="32"/>
          <w:szCs w:val="32"/>
        </w:rPr>
        <w:lastRenderedPageBreak/>
        <w:t>SCRUTINY OF STANDING APPROPRIATIONS</w:t>
      </w:r>
    </w:p>
    <w:p w:rsidR="0079760B" w:rsidRPr="003B474B" w:rsidRDefault="0079760B" w:rsidP="0079760B">
      <w:pPr>
        <w:jc w:val="center"/>
        <w:rPr>
          <w:b/>
          <w:sz w:val="32"/>
          <w:szCs w:val="32"/>
        </w:rPr>
      </w:pPr>
    </w:p>
    <w:p w:rsidR="0079760B" w:rsidRDefault="0079760B" w:rsidP="0079760B">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79760B" w:rsidRDefault="0079760B" w:rsidP="0079760B"/>
    <w:p w:rsidR="0079760B" w:rsidRDefault="0079760B" w:rsidP="0079760B">
      <w:pPr>
        <w:numPr>
          <w:ilvl w:val="0"/>
          <w:numId w:val="31"/>
        </w:numPr>
        <w:spacing w:after="120"/>
        <w:ind w:left="1077"/>
      </w:pPr>
      <w:r>
        <w:t>inappropriately delegate legislative powers; or</w:t>
      </w:r>
    </w:p>
    <w:p w:rsidR="0079760B" w:rsidRDefault="0079760B" w:rsidP="0079760B">
      <w:pPr>
        <w:numPr>
          <w:ilvl w:val="0"/>
          <w:numId w:val="31"/>
        </w:numPr>
      </w:pPr>
      <w:proofErr w:type="gramStart"/>
      <w:r>
        <w:t>insufficiently</w:t>
      </w:r>
      <w:proofErr w:type="gramEnd"/>
      <w:r>
        <w:t xml:space="preserve"> subject the exercise of legislative power to parliamentary scrutiny.</w:t>
      </w:r>
    </w:p>
    <w:p w:rsidR="0079760B" w:rsidRDefault="0079760B" w:rsidP="0079760B"/>
    <w:p w:rsidR="0079760B" w:rsidRDefault="0079760B" w:rsidP="0079760B">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bills containing standing appropriations that have been introduced since the committee's last Alert Digest.</w:t>
      </w:r>
    </w:p>
    <w:p w:rsidR="0079760B" w:rsidRPr="00AD332A" w:rsidRDefault="0079760B" w:rsidP="0079760B">
      <w:pPr>
        <w:rPr>
          <w:sz w:val="16"/>
          <w:szCs w:val="16"/>
        </w:rPr>
      </w:pPr>
    </w:p>
    <w:p w:rsidR="0079760B" w:rsidRPr="00AD332A" w:rsidRDefault="0079760B" w:rsidP="0079760B">
      <w:pPr>
        <w:rPr>
          <w:sz w:val="16"/>
          <w:szCs w:val="16"/>
        </w:rPr>
      </w:pPr>
    </w:p>
    <w:p w:rsidR="0079760B" w:rsidRPr="002A76AA" w:rsidRDefault="0079760B" w:rsidP="0079760B">
      <w:pPr>
        <w:jc w:val="left"/>
        <w:outlineLvl w:val="0"/>
        <w:rPr>
          <w:b/>
          <w:szCs w:val="26"/>
        </w:rPr>
      </w:pPr>
      <w:r w:rsidRPr="002A76AA">
        <w:rPr>
          <w:b/>
          <w:szCs w:val="26"/>
        </w:rPr>
        <w:t xml:space="preserve">Bills introduced with standing appropriation clauses </w:t>
      </w:r>
      <w:r>
        <w:rPr>
          <w:b/>
          <w:szCs w:val="26"/>
        </w:rPr>
        <w:t>since</w:t>
      </w:r>
      <w:r w:rsidRPr="002A76AA">
        <w:rPr>
          <w:b/>
          <w:szCs w:val="26"/>
        </w:rPr>
        <w:t xml:space="preserve"> the previous </w:t>
      </w:r>
      <w:r w:rsidRPr="00A27EBA">
        <w:rPr>
          <w:b/>
          <w:szCs w:val="26"/>
        </w:rPr>
        <w:t>Alert Digest</w:t>
      </w:r>
    </w:p>
    <w:p w:rsidR="0079760B" w:rsidRDefault="0079760B" w:rsidP="0079760B">
      <w:pPr>
        <w:rPr>
          <w:sz w:val="24"/>
          <w:szCs w:val="24"/>
        </w:rPr>
      </w:pPr>
    </w:p>
    <w:p w:rsidR="0079760B" w:rsidRDefault="0079760B" w:rsidP="0079760B">
      <w:pPr>
        <w:ind w:left="720" w:hanging="720"/>
      </w:pPr>
      <w:r>
        <w:tab/>
        <w:t>Nil</w:t>
      </w:r>
    </w:p>
    <w:p w:rsidR="0079760B" w:rsidRDefault="0079760B" w:rsidP="0079760B"/>
    <w:p w:rsidR="0079760B" w:rsidRPr="00FE269E" w:rsidRDefault="0079760B" w:rsidP="0079760B">
      <w:pPr>
        <w:rPr>
          <w:b/>
        </w:rPr>
      </w:pPr>
      <w:r w:rsidRPr="00FE269E">
        <w:rPr>
          <w:b/>
        </w:rPr>
        <w:t>Other relevant appropriation clauses in bills</w:t>
      </w:r>
    </w:p>
    <w:p w:rsidR="0079760B" w:rsidRDefault="0079760B" w:rsidP="0079760B"/>
    <w:p w:rsidR="0079760B" w:rsidRDefault="0079760B" w:rsidP="0079760B">
      <w:r>
        <w:tab/>
        <w:t>Nil</w:t>
      </w:r>
    </w:p>
    <w:p w:rsidR="0079760B" w:rsidRDefault="0079760B" w:rsidP="0079760B"/>
    <w:p w:rsidR="0079760B" w:rsidRPr="003A2733" w:rsidRDefault="0079760B" w:rsidP="0079760B">
      <w:pPr>
        <w:rPr>
          <w:szCs w:val="26"/>
        </w:rPr>
      </w:pPr>
    </w:p>
    <w:p w:rsidR="0079760B" w:rsidRDefault="0079760B" w:rsidP="0079760B"/>
    <w:p w:rsidR="0079760B" w:rsidRPr="000E6DD3" w:rsidRDefault="0079760B" w:rsidP="0079760B">
      <w:pPr>
        <w:tabs>
          <w:tab w:val="left" w:pos="426"/>
          <w:tab w:val="left" w:pos="1134"/>
          <w:tab w:val="left" w:pos="1701"/>
        </w:tabs>
        <w:spacing w:after="180" w:line="240" w:lineRule="auto"/>
        <w:rPr>
          <w:szCs w:val="26"/>
        </w:rPr>
      </w:pPr>
      <w:bookmarkStart w:id="4" w:name="_GoBack"/>
      <w:bookmarkEnd w:id="4"/>
    </w:p>
    <w:sectPr w:rsidR="0079760B" w:rsidRPr="000E6DD3" w:rsidSect="00A178C2">
      <w:headerReference w:type="even" r:id="rId20"/>
      <w:headerReference w:type="default" r:id="rId21"/>
      <w:footerReference w:type="even" r:id="rId22"/>
      <w:footerReference w:type="default" r:id="rId23"/>
      <w:headerReference w:type="first" r:id="rId24"/>
      <w:footerReference w:type="first" r:id="rId25"/>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0B" w:rsidRDefault="0079760B" w:rsidP="0079760B">
    <w:pPr>
      <w:numPr>
        <w:ilvl w:val="0"/>
        <w:numId w:val="26"/>
      </w:numPr>
      <w:spacing w:line="240" w:lineRule="auto"/>
      <w:jc w:val="center"/>
      <w:rPr>
        <w:b/>
        <w:sz w:val="22"/>
      </w:rPr>
    </w:pPr>
    <w:r>
      <w:rPr>
        <w:b/>
        <w:sz w:val="22"/>
      </w:rPr>
      <w:t>The Committee has commented on these bills</w:t>
    </w:r>
  </w:p>
  <w:p w:rsidR="0079760B" w:rsidRDefault="0079760B" w:rsidP="00A13C47">
    <w:pPr>
      <w:spacing w:line="240" w:lineRule="auto"/>
      <w:jc w:val="center"/>
    </w:pPr>
  </w:p>
  <w:p w:rsidR="0079760B" w:rsidRDefault="0079760B" w:rsidP="00A13C47">
    <w:pPr>
      <w:spacing w:line="240" w:lineRule="auto"/>
      <w:jc w:val="center"/>
      <w:rPr>
        <w:sz w:val="22"/>
      </w:rPr>
    </w:pPr>
    <w:r>
      <w:rPr>
        <w:sz w:val="22"/>
      </w:rPr>
      <w:t>This Digest is circulated to all Honourable Senators.</w:t>
    </w:r>
  </w:p>
  <w:p w:rsidR="0079760B" w:rsidRDefault="0079760B" w:rsidP="00A13C47">
    <w:pPr>
      <w:spacing w:line="240" w:lineRule="auto"/>
      <w:jc w:val="center"/>
      <w:rPr>
        <w:sz w:val="22"/>
      </w:rPr>
    </w:pPr>
    <w:r>
      <w:rPr>
        <w:sz w:val="22"/>
      </w:rPr>
      <w:t>Any Senator who wishes to draw matters to the attention of the</w:t>
    </w:r>
  </w:p>
  <w:p w:rsidR="0079760B" w:rsidRDefault="0079760B" w:rsidP="00A13C47">
    <w:pPr>
      <w:spacing w:line="240" w:lineRule="auto"/>
      <w:jc w:val="center"/>
      <w:rPr>
        <w:sz w:val="22"/>
      </w:rPr>
    </w:pPr>
    <w:r>
      <w:rPr>
        <w:sz w:val="22"/>
      </w:rPr>
      <w:t>Committee under its terms of reference is invited to do so.</w:t>
    </w:r>
  </w:p>
  <w:p w:rsidR="0079760B" w:rsidRDefault="0079760B"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0B" w:rsidRDefault="0079760B" w:rsidP="0079760B">
    <w:pPr>
      <w:numPr>
        <w:ilvl w:val="0"/>
        <w:numId w:val="26"/>
      </w:numPr>
      <w:spacing w:line="240" w:lineRule="auto"/>
      <w:jc w:val="center"/>
      <w:rPr>
        <w:b/>
        <w:sz w:val="22"/>
      </w:rPr>
    </w:pPr>
    <w:r>
      <w:rPr>
        <w:b/>
        <w:sz w:val="22"/>
      </w:rPr>
      <w:t>The Committee has commented on these bills</w:t>
    </w:r>
  </w:p>
  <w:p w:rsidR="0079760B" w:rsidRDefault="0079760B" w:rsidP="004734F3">
    <w:pPr>
      <w:spacing w:line="240" w:lineRule="auto"/>
      <w:jc w:val="center"/>
    </w:pPr>
  </w:p>
  <w:p w:rsidR="0079760B" w:rsidRDefault="0079760B" w:rsidP="004734F3">
    <w:pPr>
      <w:spacing w:line="240" w:lineRule="auto"/>
      <w:jc w:val="center"/>
      <w:rPr>
        <w:sz w:val="22"/>
      </w:rPr>
    </w:pPr>
    <w:r>
      <w:rPr>
        <w:sz w:val="22"/>
      </w:rPr>
      <w:t>This Digest is circulated to all Honourable Senators.</w:t>
    </w:r>
  </w:p>
  <w:p w:rsidR="0079760B" w:rsidRDefault="0079760B" w:rsidP="004734F3">
    <w:pPr>
      <w:spacing w:line="240" w:lineRule="auto"/>
      <w:jc w:val="center"/>
      <w:rPr>
        <w:sz w:val="22"/>
      </w:rPr>
    </w:pPr>
    <w:r>
      <w:rPr>
        <w:sz w:val="22"/>
      </w:rPr>
      <w:t>Any Senator who wishes to draw matters to the attention of the</w:t>
    </w:r>
  </w:p>
  <w:p w:rsidR="0079760B" w:rsidRPr="004734F3" w:rsidRDefault="0079760B" w:rsidP="004734F3">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79760B" w:rsidRDefault="0079760B">
    <w:pPr>
      <w:pStyle w:val="Footer"/>
      <w:jc w:val="center"/>
    </w:pPr>
    <w:r>
      <w:fldChar w:fldCharType="begin"/>
    </w:r>
    <w:r>
      <w:instrText xml:space="preserve"> PAGE   \* MERGEFORMAT </w:instrText>
    </w:r>
    <w:r>
      <w:fldChar w:fldCharType="separate"/>
    </w:r>
    <w:r>
      <w:rPr>
        <w:noProof/>
      </w:rPr>
      <w:t>vi</w:t>
    </w:r>
    <w:r>
      <w:rPr>
        <w:noProof/>
      </w:rPr>
      <w:fldChar w:fldCharType="end"/>
    </w:r>
  </w:p>
  <w:p w:rsidR="0079760B" w:rsidRDefault="0079760B">
    <w:pPr>
      <w:pStyle w:val="Footer"/>
      <w:jc w:val="center"/>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0B" w:rsidRDefault="0079760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3EE" w:rsidRDefault="0079760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F63EE" w:rsidRDefault="0079760B">
    <w:pPr>
      <w:pStyle w:val="Footer"/>
      <w:tabs>
        <w:tab w:val="left" w:pos="7371"/>
      </w:tabs>
      <w:ind w:right="360" w:firstLine="360"/>
      <w:jc w:val="center"/>
      <w:rPr>
        <w:sz w:val="22"/>
      </w:rPr>
    </w:pPr>
    <w:r>
      <w:rPr>
        <w:sz w:val="22"/>
      </w:rPr>
      <w:t>Any Senator who wishes to draw matters to the attention of the</w:t>
    </w:r>
  </w:p>
  <w:p w:rsidR="00EF63EE" w:rsidRDefault="0079760B">
    <w:pPr>
      <w:pStyle w:val="Footer"/>
      <w:jc w:val="center"/>
    </w:pPr>
    <w:r>
      <w:rPr>
        <w:sz w:val="22"/>
      </w:rPr>
      <w:t>Committee under 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3EE" w:rsidRDefault="0079760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63EE" w:rsidRDefault="0079760B">
    <w:pPr>
      <w:pStyle w:val="Footer"/>
      <w:tabs>
        <w:tab w:val="left" w:pos="7371"/>
      </w:tabs>
      <w:ind w:right="360" w:firstLine="360"/>
      <w:jc w:val="center"/>
      <w:rPr>
        <w:sz w:val="22"/>
      </w:rPr>
    </w:pPr>
    <w:r>
      <w:rPr>
        <w:sz w:val="22"/>
      </w:rPr>
      <w:t>Any Senator who wishes to draw matters to the attention of the</w:t>
    </w:r>
  </w:p>
  <w:p w:rsidR="00EF63EE" w:rsidRDefault="0079760B">
    <w:pPr>
      <w:pStyle w:val="Footer"/>
      <w:jc w:val="center"/>
      <w:rPr>
        <w:sz w:val="22"/>
      </w:rPr>
    </w:pPr>
    <w:r>
      <w:rPr>
        <w:sz w:val="22"/>
      </w:rPr>
      <w:t>Committee under its terms of reference is in</w:t>
    </w:r>
    <w:r>
      <w:rPr>
        <w:sz w:val="22"/>
      </w:rPr>
      <w:t>vited to do so.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0A4" w:rsidRDefault="00797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0B" w:rsidRDefault="0079760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0B" w:rsidRDefault="0079760B" w:rsidP="008E7CC4">
    <w:pPr>
      <w:pStyle w:val="Header"/>
      <w:pBdr>
        <w:bottom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0B" w:rsidRDefault="0079760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3EE" w:rsidRDefault="0079760B">
    <w:pPr>
      <w:pStyle w:val="Header"/>
      <w:pBdr>
        <w:bottom w:val="single" w:sz="4" w:space="1" w:color="auto"/>
      </w:pBdr>
      <w:rPr>
        <w:b/>
      </w:rPr>
    </w:pPr>
    <w:r>
      <w:rPr>
        <w:b/>
      </w:rPr>
      <w:t xml:space="preserve">Alert Digest </w:t>
    </w:r>
    <w:r>
      <w:rPr>
        <w:b/>
      </w:rPr>
      <w:t>9</w:t>
    </w:r>
    <w:r>
      <w:rPr>
        <w:b/>
      </w:rPr>
      <w:t>/14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3EE" w:rsidRDefault="0079760B">
    <w:pPr>
      <w:pStyle w:val="Header"/>
      <w:pBdr>
        <w:bottom w:val="single" w:sz="4" w:space="1" w:color="auto"/>
      </w:pBdr>
      <w:jc w:val="right"/>
      <w:rPr>
        <w:b/>
      </w:rPr>
    </w:pPr>
    <w:r>
      <w:rPr>
        <w:b/>
      </w:rPr>
      <w:t xml:space="preserve">Alert Digest </w:t>
    </w:r>
    <w:r>
      <w:rPr>
        <w:b/>
      </w:rPr>
      <w:t>9</w:t>
    </w:r>
    <w:r>
      <w:rPr>
        <w:b/>
      </w:rPr>
      <w:t>/14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0A4" w:rsidRDefault="007976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9">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0">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1">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2">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3">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4">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5">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6">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7">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19">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0">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1">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3">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5">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7">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28">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9">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0">
    <w:nsid w:val="74010D74"/>
    <w:multiLevelType w:val="hybridMultilevel"/>
    <w:tmpl w:val="A04632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2">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5"/>
  </w:num>
  <w:num w:numId="2">
    <w:abstractNumId w:val="13"/>
  </w:num>
  <w:num w:numId="3">
    <w:abstractNumId w:val="18"/>
  </w:num>
  <w:num w:numId="4">
    <w:abstractNumId w:val="20"/>
  </w:num>
  <w:num w:numId="5">
    <w:abstractNumId w:val="25"/>
  </w:num>
  <w:num w:numId="6">
    <w:abstractNumId w:val="1"/>
  </w:num>
  <w:num w:numId="7">
    <w:abstractNumId w:val="28"/>
  </w:num>
  <w:num w:numId="8">
    <w:abstractNumId w:val="14"/>
  </w:num>
  <w:num w:numId="9">
    <w:abstractNumId w:val="5"/>
  </w:num>
  <w:num w:numId="10">
    <w:abstractNumId w:val="6"/>
  </w:num>
  <w:num w:numId="11">
    <w:abstractNumId w:val="26"/>
  </w:num>
  <w:num w:numId="12">
    <w:abstractNumId w:val="3"/>
  </w:num>
  <w:num w:numId="13">
    <w:abstractNumId w:val="31"/>
  </w:num>
  <w:num w:numId="14">
    <w:abstractNumId w:val="27"/>
  </w:num>
  <w:num w:numId="15">
    <w:abstractNumId w:val="29"/>
  </w:num>
  <w:num w:numId="16">
    <w:abstractNumId w:val="4"/>
  </w:num>
  <w:num w:numId="17">
    <w:abstractNumId w:val="24"/>
  </w:num>
  <w:num w:numId="18">
    <w:abstractNumId w:val="11"/>
  </w:num>
  <w:num w:numId="19">
    <w:abstractNumId w:val="19"/>
  </w:num>
  <w:num w:numId="20">
    <w:abstractNumId w:val="16"/>
  </w:num>
  <w:num w:numId="21">
    <w:abstractNumId w:val="21"/>
  </w:num>
  <w:num w:numId="22">
    <w:abstractNumId w:val="10"/>
  </w:num>
  <w:num w:numId="23">
    <w:abstractNumId w:val="9"/>
  </w:num>
  <w:num w:numId="24">
    <w:abstractNumId w:val="12"/>
  </w:num>
  <w:num w:numId="25">
    <w:abstractNumId w:val="0"/>
  </w:num>
  <w:num w:numId="26">
    <w:abstractNumId w:val="33"/>
  </w:num>
  <w:num w:numId="27">
    <w:abstractNumId w:val="22"/>
  </w:num>
  <w:num w:numId="28">
    <w:abstractNumId w:val="2"/>
  </w:num>
  <w:num w:numId="29">
    <w:abstractNumId w:val="7"/>
  </w:num>
  <w:num w:numId="30">
    <w:abstractNumId w:val="11"/>
  </w:num>
  <w:num w:numId="31">
    <w:abstractNumId w:val="23"/>
  </w:num>
  <w:num w:numId="32">
    <w:abstractNumId w:val="11"/>
    <w:lvlOverride w:ilvl="0">
      <w:startOverride w:val="1"/>
    </w:lvlOverride>
  </w:num>
  <w:num w:numId="33">
    <w:abstractNumId w:val="17"/>
  </w:num>
  <w:num w:numId="34">
    <w:abstractNumId w:val="8"/>
  </w:num>
  <w:num w:numId="35">
    <w:abstractNumId w:val="3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E31D6"/>
    <w:rsid w:val="000F6E86"/>
    <w:rsid w:val="00100CA7"/>
    <w:rsid w:val="00100E04"/>
    <w:rsid w:val="00104D9B"/>
    <w:rsid w:val="0011503D"/>
    <w:rsid w:val="001238F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4171B"/>
    <w:rsid w:val="00353A30"/>
    <w:rsid w:val="00357A07"/>
    <w:rsid w:val="003618A1"/>
    <w:rsid w:val="00374FCC"/>
    <w:rsid w:val="00377200"/>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D2084"/>
    <w:rsid w:val="004D4608"/>
    <w:rsid w:val="004E289B"/>
    <w:rsid w:val="00511AD6"/>
    <w:rsid w:val="00513460"/>
    <w:rsid w:val="00522B6B"/>
    <w:rsid w:val="0052379E"/>
    <w:rsid w:val="005255C1"/>
    <w:rsid w:val="00527454"/>
    <w:rsid w:val="00537313"/>
    <w:rsid w:val="005659E4"/>
    <w:rsid w:val="005702BA"/>
    <w:rsid w:val="005A2B38"/>
    <w:rsid w:val="005A2D74"/>
    <w:rsid w:val="005A57FB"/>
    <w:rsid w:val="005E39EA"/>
    <w:rsid w:val="005F1099"/>
    <w:rsid w:val="005F385C"/>
    <w:rsid w:val="005F5EE3"/>
    <w:rsid w:val="00610700"/>
    <w:rsid w:val="00623449"/>
    <w:rsid w:val="00626349"/>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9760B"/>
    <w:rsid w:val="007A0141"/>
    <w:rsid w:val="007B0408"/>
    <w:rsid w:val="007B2A4C"/>
    <w:rsid w:val="007B4EE6"/>
    <w:rsid w:val="007F7575"/>
    <w:rsid w:val="00824495"/>
    <w:rsid w:val="00830E0C"/>
    <w:rsid w:val="00831D2F"/>
    <w:rsid w:val="0085163F"/>
    <w:rsid w:val="00864A58"/>
    <w:rsid w:val="008666D8"/>
    <w:rsid w:val="00867921"/>
    <w:rsid w:val="00880168"/>
    <w:rsid w:val="008826A9"/>
    <w:rsid w:val="00897DF8"/>
    <w:rsid w:val="00897DF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4D45"/>
    <w:rsid w:val="009B0139"/>
    <w:rsid w:val="009C6213"/>
    <w:rsid w:val="009E3DF8"/>
    <w:rsid w:val="00A05CAD"/>
    <w:rsid w:val="00A14DCE"/>
    <w:rsid w:val="00A3549F"/>
    <w:rsid w:val="00A45F14"/>
    <w:rsid w:val="00A96665"/>
    <w:rsid w:val="00AC23B2"/>
    <w:rsid w:val="00AC2906"/>
    <w:rsid w:val="00AC3027"/>
    <w:rsid w:val="00AD332A"/>
    <w:rsid w:val="00AD784F"/>
    <w:rsid w:val="00B01A8A"/>
    <w:rsid w:val="00B11410"/>
    <w:rsid w:val="00B27DD3"/>
    <w:rsid w:val="00B63DBB"/>
    <w:rsid w:val="00B640AE"/>
    <w:rsid w:val="00B71A9B"/>
    <w:rsid w:val="00B940FF"/>
    <w:rsid w:val="00BA1CDD"/>
    <w:rsid w:val="00BA34F0"/>
    <w:rsid w:val="00BC4FC8"/>
    <w:rsid w:val="00BD4698"/>
    <w:rsid w:val="00BD4B5E"/>
    <w:rsid w:val="00BD5C13"/>
    <w:rsid w:val="00BE5FCE"/>
    <w:rsid w:val="00BF7163"/>
    <w:rsid w:val="00C12E04"/>
    <w:rsid w:val="00C177C1"/>
    <w:rsid w:val="00C23EB9"/>
    <w:rsid w:val="00C4419B"/>
    <w:rsid w:val="00C55CB1"/>
    <w:rsid w:val="00C747D3"/>
    <w:rsid w:val="00C912FD"/>
    <w:rsid w:val="00C9650A"/>
    <w:rsid w:val="00CB3793"/>
    <w:rsid w:val="00CB4093"/>
    <w:rsid w:val="00CC7EAC"/>
    <w:rsid w:val="00CD0C58"/>
    <w:rsid w:val="00CD63A7"/>
    <w:rsid w:val="00CE1D12"/>
    <w:rsid w:val="00CE487C"/>
    <w:rsid w:val="00CF20C0"/>
    <w:rsid w:val="00D00890"/>
    <w:rsid w:val="00D02B1C"/>
    <w:rsid w:val="00D277AA"/>
    <w:rsid w:val="00D33EB6"/>
    <w:rsid w:val="00D868C4"/>
    <w:rsid w:val="00D95526"/>
    <w:rsid w:val="00DA2ED3"/>
    <w:rsid w:val="00DB189F"/>
    <w:rsid w:val="00DE073E"/>
    <w:rsid w:val="00E1150D"/>
    <w:rsid w:val="00E236D7"/>
    <w:rsid w:val="00E40BD9"/>
    <w:rsid w:val="00E52F35"/>
    <w:rsid w:val="00E62BBA"/>
    <w:rsid w:val="00E7092E"/>
    <w:rsid w:val="00E75649"/>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93542"/>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E04"/>
    <w:pPr>
      <w:spacing w:line="264" w:lineRule="auto"/>
      <w:jc w:val="both"/>
    </w:pPr>
    <w:rPr>
      <w:sz w:val="26"/>
    </w:rPr>
  </w:style>
  <w:style w:type="character" w:default="1" w:styleId="DefaultParagraphFont">
    <w:name w:val="Default Paragraph Font"/>
    <w:uiPriority w:val="1"/>
    <w:semiHidden/>
    <w:unhideWhenUsed/>
    <w:rsid w:val="00C12E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2E04"/>
  </w:style>
  <w:style w:type="paragraph" w:styleId="EnvelopeAddress">
    <w:name w:val="envelope address"/>
    <w:basedOn w:val="Normal"/>
    <w:rsid w:val="00C12E04"/>
    <w:pPr>
      <w:framePr w:w="7920" w:h="1980" w:hRule="exact" w:hSpace="180" w:wrap="auto" w:hAnchor="page" w:xAlign="center" w:yAlign="bottom"/>
      <w:ind w:left="2880"/>
    </w:pPr>
    <w:rPr>
      <w:rFonts w:ascii="Arial" w:hAnsi="Arial"/>
    </w:rPr>
  </w:style>
  <w:style w:type="paragraph" w:styleId="EnvelopeReturn">
    <w:name w:val="envelope return"/>
    <w:basedOn w:val="Normal"/>
    <w:rsid w:val="00C12E04"/>
    <w:rPr>
      <w:rFonts w:ascii="Arial" w:hAnsi="Arial"/>
      <w:sz w:val="20"/>
    </w:rPr>
  </w:style>
  <w:style w:type="paragraph" w:styleId="Header">
    <w:name w:val="header"/>
    <w:basedOn w:val="Normal"/>
    <w:link w:val="HeaderChar"/>
    <w:rsid w:val="00C12E04"/>
    <w:pPr>
      <w:tabs>
        <w:tab w:val="center" w:pos="4153"/>
        <w:tab w:val="right" w:pos="8306"/>
      </w:tabs>
    </w:pPr>
  </w:style>
  <w:style w:type="paragraph" w:customStyle="1" w:styleId="I1">
    <w:name w:val="I1"/>
    <w:basedOn w:val="Normal"/>
    <w:rsid w:val="00C12E04"/>
    <w:pPr>
      <w:ind w:left="567" w:right="709"/>
    </w:pPr>
    <w:rPr>
      <w:sz w:val="22"/>
    </w:rPr>
  </w:style>
  <w:style w:type="paragraph" w:customStyle="1" w:styleId="I2">
    <w:name w:val="I2"/>
    <w:basedOn w:val="Normal"/>
    <w:rsid w:val="00C12E04"/>
    <w:pPr>
      <w:ind w:left="851" w:right="1134"/>
    </w:pPr>
    <w:rPr>
      <w:sz w:val="22"/>
    </w:rPr>
  </w:style>
  <w:style w:type="paragraph" w:customStyle="1" w:styleId="H1">
    <w:name w:val="H1"/>
    <w:basedOn w:val="Normal"/>
    <w:link w:val="H1Char"/>
    <w:rsid w:val="00C12E04"/>
    <w:pPr>
      <w:spacing w:after="480"/>
    </w:pPr>
    <w:rPr>
      <w:b/>
      <w:sz w:val="36"/>
    </w:rPr>
  </w:style>
  <w:style w:type="paragraph" w:customStyle="1" w:styleId="H2">
    <w:name w:val="H2"/>
    <w:basedOn w:val="Normal"/>
    <w:link w:val="H2Char"/>
    <w:rsid w:val="00C12E04"/>
    <w:rPr>
      <w:b/>
      <w:sz w:val="28"/>
    </w:rPr>
  </w:style>
  <w:style w:type="paragraph" w:customStyle="1" w:styleId="B1">
    <w:name w:val="B1"/>
    <w:basedOn w:val="Normal"/>
    <w:link w:val="B1Char"/>
    <w:rsid w:val="00C12E04"/>
    <w:pPr>
      <w:numPr>
        <w:numId w:val="32"/>
      </w:numPr>
      <w:spacing w:after="240"/>
    </w:pPr>
  </w:style>
  <w:style w:type="paragraph" w:customStyle="1" w:styleId="B2">
    <w:name w:val="B2"/>
    <w:basedOn w:val="Normal"/>
    <w:rsid w:val="00C12E04"/>
    <w:pPr>
      <w:numPr>
        <w:numId w:val="25"/>
      </w:numPr>
      <w:tabs>
        <w:tab w:val="left" w:pos="992"/>
      </w:tabs>
      <w:spacing w:after="240"/>
      <w:ind w:left="1020"/>
    </w:pPr>
  </w:style>
  <w:style w:type="paragraph" w:styleId="Footer">
    <w:name w:val="footer"/>
    <w:basedOn w:val="Normal"/>
    <w:link w:val="FooterChar"/>
    <w:rsid w:val="00C12E04"/>
    <w:pPr>
      <w:tabs>
        <w:tab w:val="center" w:pos="4153"/>
        <w:tab w:val="right" w:pos="8306"/>
      </w:tabs>
    </w:pPr>
  </w:style>
  <w:style w:type="character" w:styleId="PageNumber">
    <w:name w:val="page number"/>
    <w:rsid w:val="00C12E04"/>
  </w:style>
  <w:style w:type="character" w:customStyle="1" w:styleId="B1Char">
    <w:name w:val="B1 Char"/>
    <w:link w:val="B1"/>
    <w:rsid w:val="00C12E04"/>
    <w:rPr>
      <w:sz w:val="26"/>
    </w:rPr>
  </w:style>
  <w:style w:type="paragraph" w:customStyle="1" w:styleId="TOCNormal">
    <w:name w:val="TOCNormal"/>
    <w:basedOn w:val="Normal"/>
    <w:rsid w:val="00C12E04"/>
    <w:pPr>
      <w:spacing w:before="120" w:after="120"/>
      <w:ind w:left="510"/>
      <w:jc w:val="left"/>
    </w:pPr>
  </w:style>
  <w:style w:type="paragraph" w:customStyle="1" w:styleId="TOCBullet">
    <w:name w:val="TOCBullet"/>
    <w:basedOn w:val="TOC1"/>
    <w:rsid w:val="00C12E04"/>
    <w:pPr>
      <w:numPr>
        <w:numId w:val="34"/>
      </w:numPr>
      <w:ind w:left="504" w:hanging="504"/>
    </w:pPr>
  </w:style>
  <w:style w:type="paragraph" w:customStyle="1" w:styleId="Bull">
    <w:name w:val="Bull"/>
    <w:basedOn w:val="Normal"/>
    <w:rsid w:val="00C12E04"/>
    <w:pPr>
      <w:numPr>
        <w:numId w:val="27"/>
      </w:numPr>
    </w:pPr>
  </w:style>
  <w:style w:type="paragraph" w:customStyle="1" w:styleId="Bull1">
    <w:name w:val="Bull1"/>
    <w:basedOn w:val="Normal"/>
    <w:rsid w:val="00C12E04"/>
    <w:pPr>
      <w:numPr>
        <w:numId w:val="29"/>
      </w:numPr>
      <w:ind w:right="397"/>
    </w:pPr>
  </w:style>
  <w:style w:type="paragraph" w:customStyle="1" w:styleId="TableTextBill">
    <w:name w:val="Table Text Bill"/>
    <w:link w:val="TableTextBillChar"/>
    <w:qFormat/>
    <w:rsid w:val="00C12E04"/>
    <w:rPr>
      <w:b/>
      <w:sz w:val="22"/>
      <w:szCs w:val="22"/>
    </w:rPr>
  </w:style>
  <w:style w:type="paragraph" w:customStyle="1" w:styleId="TableText">
    <w:name w:val="Table Text"/>
    <w:next w:val="TableTextBill"/>
    <w:link w:val="TableTextChar"/>
    <w:qFormat/>
    <w:rsid w:val="00C12E04"/>
    <w:rPr>
      <w:sz w:val="22"/>
      <w:szCs w:val="22"/>
    </w:rPr>
  </w:style>
  <w:style w:type="character" w:customStyle="1" w:styleId="TableTextBillChar">
    <w:name w:val="Table Text Bill Char"/>
    <w:link w:val="TableTextBill"/>
    <w:rsid w:val="00C12E04"/>
    <w:rPr>
      <w:b/>
      <w:sz w:val="22"/>
      <w:szCs w:val="22"/>
    </w:rPr>
  </w:style>
  <w:style w:type="paragraph" w:styleId="TOC1">
    <w:name w:val="toc 1"/>
    <w:basedOn w:val="TOCNormal"/>
    <w:next w:val="Normal"/>
    <w:autoRedefine/>
    <w:uiPriority w:val="39"/>
    <w:unhideWhenUsed/>
    <w:rsid w:val="00C12E04"/>
    <w:pPr>
      <w:tabs>
        <w:tab w:val="left" w:pos="7655"/>
        <w:tab w:val="right" w:pos="8182"/>
      </w:tabs>
      <w:ind w:right="1813"/>
    </w:pPr>
    <w:rPr>
      <w:noProof/>
    </w:rPr>
  </w:style>
  <w:style w:type="character" w:customStyle="1" w:styleId="TableTextChar">
    <w:name w:val="Table Text Char"/>
    <w:link w:val="TableText"/>
    <w:rsid w:val="00C12E04"/>
    <w:rPr>
      <w:sz w:val="22"/>
      <w:szCs w:val="22"/>
    </w:rPr>
  </w:style>
  <w:style w:type="table" w:styleId="TableGrid">
    <w:name w:val="Table Grid"/>
    <w:basedOn w:val="TableNormal"/>
    <w:uiPriority w:val="59"/>
    <w:rsid w:val="00797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9760B"/>
    <w:rPr>
      <w:sz w:val="26"/>
    </w:rPr>
  </w:style>
  <w:style w:type="character" w:customStyle="1" w:styleId="FooterChar">
    <w:name w:val="Footer Char"/>
    <w:basedOn w:val="DefaultParagraphFont"/>
    <w:link w:val="Footer"/>
    <w:rsid w:val="0079760B"/>
    <w:rPr>
      <w:sz w:val="26"/>
    </w:rPr>
  </w:style>
  <w:style w:type="paragraph" w:styleId="TOC3">
    <w:name w:val="toc 3"/>
    <w:basedOn w:val="Normal"/>
    <w:next w:val="Normal"/>
    <w:autoRedefine/>
    <w:uiPriority w:val="39"/>
    <w:unhideWhenUsed/>
    <w:rsid w:val="0079760B"/>
    <w:pPr>
      <w:tabs>
        <w:tab w:val="right" w:pos="8182"/>
        <w:tab w:val="right" w:pos="8222"/>
      </w:tabs>
      <w:spacing w:before="240" w:after="120"/>
      <w:ind w:left="567" w:right="964"/>
    </w:pPr>
  </w:style>
  <w:style w:type="character" w:customStyle="1" w:styleId="H2Char">
    <w:name w:val="H2 Char"/>
    <w:basedOn w:val="DefaultParagraphFont"/>
    <w:link w:val="H2"/>
    <w:rsid w:val="0079760B"/>
    <w:rPr>
      <w:b/>
      <w:sz w:val="28"/>
    </w:rPr>
  </w:style>
  <w:style w:type="paragraph" w:styleId="ListParagraph">
    <w:name w:val="List Paragraph"/>
    <w:basedOn w:val="Normal"/>
    <w:uiPriority w:val="34"/>
    <w:qFormat/>
    <w:rsid w:val="0079760B"/>
    <w:pPr>
      <w:ind w:left="720"/>
      <w:contextualSpacing/>
    </w:pPr>
  </w:style>
  <w:style w:type="character" w:customStyle="1" w:styleId="H1Char">
    <w:name w:val="H1 Char"/>
    <w:basedOn w:val="DefaultParagraphFont"/>
    <w:link w:val="H1"/>
    <w:rsid w:val="0079760B"/>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E04"/>
    <w:pPr>
      <w:spacing w:line="264" w:lineRule="auto"/>
      <w:jc w:val="both"/>
    </w:pPr>
    <w:rPr>
      <w:sz w:val="26"/>
    </w:rPr>
  </w:style>
  <w:style w:type="character" w:default="1" w:styleId="DefaultParagraphFont">
    <w:name w:val="Default Paragraph Font"/>
    <w:uiPriority w:val="1"/>
    <w:semiHidden/>
    <w:unhideWhenUsed/>
    <w:rsid w:val="00C12E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2E04"/>
  </w:style>
  <w:style w:type="paragraph" w:styleId="EnvelopeAddress">
    <w:name w:val="envelope address"/>
    <w:basedOn w:val="Normal"/>
    <w:rsid w:val="00C12E04"/>
    <w:pPr>
      <w:framePr w:w="7920" w:h="1980" w:hRule="exact" w:hSpace="180" w:wrap="auto" w:hAnchor="page" w:xAlign="center" w:yAlign="bottom"/>
      <w:ind w:left="2880"/>
    </w:pPr>
    <w:rPr>
      <w:rFonts w:ascii="Arial" w:hAnsi="Arial"/>
    </w:rPr>
  </w:style>
  <w:style w:type="paragraph" w:styleId="EnvelopeReturn">
    <w:name w:val="envelope return"/>
    <w:basedOn w:val="Normal"/>
    <w:rsid w:val="00C12E04"/>
    <w:rPr>
      <w:rFonts w:ascii="Arial" w:hAnsi="Arial"/>
      <w:sz w:val="20"/>
    </w:rPr>
  </w:style>
  <w:style w:type="paragraph" w:styleId="Header">
    <w:name w:val="header"/>
    <w:basedOn w:val="Normal"/>
    <w:link w:val="HeaderChar"/>
    <w:rsid w:val="00C12E04"/>
    <w:pPr>
      <w:tabs>
        <w:tab w:val="center" w:pos="4153"/>
        <w:tab w:val="right" w:pos="8306"/>
      </w:tabs>
    </w:pPr>
  </w:style>
  <w:style w:type="paragraph" w:customStyle="1" w:styleId="I1">
    <w:name w:val="I1"/>
    <w:basedOn w:val="Normal"/>
    <w:rsid w:val="00C12E04"/>
    <w:pPr>
      <w:ind w:left="567" w:right="709"/>
    </w:pPr>
    <w:rPr>
      <w:sz w:val="22"/>
    </w:rPr>
  </w:style>
  <w:style w:type="paragraph" w:customStyle="1" w:styleId="I2">
    <w:name w:val="I2"/>
    <w:basedOn w:val="Normal"/>
    <w:rsid w:val="00C12E04"/>
    <w:pPr>
      <w:ind w:left="851" w:right="1134"/>
    </w:pPr>
    <w:rPr>
      <w:sz w:val="22"/>
    </w:rPr>
  </w:style>
  <w:style w:type="paragraph" w:customStyle="1" w:styleId="H1">
    <w:name w:val="H1"/>
    <w:basedOn w:val="Normal"/>
    <w:link w:val="H1Char"/>
    <w:rsid w:val="00C12E04"/>
    <w:pPr>
      <w:spacing w:after="480"/>
    </w:pPr>
    <w:rPr>
      <w:b/>
      <w:sz w:val="36"/>
    </w:rPr>
  </w:style>
  <w:style w:type="paragraph" w:customStyle="1" w:styleId="H2">
    <w:name w:val="H2"/>
    <w:basedOn w:val="Normal"/>
    <w:link w:val="H2Char"/>
    <w:rsid w:val="00C12E04"/>
    <w:rPr>
      <w:b/>
      <w:sz w:val="28"/>
    </w:rPr>
  </w:style>
  <w:style w:type="paragraph" w:customStyle="1" w:styleId="B1">
    <w:name w:val="B1"/>
    <w:basedOn w:val="Normal"/>
    <w:link w:val="B1Char"/>
    <w:rsid w:val="00C12E04"/>
    <w:pPr>
      <w:numPr>
        <w:numId w:val="32"/>
      </w:numPr>
      <w:spacing w:after="240"/>
    </w:pPr>
  </w:style>
  <w:style w:type="paragraph" w:customStyle="1" w:styleId="B2">
    <w:name w:val="B2"/>
    <w:basedOn w:val="Normal"/>
    <w:rsid w:val="00C12E04"/>
    <w:pPr>
      <w:numPr>
        <w:numId w:val="25"/>
      </w:numPr>
      <w:tabs>
        <w:tab w:val="left" w:pos="992"/>
      </w:tabs>
      <w:spacing w:after="240"/>
      <w:ind w:left="1020"/>
    </w:pPr>
  </w:style>
  <w:style w:type="paragraph" w:styleId="Footer">
    <w:name w:val="footer"/>
    <w:basedOn w:val="Normal"/>
    <w:link w:val="FooterChar"/>
    <w:rsid w:val="00C12E04"/>
    <w:pPr>
      <w:tabs>
        <w:tab w:val="center" w:pos="4153"/>
        <w:tab w:val="right" w:pos="8306"/>
      </w:tabs>
    </w:pPr>
  </w:style>
  <w:style w:type="character" w:styleId="PageNumber">
    <w:name w:val="page number"/>
    <w:rsid w:val="00C12E04"/>
  </w:style>
  <w:style w:type="character" w:customStyle="1" w:styleId="B1Char">
    <w:name w:val="B1 Char"/>
    <w:link w:val="B1"/>
    <w:rsid w:val="00C12E04"/>
    <w:rPr>
      <w:sz w:val="26"/>
    </w:rPr>
  </w:style>
  <w:style w:type="paragraph" w:customStyle="1" w:styleId="TOCNormal">
    <w:name w:val="TOCNormal"/>
    <w:basedOn w:val="Normal"/>
    <w:rsid w:val="00C12E04"/>
    <w:pPr>
      <w:spacing w:before="120" w:after="120"/>
      <w:ind w:left="510"/>
      <w:jc w:val="left"/>
    </w:pPr>
  </w:style>
  <w:style w:type="paragraph" w:customStyle="1" w:styleId="TOCBullet">
    <w:name w:val="TOCBullet"/>
    <w:basedOn w:val="TOC1"/>
    <w:rsid w:val="00C12E04"/>
    <w:pPr>
      <w:numPr>
        <w:numId w:val="34"/>
      </w:numPr>
      <w:ind w:left="504" w:hanging="504"/>
    </w:pPr>
  </w:style>
  <w:style w:type="paragraph" w:customStyle="1" w:styleId="Bull">
    <w:name w:val="Bull"/>
    <w:basedOn w:val="Normal"/>
    <w:rsid w:val="00C12E04"/>
    <w:pPr>
      <w:numPr>
        <w:numId w:val="27"/>
      </w:numPr>
    </w:pPr>
  </w:style>
  <w:style w:type="paragraph" w:customStyle="1" w:styleId="Bull1">
    <w:name w:val="Bull1"/>
    <w:basedOn w:val="Normal"/>
    <w:rsid w:val="00C12E04"/>
    <w:pPr>
      <w:numPr>
        <w:numId w:val="29"/>
      </w:numPr>
      <w:ind w:right="397"/>
    </w:pPr>
  </w:style>
  <w:style w:type="paragraph" w:customStyle="1" w:styleId="TableTextBill">
    <w:name w:val="Table Text Bill"/>
    <w:link w:val="TableTextBillChar"/>
    <w:qFormat/>
    <w:rsid w:val="00C12E04"/>
    <w:rPr>
      <w:b/>
      <w:sz w:val="22"/>
      <w:szCs w:val="22"/>
    </w:rPr>
  </w:style>
  <w:style w:type="paragraph" w:customStyle="1" w:styleId="TableText">
    <w:name w:val="Table Text"/>
    <w:next w:val="TableTextBill"/>
    <w:link w:val="TableTextChar"/>
    <w:qFormat/>
    <w:rsid w:val="00C12E04"/>
    <w:rPr>
      <w:sz w:val="22"/>
      <w:szCs w:val="22"/>
    </w:rPr>
  </w:style>
  <w:style w:type="character" w:customStyle="1" w:styleId="TableTextBillChar">
    <w:name w:val="Table Text Bill Char"/>
    <w:link w:val="TableTextBill"/>
    <w:rsid w:val="00C12E04"/>
    <w:rPr>
      <w:b/>
      <w:sz w:val="22"/>
      <w:szCs w:val="22"/>
    </w:rPr>
  </w:style>
  <w:style w:type="paragraph" w:styleId="TOC1">
    <w:name w:val="toc 1"/>
    <w:basedOn w:val="TOCNormal"/>
    <w:next w:val="Normal"/>
    <w:autoRedefine/>
    <w:uiPriority w:val="39"/>
    <w:unhideWhenUsed/>
    <w:rsid w:val="00C12E04"/>
    <w:pPr>
      <w:tabs>
        <w:tab w:val="left" w:pos="7655"/>
        <w:tab w:val="right" w:pos="8182"/>
      </w:tabs>
      <w:ind w:right="1813"/>
    </w:pPr>
    <w:rPr>
      <w:noProof/>
    </w:rPr>
  </w:style>
  <w:style w:type="character" w:customStyle="1" w:styleId="TableTextChar">
    <w:name w:val="Table Text Char"/>
    <w:link w:val="TableText"/>
    <w:rsid w:val="00C12E04"/>
    <w:rPr>
      <w:sz w:val="22"/>
      <w:szCs w:val="22"/>
    </w:rPr>
  </w:style>
  <w:style w:type="table" w:styleId="TableGrid">
    <w:name w:val="Table Grid"/>
    <w:basedOn w:val="TableNormal"/>
    <w:uiPriority w:val="59"/>
    <w:rsid w:val="00797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9760B"/>
    <w:rPr>
      <w:sz w:val="26"/>
    </w:rPr>
  </w:style>
  <w:style w:type="character" w:customStyle="1" w:styleId="FooterChar">
    <w:name w:val="Footer Char"/>
    <w:basedOn w:val="DefaultParagraphFont"/>
    <w:link w:val="Footer"/>
    <w:rsid w:val="0079760B"/>
    <w:rPr>
      <w:sz w:val="26"/>
    </w:rPr>
  </w:style>
  <w:style w:type="paragraph" w:styleId="TOC3">
    <w:name w:val="toc 3"/>
    <w:basedOn w:val="Normal"/>
    <w:next w:val="Normal"/>
    <w:autoRedefine/>
    <w:uiPriority w:val="39"/>
    <w:unhideWhenUsed/>
    <w:rsid w:val="0079760B"/>
    <w:pPr>
      <w:tabs>
        <w:tab w:val="right" w:pos="8182"/>
        <w:tab w:val="right" w:pos="8222"/>
      </w:tabs>
      <w:spacing w:before="240" w:after="120"/>
      <w:ind w:left="567" w:right="964"/>
    </w:pPr>
  </w:style>
  <w:style w:type="character" w:customStyle="1" w:styleId="H2Char">
    <w:name w:val="H2 Char"/>
    <w:basedOn w:val="DefaultParagraphFont"/>
    <w:link w:val="H2"/>
    <w:rsid w:val="0079760B"/>
    <w:rPr>
      <w:b/>
      <w:sz w:val="28"/>
    </w:rPr>
  </w:style>
  <w:style w:type="paragraph" w:styleId="ListParagraph">
    <w:name w:val="List Paragraph"/>
    <w:basedOn w:val="Normal"/>
    <w:uiPriority w:val="34"/>
    <w:qFormat/>
    <w:rsid w:val="0079760B"/>
    <w:pPr>
      <w:ind w:left="720"/>
      <w:contextualSpacing/>
    </w:pPr>
  </w:style>
  <w:style w:type="character" w:customStyle="1" w:styleId="H1Char">
    <w:name w:val="H1 Char"/>
    <w:basedOn w:val="DefaultParagraphFont"/>
    <w:link w:val="H1"/>
    <w:rsid w:val="0079760B"/>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2</TotalTime>
  <Pages>11</Pages>
  <Words>1471</Words>
  <Characters>8300</Characters>
  <Application>Microsoft Office Word</Application>
  <DocSecurity>0</DocSecurity>
  <Lines>166</Lines>
  <Paragraphs>43</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3</cp:revision>
  <cp:lastPrinted>2008-04-24T00:14:00Z</cp:lastPrinted>
  <dcterms:created xsi:type="dcterms:W3CDTF">2014-07-16T04:18:00Z</dcterms:created>
  <dcterms:modified xsi:type="dcterms:W3CDTF">2014-07-16T04:20:00Z</dcterms:modified>
</cp:coreProperties>
</file>