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bookmarkStart w:id="0" w:name="_GoBack"/>
      <w:bookmarkEnd w:id="0"/>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A661EE">
        <w:rPr>
          <w:sz w:val="24"/>
          <w:szCs w:val="24"/>
        </w:rPr>
        <w:t>15</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661EE">
        <w:rPr>
          <w:sz w:val="28"/>
        </w:rPr>
        <w:t>25 November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2B3CA6" w:rsidRDefault="002B3CA6" w:rsidP="00325264">
      <w:pPr>
        <w:sectPr w:rsidR="002B3CA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A16DAA" w:rsidRDefault="00A16DAA" w:rsidP="00A16DAA">
      <w:pPr>
        <w:pStyle w:val="Heading1"/>
      </w:pPr>
      <w:bookmarkStart w:id="1" w:name="_Toc340231481"/>
      <w:r>
        <w:lastRenderedPageBreak/>
        <w:t>Membership of the committee</w:t>
      </w:r>
      <w:bookmarkEnd w:id="1"/>
    </w:p>
    <w:p w:rsidR="00A16DAA" w:rsidRDefault="00A16DAA" w:rsidP="00A16DAA">
      <w:pPr>
        <w:spacing w:after="0"/>
      </w:pPr>
    </w:p>
    <w:p w:rsidR="00A16DAA" w:rsidRDefault="00A16DAA" w:rsidP="00A16DAA">
      <w:pPr>
        <w:spacing w:after="0"/>
      </w:pPr>
    </w:p>
    <w:p w:rsidR="00A16DAA" w:rsidRDefault="00A16DAA" w:rsidP="00A16DAA">
      <w:pPr>
        <w:spacing w:after="0"/>
      </w:pPr>
    </w:p>
    <w:p w:rsidR="00A16DAA" w:rsidRDefault="00A16DAA" w:rsidP="00A16DAA">
      <w:pPr>
        <w:spacing w:after="0"/>
      </w:pPr>
    </w:p>
    <w:p w:rsidR="00A16DAA" w:rsidRDefault="00A16DAA" w:rsidP="00A16DAA">
      <w:pPr>
        <w:spacing w:after="0"/>
      </w:pPr>
    </w:p>
    <w:p w:rsidR="00A16DAA" w:rsidRPr="008A46B0" w:rsidRDefault="00A16DAA" w:rsidP="00A16DAA">
      <w:pPr>
        <w:tabs>
          <w:tab w:val="left" w:pos="4536"/>
        </w:tabs>
        <w:outlineLvl w:val="0"/>
        <w:rPr>
          <w:b/>
        </w:rPr>
      </w:pPr>
      <w:bookmarkStart w:id="2" w:name="_Toc340231482"/>
      <w:r>
        <w:rPr>
          <w:b/>
        </w:rPr>
        <w:t>Current m</w:t>
      </w:r>
      <w:r w:rsidRPr="008A46B0">
        <w:rPr>
          <w:b/>
        </w:rPr>
        <w:t>embers</w:t>
      </w:r>
      <w:bookmarkEnd w:id="2"/>
    </w:p>
    <w:p w:rsidR="00A16DAA" w:rsidRPr="001F6A19" w:rsidRDefault="00A16DAA" w:rsidP="00A16DA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A16DAA" w:rsidRPr="001F6A19" w:rsidRDefault="00A16DAA" w:rsidP="00A16DAA">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A16DAA" w:rsidRPr="001F6A19" w:rsidRDefault="00A16DAA" w:rsidP="00A16DAA">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A16DAA" w:rsidRPr="001F6A19" w:rsidRDefault="00A16DAA" w:rsidP="00A16DA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A16DAA" w:rsidRDefault="00A16DAA" w:rsidP="00A16DAA">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A16DAA" w:rsidRDefault="00A16DAA" w:rsidP="00A16DAA">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A16DAA" w:rsidRDefault="00A16DAA" w:rsidP="00A16DAA">
      <w:pPr>
        <w:spacing w:after="0"/>
        <w:rPr>
          <w:sz w:val="24"/>
          <w:szCs w:val="24"/>
        </w:rPr>
      </w:pPr>
    </w:p>
    <w:p w:rsidR="00A16DAA" w:rsidRDefault="00A16DAA" w:rsidP="00A16DAA">
      <w:pPr>
        <w:spacing w:after="0"/>
        <w:rPr>
          <w:sz w:val="24"/>
          <w:szCs w:val="24"/>
        </w:rPr>
      </w:pPr>
    </w:p>
    <w:p w:rsidR="00A16DAA" w:rsidRDefault="00A16DAA" w:rsidP="00A16DAA">
      <w:pPr>
        <w:spacing w:after="0"/>
        <w:rPr>
          <w:sz w:val="24"/>
          <w:szCs w:val="24"/>
        </w:rPr>
      </w:pPr>
    </w:p>
    <w:p w:rsidR="00A16DAA" w:rsidRDefault="00A16DAA" w:rsidP="00A16DAA">
      <w:pPr>
        <w:spacing w:after="0"/>
        <w:rPr>
          <w:sz w:val="24"/>
          <w:szCs w:val="24"/>
        </w:rPr>
      </w:pPr>
    </w:p>
    <w:p w:rsidR="00A16DAA" w:rsidRDefault="00A16DAA" w:rsidP="00A16DAA">
      <w:pPr>
        <w:spacing w:after="0"/>
        <w:rPr>
          <w:sz w:val="24"/>
          <w:szCs w:val="24"/>
        </w:rPr>
      </w:pPr>
    </w:p>
    <w:p w:rsidR="00A16DAA" w:rsidRPr="00BE73BD" w:rsidRDefault="00A16DAA" w:rsidP="00A16DAA">
      <w:pPr>
        <w:rPr>
          <w:b/>
        </w:rPr>
      </w:pPr>
      <w:bookmarkStart w:id="3" w:name="_Toc340231484"/>
      <w:r w:rsidRPr="00BE73BD">
        <w:rPr>
          <w:b/>
        </w:rPr>
        <w:t>Secretariat</w:t>
      </w:r>
      <w:bookmarkEnd w:id="3"/>
    </w:p>
    <w:p w:rsidR="00A16DAA" w:rsidRPr="00BE73BD" w:rsidRDefault="00A16DAA" w:rsidP="00A16DAA">
      <w:pPr>
        <w:spacing w:after="0"/>
        <w:rPr>
          <w:sz w:val="24"/>
          <w:szCs w:val="24"/>
        </w:rPr>
      </w:pPr>
      <w:bookmarkStart w:id="4" w:name="_Toc340231485"/>
      <w:r w:rsidRPr="00BE73BD">
        <w:rPr>
          <w:sz w:val="24"/>
          <w:szCs w:val="24"/>
        </w:rPr>
        <w:t>Mr Ivan Powell, Secretary</w:t>
      </w:r>
      <w:bookmarkEnd w:id="4"/>
    </w:p>
    <w:p w:rsidR="00A16DAA" w:rsidRPr="00BE73BD" w:rsidRDefault="00A16DAA" w:rsidP="00A16DAA">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A16DAA" w:rsidRDefault="00A16DAA" w:rsidP="00A16DAA">
      <w:pPr>
        <w:spacing w:after="0"/>
        <w:rPr>
          <w:sz w:val="24"/>
          <w:szCs w:val="24"/>
        </w:rPr>
      </w:pPr>
      <w:r>
        <w:rPr>
          <w:sz w:val="24"/>
          <w:szCs w:val="24"/>
        </w:rPr>
        <w:t>Ms Eloise Menzies, Senior Research Officer</w:t>
      </w:r>
    </w:p>
    <w:p w:rsidR="00A16DAA" w:rsidRDefault="00A16DAA" w:rsidP="00A16DAA">
      <w:pPr>
        <w:spacing w:after="0"/>
        <w:rPr>
          <w:sz w:val="24"/>
          <w:szCs w:val="24"/>
        </w:rPr>
      </w:pPr>
    </w:p>
    <w:p w:rsidR="00A16DAA" w:rsidRDefault="00A16DAA" w:rsidP="00A16DAA">
      <w:pPr>
        <w:spacing w:after="0"/>
        <w:rPr>
          <w:sz w:val="24"/>
          <w:szCs w:val="24"/>
        </w:rPr>
      </w:pPr>
    </w:p>
    <w:p w:rsidR="00A16DAA" w:rsidRPr="007A6AAA" w:rsidRDefault="00A16DAA" w:rsidP="00A16DAA">
      <w:pPr>
        <w:spacing w:after="0"/>
        <w:rPr>
          <w:sz w:val="24"/>
          <w:szCs w:val="24"/>
        </w:rPr>
      </w:pPr>
    </w:p>
    <w:p w:rsidR="00A16DAA" w:rsidRPr="00BE73BD" w:rsidRDefault="00A16DAA" w:rsidP="00A16DAA">
      <w:pPr>
        <w:rPr>
          <w:b/>
        </w:rPr>
      </w:pPr>
      <w:bookmarkStart w:id="5" w:name="_Toc340231486"/>
      <w:r w:rsidRPr="00BE73BD">
        <w:rPr>
          <w:b/>
        </w:rPr>
        <w:t>Committee legal adviser</w:t>
      </w:r>
      <w:bookmarkEnd w:id="5"/>
    </w:p>
    <w:p w:rsidR="00A16DAA" w:rsidRPr="00BE73BD" w:rsidRDefault="00A16DAA" w:rsidP="00A16DAA">
      <w:pPr>
        <w:rPr>
          <w:sz w:val="24"/>
          <w:szCs w:val="24"/>
        </w:rPr>
      </w:pPr>
      <w:r w:rsidRPr="00BE73BD">
        <w:rPr>
          <w:sz w:val="24"/>
          <w:szCs w:val="24"/>
        </w:rPr>
        <w:t>Mr Stephen Argument</w:t>
      </w:r>
    </w:p>
    <w:p w:rsidR="00A16DAA" w:rsidRDefault="00A16DAA" w:rsidP="00A16DAA">
      <w:pPr>
        <w:spacing w:after="0"/>
        <w:rPr>
          <w:sz w:val="24"/>
          <w:szCs w:val="24"/>
        </w:rPr>
      </w:pPr>
    </w:p>
    <w:p w:rsidR="00A16DAA" w:rsidRDefault="00A16DAA" w:rsidP="00A16DAA">
      <w:pPr>
        <w:spacing w:after="0"/>
        <w:rPr>
          <w:sz w:val="24"/>
          <w:szCs w:val="24"/>
        </w:rPr>
      </w:pPr>
    </w:p>
    <w:p w:rsidR="00A16DAA" w:rsidRPr="001B64F3" w:rsidRDefault="00A16DAA" w:rsidP="00A16DAA">
      <w:pPr>
        <w:spacing w:after="0"/>
        <w:rPr>
          <w:sz w:val="24"/>
          <w:szCs w:val="24"/>
        </w:rPr>
      </w:pPr>
    </w:p>
    <w:p w:rsidR="00A16DAA" w:rsidRPr="001B64F3" w:rsidRDefault="00A16DAA" w:rsidP="00A16DAA">
      <w:pPr>
        <w:spacing w:after="0"/>
        <w:rPr>
          <w:sz w:val="24"/>
          <w:szCs w:val="24"/>
        </w:rPr>
      </w:pPr>
    </w:p>
    <w:p w:rsidR="00A16DAA" w:rsidRPr="00BE73BD" w:rsidRDefault="00A16DAA" w:rsidP="00A16DAA">
      <w:pPr>
        <w:rPr>
          <w:b/>
        </w:rPr>
      </w:pPr>
      <w:bookmarkStart w:id="6" w:name="_Toc340231487"/>
      <w:r w:rsidRPr="00BE73BD">
        <w:rPr>
          <w:b/>
        </w:rPr>
        <w:t>Committee contacts</w:t>
      </w:r>
      <w:bookmarkEnd w:id="6"/>
    </w:p>
    <w:p w:rsidR="00A16DAA" w:rsidRPr="00BE73BD" w:rsidRDefault="00A16DAA" w:rsidP="00A16DAA">
      <w:pPr>
        <w:spacing w:after="0"/>
        <w:rPr>
          <w:sz w:val="24"/>
          <w:szCs w:val="24"/>
        </w:rPr>
      </w:pPr>
      <w:bookmarkStart w:id="7" w:name="_Toc340231488"/>
      <w:r w:rsidRPr="00BE73BD">
        <w:rPr>
          <w:sz w:val="24"/>
          <w:szCs w:val="24"/>
        </w:rPr>
        <w:t>PO Box 6100</w:t>
      </w:r>
      <w:bookmarkEnd w:id="7"/>
    </w:p>
    <w:p w:rsidR="00A16DAA" w:rsidRPr="00BE73BD" w:rsidRDefault="00A16DAA" w:rsidP="00A16DAA">
      <w:pPr>
        <w:spacing w:after="0"/>
        <w:rPr>
          <w:sz w:val="24"/>
          <w:szCs w:val="24"/>
        </w:rPr>
      </w:pPr>
      <w:r w:rsidRPr="00BE73BD">
        <w:rPr>
          <w:sz w:val="24"/>
          <w:szCs w:val="24"/>
        </w:rPr>
        <w:t>Parliament House</w:t>
      </w:r>
    </w:p>
    <w:p w:rsidR="00A16DAA" w:rsidRPr="00BE73BD" w:rsidRDefault="00A16DAA" w:rsidP="00A16DAA">
      <w:pPr>
        <w:spacing w:after="0"/>
        <w:rPr>
          <w:sz w:val="24"/>
          <w:szCs w:val="24"/>
        </w:rPr>
      </w:pPr>
      <w:r w:rsidRPr="00BE73BD">
        <w:rPr>
          <w:sz w:val="24"/>
          <w:szCs w:val="24"/>
        </w:rPr>
        <w:t>Canberra ACT 2600</w:t>
      </w:r>
    </w:p>
    <w:p w:rsidR="00A16DAA" w:rsidRPr="00BE73BD" w:rsidRDefault="00A16DAA" w:rsidP="00A16DAA">
      <w:pPr>
        <w:spacing w:after="0"/>
        <w:rPr>
          <w:sz w:val="24"/>
          <w:szCs w:val="24"/>
        </w:rPr>
      </w:pPr>
      <w:r w:rsidRPr="00BE73BD">
        <w:rPr>
          <w:sz w:val="24"/>
          <w:szCs w:val="24"/>
        </w:rPr>
        <w:t>Ph: 02 6277 3066</w:t>
      </w:r>
    </w:p>
    <w:p w:rsidR="00A16DAA" w:rsidRPr="00BE73BD" w:rsidRDefault="00A16DAA" w:rsidP="00A16DAA">
      <w:pPr>
        <w:spacing w:after="0"/>
        <w:rPr>
          <w:sz w:val="24"/>
          <w:szCs w:val="24"/>
        </w:rPr>
      </w:pPr>
      <w:r w:rsidRPr="00BE73BD">
        <w:rPr>
          <w:sz w:val="24"/>
          <w:szCs w:val="24"/>
        </w:rPr>
        <w:t>Email: regords.sen@aph.gov.au</w:t>
      </w:r>
    </w:p>
    <w:p w:rsidR="00A16DAA" w:rsidRPr="00F72A71" w:rsidRDefault="00A16DAA" w:rsidP="00A16DAA">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A16DAA" w:rsidRPr="007E04A9" w:rsidRDefault="00A16DAA" w:rsidP="00A16DAA">
      <w:pPr>
        <w:spacing w:after="0"/>
      </w:pPr>
    </w:p>
    <w:p w:rsidR="00A16DAA" w:rsidRDefault="00A16DAA" w:rsidP="00A16DAA">
      <w:r>
        <w:br w:type="page"/>
      </w:r>
    </w:p>
    <w:p w:rsidR="00A16DAA" w:rsidRPr="00520991" w:rsidRDefault="00A16DAA" w:rsidP="00A16DAA"/>
    <w:p w:rsidR="002B3CA6" w:rsidRDefault="002B3CA6" w:rsidP="002B3CA6">
      <w:pPr>
        <w:tabs>
          <w:tab w:val="left" w:pos="426"/>
          <w:tab w:val="left" w:pos="1134"/>
          <w:tab w:val="left" w:pos="1701"/>
        </w:tabs>
        <w:spacing w:after="180"/>
        <w:ind w:left="1134" w:hanging="1134"/>
      </w:pPr>
    </w:p>
    <w:p w:rsidR="002B3CA6" w:rsidRDefault="002B3CA6" w:rsidP="002B3CA6">
      <w:pPr>
        <w:tabs>
          <w:tab w:val="left" w:pos="426"/>
          <w:tab w:val="left" w:pos="1134"/>
          <w:tab w:val="left" w:pos="1701"/>
        </w:tabs>
        <w:spacing w:after="180"/>
        <w:ind w:left="1134" w:hanging="1134"/>
      </w:pPr>
    </w:p>
    <w:p w:rsidR="002B3CA6" w:rsidRDefault="002B3CA6" w:rsidP="00325264">
      <w:pPr>
        <w:sectPr w:rsidR="002B3CA6" w:rsidSect="00683454">
          <w:headerReference w:type="even" r:id="rId14"/>
          <w:headerReference w:type="default" r:id="rId15"/>
          <w:footerReference w:type="even" r:id="rId16"/>
          <w:footerReference w:type="default" r:id="rId17"/>
          <w:pgSz w:w="11906" w:h="16838"/>
          <w:pgMar w:top="1701" w:right="1701" w:bottom="1701" w:left="1843" w:header="720" w:footer="720" w:gutter="170"/>
          <w:pgNumType w:fmt="lowerRoman" w:start="3"/>
          <w:cols w:space="720"/>
          <w:docGrid w:linePitch="354"/>
        </w:sectPr>
      </w:pPr>
    </w:p>
    <w:p w:rsidR="002B3CA6" w:rsidRPr="004B17F0" w:rsidRDefault="002B3CA6" w:rsidP="002B3CA6">
      <w:pPr>
        <w:pStyle w:val="Heading1"/>
        <w:spacing w:before="0" w:after="120"/>
      </w:pPr>
      <w:r>
        <w:lastRenderedPageBreak/>
        <w:t>Introduction</w:t>
      </w:r>
    </w:p>
    <w:p w:rsidR="002B3CA6" w:rsidRDefault="002B3CA6" w:rsidP="002B3CA6">
      <w:pPr>
        <w:pStyle w:val="Heading3"/>
        <w:spacing w:after="120"/>
      </w:pPr>
      <w:r>
        <w:t>Terms of reference</w:t>
      </w:r>
    </w:p>
    <w:p w:rsidR="002B3CA6" w:rsidRDefault="002B3CA6" w:rsidP="002B3CA6">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2B3CA6" w:rsidRDefault="002B3CA6" w:rsidP="002B3CA6">
      <w:pPr>
        <w:pStyle w:val="Level1"/>
        <w:numPr>
          <w:ilvl w:val="0"/>
          <w:numId w:val="0"/>
        </w:numPr>
        <w:spacing w:after="120"/>
      </w:pPr>
      <w:r>
        <w:t>Senate Standing Order 23(3) requires the committee to scrutinise each instrument referred to it to ensure:</w:t>
      </w:r>
    </w:p>
    <w:p w:rsidR="002B3CA6" w:rsidRPr="00BF47FD" w:rsidRDefault="002B3CA6" w:rsidP="002B3CA6">
      <w:pPr>
        <w:pStyle w:val="Quote"/>
        <w:tabs>
          <w:tab w:val="left" w:pos="1418"/>
        </w:tabs>
        <w:spacing w:after="120"/>
        <w:ind w:left="1418" w:hanging="709"/>
      </w:pPr>
      <w:r>
        <w:t>(a)</w:t>
      </w:r>
      <w:r>
        <w:tab/>
      </w:r>
      <w:r w:rsidRPr="00BF47FD">
        <w:t>that it is in accordance with the statute;</w:t>
      </w:r>
    </w:p>
    <w:p w:rsidR="002B3CA6" w:rsidRPr="00BF47FD" w:rsidRDefault="002B3CA6" w:rsidP="002B3CA6">
      <w:pPr>
        <w:pStyle w:val="Quote"/>
        <w:tabs>
          <w:tab w:val="left" w:pos="1418"/>
        </w:tabs>
        <w:spacing w:after="120"/>
        <w:ind w:left="1418" w:hanging="709"/>
      </w:pPr>
      <w:r>
        <w:t>(b)</w:t>
      </w:r>
      <w:r>
        <w:tab/>
      </w:r>
      <w:r w:rsidRPr="00BF47FD">
        <w:t>that it does not trespass unduly on personal rights and liberties;</w:t>
      </w:r>
    </w:p>
    <w:p w:rsidR="002B3CA6" w:rsidRPr="00BF47FD" w:rsidRDefault="002B3CA6" w:rsidP="002B3CA6">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2B3CA6" w:rsidRDefault="002B3CA6" w:rsidP="002B3CA6">
      <w:pPr>
        <w:pStyle w:val="Quote"/>
        <w:tabs>
          <w:tab w:val="left" w:pos="1418"/>
        </w:tabs>
        <w:spacing w:after="120"/>
        <w:ind w:left="1418" w:hanging="709"/>
      </w:pPr>
      <w:r>
        <w:t>(d)</w:t>
      </w:r>
      <w:r>
        <w:tab/>
      </w:r>
      <w:r w:rsidRPr="00BF47FD">
        <w:t>that it does not contain matter more appropriate for parliamentary enactment.</w:t>
      </w:r>
    </w:p>
    <w:p w:rsidR="002B3CA6" w:rsidRDefault="002B3CA6" w:rsidP="002B3CA6">
      <w:pPr>
        <w:pStyle w:val="Heading3"/>
        <w:spacing w:after="120"/>
      </w:pPr>
      <w:r>
        <w:t>Nature of the committee's scrutiny</w:t>
      </w:r>
    </w:p>
    <w:p w:rsidR="002B3CA6" w:rsidRDefault="002B3CA6" w:rsidP="002B3CA6">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2B3CA6" w:rsidRDefault="002B3CA6" w:rsidP="002B3CA6">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2B3CA6" w:rsidRDefault="002B3CA6" w:rsidP="002B3CA6">
      <w:pPr>
        <w:pStyle w:val="Heading3"/>
        <w:spacing w:after="120"/>
      </w:pPr>
      <w:r>
        <w:t>Publications</w:t>
      </w:r>
    </w:p>
    <w:p w:rsidR="002B3CA6" w:rsidRDefault="002B3CA6" w:rsidP="002B3CA6">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2B3CA6" w:rsidRPr="008B16ED" w:rsidRDefault="002B3CA6" w:rsidP="002B3CA6">
      <w:pPr>
        <w:pStyle w:val="Heading3"/>
        <w:spacing w:after="120"/>
      </w:pPr>
      <w:r>
        <w:lastRenderedPageBreak/>
        <w:t>Structure of the monitor</w:t>
      </w:r>
    </w:p>
    <w:p w:rsidR="002B3CA6" w:rsidRDefault="002B3CA6" w:rsidP="002B3CA6">
      <w:pPr>
        <w:pStyle w:val="Level1"/>
        <w:numPr>
          <w:ilvl w:val="0"/>
          <w:numId w:val="0"/>
        </w:numPr>
        <w:spacing w:after="120"/>
      </w:pPr>
      <w:r>
        <w:t>The monitor is comprised of the following parts:</w:t>
      </w:r>
    </w:p>
    <w:p w:rsidR="002B3CA6" w:rsidRDefault="002B3CA6" w:rsidP="002B3CA6">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2B3CA6" w:rsidRDefault="002B3CA6" w:rsidP="002B3CA6">
      <w:pPr>
        <w:pStyle w:val="Bullet1"/>
        <w:numPr>
          <w:ilvl w:val="0"/>
          <w:numId w:val="35"/>
        </w:numPr>
        <w:tabs>
          <w:tab w:val="clear" w:pos="851"/>
          <w:tab w:val="left" w:pos="567"/>
        </w:tabs>
        <w:spacing w:after="120"/>
        <w:ind w:left="1134" w:hanging="567"/>
      </w:pPr>
      <w:r>
        <w:t xml:space="preserve">seeking an explanation/information; or </w:t>
      </w:r>
    </w:p>
    <w:p w:rsidR="002B3CA6" w:rsidRDefault="002B3CA6" w:rsidP="002B3CA6">
      <w:pPr>
        <w:pStyle w:val="Bullet1"/>
        <w:numPr>
          <w:ilvl w:val="0"/>
          <w:numId w:val="35"/>
        </w:numPr>
        <w:tabs>
          <w:tab w:val="clear" w:pos="851"/>
          <w:tab w:val="left" w:pos="567"/>
        </w:tabs>
        <w:spacing w:after="120"/>
        <w:ind w:left="1134" w:hanging="567"/>
      </w:pPr>
      <w:r>
        <w:t>seeking further explanation/information subsequent to a response; or</w:t>
      </w:r>
    </w:p>
    <w:p w:rsidR="002B3CA6" w:rsidRDefault="002B3CA6" w:rsidP="002B3CA6">
      <w:pPr>
        <w:pStyle w:val="Bullet1"/>
        <w:numPr>
          <w:ilvl w:val="0"/>
          <w:numId w:val="35"/>
        </w:numPr>
        <w:tabs>
          <w:tab w:val="clear" w:pos="851"/>
          <w:tab w:val="left" w:pos="567"/>
        </w:tabs>
        <w:spacing w:after="120"/>
        <w:ind w:left="1134" w:hanging="567"/>
      </w:pPr>
      <w:r>
        <w:t>on an advice only basis.</w:t>
      </w:r>
    </w:p>
    <w:p w:rsidR="002B3CA6" w:rsidRDefault="002B3CA6" w:rsidP="002B3CA6">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2B3CA6" w:rsidRDefault="002B3CA6" w:rsidP="002B3CA6">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2B3CA6" w:rsidRDefault="002B3CA6" w:rsidP="002B3CA6">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2B3CA6" w:rsidRDefault="002B3CA6" w:rsidP="002B3CA6">
      <w:pPr>
        <w:pStyle w:val="Heading3"/>
        <w:spacing w:after="120"/>
      </w:pPr>
      <w:r>
        <w:t>Acknowledgement</w:t>
      </w:r>
    </w:p>
    <w:p w:rsidR="002B3CA6" w:rsidRDefault="002B3CA6" w:rsidP="002B3CA6">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2B3CA6" w:rsidRDefault="002B3CA6" w:rsidP="002B3CA6">
      <w:pPr>
        <w:pStyle w:val="Heading3"/>
        <w:spacing w:after="120"/>
      </w:pPr>
      <w:r>
        <w:t>General information</w:t>
      </w:r>
    </w:p>
    <w:p w:rsidR="002B3CA6" w:rsidRDefault="002B3CA6" w:rsidP="002B3CA6">
      <w:pPr>
        <w:pStyle w:val="Level1"/>
        <w:numPr>
          <w:ilvl w:val="0"/>
          <w:numId w:val="0"/>
        </w:numPr>
        <w:spacing w:after="120"/>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2B3CA6" w:rsidRDefault="002B3CA6" w:rsidP="002B3CA6">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4"/>
      </w:r>
      <w:r>
        <w:t xml:space="preserve"> </w:t>
      </w:r>
    </w:p>
    <w:p w:rsidR="002B3CA6" w:rsidRDefault="002B3CA6" w:rsidP="002B3CA6">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2B3CA6" w:rsidRDefault="002B3CA6" w:rsidP="002B3CA6">
      <w:pPr>
        <w:pStyle w:val="Bullet1"/>
        <w:numPr>
          <w:ilvl w:val="0"/>
          <w:numId w:val="0"/>
        </w:numPr>
        <w:spacing w:after="0"/>
        <w:ind w:left="851" w:hanging="851"/>
        <w:rPr>
          <w:b/>
          <w:sz w:val="24"/>
          <w:szCs w:val="24"/>
        </w:rPr>
      </w:pPr>
    </w:p>
    <w:p w:rsidR="002B3CA6" w:rsidRDefault="002B3CA6" w:rsidP="002B3CA6">
      <w:pPr>
        <w:pStyle w:val="Bullet1"/>
        <w:numPr>
          <w:ilvl w:val="0"/>
          <w:numId w:val="0"/>
        </w:numPr>
        <w:spacing w:after="0"/>
        <w:ind w:left="851" w:hanging="851"/>
        <w:rPr>
          <w:b/>
          <w:sz w:val="24"/>
          <w:szCs w:val="24"/>
        </w:rPr>
      </w:pPr>
    </w:p>
    <w:p w:rsidR="002B3CA6" w:rsidRDefault="002B3CA6" w:rsidP="002B3CA6">
      <w:pPr>
        <w:pStyle w:val="Bullet1"/>
        <w:numPr>
          <w:ilvl w:val="0"/>
          <w:numId w:val="0"/>
        </w:numPr>
        <w:spacing w:after="0"/>
        <w:ind w:left="851" w:hanging="851"/>
        <w:rPr>
          <w:b/>
          <w:sz w:val="24"/>
          <w:szCs w:val="24"/>
        </w:rPr>
      </w:pPr>
    </w:p>
    <w:p w:rsidR="002B3CA6" w:rsidRPr="0061320E" w:rsidRDefault="002B3CA6" w:rsidP="002B3CA6">
      <w:pPr>
        <w:pStyle w:val="Bullet1"/>
        <w:numPr>
          <w:ilvl w:val="0"/>
          <w:numId w:val="0"/>
        </w:numPr>
        <w:spacing w:after="0"/>
        <w:ind w:left="851" w:hanging="851"/>
        <w:rPr>
          <w:b/>
          <w:sz w:val="24"/>
          <w:szCs w:val="24"/>
        </w:rPr>
      </w:pPr>
    </w:p>
    <w:p w:rsidR="002B3CA6" w:rsidRPr="00364316" w:rsidRDefault="002B3CA6" w:rsidP="002B3CA6">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2B3CA6" w:rsidRDefault="002B3CA6" w:rsidP="00325264">
      <w:pPr>
        <w:sectPr w:rsidR="002B3CA6" w:rsidSect="0059467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202" w:left="1440" w:header="1134" w:footer="720" w:gutter="0"/>
          <w:pgNumType w:fmt="lowerRoman" w:start="7"/>
          <w:cols w:space="720"/>
          <w:titlePg/>
        </w:sectPr>
      </w:pPr>
    </w:p>
    <w:p w:rsidR="002B3CA6" w:rsidRPr="001F4E38" w:rsidRDefault="002B3CA6" w:rsidP="002B3CA6">
      <w:pPr>
        <w:pStyle w:val="Heading1"/>
      </w:pPr>
      <w:r w:rsidRPr="001F4E38">
        <w:lastRenderedPageBreak/>
        <w:t>Chapter 1</w:t>
      </w:r>
    </w:p>
    <w:p w:rsidR="002B3CA6" w:rsidRPr="001F4E38" w:rsidRDefault="002B3CA6" w:rsidP="002B3CA6">
      <w:pPr>
        <w:pStyle w:val="Heading2"/>
      </w:pPr>
      <w:r w:rsidRPr="001F4E38">
        <w:t xml:space="preserve">New </w:t>
      </w:r>
      <w:r>
        <w:t xml:space="preserve">and continuing </w:t>
      </w:r>
      <w:r w:rsidRPr="001F4E38">
        <w:t>matters</w:t>
      </w:r>
    </w:p>
    <w:p w:rsidR="002B3CA6" w:rsidRDefault="002B3CA6" w:rsidP="002B3CA6">
      <w:pPr>
        <w:pStyle w:val="Level1"/>
        <w:numPr>
          <w:ilvl w:val="0"/>
          <w:numId w:val="0"/>
        </w:numPr>
      </w:pPr>
      <w:r>
        <w:t>This chapter details concerns in relation to disallowable instruments of delegated legislation received by the Senate Standing Committee on Regulations and Ordinances (the committee) between 23 October 2015 and 5 November 2015 (new matters); and matters previously raised in relation to which the committee seeks further information (continuing matters).</w:t>
      </w:r>
    </w:p>
    <w:p w:rsidR="002B3CA6" w:rsidRPr="00E8612C" w:rsidRDefault="002B3CA6" w:rsidP="002B3CA6">
      <w:pPr>
        <w:pStyle w:val="Heading2"/>
        <w:spacing w:before="240"/>
        <w:rPr>
          <w:sz w:val="32"/>
          <w:szCs w:val="32"/>
        </w:rPr>
      </w:pPr>
      <w:r w:rsidRPr="00E8612C">
        <w:rPr>
          <w:sz w:val="32"/>
          <w:szCs w:val="32"/>
        </w:rPr>
        <w:t>Response required</w:t>
      </w:r>
    </w:p>
    <w:p w:rsidR="002B3CA6" w:rsidRDefault="002B3CA6" w:rsidP="002B3CA6">
      <w:pPr>
        <w:pStyle w:val="Level1"/>
        <w:numPr>
          <w:ilvl w:val="0"/>
          <w:numId w:val="0"/>
        </w:numPr>
        <w:spacing w:after="360"/>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BA36F8" w:rsidRDefault="002B3CA6" w:rsidP="0023128E">
            <w:pPr>
              <w:pStyle w:val="Heading3"/>
              <w:spacing w:before="120" w:after="120"/>
              <w:rPr>
                <w:sz w:val="24"/>
                <w:szCs w:val="24"/>
              </w:rPr>
            </w:pPr>
            <w:r w:rsidRPr="001B072C">
              <w:rPr>
                <w:rFonts w:ascii="Times New (W1)" w:hAnsi="Times New (W1)"/>
                <w:noProof/>
                <w:sz w:val="24"/>
                <w:szCs w:val="24"/>
              </w:rPr>
              <w:t>CASA EX174/15 - Exemption — from welding training for grant of aircraft welding authority [F2015L01699]</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3128E">
            <w:pPr>
              <w:spacing w:before="120" w:after="120"/>
              <w:rPr>
                <w:sz w:val="24"/>
                <w:szCs w:val="24"/>
              </w:rPr>
            </w:pPr>
            <w:r>
              <w:rPr>
                <w:noProof/>
                <w:sz w:val="24"/>
                <w:szCs w:val="24"/>
              </w:rPr>
              <w:t>E</w:t>
            </w:r>
            <w:r w:rsidRPr="001B072C">
              <w:rPr>
                <w:noProof/>
                <w:sz w:val="24"/>
                <w:szCs w:val="24"/>
              </w:rPr>
              <w:t xml:space="preserve">xempts a class of applicants for an aircraft welding authority from the requirement to have completed welding training </w:t>
            </w:r>
            <w:r>
              <w:rPr>
                <w:noProof/>
                <w:sz w:val="24"/>
                <w:szCs w:val="24"/>
              </w:rPr>
              <w:t xml:space="preserve">as prescribed in </w:t>
            </w:r>
            <w:r w:rsidRPr="001B072C">
              <w:rPr>
                <w:noProof/>
                <w:sz w:val="24"/>
                <w:szCs w:val="24"/>
              </w:rPr>
              <w:t xml:space="preserve">Civil Aviation </w:t>
            </w:r>
            <w:r>
              <w:rPr>
                <w:noProof/>
                <w:sz w:val="24"/>
                <w:szCs w:val="24"/>
              </w:rPr>
              <w:t>R</w:t>
            </w:r>
            <w:r w:rsidRPr="001B072C">
              <w:rPr>
                <w:noProof/>
                <w:sz w:val="24"/>
                <w:szCs w:val="24"/>
              </w:rPr>
              <w:t xml:space="preserve">egulations 1988 </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22 February 2016</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3128E">
            <w:pPr>
              <w:spacing w:before="120" w:after="120"/>
              <w:rPr>
                <w:i/>
                <w:sz w:val="24"/>
                <w:szCs w:val="24"/>
              </w:rPr>
            </w:pPr>
            <w:r w:rsidRPr="001B072C">
              <w:rPr>
                <w:i/>
                <w:noProof/>
                <w:sz w:val="24"/>
                <w:szCs w:val="24"/>
              </w:rPr>
              <w:t>Civil Aviation Safety Regulations 1998</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Infrastructure and Regional Development</w:t>
            </w:r>
          </w:p>
        </w:tc>
      </w:tr>
      <w:tr w:rsidR="002B3CA6" w:rsidRPr="00164622" w:rsidTr="0023128E">
        <w:tc>
          <w:tcPr>
            <w:tcW w:w="2694" w:type="dxa"/>
            <w:tcBorders>
              <w:bottom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B3CA6" w:rsidRPr="00A77228" w:rsidRDefault="002B3CA6" w:rsidP="0023128E">
            <w:pPr>
              <w:spacing w:before="120" w:after="120"/>
              <w:rPr>
                <w:sz w:val="24"/>
                <w:szCs w:val="24"/>
              </w:rPr>
            </w:pPr>
            <w:r>
              <w:rPr>
                <w:sz w:val="24"/>
                <w:szCs w:val="24"/>
              </w:rPr>
              <w:t>Standing Order 23(3)</w:t>
            </w:r>
            <w:r w:rsidRPr="001B072C">
              <w:rPr>
                <w:noProof/>
                <w:sz w:val="24"/>
                <w:szCs w:val="24"/>
              </w:rPr>
              <w:t>(d)</w:t>
            </w:r>
          </w:p>
        </w:tc>
      </w:tr>
    </w:tbl>
    <w:p w:rsidR="002B3CA6" w:rsidRDefault="002B3CA6" w:rsidP="002B3CA6">
      <w:pPr>
        <w:spacing w:after="120"/>
      </w:pPr>
    </w:p>
    <w:p w:rsidR="002B3CA6" w:rsidRPr="001372DA" w:rsidRDefault="002B3CA6" w:rsidP="002B3CA6">
      <w:pPr>
        <w:rPr>
          <w:b/>
          <w:noProof/>
        </w:rPr>
      </w:pPr>
      <w:bookmarkStart w:id="9" w:name="OLE_LINK1"/>
      <w:r w:rsidRPr="001372DA">
        <w:rPr>
          <w:b/>
          <w:noProof/>
        </w:rPr>
        <w:t>Timetable for making substantive amendments to Civil Aviation Regulations 1988</w:t>
      </w:r>
    </w:p>
    <w:p w:rsidR="002B3CA6" w:rsidRPr="001372DA" w:rsidRDefault="002B3CA6" w:rsidP="002B3CA6">
      <w:pPr>
        <w:rPr>
          <w:noProof/>
        </w:rPr>
      </w:pPr>
      <w:r w:rsidRPr="001372DA">
        <w:rPr>
          <w:noProof/>
        </w:rPr>
        <w:t>The instrument exempts an aircraft welding authority applicant who previously held an aircraft welding authority from the training requirement prescribed in Civil Aviation Regulations 1998 (CAR 1988). In doing so, the instrument creates an exemption so that applicants with an expired welding authority will not incur the cost or inconvenience of undertaking further training, which they would have avoided if their welding authority had not expired.</w:t>
      </w:r>
    </w:p>
    <w:p w:rsidR="002B3CA6" w:rsidRPr="001372DA" w:rsidRDefault="002B3CA6" w:rsidP="002B3CA6">
      <w:pPr>
        <w:spacing w:after="120"/>
        <w:rPr>
          <w:noProof/>
        </w:rPr>
      </w:pPr>
      <w:r w:rsidRPr="001372DA">
        <w:rPr>
          <w:noProof/>
        </w:rPr>
        <w:t>The ES for this instrument states:</w:t>
      </w:r>
    </w:p>
    <w:p w:rsidR="002B3CA6" w:rsidRPr="001372DA" w:rsidRDefault="002B3CA6" w:rsidP="002B3CA6">
      <w:pPr>
        <w:pStyle w:val="Quote"/>
        <w:rPr>
          <w:noProof/>
        </w:rPr>
      </w:pPr>
      <w:r w:rsidRPr="001372DA">
        <w:rPr>
          <w:noProof/>
        </w:rPr>
        <w:t xml:space="preserve">CASA is considering updating the legislation covering maintenance permissions for aircraft welding, including making it capable of being responsive to changes in technology and practice. CASA intends to propose amendments to CAR 1988 to make the necessary changes. This instrument has been made in anticipation of those more extensive changes. </w:t>
      </w:r>
    </w:p>
    <w:p w:rsidR="002B3CA6" w:rsidRDefault="002B3CA6" w:rsidP="002B3CA6">
      <w:pPr>
        <w:rPr>
          <w:noProof/>
        </w:rPr>
      </w:pPr>
      <w:r w:rsidRPr="001372DA">
        <w:rPr>
          <w:noProof/>
        </w:rPr>
        <w:lastRenderedPageBreak/>
        <w:t>The committee generally prefers that exemptions are not used or do not continue for such time as to operate as de facto amendments to principal legislation</w:t>
      </w:r>
      <w:r>
        <w:rPr>
          <w:noProof/>
        </w:rPr>
        <w:t xml:space="preserve">. </w:t>
      </w:r>
      <w:r w:rsidRPr="00267CF1">
        <w:rPr>
          <w:noProof/>
        </w:rPr>
        <w:t>Given the committee’s gene</w:t>
      </w:r>
      <w:r>
        <w:rPr>
          <w:noProof/>
        </w:rPr>
        <w:t xml:space="preserve">ral expectation in this regard, the committee notes that the instrument </w:t>
      </w:r>
      <w:r w:rsidRPr="001372DA">
        <w:rPr>
          <w:noProof/>
        </w:rPr>
        <w:t>grants the exemption from the welding training as prescribed in CAR 1988 until the end of September 2017</w:t>
      </w:r>
      <w:r>
        <w:rPr>
          <w:noProof/>
        </w:rPr>
        <w:t xml:space="preserve">; however, </w:t>
      </w:r>
      <w:r w:rsidRPr="001372DA">
        <w:rPr>
          <w:noProof/>
        </w:rPr>
        <w:t>no information is provided as to the exp</w:t>
      </w:r>
      <w:r>
        <w:rPr>
          <w:noProof/>
        </w:rPr>
        <w:t>e</w:t>
      </w:r>
      <w:r w:rsidRPr="001372DA">
        <w:rPr>
          <w:noProof/>
        </w:rPr>
        <w:t>cted timetable for the proposed amendments to CAR 1988.</w:t>
      </w:r>
      <w:r>
        <w:rPr>
          <w:noProof/>
        </w:rPr>
        <w:t xml:space="preserve"> </w:t>
      </w:r>
    </w:p>
    <w:p w:rsidR="002B3CA6" w:rsidRDefault="002B3CA6" w:rsidP="002B3CA6">
      <w:pPr>
        <w:spacing w:after="120"/>
        <w:rPr>
          <w:b/>
          <w:noProof/>
        </w:rPr>
      </w:pPr>
      <w:r w:rsidRPr="00212D36">
        <w:rPr>
          <w:b/>
          <w:noProof/>
        </w:rPr>
        <w:t>The committee seeks the advice of the minister in relation to this matter.</w:t>
      </w:r>
    </w:p>
    <w:bookmarkEnd w:id="9"/>
    <w:p w:rsidR="002B3CA6" w:rsidRPr="00212D36" w:rsidRDefault="002B3CA6" w:rsidP="002B3CA6">
      <w:pPr>
        <w:spacing w:after="120"/>
        <w:rPr>
          <w:b/>
          <w:noProof/>
        </w:rPr>
      </w:pP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1B072C" w:rsidRDefault="002B3CA6" w:rsidP="0023128E">
            <w:pPr>
              <w:pStyle w:val="Heading3"/>
              <w:spacing w:before="120" w:after="120"/>
              <w:rPr>
                <w:rFonts w:ascii="Times New (W1)" w:hAnsi="Times New (W1)"/>
                <w:noProof/>
                <w:sz w:val="24"/>
                <w:szCs w:val="24"/>
              </w:rPr>
            </w:pPr>
            <w:r w:rsidRPr="001B072C">
              <w:rPr>
                <w:rFonts w:ascii="Times New (W1)" w:hAnsi="Times New (W1)"/>
                <w:noProof/>
                <w:sz w:val="24"/>
                <w:szCs w:val="24"/>
              </w:rPr>
              <w:t>Excise (Mass of CNG) Determination 2015 (No. 1) [F2015L01733]</w:t>
            </w:r>
          </w:p>
          <w:p w:rsidR="002B3CA6" w:rsidRPr="001B072C" w:rsidRDefault="002B3CA6" w:rsidP="0023128E">
            <w:pPr>
              <w:pStyle w:val="Heading3"/>
              <w:spacing w:before="120" w:after="120"/>
              <w:rPr>
                <w:rFonts w:ascii="Times New (W1)" w:hAnsi="Times New (W1)"/>
                <w:noProof/>
                <w:sz w:val="24"/>
                <w:szCs w:val="24"/>
              </w:rPr>
            </w:pPr>
            <w:r w:rsidRPr="001B072C">
              <w:rPr>
                <w:rFonts w:ascii="Times New (W1)" w:hAnsi="Times New (W1)"/>
                <w:noProof/>
                <w:sz w:val="24"/>
                <w:szCs w:val="24"/>
              </w:rPr>
              <w:t>Excise (Volume of Liquid Fuels - Temperature Correction) Determination 2015 (No. 1) [F2015L01732]</w:t>
            </w:r>
          </w:p>
          <w:p w:rsidR="002B3CA6" w:rsidRPr="00BA36F8" w:rsidRDefault="002B3CA6" w:rsidP="0023128E">
            <w:pPr>
              <w:pStyle w:val="Heading3"/>
              <w:rPr>
                <w:sz w:val="24"/>
                <w:szCs w:val="24"/>
              </w:rPr>
            </w:pPr>
            <w:r w:rsidRPr="001B072C">
              <w:rPr>
                <w:rFonts w:ascii="Times New (W1)" w:hAnsi="Times New (W1)"/>
                <w:noProof/>
                <w:sz w:val="24"/>
                <w:szCs w:val="24"/>
              </w:rPr>
              <w:t>Excise (Volume of LPG – Temperature and Pressure Correction) Determination 2015 (No. 1) [F2015L01745]</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These instruments specify methods for determining the volume or mass of particular excisable substances</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22 February 2016</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3128E">
            <w:pPr>
              <w:spacing w:before="120" w:after="120"/>
              <w:rPr>
                <w:i/>
                <w:sz w:val="24"/>
                <w:szCs w:val="24"/>
              </w:rPr>
            </w:pPr>
            <w:r w:rsidRPr="001B072C">
              <w:rPr>
                <w:i/>
                <w:noProof/>
                <w:sz w:val="24"/>
                <w:szCs w:val="24"/>
              </w:rPr>
              <w:t>Excise Act 1901</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Treasury</w:t>
            </w:r>
          </w:p>
        </w:tc>
      </w:tr>
      <w:tr w:rsidR="002B3CA6" w:rsidRPr="00164622" w:rsidTr="0023128E">
        <w:tc>
          <w:tcPr>
            <w:tcW w:w="2694" w:type="dxa"/>
            <w:tcBorders>
              <w:bottom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B3CA6" w:rsidRPr="00A77228" w:rsidRDefault="002B3CA6" w:rsidP="0023128E">
            <w:pPr>
              <w:spacing w:before="120" w:after="120"/>
              <w:rPr>
                <w:sz w:val="24"/>
                <w:szCs w:val="24"/>
              </w:rPr>
            </w:pPr>
            <w:r>
              <w:rPr>
                <w:sz w:val="24"/>
                <w:szCs w:val="24"/>
              </w:rPr>
              <w:t>Standing Order 23(3)</w:t>
            </w:r>
            <w:r w:rsidRPr="001B072C">
              <w:rPr>
                <w:noProof/>
                <w:sz w:val="24"/>
                <w:szCs w:val="24"/>
              </w:rPr>
              <w:t>(a)</w:t>
            </w:r>
          </w:p>
        </w:tc>
      </w:tr>
    </w:tbl>
    <w:p w:rsidR="002B3CA6" w:rsidRDefault="002B3CA6" w:rsidP="002B3CA6">
      <w:pPr>
        <w:spacing w:after="120"/>
      </w:pPr>
    </w:p>
    <w:p w:rsidR="002B3CA6" w:rsidRDefault="002B3CA6" w:rsidP="002B3CA6">
      <w:r w:rsidRPr="001B072C">
        <w:rPr>
          <w:b/>
          <w:noProof/>
        </w:rPr>
        <w:t>Incorporation of extrinsic material</w:t>
      </w:r>
    </w:p>
    <w:p w:rsidR="002B3CA6" w:rsidRDefault="002B3CA6" w:rsidP="002B3CA6">
      <w:pPr>
        <w:spacing w:after="180"/>
      </w:pPr>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2B3CA6" w:rsidRDefault="002B3CA6" w:rsidP="002B3CA6">
      <w:pPr>
        <w:spacing w:after="120"/>
      </w:pPr>
      <w:r>
        <w:t>With reference to the above, the committee notes that the first instrument refers to the:</w:t>
      </w:r>
    </w:p>
    <w:p w:rsidR="002B3CA6" w:rsidRDefault="002B3CA6" w:rsidP="002B3CA6">
      <w:pPr>
        <w:pStyle w:val="Bullet1"/>
        <w:spacing w:after="120"/>
      </w:pPr>
      <w:r w:rsidRPr="00AD319A">
        <w:t xml:space="preserve">Australian Standard/International Organization for Standardization AS ISO 13443-2007, </w:t>
      </w:r>
      <w:r w:rsidRPr="008E4A15">
        <w:rPr>
          <w:i/>
        </w:rPr>
        <w:t>Natural gas – St</w:t>
      </w:r>
      <w:r w:rsidRPr="00AD319A">
        <w:rPr>
          <w:i/>
        </w:rPr>
        <w:t>andard reference conditions</w:t>
      </w:r>
      <w:r>
        <w:t>; and</w:t>
      </w:r>
    </w:p>
    <w:p w:rsidR="002B3CA6" w:rsidRDefault="002B3CA6" w:rsidP="002B3CA6">
      <w:pPr>
        <w:pStyle w:val="Bullet1"/>
      </w:pPr>
      <w:r>
        <w:t xml:space="preserve">International Organization for Standardization ISO 6976-1995 </w:t>
      </w:r>
      <w:r w:rsidRPr="00AD319A">
        <w:rPr>
          <w:i/>
        </w:rPr>
        <w:t>Natural gas – Calculation of calorific values, density and Wobbe index from composition</w:t>
      </w:r>
      <w:r>
        <w:t xml:space="preserve">. </w:t>
      </w:r>
    </w:p>
    <w:p w:rsidR="002B3CA6" w:rsidRDefault="002B3CA6" w:rsidP="002B3CA6">
      <w:pPr>
        <w:spacing w:after="120"/>
      </w:pPr>
      <w:r>
        <w:t xml:space="preserve">The second instrument refers to the </w:t>
      </w:r>
      <w:r w:rsidRPr="00AD319A">
        <w:t xml:space="preserve">American Society for Testing and Materials (ASTM) </w:t>
      </w:r>
      <w:r w:rsidRPr="00AD319A">
        <w:rPr>
          <w:i/>
        </w:rPr>
        <w:t>Petroleum Measurement Tables Volume</w:t>
      </w:r>
      <w:r>
        <w:rPr>
          <w:i/>
        </w:rPr>
        <w:t xml:space="preserve"> Correction Factors, Volume VIII</w:t>
      </w:r>
      <w:r>
        <w:t xml:space="preserve"> and </w:t>
      </w:r>
      <w:r w:rsidRPr="00E706A1">
        <w:rPr>
          <w:i/>
        </w:rPr>
        <w:t>Practical Alcohol Tables</w:t>
      </w:r>
      <w:r>
        <w:t>.</w:t>
      </w:r>
    </w:p>
    <w:p w:rsidR="002B3CA6" w:rsidRDefault="002B3CA6" w:rsidP="002B3CA6">
      <w:pPr>
        <w:spacing w:after="0"/>
        <w:jc w:val="left"/>
      </w:pPr>
      <w:r>
        <w:br w:type="page"/>
      </w:r>
    </w:p>
    <w:p w:rsidR="002B3CA6" w:rsidRDefault="002B3CA6" w:rsidP="002B3CA6">
      <w:pPr>
        <w:spacing w:after="120"/>
      </w:pPr>
      <w:r>
        <w:lastRenderedPageBreak/>
        <w:t>The third instrument refers to the:</w:t>
      </w:r>
    </w:p>
    <w:p w:rsidR="002B3CA6" w:rsidRDefault="002B3CA6" w:rsidP="002B3CA6">
      <w:pPr>
        <w:pStyle w:val="Bullet1"/>
        <w:spacing w:after="120"/>
      </w:pPr>
      <w:r w:rsidRPr="00E706A1">
        <w:t xml:space="preserve">American Society for Testing and Materials (ASTM) </w:t>
      </w:r>
      <w:r w:rsidRPr="008E4A15">
        <w:rPr>
          <w:i/>
        </w:rPr>
        <w:t>Petroleum Measurement Tables for Light Hydrocarbon Liquids – Density Range 0.500 to 0.653 Kg/L at 15º C</w:t>
      </w:r>
      <w:r>
        <w:t>; and</w:t>
      </w:r>
    </w:p>
    <w:p w:rsidR="002B3CA6" w:rsidRDefault="002B3CA6" w:rsidP="002B3CA6">
      <w:pPr>
        <w:pStyle w:val="Bullet1"/>
      </w:pPr>
      <w:r w:rsidRPr="00E706A1">
        <w:t xml:space="preserve">American Petroleum Institute (API) </w:t>
      </w:r>
      <w:r w:rsidRPr="008E4A15">
        <w:rPr>
          <w:i/>
        </w:rPr>
        <w:t>Manual of Petroleum Measurement Standards, Chapter 11.2.2M – Compressibility Factors for</w:t>
      </w:r>
      <w:r>
        <w:rPr>
          <w:i/>
        </w:rPr>
        <w:t xml:space="preserve"> Hydrocarbons: </w:t>
      </w:r>
      <w:r w:rsidRPr="008E4A15">
        <w:rPr>
          <w:i/>
        </w:rPr>
        <w:t>350-637 kg/m3 Density (15º C) and -46º C to 60º C</w:t>
      </w:r>
      <w:r>
        <w:rPr>
          <w:i/>
        </w:rPr>
        <w:t xml:space="preserve"> metering temperature</w:t>
      </w:r>
      <w:r w:rsidRPr="00826BAD">
        <w:t>.</w:t>
      </w:r>
    </w:p>
    <w:p w:rsidR="002B3CA6" w:rsidRPr="00E706A1" w:rsidRDefault="002B3CA6" w:rsidP="002B3CA6">
      <w:pPr>
        <w:spacing w:after="120"/>
      </w:pPr>
      <w:r>
        <w:t>However, while the explanatory statements (ES) for the instruments include a hyperlink to these documents as at the time of their publication, neither the text of the instruments nor the ESs expressly state the manner in which the documents are incorporated.</w:t>
      </w:r>
    </w:p>
    <w:p w:rsidR="002B3CA6" w:rsidRDefault="002B3CA6" w:rsidP="002B3CA6">
      <w:pPr>
        <w:spacing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2B3CA6" w:rsidRDefault="002B3CA6" w:rsidP="002B3CA6">
      <w:pPr>
        <w:spacing w:after="120"/>
      </w:pPr>
      <w:r w:rsidRPr="00636938">
        <w:rPr>
          <w:b/>
        </w:rPr>
        <w:t xml:space="preserve">The committee requests </w:t>
      </w:r>
      <w:r>
        <w:rPr>
          <w:b/>
        </w:rPr>
        <w:t>the advice of the minister in relation to</w:t>
      </w:r>
      <w:r w:rsidRPr="00636938">
        <w:rPr>
          <w:b/>
        </w:rPr>
        <w:t xml:space="preserve"> this matter</w:t>
      </w:r>
      <w:r>
        <w:t>.</w:t>
      </w:r>
    </w:p>
    <w:p w:rsidR="002B3CA6" w:rsidRDefault="002B3CA6" w:rsidP="002B3CA6">
      <w:pPr>
        <w:spacing w:after="120"/>
      </w:pP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BA36F8" w:rsidRDefault="002B3CA6" w:rsidP="0023128E">
            <w:pPr>
              <w:pStyle w:val="Heading3"/>
              <w:spacing w:before="120" w:after="120"/>
              <w:rPr>
                <w:sz w:val="24"/>
                <w:szCs w:val="24"/>
              </w:rPr>
            </w:pPr>
            <w:r w:rsidRPr="001B072C">
              <w:rPr>
                <w:rFonts w:ascii="Times New (W1)" w:hAnsi="Times New (W1)"/>
                <w:noProof/>
                <w:sz w:val="24"/>
                <w:szCs w:val="24"/>
              </w:rPr>
              <w:t>International Organisations (Privileges and Immunities—Asian Infrastructure Investment Bank) Regulation 2015 [F2015L01737]</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3128E">
            <w:pPr>
              <w:spacing w:before="120" w:after="120"/>
              <w:rPr>
                <w:sz w:val="24"/>
                <w:szCs w:val="24"/>
              </w:rPr>
            </w:pPr>
            <w:r>
              <w:rPr>
                <w:noProof/>
                <w:sz w:val="24"/>
                <w:szCs w:val="24"/>
              </w:rPr>
              <w:t>P</w:t>
            </w:r>
            <w:r w:rsidRPr="001B072C">
              <w:rPr>
                <w:noProof/>
                <w:sz w:val="24"/>
                <w:szCs w:val="24"/>
              </w:rPr>
              <w:t xml:space="preserve">rovides privileges and immunities to the Asian Infrastructure Investment Bank </w:t>
            </w:r>
            <w:r>
              <w:rPr>
                <w:noProof/>
                <w:sz w:val="24"/>
                <w:szCs w:val="24"/>
              </w:rPr>
              <w:t>(the bank) to</w:t>
            </w:r>
            <w:r w:rsidRPr="001B072C">
              <w:rPr>
                <w:noProof/>
                <w:sz w:val="24"/>
                <w:szCs w:val="24"/>
              </w:rPr>
              <w:t xml:space="preserve"> </w:t>
            </w:r>
            <w:r>
              <w:rPr>
                <w:noProof/>
                <w:sz w:val="24"/>
                <w:szCs w:val="24"/>
              </w:rPr>
              <w:t>give</w:t>
            </w:r>
            <w:r w:rsidRPr="001B072C">
              <w:rPr>
                <w:noProof/>
                <w:sz w:val="24"/>
                <w:szCs w:val="24"/>
              </w:rPr>
              <w:t xml:space="preserve"> effect to Australia’s obligations as a prospective member of the </w:t>
            </w:r>
            <w:r>
              <w:rPr>
                <w:noProof/>
                <w:sz w:val="24"/>
                <w:szCs w:val="24"/>
              </w:rPr>
              <w:t>b</w:t>
            </w:r>
            <w:r w:rsidRPr="001B072C">
              <w:rPr>
                <w:noProof/>
                <w:sz w:val="24"/>
                <w:szCs w:val="24"/>
              </w:rPr>
              <w:t xml:space="preserve">ank and facilitating Australia’s ratification of the </w:t>
            </w:r>
            <w:r>
              <w:rPr>
                <w:noProof/>
                <w:sz w:val="24"/>
                <w:szCs w:val="24"/>
              </w:rPr>
              <w:t>b</w:t>
            </w:r>
            <w:r w:rsidRPr="001B072C">
              <w:rPr>
                <w:noProof/>
                <w:sz w:val="24"/>
                <w:szCs w:val="24"/>
              </w:rPr>
              <w:t>ank</w:t>
            </w:r>
            <w:r>
              <w:rPr>
                <w:noProof/>
                <w:sz w:val="24"/>
                <w:szCs w:val="24"/>
              </w:rPr>
              <w:t>'s Articles of Agreement</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22 February 2016</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3128E">
            <w:pPr>
              <w:spacing w:before="120" w:after="120"/>
              <w:rPr>
                <w:i/>
                <w:sz w:val="24"/>
                <w:szCs w:val="24"/>
              </w:rPr>
            </w:pPr>
            <w:r w:rsidRPr="001B072C">
              <w:rPr>
                <w:i/>
                <w:noProof/>
                <w:sz w:val="24"/>
                <w:szCs w:val="24"/>
              </w:rPr>
              <w:t>International Organisations (Privileges and Immunities) Act</w:t>
            </w:r>
            <w:r>
              <w:rPr>
                <w:i/>
                <w:noProof/>
                <w:sz w:val="24"/>
                <w:szCs w:val="24"/>
              </w:rPr>
              <w:t> </w:t>
            </w:r>
            <w:r w:rsidRPr="001B072C">
              <w:rPr>
                <w:i/>
                <w:noProof/>
                <w:sz w:val="24"/>
                <w:szCs w:val="24"/>
              </w:rPr>
              <w:t>1963</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Foreign Affairs and Trade</w:t>
            </w:r>
          </w:p>
        </w:tc>
      </w:tr>
      <w:tr w:rsidR="002B3CA6" w:rsidRPr="00164622" w:rsidTr="0023128E">
        <w:tc>
          <w:tcPr>
            <w:tcW w:w="2694" w:type="dxa"/>
            <w:tcBorders>
              <w:bottom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B3CA6" w:rsidRPr="00A77228" w:rsidRDefault="002B3CA6" w:rsidP="0023128E">
            <w:pPr>
              <w:spacing w:before="120" w:after="120"/>
              <w:rPr>
                <w:sz w:val="24"/>
                <w:szCs w:val="24"/>
              </w:rPr>
            </w:pPr>
            <w:r>
              <w:rPr>
                <w:sz w:val="24"/>
                <w:szCs w:val="24"/>
              </w:rPr>
              <w:t>Standing Order 23(3)</w:t>
            </w:r>
            <w:r w:rsidRPr="001B072C">
              <w:rPr>
                <w:noProof/>
                <w:sz w:val="24"/>
                <w:szCs w:val="24"/>
              </w:rPr>
              <w:t>(a)</w:t>
            </w:r>
          </w:p>
        </w:tc>
      </w:tr>
    </w:tbl>
    <w:p w:rsidR="002B3CA6" w:rsidRDefault="002B3CA6" w:rsidP="002B3CA6">
      <w:pPr>
        <w:spacing w:after="120"/>
      </w:pPr>
    </w:p>
    <w:p w:rsidR="002B3CA6" w:rsidRDefault="002B3CA6" w:rsidP="002B3CA6">
      <w:pPr>
        <w:spacing w:after="120"/>
        <w:rPr>
          <w:b/>
          <w:noProof/>
        </w:rPr>
      </w:pPr>
      <w:r w:rsidRPr="001B072C">
        <w:rPr>
          <w:b/>
          <w:noProof/>
        </w:rPr>
        <w:t>Sub-delegation</w:t>
      </w:r>
    </w:p>
    <w:p w:rsidR="002B3CA6" w:rsidRDefault="002B3CA6" w:rsidP="002B3CA6">
      <w:pPr>
        <w:spacing w:after="120"/>
      </w:pPr>
      <w:r>
        <w:t xml:space="preserve">Section 13 of the regulation provides that the minister may, by writing, delegate his or her powers under </w:t>
      </w:r>
      <w:r w:rsidRPr="00CA6381">
        <w:t>paragraphs 9(1)(b) and (5)(b)</w:t>
      </w:r>
      <w:r>
        <w:t xml:space="preserve"> of the instrument to 'a person'. Section 9 of the regulation </w:t>
      </w:r>
      <w:r w:rsidRPr="008606CC">
        <w:t>enables the minister to set requirements for the Asian Infrastructure Investment Bank to receive indirect tax concessions for the acquisition of motor vehicles, goods and services.</w:t>
      </w:r>
    </w:p>
    <w:p w:rsidR="002B3CA6" w:rsidRDefault="002B3CA6" w:rsidP="002B3CA6">
      <w:pPr>
        <w:spacing w:after="120"/>
      </w:pPr>
      <w:r>
        <w:lastRenderedPageBreak/>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2B3CA6" w:rsidRDefault="002B3CA6" w:rsidP="002B3CA6">
      <w:r>
        <w:t xml:space="preserve">In this respect, the ES for the instrument provides no justification for the broad delegation of the minister's powers </w:t>
      </w:r>
      <w:r w:rsidRPr="00CA6381">
        <w:t xml:space="preserve">under paragraphs 9(1)(b) and (5)(b) of the </w:t>
      </w:r>
      <w:r>
        <w:t>regulation to 'a person'.</w:t>
      </w:r>
    </w:p>
    <w:p w:rsidR="002B3CA6" w:rsidRDefault="002B3CA6" w:rsidP="002B3CA6">
      <w:pPr>
        <w:spacing w:after="120"/>
        <w:rPr>
          <w:b/>
        </w:rPr>
      </w:pPr>
      <w:r w:rsidRPr="00672C26">
        <w:rPr>
          <w:b/>
        </w:rPr>
        <w:t>The committee requests the advice of the minister in relation to this ma</w:t>
      </w:r>
      <w:r w:rsidRPr="00B211CC">
        <w:rPr>
          <w:b/>
        </w:rPr>
        <w:t>tter.</w:t>
      </w:r>
    </w:p>
    <w:p w:rsidR="002B3CA6" w:rsidRDefault="002B3CA6" w:rsidP="002B3CA6">
      <w:pPr>
        <w:spacing w:after="120"/>
        <w:rPr>
          <w:b/>
        </w:rPr>
      </w:pP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BA36F8" w:rsidRDefault="002B3CA6" w:rsidP="0023128E">
            <w:pPr>
              <w:pStyle w:val="Heading3"/>
              <w:spacing w:before="120" w:after="120"/>
              <w:rPr>
                <w:sz w:val="24"/>
                <w:szCs w:val="24"/>
              </w:rPr>
            </w:pPr>
            <w:r w:rsidRPr="001B072C">
              <w:rPr>
                <w:rFonts w:ascii="Times New (W1)" w:hAnsi="Times New (W1)"/>
                <w:noProof/>
                <w:sz w:val="24"/>
                <w:szCs w:val="24"/>
              </w:rPr>
              <w:t>Migration Agents Regulations 1998 - Declaration of value of activities, fees for assessments and standards for professional development activities 2015 - IMMI 15/106 [F2015L01710]</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3128E">
            <w:pPr>
              <w:spacing w:before="120" w:after="120"/>
              <w:rPr>
                <w:sz w:val="24"/>
                <w:szCs w:val="24"/>
              </w:rPr>
            </w:pPr>
            <w:r>
              <w:rPr>
                <w:noProof/>
                <w:sz w:val="24"/>
                <w:szCs w:val="24"/>
              </w:rPr>
              <w:t>U</w:t>
            </w:r>
            <w:r w:rsidRPr="001B072C">
              <w:rPr>
                <w:noProof/>
                <w:sz w:val="24"/>
                <w:szCs w:val="24"/>
              </w:rPr>
              <w:t>pdate</w:t>
            </w:r>
            <w:r>
              <w:rPr>
                <w:noProof/>
                <w:sz w:val="24"/>
                <w:szCs w:val="24"/>
              </w:rPr>
              <w:t>s</w:t>
            </w:r>
            <w:r w:rsidRPr="001B072C">
              <w:rPr>
                <w:noProof/>
                <w:sz w:val="24"/>
                <w:szCs w:val="24"/>
              </w:rPr>
              <w:t xml:space="preserve"> matters</w:t>
            </w:r>
            <w:r>
              <w:rPr>
                <w:noProof/>
                <w:sz w:val="24"/>
                <w:szCs w:val="24"/>
              </w:rPr>
              <w:t xml:space="preserve"> for migration agents</w:t>
            </w:r>
            <w:r w:rsidRPr="001B072C">
              <w:rPr>
                <w:noProof/>
                <w:sz w:val="24"/>
                <w:szCs w:val="24"/>
              </w:rPr>
              <w:t xml:space="preserve"> in relation to the value of activities</w:t>
            </w:r>
            <w:r>
              <w:rPr>
                <w:noProof/>
                <w:sz w:val="24"/>
                <w:szCs w:val="24"/>
              </w:rPr>
              <w:t>,</w:t>
            </w:r>
            <w:r w:rsidRPr="001B072C">
              <w:rPr>
                <w:noProof/>
                <w:sz w:val="24"/>
                <w:szCs w:val="24"/>
              </w:rPr>
              <w:t xml:space="preserve"> fees for assessments and standards for prof</w:t>
            </w:r>
            <w:r>
              <w:rPr>
                <w:noProof/>
                <w:sz w:val="24"/>
                <w:szCs w:val="24"/>
              </w:rPr>
              <w:t>essional development activities</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22 February 2016</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3128E">
            <w:pPr>
              <w:spacing w:before="120" w:after="120"/>
              <w:rPr>
                <w:i/>
                <w:sz w:val="24"/>
                <w:szCs w:val="24"/>
              </w:rPr>
            </w:pPr>
            <w:r w:rsidRPr="001B072C">
              <w:rPr>
                <w:i/>
                <w:noProof/>
                <w:sz w:val="24"/>
                <w:szCs w:val="24"/>
              </w:rPr>
              <w:t>Migration Agents Regulations 1998</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Immigration and Border Protection</w:t>
            </w:r>
          </w:p>
        </w:tc>
      </w:tr>
      <w:tr w:rsidR="002B3CA6" w:rsidRPr="00164622" w:rsidTr="0023128E">
        <w:tc>
          <w:tcPr>
            <w:tcW w:w="2694" w:type="dxa"/>
            <w:tcBorders>
              <w:bottom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B3CA6" w:rsidRPr="00A77228" w:rsidRDefault="002B3CA6" w:rsidP="0023128E">
            <w:pPr>
              <w:spacing w:before="120" w:after="120"/>
              <w:rPr>
                <w:sz w:val="24"/>
                <w:szCs w:val="24"/>
              </w:rPr>
            </w:pPr>
            <w:r>
              <w:rPr>
                <w:sz w:val="24"/>
                <w:szCs w:val="24"/>
              </w:rPr>
              <w:t>Standing Order 23(3)</w:t>
            </w:r>
            <w:r w:rsidRPr="001B072C">
              <w:rPr>
                <w:noProof/>
                <w:sz w:val="24"/>
                <w:szCs w:val="24"/>
              </w:rPr>
              <w:t>(a)</w:t>
            </w:r>
          </w:p>
        </w:tc>
      </w:tr>
    </w:tbl>
    <w:p w:rsidR="002B3CA6" w:rsidRDefault="002B3CA6" w:rsidP="002B3CA6">
      <w:pPr>
        <w:spacing w:after="120"/>
      </w:pPr>
    </w:p>
    <w:p w:rsidR="002B3CA6" w:rsidRDefault="002B3CA6" w:rsidP="002B3CA6">
      <w:pPr>
        <w:spacing w:after="120"/>
        <w:rPr>
          <w:b/>
          <w:noProof/>
        </w:rPr>
      </w:pPr>
      <w:r w:rsidRPr="001B072C">
        <w:rPr>
          <w:b/>
          <w:noProof/>
        </w:rPr>
        <w:t>Unclear basis for determining fees</w:t>
      </w:r>
    </w:p>
    <w:p w:rsidR="002B3CA6" w:rsidRDefault="002B3CA6" w:rsidP="002B3CA6">
      <w:pPr>
        <w:spacing w:after="180"/>
      </w:pPr>
      <w:r>
        <w:t>The instrument specifies the fee for performing assessments of migration agents' activities for continuing professional development</w:t>
      </w:r>
      <w:r w:rsidRPr="00500C49">
        <w:t>.</w:t>
      </w:r>
      <w:r>
        <w:t xml:space="preserve"> The committee notes that the fee will be $99, which is the same as the fee specified in a previous instrument. However, the ES does not explicitly state the basis on which the fee has been calculated.</w:t>
      </w:r>
    </w:p>
    <w:p w:rsidR="002B3CA6" w:rsidRDefault="002B3CA6" w:rsidP="002B3CA6">
      <w:r w:rsidRPr="00500C49">
        <w:t>The committee's usual expectation in cases where an instrument of delegated</w:t>
      </w:r>
      <w:r>
        <w:t xml:space="preserve"> </w:t>
      </w:r>
      <w:r w:rsidRPr="00500C49">
        <w:t xml:space="preserve">legislation carries financial implications via the imposition of </w:t>
      </w:r>
      <w:r>
        <w:t>or</w:t>
      </w:r>
      <w:r w:rsidRPr="00500C49">
        <w:t xml:space="preserve"> change to a charge,</w:t>
      </w:r>
      <w:r>
        <w:t xml:space="preserve"> </w:t>
      </w:r>
      <w:r w:rsidRPr="00500C49">
        <w:t>fee, levy, scale or rate of costs or payment is that the relevant ES makes clear the</w:t>
      </w:r>
      <w:r>
        <w:t xml:space="preserve"> </w:t>
      </w:r>
      <w:r w:rsidRPr="00500C49">
        <w:t>specific basis on which an individual imposition or change has been calculated.</w:t>
      </w:r>
    </w:p>
    <w:p w:rsidR="002B3CA6" w:rsidRDefault="002B3CA6" w:rsidP="002B3CA6">
      <w:r>
        <w:rPr>
          <w:b/>
          <w:bCs/>
          <w:szCs w:val="26"/>
        </w:rPr>
        <w:t>The committee requests the advice of the minister in relation to this matter.</w:t>
      </w:r>
    </w:p>
    <w:p w:rsidR="002B3CA6" w:rsidRDefault="002B3CA6" w:rsidP="002B3CA6">
      <w:pPr>
        <w:spacing w:after="0"/>
        <w:jc w:val="left"/>
      </w:pPr>
      <w:r>
        <w:br w:type="page"/>
      </w:r>
    </w:p>
    <w:p w:rsidR="002B3CA6" w:rsidRDefault="002B3CA6" w:rsidP="002B3CA6">
      <w:pPr>
        <w:spacing w:after="0"/>
        <w:jc w:val="left"/>
      </w:pP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BA36F8" w:rsidRDefault="002B3CA6" w:rsidP="0023128E">
            <w:pPr>
              <w:pStyle w:val="Heading3"/>
              <w:spacing w:before="120" w:after="120"/>
              <w:rPr>
                <w:sz w:val="24"/>
                <w:szCs w:val="24"/>
              </w:rPr>
            </w:pPr>
            <w:r w:rsidRPr="001B072C">
              <w:rPr>
                <w:rFonts w:ascii="Times New (W1)" w:hAnsi="Times New (W1)"/>
                <w:noProof/>
                <w:sz w:val="24"/>
                <w:szCs w:val="24"/>
              </w:rPr>
              <w:t>Special Research Initiatives Funding Rules for funding commencing in 2008-2009 or 2009-2010 Variation (No. 1) 2014 [F2015L01690]</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3128E">
            <w:pPr>
              <w:spacing w:before="120" w:after="120"/>
              <w:rPr>
                <w:sz w:val="24"/>
                <w:szCs w:val="24"/>
              </w:rPr>
            </w:pPr>
            <w:r>
              <w:rPr>
                <w:noProof/>
                <w:sz w:val="24"/>
                <w:szCs w:val="24"/>
              </w:rPr>
              <w:t xml:space="preserve">Clarifies that the version of Appendix 2 that appears in the </w:t>
            </w:r>
            <w:r w:rsidRPr="001B072C">
              <w:rPr>
                <w:noProof/>
                <w:sz w:val="24"/>
                <w:szCs w:val="24"/>
              </w:rPr>
              <w:t>Special Research Initiatives Funding Rules for funding commencing in 2008-09 or 2009-10</w:t>
            </w:r>
            <w:r>
              <w:rPr>
                <w:noProof/>
                <w:sz w:val="24"/>
                <w:szCs w:val="24"/>
              </w:rPr>
              <w:t xml:space="preserve"> Variation (No. 2) is the current law</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22 February 2016</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3128E">
            <w:pPr>
              <w:spacing w:before="120" w:after="120"/>
              <w:rPr>
                <w:i/>
                <w:sz w:val="24"/>
                <w:szCs w:val="24"/>
              </w:rPr>
            </w:pPr>
            <w:r w:rsidRPr="001B072C">
              <w:rPr>
                <w:i/>
                <w:noProof/>
                <w:sz w:val="24"/>
                <w:szCs w:val="24"/>
              </w:rPr>
              <w:t>Australian Research Council Act 2001</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Education and Training</w:t>
            </w:r>
          </w:p>
        </w:tc>
      </w:tr>
      <w:tr w:rsidR="002B3CA6" w:rsidRPr="00164622" w:rsidTr="0023128E">
        <w:tc>
          <w:tcPr>
            <w:tcW w:w="2694" w:type="dxa"/>
            <w:tcBorders>
              <w:bottom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B3CA6" w:rsidRPr="00A77228" w:rsidRDefault="002B3CA6" w:rsidP="0023128E">
            <w:pPr>
              <w:spacing w:before="120" w:after="120"/>
              <w:rPr>
                <w:sz w:val="24"/>
                <w:szCs w:val="24"/>
              </w:rPr>
            </w:pPr>
            <w:r>
              <w:rPr>
                <w:sz w:val="24"/>
                <w:szCs w:val="24"/>
              </w:rPr>
              <w:t>Standing Order 23(3)</w:t>
            </w:r>
            <w:r w:rsidRPr="001B072C">
              <w:rPr>
                <w:noProof/>
                <w:sz w:val="24"/>
                <w:szCs w:val="24"/>
              </w:rPr>
              <w:t>(a)</w:t>
            </w:r>
          </w:p>
        </w:tc>
      </w:tr>
    </w:tbl>
    <w:p w:rsidR="002B3CA6" w:rsidRDefault="002B3CA6" w:rsidP="002B3CA6">
      <w:pPr>
        <w:spacing w:after="120"/>
      </w:pPr>
    </w:p>
    <w:p w:rsidR="002B3CA6" w:rsidRDefault="002B3CA6" w:rsidP="002B3CA6">
      <w:pPr>
        <w:rPr>
          <w:b/>
          <w:noProof/>
        </w:rPr>
      </w:pPr>
      <w:r w:rsidRPr="001B072C">
        <w:rPr>
          <w:b/>
          <w:noProof/>
        </w:rPr>
        <w:t xml:space="preserve">No description of consultation </w:t>
      </w:r>
    </w:p>
    <w:p w:rsidR="002B3CA6" w:rsidRPr="008C6D4A" w:rsidRDefault="002B3CA6" w:rsidP="002B3CA6">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2B3CA6" w:rsidRPr="008C6D4A" w:rsidRDefault="002B3CA6" w:rsidP="002B3CA6">
      <w:r w:rsidRPr="008C6D4A">
        <w:t>The committee's expectations in this regard are set out in the guideline on consultation contained in Appendix 2.</w:t>
      </w:r>
    </w:p>
    <w:p w:rsidR="002B3CA6" w:rsidRDefault="002B3CA6" w:rsidP="002B3CA6">
      <w:pPr>
        <w:spacing w:after="360"/>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2B3CA6" w:rsidRDefault="002B3CA6" w:rsidP="002B3CA6">
      <w:pPr>
        <w:spacing w:after="0"/>
        <w:jc w:val="left"/>
      </w:pPr>
      <w:r>
        <w:br w:type="page"/>
      </w:r>
    </w:p>
    <w:p w:rsidR="002B3CA6" w:rsidRPr="00647493" w:rsidRDefault="002B3CA6" w:rsidP="002B3CA6">
      <w:pPr>
        <w:pStyle w:val="Heading2"/>
        <w:spacing w:before="240"/>
        <w:rPr>
          <w:sz w:val="32"/>
          <w:szCs w:val="32"/>
        </w:rPr>
      </w:pPr>
      <w:r>
        <w:rPr>
          <w:sz w:val="32"/>
          <w:szCs w:val="32"/>
        </w:rPr>
        <w:lastRenderedPageBreak/>
        <w:t xml:space="preserve">Advice </w:t>
      </w:r>
      <w:r w:rsidRPr="00647493">
        <w:rPr>
          <w:sz w:val="32"/>
          <w:szCs w:val="32"/>
        </w:rPr>
        <w:t>only</w:t>
      </w:r>
    </w:p>
    <w:p w:rsidR="002B3CA6" w:rsidRDefault="002B3CA6" w:rsidP="002B3CA6">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2B3CA6" w:rsidRPr="00164622" w:rsidRDefault="002B3CA6" w:rsidP="002B3CA6">
      <w:pPr>
        <w:spacing w:after="0"/>
        <w:rPr>
          <w:szCs w:val="26"/>
        </w:rPr>
      </w:pP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BA36F8" w:rsidRDefault="002B3CA6" w:rsidP="0023128E">
            <w:pPr>
              <w:pStyle w:val="Heading3"/>
              <w:spacing w:before="120" w:after="120"/>
              <w:rPr>
                <w:sz w:val="24"/>
                <w:szCs w:val="24"/>
              </w:rPr>
            </w:pPr>
            <w:r w:rsidRPr="001B072C">
              <w:rPr>
                <w:rFonts w:ascii="Times New (W1)" w:hAnsi="Times New (W1)"/>
                <w:noProof/>
                <w:sz w:val="24"/>
                <w:szCs w:val="24"/>
              </w:rPr>
              <w:t>Asian Infrastructure Investment Bank (Privileges and Immunities) Regulation 2015 [F2015L01734]</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3128E">
            <w:pPr>
              <w:spacing w:before="120" w:after="120"/>
              <w:rPr>
                <w:sz w:val="24"/>
                <w:szCs w:val="24"/>
              </w:rPr>
            </w:pPr>
            <w:r>
              <w:rPr>
                <w:noProof/>
                <w:sz w:val="24"/>
                <w:szCs w:val="24"/>
              </w:rPr>
              <w:t>C</w:t>
            </w:r>
            <w:r w:rsidRPr="001B072C">
              <w:rPr>
                <w:noProof/>
                <w:sz w:val="24"/>
                <w:szCs w:val="24"/>
              </w:rPr>
              <w:t>onveys privileges and immunities that Australia is obliged to provide to the Asian Infrastructure Investment Bank and its staff, including</w:t>
            </w:r>
            <w:r>
              <w:rPr>
                <w:noProof/>
                <w:sz w:val="24"/>
                <w:szCs w:val="24"/>
              </w:rPr>
              <w:t xml:space="preserve"> experts and consultants</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22 February 2016</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3128E">
            <w:pPr>
              <w:spacing w:before="120" w:after="120"/>
              <w:rPr>
                <w:i/>
                <w:sz w:val="24"/>
                <w:szCs w:val="24"/>
              </w:rPr>
            </w:pPr>
            <w:r w:rsidRPr="001B072C">
              <w:rPr>
                <w:i/>
                <w:noProof/>
                <w:sz w:val="24"/>
                <w:szCs w:val="24"/>
              </w:rPr>
              <w:t>Asian Infrastructure Investment Bank Act 2015</w:t>
            </w:r>
          </w:p>
        </w:tc>
      </w:tr>
      <w:tr w:rsidR="002B3CA6" w:rsidRPr="00164622" w:rsidTr="0023128E">
        <w:tc>
          <w:tcPr>
            <w:tcW w:w="2694" w:type="dxa"/>
            <w:tcBorders>
              <w:right w:val="single" w:sz="12" w:space="0" w:color="auto"/>
            </w:tcBorders>
          </w:tcPr>
          <w:p w:rsidR="002B3CA6" w:rsidRPr="00A77228" w:rsidRDefault="002B3CA6" w:rsidP="0023128E">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3128E">
            <w:pPr>
              <w:spacing w:before="120" w:after="120"/>
              <w:rPr>
                <w:sz w:val="24"/>
                <w:szCs w:val="24"/>
              </w:rPr>
            </w:pPr>
            <w:r w:rsidRPr="001B072C">
              <w:rPr>
                <w:noProof/>
                <w:sz w:val="24"/>
                <w:szCs w:val="24"/>
              </w:rPr>
              <w:t>Treasury</w:t>
            </w:r>
          </w:p>
        </w:tc>
      </w:tr>
      <w:tr w:rsidR="002B3CA6" w:rsidRPr="00164622" w:rsidTr="0023128E">
        <w:tc>
          <w:tcPr>
            <w:tcW w:w="2694" w:type="dxa"/>
            <w:tcBorders>
              <w:bottom w:val="single" w:sz="12" w:space="0" w:color="auto"/>
              <w:right w:val="single" w:sz="12" w:space="0" w:color="auto"/>
            </w:tcBorders>
          </w:tcPr>
          <w:p w:rsidR="002B3CA6" w:rsidRPr="00A77228" w:rsidRDefault="002B3CA6" w:rsidP="0023128E">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B3CA6" w:rsidRPr="00A77228" w:rsidRDefault="002B3CA6" w:rsidP="0023128E">
            <w:pPr>
              <w:spacing w:before="120" w:after="120"/>
              <w:rPr>
                <w:sz w:val="24"/>
                <w:szCs w:val="24"/>
              </w:rPr>
            </w:pPr>
            <w:r>
              <w:rPr>
                <w:sz w:val="24"/>
                <w:szCs w:val="24"/>
              </w:rPr>
              <w:t>Standing Order 23(3)</w:t>
            </w:r>
            <w:r w:rsidRPr="001B072C">
              <w:rPr>
                <w:noProof/>
                <w:sz w:val="24"/>
                <w:szCs w:val="24"/>
              </w:rPr>
              <w:t>(a)</w:t>
            </w:r>
          </w:p>
        </w:tc>
      </w:tr>
    </w:tbl>
    <w:p w:rsidR="002B3CA6" w:rsidRDefault="002B3CA6" w:rsidP="002B3CA6">
      <w:pPr>
        <w:spacing w:after="120"/>
      </w:pPr>
    </w:p>
    <w:p w:rsidR="002B3CA6" w:rsidRDefault="002B3CA6" w:rsidP="002B3CA6">
      <w:r w:rsidRPr="001B072C">
        <w:rPr>
          <w:b/>
          <w:noProof/>
        </w:rPr>
        <w:t>Drafting</w:t>
      </w:r>
    </w:p>
    <w:p w:rsidR="002B3CA6" w:rsidRDefault="002B3CA6" w:rsidP="002B3CA6">
      <w:pPr>
        <w:pStyle w:val="Level1"/>
        <w:numPr>
          <w:ilvl w:val="0"/>
          <w:numId w:val="0"/>
        </w:numPr>
      </w:pPr>
      <w:r>
        <w:t xml:space="preserve">Schedules 1 and 2 of this regulation outline the privileges and immunities bestowed on the Asian Infrastructure Bank and its staff, including experts and consultants. These schedules rely on section 9 of the </w:t>
      </w:r>
      <w:r w:rsidRPr="001B75C1">
        <w:rPr>
          <w:i/>
        </w:rPr>
        <w:t>Asian Infrastructure Investment Bank Act 2015</w:t>
      </w:r>
      <w:r>
        <w:t xml:space="preserve"> (AIIB Act), which has not yet commenced. The ES for the regulation notes that it will commence when sections 3 to 8 of the AIIB Act commence; namely, the later of either the day the Asian Infrastructure Bank is established, or Australia becomes a member of the Asian Infrastructure Investment Bank.</w:t>
      </w:r>
    </w:p>
    <w:p w:rsidR="002B3CA6" w:rsidRDefault="002B3CA6" w:rsidP="002B3CA6">
      <w:pPr>
        <w:pStyle w:val="Level1"/>
        <w:numPr>
          <w:ilvl w:val="0"/>
          <w:numId w:val="0"/>
        </w:numPr>
      </w:pPr>
      <w:r>
        <w:t xml:space="preserve">The regulation has therefore been made in reliance of an empowering provision that has not yet commenced (that is, section 9 of the AIIB Act). While this approach is authorised by subsection 4(2) of the </w:t>
      </w:r>
      <w:r>
        <w:rPr>
          <w:i/>
        </w:rPr>
        <w:t>Acts Interpretation Act 1901</w:t>
      </w:r>
      <w:r>
        <w:t xml:space="preserve"> (which allows, in certain circumstances, the making of legislative instruments in anticipation of the commencement of relevant empowering provisions), the ES does not identify the relevance of subsection 4(2) to the operation of the instrument.</w:t>
      </w:r>
    </w:p>
    <w:p w:rsidR="002B3CA6" w:rsidRPr="001B75C1" w:rsidRDefault="002B3CA6" w:rsidP="002B3CA6">
      <w:pPr>
        <w:pStyle w:val="Level1"/>
        <w:numPr>
          <w:ilvl w:val="0"/>
          <w:numId w:val="0"/>
        </w:numPr>
      </w:pPr>
      <w:r>
        <w:t>T</w:t>
      </w:r>
      <w:r w:rsidRPr="001F2466">
        <w:t xml:space="preserve">he committee considers </w:t>
      </w:r>
      <w:r>
        <w:t xml:space="preserve">that, in the interests of </w:t>
      </w:r>
      <w:r w:rsidRPr="001F2466">
        <w:t xml:space="preserve">promoting clarity and intelligibility of the </w:t>
      </w:r>
      <w:r>
        <w:t xml:space="preserve">regulation </w:t>
      </w:r>
      <w:r w:rsidRPr="001F2466">
        <w:t>to anticipated users</w:t>
      </w:r>
      <w:r>
        <w:t xml:space="preserve">, any such reliance on subsection 4(2) of the </w:t>
      </w:r>
      <w:r w:rsidRPr="003C2751">
        <w:rPr>
          <w:i/>
        </w:rPr>
        <w:t>Acts</w:t>
      </w:r>
      <w:r>
        <w:rPr>
          <w:i/>
        </w:rPr>
        <w:t> </w:t>
      </w:r>
      <w:r w:rsidRPr="003C2751">
        <w:rPr>
          <w:i/>
        </w:rPr>
        <w:t>Interpretation Act 1901</w:t>
      </w:r>
      <w:r>
        <w:t xml:space="preserve"> should be clearly identified in the accompanying ES.</w:t>
      </w:r>
    </w:p>
    <w:p w:rsidR="002B3CA6" w:rsidRPr="00B211CC" w:rsidRDefault="002B3CA6" w:rsidP="002B3CA6">
      <w:pPr>
        <w:rPr>
          <w:b/>
        </w:rPr>
      </w:pPr>
      <w:r>
        <w:rPr>
          <w:b/>
        </w:rPr>
        <w:t>T</w:t>
      </w:r>
      <w:r w:rsidRPr="00672C26">
        <w:rPr>
          <w:b/>
        </w:rPr>
        <w:t xml:space="preserve">he committee </w:t>
      </w:r>
      <w:r>
        <w:rPr>
          <w:b/>
        </w:rPr>
        <w:t xml:space="preserve">draws this matter to </w:t>
      </w:r>
      <w:r w:rsidRPr="00672C26">
        <w:rPr>
          <w:b/>
        </w:rPr>
        <w:t>the minister</w:t>
      </w:r>
      <w:r>
        <w:rPr>
          <w:b/>
        </w:rPr>
        <w:t>'s attention.</w:t>
      </w:r>
    </w:p>
    <w:p w:rsidR="002B3CA6" w:rsidRDefault="002B3CA6" w:rsidP="002B3CA6">
      <w:pPr>
        <w:spacing w:after="0"/>
        <w:jc w:val="left"/>
        <w:rPr>
          <w:szCs w:val="26"/>
        </w:rPr>
      </w:pPr>
      <w:r>
        <w:rPr>
          <w:szCs w:val="26"/>
        </w:rPr>
        <w:br w:type="page"/>
      </w:r>
    </w:p>
    <w:p w:rsidR="002B3CA6" w:rsidRDefault="002B3CA6" w:rsidP="002B3CA6">
      <w:pPr>
        <w:pStyle w:val="Heading3"/>
        <w:rPr>
          <w:i/>
        </w:rPr>
      </w:pPr>
      <w:r w:rsidRPr="00075F16">
        <w:lastRenderedPageBreak/>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2B3CA6" w:rsidRPr="002C1F31" w:rsidTr="0023128E">
        <w:tc>
          <w:tcPr>
            <w:tcW w:w="2694" w:type="dxa"/>
            <w:tcBorders>
              <w:top w:val="single" w:sz="12" w:space="0" w:color="auto"/>
              <w:left w:val="nil"/>
              <w:bottom w:val="nil"/>
              <w:right w:val="single" w:sz="12" w:space="0" w:color="auto"/>
            </w:tcBorders>
          </w:tcPr>
          <w:p w:rsidR="002B3CA6" w:rsidRPr="002C1F31" w:rsidRDefault="002B3CA6" w:rsidP="0023128E">
            <w:pPr>
              <w:spacing w:before="100" w:after="10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2B3CA6" w:rsidRPr="002C1F31" w:rsidRDefault="002B3CA6" w:rsidP="0023128E">
            <w:pPr>
              <w:spacing w:before="100" w:after="100"/>
              <w:rPr>
                <w:sz w:val="22"/>
                <w:szCs w:val="22"/>
              </w:rPr>
            </w:pPr>
            <w:r w:rsidRPr="00D10A4F">
              <w:rPr>
                <w:sz w:val="22"/>
                <w:szCs w:val="22"/>
              </w:rPr>
              <w:t>Agricultural and Veterinary Chemicals Code (Pre-application Assistance Fee) Instrument 2015 [F2015L01752]</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10A4F">
              <w:rPr>
                <w:sz w:val="22"/>
                <w:szCs w:val="22"/>
              </w:rPr>
              <w:t>ASIC Corporations (Amendment) Instrument 2015/991 [F2015L01740]</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10A4F">
              <w:rPr>
                <w:sz w:val="22"/>
                <w:szCs w:val="22"/>
              </w:rPr>
              <w:t>ASIC Credit (Financial Counselling Agencies) Instrument 2015/992 [F2015L01743]</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43572" w:rsidRDefault="002B3CA6" w:rsidP="0023128E">
            <w:pPr>
              <w:spacing w:before="100" w:after="100"/>
              <w:rPr>
                <w:sz w:val="22"/>
                <w:szCs w:val="22"/>
              </w:rPr>
            </w:pPr>
            <w:r w:rsidRPr="00D43572">
              <w:rPr>
                <w:sz w:val="22"/>
                <w:szCs w:val="22"/>
              </w:rPr>
              <w:t>ASIC Market Integrity Rules (ASX Market) Amendment 2015 (No.</w:t>
            </w:r>
            <w:r>
              <w:rPr>
                <w:sz w:val="22"/>
                <w:szCs w:val="22"/>
              </w:rPr>
              <w:t> </w:t>
            </w:r>
            <w:r w:rsidRPr="00D43572">
              <w:rPr>
                <w:sz w:val="22"/>
                <w:szCs w:val="22"/>
              </w:rPr>
              <w:t xml:space="preserve"> 2) [F2015L01695]</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43572">
              <w:rPr>
                <w:sz w:val="22"/>
                <w:szCs w:val="22"/>
              </w:rPr>
              <w:t>ASIC Market Integrity Rules (Chi-X Australia Market) Amendment 2015 (No. 2) [F2015L01696]</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43572" w:rsidRDefault="002B3CA6" w:rsidP="0023128E">
            <w:pPr>
              <w:spacing w:before="100" w:after="100"/>
              <w:rPr>
                <w:sz w:val="22"/>
                <w:szCs w:val="22"/>
              </w:rPr>
            </w:pPr>
            <w:r w:rsidRPr="00D43572">
              <w:rPr>
                <w:sz w:val="22"/>
                <w:szCs w:val="22"/>
              </w:rPr>
              <w:t>ASIC Market Integrity Rules (Competition in Exchange Markets) Amendment 2015 (No. 1) [F2015L01694]</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43572" w:rsidRDefault="002B3CA6" w:rsidP="0023128E">
            <w:pPr>
              <w:spacing w:before="100" w:after="100"/>
              <w:rPr>
                <w:sz w:val="22"/>
                <w:szCs w:val="22"/>
              </w:rPr>
            </w:pPr>
            <w:r w:rsidRPr="00D10A4F">
              <w:rPr>
                <w:sz w:val="22"/>
                <w:szCs w:val="22"/>
              </w:rPr>
              <w:t>Excise (Mass of CNG) Determination 2015 (No. 1) [F2015L01733]</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43572" w:rsidRDefault="002B3CA6" w:rsidP="0023128E">
            <w:pPr>
              <w:spacing w:before="100" w:after="100"/>
              <w:rPr>
                <w:sz w:val="22"/>
                <w:szCs w:val="22"/>
              </w:rPr>
            </w:pPr>
            <w:r w:rsidRPr="00D10A4F">
              <w:rPr>
                <w:sz w:val="22"/>
                <w:szCs w:val="22"/>
              </w:rPr>
              <w:t>Excise (Volume of Liquid Fuels - Temperature Correction) Determination 2015 (No. 1) [F2015L01732]</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43572" w:rsidRDefault="002B3CA6" w:rsidP="0023128E">
            <w:pPr>
              <w:spacing w:before="100" w:after="100"/>
              <w:rPr>
                <w:sz w:val="22"/>
                <w:szCs w:val="22"/>
              </w:rPr>
            </w:pPr>
            <w:r w:rsidRPr="00D10A4F">
              <w:rPr>
                <w:sz w:val="22"/>
                <w:szCs w:val="22"/>
              </w:rPr>
              <w:t>Excise (Volume of LPG – Temperature and Pressure Correction) Determination 2015 (No. 1) [F2015L01745]</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43572">
              <w:rPr>
                <w:sz w:val="22"/>
                <w:szCs w:val="22"/>
              </w:rPr>
              <w:t>Health Insurance (Midwife and Nurse Practitioner) Amendment Determination (No. 2) 2015 [F2015L01702]</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43572" w:rsidRDefault="002B3CA6" w:rsidP="0023128E">
            <w:pPr>
              <w:spacing w:before="100" w:after="100"/>
              <w:rPr>
                <w:sz w:val="22"/>
                <w:szCs w:val="22"/>
              </w:rPr>
            </w:pPr>
            <w:r w:rsidRPr="00D10A4F">
              <w:rPr>
                <w:sz w:val="22"/>
                <w:szCs w:val="22"/>
              </w:rPr>
              <w:t>Marriage (Recognised Denominations) Amendment (New Denominations and Other Name Changes) Proclamation 2015 [F2015L01744]</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10A4F">
              <w:rPr>
                <w:sz w:val="22"/>
                <w:szCs w:val="22"/>
              </w:rPr>
              <w:t>National Health (Australian Community Pharmacy Authority Rules) Amendment Determination 2015 (No. 1) (PB 89 of 2015) [F2015L01689]</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10A4F" w:rsidRDefault="002B3CA6" w:rsidP="0023128E">
            <w:pPr>
              <w:spacing w:before="100" w:after="100"/>
              <w:rPr>
                <w:sz w:val="22"/>
                <w:szCs w:val="22"/>
              </w:rPr>
            </w:pPr>
            <w:r w:rsidRPr="00D10A4F">
              <w:rPr>
                <w:sz w:val="22"/>
                <w:szCs w:val="22"/>
              </w:rPr>
              <w:t>Private Health Insurance (Benefit Requirements) Amendment Rules 2015 (No. 5) [F2015L01711]</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D10A4F" w:rsidRDefault="002B3CA6" w:rsidP="0023128E">
            <w:pPr>
              <w:spacing w:before="100" w:after="100"/>
              <w:rPr>
                <w:sz w:val="22"/>
                <w:szCs w:val="22"/>
              </w:rPr>
            </w:pPr>
            <w:r w:rsidRPr="00D10A4F">
              <w:rPr>
                <w:sz w:val="22"/>
                <w:szCs w:val="22"/>
              </w:rPr>
              <w:t>Private Health Insurance Legislation Amendment (National Joint Replacement Register Levy—Consequential Amendments) Rule 2015 [F2015L01716]</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10A4F">
              <w:rPr>
                <w:sz w:val="22"/>
                <w:szCs w:val="22"/>
              </w:rPr>
              <w:t>Woomera Prohibited Area Rule 2014 Determination of an Exclusion Period for the Green Zone Amendment No. 1 [F2015L01705]</w:t>
            </w:r>
          </w:p>
        </w:tc>
      </w:tr>
      <w:tr w:rsidR="002B3CA6" w:rsidRPr="002C1F31" w:rsidTr="0023128E">
        <w:tc>
          <w:tcPr>
            <w:tcW w:w="2694" w:type="dxa"/>
            <w:tcBorders>
              <w:top w:val="nil"/>
              <w:left w:val="nil"/>
              <w:bottom w:val="nil"/>
              <w:right w:val="single" w:sz="12" w:space="0" w:color="auto"/>
            </w:tcBorders>
          </w:tcPr>
          <w:p w:rsidR="002B3CA6" w:rsidRPr="002C1F31" w:rsidRDefault="002B3CA6" w:rsidP="0023128E">
            <w:pPr>
              <w:spacing w:before="100" w:after="100"/>
              <w:rPr>
                <w:sz w:val="22"/>
                <w:szCs w:val="22"/>
              </w:rPr>
            </w:pPr>
          </w:p>
        </w:tc>
        <w:tc>
          <w:tcPr>
            <w:tcW w:w="6378" w:type="dxa"/>
            <w:tcBorders>
              <w:top w:val="nil"/>
              <w:left w:val="single" w:sz="12" w:space="0" w:color="auto"/>
              <w:bottom w:val="nil"/>
              <w:right w:val="nil"/>
            </w:tcBorders>
          </w:tcPr>
          <w:p w:rsidR="002B3CA6" w:rsidRPr="002C1F31" w:rsidRDefault="002B3CA6" w:rsidP="0023128E">
            <w:pPr>
              <w:spacing w:before="100" w:after="100"/>
              <w:rPr>
                <w:sz w:val="22"/>
                <w:szCs w:val="22"/>
              </w:rPr>
            </w:pPr>
            <w:r w:rsidRPr="00D10A4F">
              <w:rPr>
                <w:sz w:val="22"/>
                <w:szCs w:val="22"/>
              </w:rPr>
              <w:t>Woomera Prohibited Area Rule 2014 Determination of Exclusion Periods for Amber Zone 1 and Amber Zone 2 for Financial Year 2015 – 2016 Amendment No. 2 [F2015L01707]</w:t>
            </w:r>
          </w:p>
        </w:tc>
      </w:tr>
      <w:tr w:rsidR="002B3CA6" w:rsidRPr="002C1F31" w:rsidTr="0023128E">
        <w:tc>
          <w:tcPr>
            <w:tcW w:w="2694" w:type="dxa"/>
            <w:tcBorders>
              <w:top w:val="nil"/>
              <w:left w:val="nil"/>
              <w:bottom w:val="single" w:sz="12" w:space="0" w:color="auto"/>
              <w:right w:val="single" w:sz="12" w:space="0" w:color="auto"/>
            </w:tcBorders>
          </w:tcPr>
          <w:p w:rsidR="002B3CA6" w:rsidRPr="002C1F31" w:rsidRDefault="002B3CA6" w:rsidP="0023128E">
            <w:pPr>
              <w:spacing w:before="100" w:after="10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2B3CA6" w:rsidRPr="002C1F31" w:rsidRDefault="002B3CA6" w:rsidP="0023128E">
            <w:pPr>
              <w:spacing w:before="100" w:after="100"/>
              <w:rPr>
                <w:sz w:val="22"/>
                <w:szCs w:val="22"/>
              </w:rPr>
            </w:pPr>
            <w:r>
              <w:rPr>
                <w:noProof/>
                <w:sz w:val="24"/>
                <w:szCs w:val="24"/>
              </w:rPr>
              <w:t>Standing Order 23(3)(a)</w:t>
            </w:r>
          </w:p>
        </w:tc>
      </w:tr>
    </w:tbl>
    <w:p w:rsidR="002B3CA6" w:rsidRDefault="002B3CA6" w:rsidP="002B3CA6">
      <w:pPr>
        <w:spacing w:after="0"/>
      </w:pPr>
    </w:p>
    <w:p w:rsidR="002B3CA6" w:rsidRPr="006F66FE" w:rsidRDefault="002B3CA6" w:rsidP="002B3CA6">
      <w:pPr>
        <w:rPr>
          <w:b/>
          <w:i/>
        </w:rPr>
      </w:pPr>
      <w:r w:rsidRPr="00751A21">
        <w:rPr>
          <w:b/>
        </w:rPr>
        <w:lastRenderedPageBreak/>
        <w:t>Drafting</w:t>
      </w:r>
    </w:p>
    <w:p w:rsidR="002B3CA6" w:rsidRPr="00E35D4F" w:rsidRDefault="002B3CA6" w:rsidP="002B3CA6">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2B3CA6" w:rsidRPr="00117C8E" w:rsidRDefault="002B3CA6" w:rsidP="002B3CA6">
      <w:pPr>
        <w:pStyle w:val="Quote"/>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6"/>
      </w:r>
    </w:p>
    <w:p w:rsidR="002B3CA6" w:rsidRDefault="002B3CA6" w:rsidP="00325264">
      <w:pPr>
        <w:sectPr w:rsidR="002B3CA6" w:rsidSect="001E10A8">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202" w:left="1440" w:header="1134" w:footer="720" w:gutter="0"/>
          <w:pgNumType w:start="1"/>
          <w:cols w:space="720"/>
          <w:titlePg/>
        </w:sectPr>
      </w:pPr>
    </w:p>
    <w:p w:rsidR="002B3CA6" w:rsidRPr="0076670E" w:rsidRDefault="002B3CA6" w:rsidP="002B3CA6">
      <w:pPr>
        <w:pStyle w:val="Heading1"/>
      </w:pPr>
      <w:r w:rsidRPr="0076670E">
        <w:lastRenderedPageBreak/>
        <w:t>Chapter 2</w:t>
      </w:r>
    </w:p>
    <w:p w:rsidR="002B3CA6" w:rsidRPr="0076670E" w:rsidRDefault="002B3CA6" w:rsidP="002B3CA6">
      <w:pPr>
        <w:pStyle w:val="Heading2"/>
      </w:pPr>
      <w:r w:rsidRPr="0076670E">
        <w:t>Concluded matters</w:t>
      </w:r>
    </w:p>
    <w:p w:rsidR="002B3CA6" w:rsidRPr="0076670E" w:rsidRDefault="002B3CA6" w:rsidP="002B3CA6">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2B3CA6" w:rsidRDefault="002B3CA6" w:rsidP="002B3CA6">
      <w:pPr>
        <w:pStyle w:val="Level1"/>
        <w:numPr>
          <w:ilvl w:val="0"/>
          <w:numId w:val="0"/>
        </w:numPr>
      </w:pPr>
      <w:r>
        <w:t>C</w:t>
      </w:r>
      <w:r w:rsidRPr="0076670E">
        <w:t xml:space="preserve">orrespondence relating to these matters is included at Appendix </w:t>
      </w:r>
      <w:r>
        <w:t>1</w:t>
      </w:r>
      <w:r w:rsidRPr="0076670E">
        <w:t>.</w:t>
      </w:r>
    </w:p>
    <w:p w:rsidR="002B3CA6" w:rsidRDefault="002B3CA6" w:rsidP="002B3CA6">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2B3CA6" w:rsidRPr="00164622" w:rsidTr="0023128E">
        <w:tc>
          <w:tcPr>
            <w:tcW w:w="2694" w:type="dxa"/>
            <w:tcBorders>
              <w:top w:val="single" w:sz="12" w:space="0" w:color="auto"/>
              <w:right w:val="single" w:sz="12" w:space="0" w:color="auto"/>
            </w:tcBorders>
          </w:tcPr>
          <w:p w:rsidR="002B3CA6" w:rsidRPr="00A77228" w:rsidRDefault="002B3CA6" w:rsidP="002B3CA6">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B3CA6" w:rsidRPr="00BA36F8" w:rsidRDefault="002B3CA6" w:rsidP="002B3CA6">
            <w:pPr>
              <w:pStyle w:val="Heading3"/>
              <w:spacing w:before="120" w:after="120"/>
              <w:rPr>
                <w:sz w:val="24"/>
                <w:szCs w:val="24"/>
              </w:rPr>
            </w:pPr>
            <w:r w:rsidRPr="000816B3">
              <w:rPr>
                <w:noProof/>
                <w:sz w:val="24"/>
                <w:szCs w:val="24"/>
              </w:rPr>
              <w:t>Corporations Amendment (Financial Advice) Regulation 2015 [F2015L00969]</w:t>
            </w:r>
          </w:p>
        </w:tc>
      </w:tr>
      <w:tr w:rsidR="002B3CA6" w:rsidRPr="00164622" w:rsidTr="0023128E">
        <w:tc>
          <w:tcPr>
            <w:tcW w:w="2694" w:type="dxa"/>
            <w:tcBorders>
              <w:right w:val="single" w:sz="12" w:space="0" w:color="auto"/>
            </w:tcBorders>
          </w:tcPr>
          <w:p w:rsidR="002B3CA6" w:rsidRPr="00A77228" w:rsidRDefault="002B3CA6" w:rsidP="002B3CA6">
            <w:pPr>
              <w:spacing w:before="120" w:after="120"/>
              <w:rPr>
                <w:b/>
                <w:sz w:val="24"/>
                <w:szCs w:val="24"/>
              </w:rPr>
            </w:pPr>
            <w:r w:rsidRPr="00A77228">
              <w:rPr>
                <w:b/>
                <w:sz w:val="24"/>
                <w:szCs w:val="24"/>
              </w:rPr>
              <w:t>Purpose</w:t>
            </w:r>
          </w:p>
        </w:tc>
        <w:tc>
          <w:tcPr>
            <w:tcW w:w="6378" w:type="dxa"/>
            <w:tcBorders>
              <w:left w:val="single" w:sz="12" w:space="0" w:color="auto"/>
            </w:tcBorders>
          </w:tcPr>
          <w:p w:rsidR="002B3CA6" w:rsidRPr="00A77228" w:rsidRDefault="002B3CA6" w:rsidP="002B3CA6">
            <w:pPr>
              <w:spacing w:before="120" w:after="120"/>
              <w:rPr>
                <w:sz w:val="24"/>
                <w:szCs w:val="24"/>
              </w:rPr>
            </w:pPr>
            <w:r w:rsidRPr="000816B3">
              <w:rPr>
                <w:noProof/>
                <w:sz w:val="24"/>
                <w:szCs w:val="24"/>
              </w:rPr>
              <w:t>Amends the Corporations Regulations 2001 in relation to the Future of Financial Advice</w:t>
            </w:r>
          </w:p>
        </w:tc>
      </w:tr>
      <w:tr w:rsidR="002B3CA6" w:rsidRPr="00164622" w:rsidTr="0023128E">
        <w:tc>
          <w:tcPr>
            <w:tcW w:w="2694" w:type="dxa"/>
            <w:tcBorders>
              <w:right w:val="single" w:sz="12" w:space="0" w:color="auto"/>
            </w:tcBorders>
          </w:tcPr>
          <w:p w:rsidR="002B3CA6" w:rsidRPr="00A77228" w:rsidRDefault="002B3CA6" w:rsidP="002B3CA6">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B3CA6" w:rsidRPr="00A77228" w:rsidRDefault="002B3CA6" w:rsidP="002B3CA6">
            <w:pPr>
              <w:spacing w:before="120" w:after="120"/>
              <w:rPr>
                <w:sz w:val="24"/>
                <w:szCs w:val="24"/>
              </w:rPr>
            </w:pPr>
            <w:r w:rsidRPr="000816B3">
              <w:rPr>
                <w:noProof/>
                <w:sz w:val="24"/>
                <w:szCs w:val="24"/>
              </w:rPr>
              <w:t>1 December 2015</w:t>
            </w:r>
          </w:p>
        </w:tc>
      </w:tr>
      <w:tr w:rsidR="002B3CA6" w:rsidRPr="00164622" w:rsidTr="0023128E">
        <w:tc>
          <w:tcPr>
            <w:tcW w:w="2694" w:type="dxa"/>
            <w:tcBorders>
              <w:right w:val="single" w:sz="12" w:space="0" w:color="auto"/>
            </w:tcBorders>
          </w:tcPr>
          <w:p w:rsidR="002B3CA6" w:rsidRPr="00A77228" w:rsidRDefault="002B3CA6" w:rsidP="002B3CA6">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B3CA6" w:rsidRPr="00932D1C" w:rsidRDefault="002B3CA6" w:rsidP="002B3CA6">
            <w:pPr>
              <w:spacing w:before="120" w:after="120"/>
              <w:rPr>
                <w:i/>
                <w:sz w:val="24"/>
                <w:szCs w:val="24"/>
              </w:rPr>
            </w:pPr>
            <w:r w:rsidRPr="000816B3">
              <w:rPr>
                <w:i/>
                <w:noProof/>
                <w:sz w:val="24"/>
                <w:szCs w:val="24"/>
              </w:rPr>
              <w:t>Corporations Act 2001</w:t>
            </w:r>
          </w:p>
        </w:tc>
      </w:tr>
      <w:tr w:rsidR="002B3CA6" w:rsidRPr="00164622" w:rsidTr="0023128E">
        <w:tc>
          <w:tcPr>
            <w:tcW w:w="2694" w:type="dxa"/>
            <w:tcBorders>
              <w:right w:val="single" w:sz="12" w:space="0" w:color="auto"/>
            </w:tcBorders>
          </w:tcPr>
          <w:p w:rsidR="002B3CA6" w:rsidRPr="00A77228" w:rsidRDefault="002B3CA6" w:rsidP="002B3CA6">
            <w:pPr>
              <w:spacing w:before="120" w:after="120"/>
              <w:rPr>
                <w:b/>
                <w:sz w:val="24"/>
                <w:szCs w:val="24"/>
              </w:rPr>
            </w:pPr>
            <w:r w:rsidRPr="00A77228">
              <w:rPr>
                <w:b/>
                <w:sz w:val="24"/>
                <w:szCs w:val="24"/>
              </w:rPr>
              <w:t>Department</w:t>
            </w:r>
          </w:p>
        </w:tc>
        <w:tc>
          <w:tcPr>
            <w:tcW w:w="6378" w:type="dxa"/>
            <w:tcBorders>
              <w:left w:val="single" w:sz="12" w:space="0" w:color="auto"/>
            </w:tcBorders>
          </w:tcPr>
          <w:p w:rsidR="002B3CA6" w:rsidRPr="00A77228" w:rsidRDefault="002B3CA6" w:rsidP="002B3CA6">
            <w:pPr>
              <w:spacing w:before="120" w:after="120"/>
              <w:rPr>
                <w:sz w:val="24"/>
                <w:szCs w:val="24"/>
              </w:rPr>
            </w:pPr>
            <w:r w:rsidRPr="000816B3">
              <w:rPr>
                <w:noProof/>
                <w:sz w:val="24"/>
                <w:szCs w:val="24"/>
              </w:rPr>
              <w:t>Treasury</w:t>
            </w:r>
          </w:p>
        </w:tc>
      </w:tr>
      <w:tr w:rsidR="002B3CA6" w:rsidRPr="00164622" w:rsidTr="0023128E">
        <w:tc>
          <w:tcPr>
            <w:tcW w:w="2694" w:type="dxa"/>
            <w:tcBorders>
              <w:right w:val="single" w:sz="12" w:space="0" w:color="auto"/>
            </w:tcBorders>
          </w:tcPr>
          <w:p w:rsidR="002B3CA6" w:rsidRPr="00A77228" w:rsidRDefault="002B3CA6" w:rsidP="002B3CA6">
            <w:pPr>
              <w:spacing w:before="120" w:after="120"/>
              <w:rPr>
                <w:b/>
                <w:sz w:val="24"/>
                <w:szCs w:val="24"/>
              </w:rPr>
            </w:pPr>
            <w:r>
              <w:rPr>
                <w:b/>
                <w:sz w:val="24"/>
                <w:szCs w:val="24"/>
              </w:rPr>
              <w:t>Scrutiny principle</w:t>
            </w:r>
          </w:p>
        </w:tc>
        <w:tc>
          <w:tcPr>
            <w:tcW w:w="6378" w:type="dxa"/>
            <w:tcBorders>
              <w:left w:val="single" w:sz="12" w:space="0" w:color="auto"/>
            </w:tcBorders>
          </w:tcPr>
          <w:p w:rsidR="002B3CA6" w:rsidRPr="00A77228" w:rsidRDefault="002B3CA6" w:rsidP="002B3CA6">
            <w:pPr>
              <w:spacing w:before="120" w:after="120"/>
              <w:rPr>
                <w:sz w:val="24"/>
                <w:szCs w:val="24"/>
              </w:rPr>
            </w:pPr>
            <w:r>
              <w:rPr>
                <w:sz w:val="24"/>
                <w:szCs w:val="24"/>
              </w:rPr>
              <w:t>Standing Order 23(3)(</w:t>
            </w:r>
            <w:r w:rsidRPr="000816B3">
              <w:rPr>
                <w:noProof/>
                <w:sz w:val="24"/>
                <w:szCs w:val="24"/>
              </w:rPr>
              <w:t>d</w:t>
            </w:r>
            <w:r>
              <w:rPr>
                <w:noProof/>
                <w:sz w:val="24"/>
                <w:szCs w:val="24"/>
              </w:rPr>
              <w:t>)</w:t>
            </w:r>
          </w:p>
        </w:tc>
      </w:tr>
      <w:tr w:rsidR="002B3CA6" w:rsidRPr="00164622" w:rsidTr="0023128E">
        <w:tc>
          <w:tcPr>
            <w:tcW w:w="2694" w:type="dxa"/>
            <w:tcBorders>
              <w:bottom w:val="single" w:sz="12" w:space="0" w:color="auto"/>
              <w:right w:val="single" w:sz="12" w:space="0" w:color="auto"/>
            </w:tcBorders>
          </w:tcPr>
          <w:p w:rsidR="002B3CA6" w:rsidRDefault="002B3CA6" w:rsidP="002B3CA6">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2B3CA6" w:rsidRDefault="002B3CA6" w:rsidP="002B3CA6">
            <w:pPr>
              <w:spacing w:before="120" w:after="120"/>
              <w:rPr>
                <w:sz w:val="24"/>
                <w:szCs w:val="24"/>
              </w:rPr>
            </w:pPr>
            <w:r>
              <w:rPr>
                <w:i/>
                <w:noProof/>
                <w:sz w:val="24"/>
                <w:szCs w:val="24"/>
              </w:rPr>
              <w:t xml:space="preserve">Delegated legislation monitors </w:t>
            </w:r>
            <w:r w:rsidRPr="00795D9C">
              <w:rPr>
                <w:noProof/>
                <w:sz w:val="24"/>
                <w:szCs w:val="24"/>
              </w:rPr>
              <w:t>No. 8 and 11</w:t>
            </w:r>
          </w:p>
        </w:tc>
      </w:tr>
    </w:tbl>
    <w:p w:rsidR="002B3CA6" w:rsidRDefault="002B3CA6" w:rsidP="002B3CA6"/>
    <w:p w:rsidR="002B3CA6" w:rsidRDefault="002B3CA6" w:rsidP="002B3CA6">
      <w:pPr>
        <w:rPr>
          <w:b/>
          <w:noProof/>
        </w:rPr>
      </w:pPr>
      <w:r w:rsidRPr="000816B3">
        <w:rPr>
          <w:b/>
          <w:noProof/>
        </w:rPr>
        <w:t>Matters more appropriate parliamentary enactment</w:t>
      </w:r>
    </w:p>
    <w:p w:rsidR="002B3CA6" w:rsidRPr="00795D9C" w:rsidRDefault="002B3CA6" w:rsidP="002B3CA6">
      <w:pPr>
        <w:rPr>
          <w:noProof/>
        </w:rPr>
      </w:pPr>
      <w:r>
        <w:rPr>
          <w:noProof/>
        </w:rPr>
        <w:t xml:space="preserve">The committee commented as follows: </w:t>
      </w:r>
    </w:p>
    <w:p w:rsidR="002B3CA6" w:rsidRDefault="002B3CA6" w:rsidP="002B3CA6">
      <w:r>
        <w:t xml:space="preserve">This instrument amends the Corporations Regulations 2000 in relation to the Future of Financial Advice (FOFA) provisions of the </w:t>
      </w:r>
      <w:r>
        <w:rPr>
          <w:i/>
        </w:rPr>
        <w:t>Corporations Act 2001</w:t>
      </w:r>
      <w:r>
        <w:t>. The ES for the instrument states that the purpose of the instrument is to:</w:t>
      </w:r>
    </w:p>
    <w:p w:rsidR="002B3CA6" w:rsidRDefault="002B3CA6" w:rsidP="002B3CA6">
      <w:pPr>
        <w:pStyle w:val="Quote"/>
      </w:pPr>
      <w:r>
        <w:t>…reduce compliance costs for small business, financial advisers, and the broader financial services industry, whilst maintaining the quality of advice for consumers who access financial advice.</w:t>
      </w:r>
    </w:p>
    <w:p w:rsidR="002B3CA6" w:rsidRDefault="002B3CA6" w:rsidP="002B3CA6">
      <w:pPr>
        <w:jc w:val="left"/>
      </w:pPr>
      <w:r>
        <w:t xml:space="preserve">The regulation makes amendments to: </w:t>
      </w:r>
    </w:p>
    <w:p w:rsidR="002B3CA6" w:rsidRDefault="002B3CA6" w:rsidP="002B3CA6">
      <w:pPr>
        <w:pStyle w:val="Bullet1"/>
        <w:spacing w:after="120"/>
      </w:pPr>
      <w:r>
        <w:t>clarify that a provider who provides advice to an employer about default funds is providing a financial service to a retail client;</w:t>
      </w:r>
    </w:p>
    <w:p w:rsidR="002B3CA6" w:rsidRDefault="002B3CA6" w:rsidP="002B3CA6">
      <w:pPr>
        <w:pStyle w:val="Bullet1"/>
        <w:spacing w:after="120"/>
      </w:pPr>
      <w:r>
        <w:t xml:space="preserve">provide that the wholesale and retail client distinction that currently applies in other Parts of the </w:t>
      </w:r>
      <w:r w:rsidRPr="00066CBF">
        <w:rPr>
          <w:i/>
        </w:rPr>
        <w:t>Corporations Act 2001</w:t>
      </w:r>
      <w:r>
        <w:t xml:space="preserve"> also applies to the FOFA provisions;</w:t>
      </w:r>
    </w:p>
    <w:p w:rsidR="002B3CA6" w:rsidRDefault="002B3CA6" w:rsidP="002B3CA6">
      <w:pPr>
        <w:pStyle w:val="Bullet1"/>
        <w:spacing w:after="120"/>
      </w:pPr>
      <w:r>
        <w:lastRenderedPageBreak/>
        <w:t>modify best interests duty to giving advice on a basic banking product and/or a general insurance product where the subject matter of the advice being sought also relates to consumer credit insurance;</w:t>
      </w:r>
    </w:p>
    <w:p w:rsidR="002B3CA6" w:rsidRDefault="002B3CA6" w:rsidP="002B3CA6">
      <w:pPr>
        <w:pStyle w:val="Bullet1"/>
        <w:spacing w:after="120"/>
      </w:pPr>
      <w:r>
        <w:t>provide a facility for making non-cash payments that is not related to a basic deposit product is a basic deposit product for the purposes of the FOFA provisions;</w:t>
      </w:r>
    </w:p>
    <w:p w:rsidR="002B3CA6" w:rsidRDefault="002B3CA6" w:rsidP="002B3CA6">
      <w:pPr>
        <w:pStyle w:val="Bullet1"/>
        <w:spacing w:after="120"/>
      </w:pPr>
      <w:r>
        <w:t>clarify the application of the existing client-pays provision; and</w:t>
      </w:r>
    </w:p>
    <w:p w:rsidR="002B3CA6" w:rsidRDefault="002B3CA6" w:rsidP="002B3CA6">
      <w:pPr>
        <w:pStyle w:val="Bullet1"/>
        <w:spacing w:after="120"/>
      </w:pPr>
      <w:r>
        <w:t>broaden the basic banking exemption from the ban on conflicted remuneration to include benefits relating to consumer credit insurance products.</w:t>
      </w:r>
    </w:p>
    <w:p w:rsidR="002B3CA6" w:rsidRDefault="002B3CA6" w:rsidP="002B3CA6">
      <w:pPr>
        <w:pStyle w:val="Bullet1"/>
        <w:numPr>
          <w:ilvl w:val="0"/>
          <w:numId w:val="0"/>
        </w:numPr>
      </w:pPr>
      <w:r w:rsidRPr="00066CBF">
        <w:t xml:space="preserve">Scrutiny principle </w:t>
      </w:r>
      <w:r>
        <w:t>23(3)</w:t>
      </w:r>
      <w:r w:rsidRPr="00066CBF">
        <w:t>(d) of the committee's terms of reference require</w:t>
      </w:r>
      <w:r>
        <w:t>s</w:t>
      </w:r>
      <w:r w:rsidRPr="00066CBF">
        <w:t xml:space="preserve"> the committee to consider whether an instrument contains matters more appropriate for parliamentary enactment (that is, matters that should be enacted via primary rather than delegated legislation). This includes legislation which fundamentally changes the law.</w:t>
      </w:r>
    </w:p>
    <w:p w:rsidR="002B3CA6" w:rsidRDefault="002B3CA6" w:rsidP="002B3CA6">
      <w:pPr>
        <w:pStyle w:val="Bullet1"/>
        <w:numPr>
          <w:ilvl w:val="0"/>
          <w:numId w:val="0"/>
        </w:numPr>
      </w:pPr>
      <w:r w:rsidRPr="00066CBF">
        <w:t>The ES for the instrument provides the following reason f</w:t>
      </w:r>
      <w:r>
        <w:t>or introducing the changes via delegated legislation</w:t>
      </w:r>
      <w:r w:rsidRPr="00066CBF">
        <w:t xml:space="preserve"> rather than primary legislation</w:t>
      </w:r>
      <w:r>
        <w:t>:</w:t>
      </w:r>
    </w:p>
    <w:p w:rsidR="002B3CA6" w:rsidRPr="00066CBF" w:rsidRDefault="002B3CA6" w:rsidP="002B3CA6">
      <w:pPr>
        <w:pStyle w:val="Quote"/>
      </w:pPr>
      <w:r w:rsidRPr="00066CBF">
        <w:t>The majority of these time sensitive FOFA amendments will also be enacted in legislation. The Government has adopted this approach to provide certainty to industry as quickly as possible.</w:t>
      </w:r>
    </w:p>
    <w:p w:rsidR="002B3CA6" w:rsidRDefault="002B3CA6" w:rsidP="002B3CA6">
      <w:pPr>
        <w:pStyle w:val="Bullet1"/>
        <w:numPr>
          <w:ilvl w:val="0"/>
          <w:numId w:val="0"/>
        </w:numPr>
      </w:pPr>
      <w:r w:rsidRPr="00066CBF">
        <w:t xml:space="preserve">However, </w:t>
      </w:r>
      <w:r>
        <w:t xml:space="preserve">along with </w:t>
      </w:r>
      <w:r w:rsidRPr="00066CBF">
        <w:t>the Senate Standing Committee for the Scrut</w:t>
      </w:r>
      <w:r>
        <w:t xml:space="preserve">iny of Bills (Scrutiny of Bills </w:t>
      </w:r>
      <w:r w:rsidRPr="00066CBF">
        <w:t>committee)</w:t>
      </w:r>
      <w:r>
        <w:t xml:space="preserve">, the committee </w:t>
      </w:r>
      <w:r w:rsidRPr="00066CBF">
        <w:t xml:space="preserve">has </w:t>
      </w:r>
      <w:r>
        <w:t xml:space="preserve">previously questioned </w:t>
      </w:r>
      <w:r w:rsidRPr="00066CBF">
        <w:t>whether industry certainty (and benefit) amounts to a sufficient justification for effecting significant policy change via regulation. Th</w:t>
      </w:r>
      <w:r>
        <w:t>e</w:t>
      </w:r>
      <w:r w:rsidRPr="00066CBF">
        <w:t xml:space="preserve"> </w:t>
      </w:r>
      <w:r>
        <w:t>Scrutiny of Bills c</w:t>
      </w:r>
      <w:r w:rsidRPr="00066CBF">
        <w:t>ommittee</w:t>
      </w:r>
      <w:r>
        <w:t xml:space="preserve">, for example, </w:t>
      </w:r>
      <w:r w:rsidRPr="00066CBF">
        <w:t>has stated:</w:t>
      </w:r>
    </w:p>
    <w:p w:rsidR="002B3CA6" w:rsidRDefault="002B3CA6" w:rsidP="002B3CA6">
      <w:pPr>
        <w:pStyle w:val="Quote"/>
      </w:pPr>
      <w:r>
        <w:t>…enabling a regulated industry to benefit from legislative changes 'a</w:t>
      </w:r>
      <w:r w:rsidRPr="00066CBF">
        <w:t>s</w:t>
      </w:r>
      <w:r>
        <w:t xml:space="preserve"> soon as</w:t>
      </w:r>
      <w:r w:rsidRPr="00066CBF">
        <w:t xml:space="preserve"> possible' is not a sufficient justification to achieve policy change through regulations rather than Parliamentary enactment as this justification could be claimed with respect to any proposal. The fact that the changes may subsequently be enacted in primary legislation does not moderate the sc</w:t>
      </w:r>
      <w:r>
        <w:t>rutiny concerns in this regard.</w:t>
      </w:r>
    </w:p>
    <w:p w:rsidR="002B3CA6" w:rsidRDefault="002B3CA6" w:rsidP="002B3CA6">
      <w:pPr>
        <w:autoSpaceDE w:val="0"/>
        <w:autoSpaceDN w:val="0"/>
        <w:adjustRightInd w:val="0"/>
        <w:spacing w:after="0"/>
        <w:rPr>
          <w:szCs w:val="26"/>
        </w:rPr>
      </w:pPr>
      <w:r>
        <w:t>I</w:t>
      </w:r>
      <w:r w:rsidRPr="00066CBF">
        <w:t>n light of these</w:t>
      </w:r>
      <w:r>
        <w:t xml:space="preserve"> considerations</w:t>
      </w:r>
      <w:r w:rsidRPr="00066CBF">
        <w:t>, the committee</w:t>
      </w:r>
      <w:r>
        <w:rPr>
          <w:szCs w:val="26"/>
        </w:rPr>
        <w:t xml:space="preserve"> considers that the changes effected by the regulation may be regarded as more appropriate for parliamentary enactment in respect of their substantive effect and the justification provided for their inclusion in delegated legislation.</w:t>
      </w:r>
    </w:p>
    <w:p w:rsidR="002B3CA6" w:rsidRPr="00795D9C" w:rsidRDefault="002B3CA6" w:rsidP="002B3CA6">
      <w:r w:rsidRPr="00795D9C">
        <w:rPr>
          <w:b/>
        </w:rPr>
        <w:t>The committee requests the advice of the minister in relation to this matter</w:t>
      </w:r>
      <w:r w:rsidRPr="00795D9C">
        <w:t>.</w:t>
      </w:r>
    </w:p>
    <w:p w:rsidR="002B3CA6" w:rsidRDefault="002B3CA6" w:rsidP="002B3CA6">
      <w:pPr>
        <w:rPr>
          <w:b/>
        </w:rPr>
      </w:pPr>
      <w:r>
        <w:rPr>
          <w:b/>
        </w:rPr>
        <w:t>Assistant Treasurer's</w:t>
      </w:r>
      <w:r w:rsidRPr="00035C4F">
        <w:rPr>
          <w:b/>
        </w:rPr>
        <w:t xml:space="preserve"> </w:t>
      </w:r>
      <w:r>
        <w:rPr>
          <w:b/>
        </w:rPr>
        <w:t xml:space="preserve">first </w:t>
      </w:r>
      <w:r w:rsidRPr="00035C4F">
        <w:rPr>
          <w:b/>
        </w:rPr>
        <w:t>response</w:t>
      </w:r>
    </w:p>
    <w:p w:rsidR="002B3CA6" w:rsidRDefault="002B3CA6" w:rsidP="002B3CA6">
      <w:r>
        <w:t>The Assistant Treasurer responded with the following advice:</w:t>
      </w:r>
    </w:p>
    <w:p w:rsidR="002B3CA6" w:rsidRPr="00E553F5" w:rsidRDefault="002B3CA6" w:rsidP="002B3CA6">
      <w:pPr>
        <w:ind w:left="851" w:right="804"/>
        <w:rPr>
          <w:sz w:val="24"/>
          <w:szCs w:val="24"/>
        </w:rPr>
      </w:pPr>
      <w:r w:rsidRPr="00E553F5">
        <w:rPr>
          <w:sz w:val="24"/>
          <w:szCs w:val="24"/>
        </w:rPr>
        <w:t xml:space="preserve">…on 20 December 2013, the Government announced a package of changes to the Future of Financial Advice (FOFA) Provisions. These changes were </w:t>
      </w:r>
      <w:r w:rsidRPr="00E553F5">
        <w:rPr>
          <w:sz w:val="24"/>
          <w:szCs w:val="24"/>
        </w:rPr>
        <w:lastRenderedPageBreak/>
        <w:t>implement</w:t>
      </w:r>
      <w:r>
        <w:rPr>
          <w:sz w:val="24"/>
          <w:szCs w:val="24"/>
        </w:rPr>
        <w:t>ed</w:t>
      </w:r>
      <w:r w:rsidRPr="00E553F5">
        <w:rPr>
          <w:sz w:val="24"/>
          <w:szCs w:val="24"/>
        </w:rPr>
        <w:t xml:space="preserve"> through the Corporations Amendment (Streamlining Future of Financial Advice) Regulation 2014 (the </w:t>
      </w:r>
      <w:r w:rsidRPr="00E553F5">
        <w:rPr>
          <w:b/>
          <w:sz w:val="24"/>
          <w:szCs w:val="24"/>
        </w:rPr>
        <w:t>Streamlining FOFA Regulation</w:t>
      </w:r>
      <w:r w:rsidRPr="00E553F5">
        <w:rPr>
          <w:sz w:val="24"/>
          <w:szCs w:val="24"/>
        </w:rPr>
        <w:t>), which came into effect on 1 July 2014. However, this Regulation was disallowed on 19 November 2014, which meant that the FOFA provisions reverted to their position prior to commencement of the Streamlining FOFA Regulation.</w:t>
      </w:r>
    </w:p>
    <w:p w:rsidR="002B3CA6" w:rsidRPr="00E553F5" w:rsidRDefault="002B3CA6" w:rsidP="002B3CA6">
      <w:pPr>
        <w:ind w:left="851" w:right="804"/>
        <w:rPr>
          <w:sz w:val="24"/>
          <w:szCs w:val="24"/>
        </w:rPr>
      </w:pPr>
      <w:r w:rsidRPr="00E553F5">
        <w:rPr>
          <w:sz w:val="24"/>
          <w:szCs w:val="24"/>
        </w:rPr>
        <w:t xml:space="preserve">The disallowance of the Streamlining FOFA Regulation caused industry disruption. From the date of disallowance, the financial advice industry, having made changes to comply with the Streamlining FOFA Regulation, had to make further changes to their systems and processes to comply with the original FOFA provisions. </w:t>
      </w:r>
    </w:p>
    <w:p w:rsidR="002B3CA6" w:rsidRPr="00E553F5" w:rsidRDefault="002B3CA6" w:rsidP="002B3CA6">
      <w:pPr>
        <w:ind w:left="851" w:right="804"/>
        <w:rPr>
          <w:sz w:val="24"/>
          <w:szCs w:val="24"/>
        </w:rPr>
      </w:pPr>
      <w:r w:rsidRPr="00E553F5">
        <w:rPr>
          <w:sz w:val="24"/>
          <w:szCs w:val="24"/>
        </w:rPr>
        <w:t xml:space="preserve">In response to the disallowance, ASIC announced that it would take a facilitative approach to administering the law until 1 July 2015. The Government also agreed with the Opposition that in order to alleviate industry disruption, certain minor and technical refinements to FOFA </w:t>
      </w:r>
      <w:r>
        <w:rPr>
          <w:sz w:val="24"/>
          <w:szCs w:val="24"/>
        </w:rPr>
        <w:t>s</w:t>
      </w:r>
      <w:r w:rsidRPr="00E553F5">
        <w:rPr>
          <w:sz w:val="24"/>
          <w:szCs w:val="24"/>
        </w:rPr>
        <w:t>hould be progressed as a priority via regulation before ASIC's facilitative approach expired.</w:t>
      </w:r>
    </w:p>
    <w:p w:rsidR="002B3CA6" w:rsidRPr="00E553F5" w:rsidRDefault="002B3CA6" w:rsidP="002B3CA6">
      <w:pPr>
        <w:ind w:left="851" w:right="804"/>
        <w:rPr>
          <w:sz w:val="24"/>
          <w:szCs w:val="24"/>
        </w:rPr>
      </w:pPr>
      <w:r w:rsidRPr="00E553F5">
        <w:rPr>
          <w:sz w:val="24"/>
          <w:szCs w:val="24"/>
        </w:rPr>
        <w:t>With bipartisan support, the first tranche of refinements was made through the Corporations Amendment (Revising Future Financial Advice) Regulation (</w:t>
      </w:r>
      <w:r w:rsidRPr="00E553F5">
        <w:rPr>
          <w:b/>
          <w:sz w:val="24"/>
          <w:szCs w:val="24"/>
        </w:rPr>
        <w:t>Revising FOFA Regulation</w:t>
      </w:r>
      <w:r w:rsidRPr="00E553F5">
        <w:rPr>
          <w:sz w:val="24"/>
          <w:szCs w:val="24"/>
        </w:rPr>
        <w:t xml:space="preserve">), which commenced on 16 December 2014. The second tranche of refinements was made, also with bipartisan support, through the Regulation, which commenced on 1 July 2015. </w:t>
      </w:r>
    </w:p>
    <w:p w:rsidR="002B3CA6" w:rsidRPr="00E553F5" w:rsidRDefault="002B3CA6" w:rsidP="002B3CA6">
      <w:pPr>
        <w:ind w:left="851" w:right="804"/>
        <w:rPr>
          <w:sz w:val="24"/>
          <w:szCs w:val="24"/>
        </w:rPr>
      </w:pPr>
      <w:r w:rsidRPr="00E553F5">
        <w:rPr>
          <w:sz w:val="24"/>
          <w:szCs w:val="24"/>
        </w:rPr>
        <w:t>The majority of the amendments made through the Revising FOFA Regulation and the Regulation will also be enacted in legislation through the Corporations Amendment (Streamlining of Future of Financial Advice) Bill 2014, which is currently before the Senate and will be subject to full Parliamentary scrutiny.</w:t>
      </w:r>
    </w:p>
    <w:p w:rsidR="002B3CA6" w:rsidRPr="00E553F5" w:rsidRDefault="002B3CA6" w:rsidP="002B3CA6">
      <w:pPr>
        <w:ind w:left="851" w:right="804"/>
        <w:rPr>
          <w:sz w:val="24"/>
          <w:szCs w:val="24"/>
        </w:rPr>
      </w:pPr>
      <w:r w:rsidRPr="00E553F5">
        <w:rPr>
          <w:sz w:val="24"/>
          <w:szCs w:val="24"/>
        </w:rPr>
        <w:t>In summary, the purpose of amending FOFA through the Regulation was to swiftly deal in a bipartisan manner with disruption to the financial services sector caused by disallowance of the Streamlining FOFA Regulation and the expiry of ASIC's facilitative approach to compliance with FOFA provisions.</w:t>
      </w:r>
    </w:p>
    <w:p w:rsidR="002B3CA6" w:rsidRDefault="002B3CA6" w:rsidP="002B3CA6">
      <w:pPr>
        <w:rPr>
          <w:b/>
        </w:rPr>
      </w:pPr>
      <w:r>
        <w:rPr>
          <w:b/>
        </w:rPr>
        <w:t>Committee's first response</w:t>
      </w:r>
    </w:p>
    <w:p w:rsidR="002B3CA6" w:rsidRPr="00795D9C" w:rsidRDefault="002B3CA6" w:rsidP="002B3CA6">
      <w:r>
        <w:t>The committee commented as follows:</w:t>
      </w:r>
    </w:p>
    <w:p w:rsidR="002B3CA6" w:rsidRDefault="002B3CA6" w:rsidP="002B3CA6">
      <w:pPr>
        <w:rPr>
          <w:b/>
        </w:rPr>
      </w:pPr>
      <w:r w:rsidRPr="00850FA6">
        <w:rPr>
          <w:b/>
        </w:rPr>
        <w:t>The committee thanks the Assist</w:t>
      </w:r>
      <w:r>
        <w:rPr>
          <w:b/>
        </w:rPr>
        <w:t>ant Treasurer for the response.</w:t>
      </w:r>
    </w:p>
    <w:p w:rsidR="002B3CA6" w:rsidRDefault="002B3CA6" w:rsidP="002B3CA6">
      <w:pPr>
        <w:pStyle w:val="Level1"/>
        <w:numPr>
          <w:ilvl w:val="0"/>
          <w:numId w:val="0"/>
        </w:numPr>
        <w:rPr>
          <w:b/>
        </w:rPr>
      </w:pPr>
      <w:r>
        <w:t>However, the committee notes that 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2B3CA6" w:rsidRDefault="002B3CA6" w:rsidP="002B3CA6">
      <w:r>
        <w:t>The committee notes the minister's claim that the purpose of the regulation is:</w:t>
      </w:r>
    </w:p>
    <w:p w:rsidR="002B3CA6" w:rsidRDefault="002B3CA6" w:rsidP="002B3CA6">
      <w:pPr>
        <w:ind w:left="851" w:right="804"/>
      </w:pPr>
      <w:r>
        <w:lastRenderedPageBreak/>
        <w:t xml:space="preserve">…to swiftly </w:t>
      </w:r>
      <w:r w:rsidRPr="00E553F5">
        <w:t>deal in a bipartisan manner with disruption to the financial services sector caused by disallowance of the Streamlining FOFA Regulation and the expiry of ASIC's facilitative approach to compliance with FOFA provisions</w:t>
      </w:r>
      <w:r>
        <w:t>.</w:t>
      </w:r>
    </w:p>
    <w:p w:rsidR="002B3CA6" w:rsidRDefault="002B3CA6" w:rsidP="002B3CA6">
      <w:r>
        <w:t>The committee also notes the minister's advice that:</w:t>
      </w:r>
    </w:p>
    <w:p w:rsidR="002B3CA6" w:rsidRDefault="002B3CA6" w:rsidP="002B3CA6">
      <w:pPr>
        <w:ind w:left="851" w:right="804"/>
      </w:pPr>
      <w:r w:rsidRPr="00A82ABC">
        <w:t>The majority of the amendments made through the Revising FOFA Regulation and the Regulation will also be enacted in legislation through the Corporations Amendment (Streamlining of Future of Financial Advice) Bill 2014, which is currently before the Senate and will be subject to full Parliamentary scrutiny.</w:t>
      </w:r>
    </w:p>
    <w:p w:rsidR="002B3CA6" w:rsidRDefault="002B3CA6" w:rsidP="002B3CA6">
      <w:r>
        <w:t xml:space="preserve">The committee notes the current progress of the </w:t>
      </w:r>
      <w:r w:rsidRPr="00A82ABC">
        <w:t>Corporations Amendment (Streamlining of Future of Financial Advice) Bill 2014</w:t>
      </w:r>
      <w:r>
        <w:t>, namely that it was introduced into the Senate on 1 July 2014.</w:t>
      </w:r>
    </w:p>
    <w:p w:rsidR="002B3CA6" w:rsidRDefault="002B3CA6" w:rsidP="002B3CA6">
      <w:r>
        <w:t>The committee remains concerned that the minister's position is capable of forming a precedent for the use of delegated legislation in favour of primary legislation on the basis that, due to the timing or inherent uncertainty of the Parliament's full legislative processes, it is the most convenient or preferred means to effect (interim) policy change.</w:t>
      </w:r>
    </w:p>
    <w:p w:rsidR="002B3CA6" w:rsidRDefault="002B3CA6" w:rsidP="002B3CA6">
      <w:r>
        <w:t>While the committee notes the minster's advice that there is bipartisan support for the changes contained in the regulation, a</w:t>
      </w:r>
      <w:r w:rsidRPr="00381CB7">
        <w:t xml:space="preserve">s the committee has previously noted, it is the pre-emptive character of the use of regulation in this case that gives rise to the committee's inquiries. The committee's questions on this issue point </w:t>
      </w:r>
      <w:r>
        <w:t xml:space="preserve">are based on </w:t>
      </w:r>
      <w:r w:rsidRPr="00381CB7">
        <w:t>the possibility that</w:t>
      </w:r>
      <w:r>
        <w:t xml:space="preserve">, notwithstanding the apparent bipartisan support for the regulation, </w:t>
      </w:r>
      <w:r w:rsidRPr="00381CB7">
        <w:t xml:space="preserve">the bill </w:t>
      </w:r>
      <w:r>
        <w:t xml:space="preserve">may </w:t>
      </w:r>
      <w:r w:rsidRPr="00381CB7">
        <w:t xml:space="preserve">not </w:t>
      </w:r>
      <w:r>
        <w:t xml:space="preserve">be </w:t>
      </w:r>
      <w:r w:rsidRPr="00381CB7">
        <w:t>passed in a form which contains all the measures in the regulation. The committee considers that the potential for this approach, in this and future cases, to 'permit a temporary mechanism to turn into a permanent legislative artefact', or to continue in operation despite the clearly expressed will of the Parliament (for example, if the bill were passed with amendment</w:t>
      </w:r>
      <w:r>
        <w:t>s</w:t>
      </w:r>
      <w:r w:rsidRPr="00381CB7">
        <w:t xml:space="preserve"> to remove one of the measures in the regulation</w:t>
      </w:r>
      <w:r>
        <w:t xml:space="preserve"> or not complemented by the operation of the regulation</w:t>
      </w:r>
      <w:r w:rsidRPr="00381CB7">
        <w:t>), is critical to the assessment of whether the legislative approach offends the committee's scrutiny principle (d).</w:t>
      </w:r>
    </w:p>
    <w:p w:rsidR="002B3CA6" w:rsidRDefault="002B3CA6" w:rsidP="002B3CA6">
      <w:pPr>
        <w:rPr>
          <w:b/>
        </w:rPr>
      </w:pPr>
      <w:r w:rsidRPr="0042371C">
        <w:rPr>
          <w:b/>
        </w:rPr>
        <w:t>In light of these concerns about the potential for the regulation to implement changes that are subsequently not passed by the Senate, the committee has determined to give a notice of motion for disallowance to ensure that the ability to disallow the instrument is protected prior to the finalisation of the Senate's consideration of the bill.</w:t>
      </w:r>
    </w:p>
    <w:p w:rsidR="002B3CA6" w:rsidRDefault="002B3CA6" w:rsidP="002B3CA6">
      <w:pPr>
        <w:rPr>
          <w:b/>
        </w:rPr>
      </w:pPr>
      <w:r>
        <w:rPr>
          <w:b/>
        </w:rPr>
        <w:t>The committee draws this matter to the Assistant Treasurer's attention.</w:t>
      </w:r>
    </w:p>
    <w:p w:rsidR="002B3CA6" w:rsidRDefault="002B3CA6" w:rsidP="002B3CA6">
      <w:pPr>
        <w:rPr>
          <w:b/>
        </w:rPr>
      </w:pPr>
      <w:r>
        <w:rPr>
          <w:b/>
        </w:rPr>
        <w:t>Assistant-Treasurer's second response</w:t>
      </w:r>
    </w:p>
    <w:p w:rsidR="002B3CA6" w:rsidRDefault="002B3CA6" w:rsidP="002B3CA6">
      <w:r>
        <w:t>The Assistant Treasurer advised:</w:t>
      </w:r>
    </w:p>
    <w:p w:rsidR="002B3CA6" w:rsidRDefault="002B3CA6" w:rsidP="002B3CA6">
      <w:pPr>
        <w:pStyle w:val="Quote"/>
      </w:pPr>
      <w:r>
        <w:lastRenderedPageBreak/>
        <w:t>The disallowance of the Regulation while the Bill remains before the Parliament will have consequences for the financial advice industry and may increase the regulatory burden on financial advice businesses as they move to adhere to the original FOFA legislation. To minimise disruption to industry, I am writing to outline the Government's intentions with regards to FOFA and ask the Committee to consider withdrawing the motion to disallow the Regulation once the Bill has been considered by the Senate.</w:t>
      </w:r>
    </w:p>
    <w:p w:rsidR="002B3CA6" w:rsidRDefault="002B3CA6" w:rsidP="002B3CA6">
      <w:pPr>
        <w:pStyle w:val="Quote"/>
      </w:pPr>
      <w:r>
        <w:t xml:space="preserve">The Government intends to table parliamentary amendments to the Bill in the Senate in the week beginning 23 November 2015. The parliamentary amendments being brought before the Senate entrench in legislation the majority of the changes made through the June 2015 </w:t>
      </w:r>
      <w:r w:rsidRPr="00795D9C">
        <w:rPr>
          <w:i/>
        </w:rPr>
        <w:t>Corporations Amendment (Financial Advice) Regulation 2015</w:t>
      </w:r>
      <w:r>
        <w:t xml:space="preserve"> and December 2014</w:t>
      </w:r>
      <w:r w:rsidRPr="00795D9C">
        <w:rPr>
          <w:i/>
        </w:rPr>
        <w:t xml:space="preserve"> Corporations Amendment (Revising Future of Financial Advice) Regulation 2014</w:t>
      </w:r>
      <w:r>
        <w:t>, whilst also removing any changes that do not retain bipartisan support. The final Bill will maintain consumer protections and alleviate unnecessary regulatory burdens on industry.</w:t>
      </w:r>
    </w:p>
    <w:p w:rsidR="002B3CA6" w:rsidRDefault="002B3CA6" w:rsidP="002B3CA6">
      <w:pPr>
        <w:pStyle w:val="Quote"/>
      </w:pPr>
      <w:r>
        <w:t>While the parliamentary amendments are likely to be debated and passed through the Senate before the end of 1 December 2015, the revised Bill may not pass the lower House and receive Royal Assent before the disallowance motion deadline.</w:t>
      </w:r>
    </w:p>
    <w:p w:rsidR="002B3CA6" w:rsidRDefault="002B3CA6" w:rsidP="002B3CA6">
      <w:pPr>
        <w:pStyle w:val="Quote"/>
      </w:pPr>
      <w:r>
        <w:t>In settling the final parliamentary amendments to the Bill, I have been in contact with the Opposition, who have indicated that they will support the final Bill. Accordingly, I do not anticipate that there will be any inconsistencies between the Regulation and the legislation ultimately passed by Parliament. However, in the unlikely event that there is an inconsistency between the legislation and the regulations, the Government will take steps to amend the regulations as required.</w:t>
      </w:r>
    </w:p>
    <w:p w:rsidR="002B3CA6" w:rsidRDefault="002B3CA6" w:rsidP="002B3CA6">
      <w:pPr>
        <w:pStyle w:val="Quote"/>
      </w:pPr>
      <w:r>
        <w:t xml:space="preserve">The Government anticipates that once the Bill has passed, FOFA should be considered settled and given time to work. I would like to bring to the Committee's attention a further consequence of the disallowance of the Regulation. There is one measure in the Regulation that is not included in the Bill. This measure applies the wholesale and retail client distinction to FOFA and makes FOFA consistent with other parts of the </w:t>
      </w:r>
      <w:r w:rsidRPr="00861A5B">
        <w:rPr>
          <w:i/>
        </w:rPr>
        <w:t>Corporations Act 2001</w:t>
      </w:r>
      <w:r>
        <w:t>. This provision is not included in the Bill as this distinction has always been made in the regulations. The disallowance of the Regulation would remove this distinction to FOFA, and would result in all clients being treated as retail clients. This would result in additional costs for both advice providers and clients as the more comprehensive retail disclosure and conduct obligations would apply to wholesale clients.</w:t>
      </w:r>
    </w:p>
    <w:p w:rsidR="002B3CA6" w:rsidRPr="00795D9C" w:rsidRDefault="002B3CA6" w:rsidP="002B3CA6">
      <w:pPr>
        <w:rPr>
          <w:b/>
        </w:rPr>
      </w:pPr>
      <w:r>
        <w:rPr>
          <w:b/>
        </w:rPr>
        <w:t>Committee's second response</w:t>
      </w:r>
    </w:p>
    <w:p w:rsidR="002B3CA6" w:rsidRDefault="002B3CA6" w:rsidP="002B3CA6">
      <w:pPr>
        <w:rPr>
          <w:b/>
        </w:rPr>
      </w:pPr>
      <w:r w:rsidRPr="00795D9C">
        <w:rPr>
          <w:b/>
        </w:rPr>
        <w:t>The committee thanks the Assistant Treasurer for the response and has concluded its</w:t>
      </w:r>
      <w:r>
        <w:rPr>
          <w:b/>
        </w:rPr>
        <w:t xml:space="preserve"> examination of the instrument.</w:t>
      </w:r>
    </w:p>
    <w:p w:rsidR="002B3CA6" w:rsidRDefault="002B3CA6" w:rsidP="002B3CA6">
      <w:r w:rsidRPr="0048029C">
        <w:t>The committee</w:t>
      </w:r>
      <w:r>
        <w:t xml:space="preserve"> </w:t>
      </w:r>
      <w:r w:rsidRPr="0048029C">
        <w:t>notes that the Corporations Amendment (Streamlining of Future of Financial Advice) Bill 2014</w:t>
      </w:r>
      <w:r>
        <w:t xml:space="preserve"> (bill)</w:t>
      </w:r>
      <w:r w:rsidRPr="0048029C">
        <w:t xml:space="preserve"> was debated and passed with Government </w:t>
      </w:r>
      <w:r w:rsidRPr="0048029C">
        <w:lastRenderedPageBreak/>
        <w:t xml:space="preserve">amendments </w:t>
      </w:r>
      <w:r>
        <w:t>b</w:t>
      </w:r>
      <w:r w:rsidRPr="0048029C">
        <w:t>y the Senate on 24 November 2015.</w:t>
      </w:r>
      <w:r>
        <w:t xml:space="preserve"> The committee thanks the Assistant Treasurer for seeking to ensure the passage of the bill through the Senate within the disallowance period.</w:t>
      </w:r>
    </w:p>
    <w:p w:rsidR="002B3CA6" w:rsidRDefault="002B3CA6" w:rsidP="002B3CA6">
      <w:r>
        <w:t>Noting that the House of Representatives is yet to consider the amendments to the bill made by the Senate, the committee thanks the Assistant Treasurer for h</w:t>
      </w:r>
      <w:r w:rsidR="00A16DAA">
        <w:t>er</w:t>
      </w:r>
      <w:r>
        <w:t xml:space="preserve"> undertaking that, should</w:t>
      </w:r>
      <w:r w:rsidRPr="00C159D6">
        <w:t xml:space="preserve"> there </w:t>
      </w:r>
      <w:r>
        <w:t>be</w:t>
      </w:r>
      <w:r w:rsidRPr="00C159D6">
        <w:t xml:space="preserve"> an</w:t>
      </w:r>
      <w:r>
        <w:t>y</w:t>
      </w:r>
      <w:r w:rsidRPr="00C159D6">
        <w:t xml:space="preserve"> inconsistency between the </w:t>
      </w:r>
      <w:r>
        <w:t>bill once enacted</w:t>
      </w:r>
      <w:r w:rsidRPr="00C159D6">
        <w:t xml:space="preserve"> and the regulations, the Government will take steps to amend the regulations as required</w:t>
      </w:r>
      <w:r>
        <w:t>.</w:t>
      </w:r>
    </w:p>
    <w:p w:rsidR="002B3CA6" w:rsidRDefault="002B3CA6" w:rsidP="00325264">
      <w:pPr>
        <w:sectPr w:rsidR="002B3CA6" w:rsidSect="009F7FA7">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9"/>
          <w:cols w:space="708"/>
          <w:titlePg/>
          <w:docGrid w:linePitch="360"/>
        </w:sectPr>
      </w:pPr>
    </w:p>
    <w:p w:rsidR="00161AC5" w:rsidRDefault="00161AC5" w:rsidP="00161AC5">
      <w:pPr>
        <w:pStyle w:val="Heading1"/>
      </w:pPr>
      <w:r>
        <w:lastRenderedPageBreak/>
        <w:t>Appendix 1</w:t>
      </w:r>
    </w:p>
    <w:p w:rsidR="00161AC5" w:rsidRPr="00520991" w:rsidRDefault="00161AC5" w:rsidP="00161AC5">
      <w:pPr>
        <w:pStyle w:val="Heading2"/>
      </w:pPr>
      <w:r>
        <w:t>Correspondence</w:t>
      </w:r>
    </w:p>
    <w:p w:rsidR="00161AC5" w:rsidRDefault="00161AC5">
      <w:pPr>
        <w:spacing w:after="0"/>
        <w:jc w:val="left"/>
      </w:pPr>
      <w:r>
        <w:br w:type="page"/>
      </w:r>
    </w:p>
    <w:p w:rsidR="00520991" w:rsidRDefault="00520991" w:rsidP="00325264"/>
    <w:p w:rsidR="00161AC5" w:rsidRDefault="00161AC5" w:rsidP="00325264">
      <w:pPr>
        <w:sectPr w:rsidR="00161AC5" w:rsidSect="00847FAC">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202" w:left="1440" w:header="1134" w:footer="720" w:gutter="0"/>
          <w:pgNumType w:start="15"/>
          <w:cols w:space="720"/>
          <w:titlePg/>
        </w:sectPr>
      </w:pPr>
    </w:p>
    <w:p w:rsidR="00161AC5" w:rsidRDefault="00161AC5" w:rsidP="00161AC5">
      <w:pPr>
        <w:pStyle w:val="Heading1"/>
      </w:pPr>
      <w:r>
        <w:lastRenderedPageBreak/>
        <w:t>Appendix 2</w:t>
      </w:r>
    </w:p>
    <w:p w:rsidR="00161AC5" w:rsidRDefault="00161AC5" w:rsidP="00161AC5">
      <w:pPr>
        <w:pStyle w:val="Heading2"/>
      </w:pPr>
      <w:r>
        <w:t>Guideline on consultation</w:t>
      </w:r>
    </w:p>
    <w:p w:rsidR="00161AC5" w:rsidRPr="00C22E53" w:rsidRDefault="00161AC5" w:rsidP="00161AC5">
      <w:pPr>
        <w:pStyle w:val="Heading3"/>
        <w:spacing w:after="120"/>
      </w:pPr>
      <w:r>
        <w:t>Purpose</w:t>
      </w:r>
    </w:p>
    <w:p w:rsidR="00161AC5" w:rsidRPr="00C22E53" w:rsidRDefault="00161AC5" w:rsidP="00161AC5">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161AC5" w:rsidRPr="00C22E53" w:rsidRDefault="00161AC5" w:rsidP="00161AC5">
      <w:pPr>
        <w:rPr>
          <w:szCs w:val="24"/>
        </w:rPr>
      </w:pPr>
      <w:r w:rsidRPr="00C22E53">
        <w:rPr>
          <w:szCs w:val="24"/>
        </w:rPr>
        <w:t xml:space="preserve">The committee scrutinises instruments to ensure, inter alia, that they meet the technical requirements of the </w:t>
      </w:r>
      <w:hyperlink r:id="rId42"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161AC5" w:rsidRPr="00241303" w:rsidRDefault="00161AC5" w:rsidP="00161AC5">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3" w:history="1">
        <w:r w:rsidRPr="00241303">
          <w:rPr>
            <w:rStyle w:val="Hyperlink"/>
            <w:color w:val="auto"/>
            <w:szCs w:val="24"/>
            <w:u w:val="none"/>
          </w:rPr>
          <w:t>disallowance</w:t>
        </w:r>
      </w:hyperlink>
      <w:r w:rsidRPr="00241303">
        <w:rPr>
          <w:szCs w:val="24"/>
        </w:rPr>
        <w:t>.</w:t>
      </w:r>
    </w:p>
    <w:p w:rsidR="00161AC5" w:rsidRPr="00C22E53" w:rsidRDefault="00161AC5" w:rsidP="00161AC5">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161AC5" w:rsidRDefault="00161AC5" w:rsidP="00161AC5">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161AC5" w:rsidRPr="00C22E53" w:rsidRDefault="00161AC5" w:rsidP="00161AC5">
      <w:pPr>
        <w:pStyle w:val="Heading3"/>
        <w:spacing w:after="120"/>
      </w:pPr>
      <w:r w:rsidRPr="00241303">
        <w:t xml:space="preserve">Requirements of the </w:t>
      </w:r>
      <w:r w:rsidRPr="00241303">
        <w:rPr>
          <w:i/>
        </w:rPr>
        <w:t>Legislative Instruments Act 2003</w:t>
      </w:r>
    </w:p>
    <w:p w:rsidR="00161AC5" w:rsidRPr="00C22E53" w:rsidRDefault="00161AC5" w:rsidP="00161AC5">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161AC5" w:rsidRPr="00C22E53" w:rsidRDefault="00161AC5" w:rsidP="00161AC5">
      <w:pPr>
        <w:rPr>
          <w:szCs w:val="24"/>
        </w:rPr>
      </w:pPr>
      <w:r w:rsidRPr="00C22E53">
        <w:rPr>
          <w:szCs w:val="24"/>
        </w:rPr>
        <w:t>Section 18 of the Act, however, provides that in some circumstances such consultation may be 'unnecessary or inappropriate'.</w:t>
      </w:r>
    </w:p>
    <w:p w:rsidR="00161AC5" w:rsidRPr="00241303" w:rsidRDefault="00161AC5" w:rsidP="00161AC5">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161AC5" w:rsidRPr="00241303" w:rsidRDefault="00161AC5" w:rsidP="00161AC5">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161AC5" w:rsidRPr="00C22E53" w:rsidRDefault="00161AC5" w:rsidP="00161AC5">
      <w:pPr>
        <w:rPr>
          <w:szCs w:val="24"/>
        </w:rPr>
      </w:pPr>
      <w:r w:rsidRPr="00C22E53">
        <w:rPr>
          <w:szCs w:val="24"/>
        </w:rPr>
        <w:t>If a RIS or similar assessment has been prepared, it should be provided to the committee along with the ES.</w:t>
      </w:r>
    </w:p>
    <w:p w:rsidR="00161AC5" w:rsidRPr="00C22E53" w:rsidRDefault="00161AC5" w:rsidP="00161AC5">
      <w:pPr>
        <w:pStyle w:val="Heading3"/>
        <w:spacing w:after="120"/>
      </w:pPr>
      <w:r w:rsidRPr="00C22E53">
        <w:t>Describing the nature of consultation</w:t>
      </w:r>
    </w:p>
    <w:p w:rsidR="00161AC5" w:rsidRPr="00C22E53" w:rsidRDefault="00161AC5" w:rsidP="00161AC5">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161AC5" w:rsidRDefault="00161AC5" w:rsidP="00161AC5">
      <w:pPr>
        <w:rPr>
          <w:szCs w:val="24"/>
        </w:rPr>
      </w:pPr>
      <w:r w:rsidRPr="00C22E53">
        <w:rPr>
          <w:szCs w:val="24"/>
        </w:rPr>
        <w:t>Where consultation has taken place, the ES to an instrument should set out the following information:</w:t>
      </w:r>
    </w:p>
    <w:p w:rsidR="00161AC5" w:rsidRDefault="00161AC5" w:rsidP="00161AC5">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161AC5" w:rsidRDefault="00161AC5" w:rsidP="00161AC5">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161AC5" w:rsidRPr="00241303" w:rsidRDefault="00161AC5" w:rsidP="00161AC5">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161AC5" w:rsidRPr="00C22E53" w:rsidRDefault="00161AC5" w:rsidP="00161AC5">
      <w:pPr>
        <w:pStyle w:val="Heading3"/>
        <w:spacing w:after="120"/>
      </w:pPr>
      <w:r w:rsidRPr="00C22E53">
        <w:t>Explaining why consultation has not been undertaken</w:t>
      </w:r>
    </w:p>
    <w:p w:rsidR="00161AC5" w:rsidRPr="00C22E53" w:rsidRDefault="00161AC5" w:rsidP="00161AC5">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161AC5" w:rsidRDefault="00161AC5" w:rsidP="00161AC5">
      <w:pPr>
        <w:spacing w:after="0"/>
        <w:jc w:val="left"/>
        <w:rPr>
          <w:szCs w:val="24"/>
        </w:rPr>
      </w:pPr>
      <w:r>
        <w:rPr>
          <w:szCs w:val="24"/>
        </w:rPr>
        <w:br w:type="page"/>
      </w:r>
    </w:p>
    <w:p w:rsidR="00161AC5" w:rsidRPr="00C22E53" w:rsidRDefault="00161AC5" w:rsidP="00161AC5">
      <w:pPr>
        <w:rPr>
          <w:szCs w:val="24"/>
        </w:rPr>
      </w:pPr>
      <w:r w:rsidRPr="00C22E53">
        <w:rPr>
          <w:szCs w:val="24"/>
        </w:rPr>
        <w:lastRenderedPageBreak/>
        <w:t>In explaining why no consultation has taken place, it is important to note the following considerations:</w:t>
      </w:r>
    </w:p>
    <w:p w:rsidR="00161AC5" w:rsidRPr="00241303" w:rsidRDefault="00161AC5" w:rsidP="00161AC5">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161AC5" w:rsidRPr="00C22E53" w:rsidRDefault="00161AC5" w:rsidP="00161AC5">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161AC5" w:rsidRDefault="00161AC5" w:rsidP="00161AC5">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161AC5" w:rsidRPr="00C22E53" w:rsidRDefault="00161AC5" w:rsidP="00161AC5">
      <w:pPr>
        <w:pStyle w:val="Heading3"/>
        <w:spacing w:after="120"/>
      </w:pPr>
      <w:r w:rsidRPr="00C22E53">
        <w:t>Seeking further advice or information</w:t>
      </w:r>
    </w:p>
    <w:p w:rsidR="00161AC5" w:rsidRDefault="00161AC5" w:rsidP="00161AC5">
      <w:pPr>
        <w:rPr>
          <w:szCs w:val="24"/>
        </w:rPr>
      </w:pPr>
      <w:r w:rsidRPr="00C22E53">
        <w:rPr>
          <w:szCs w:val="24"/>
        </w:rPr>
        <w:t xml:space="preserve">Further information is available through the committee's website at </w:t>
      </w:r>
      <w:hyperlink r:id="rId44"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161AC5" w:rsidRDefault="00161AC5" w:rsidP="00161AC5">
      <w:pPr>
        <w:spacing w:after="0"/>
        <w:ind w:left="720"/>
        <w:rPr>
          <w:szCs w:val="24"/>
        </w:rPr>
      </w:pPr>
      <w:r w:rsidRPr="00C22E53">
        <w:rPr>
          <w:szCs w:val="24"/>
        </w:rPr>
        <w:t>Committee Secretary</w:t>
      </w:r>
    </w:p>
    <w:p w:rsidR="00161AC5" w:rsidRPr="00C22E53" w:rsidRDefault="00161AC5" w:rsidP="00161AC5">
      <w:pPr>
        <w:spacing w:after="0"/>
        <w:ind w:left="720"/>
        <w:rPr>
          <w:szCs w:val="24"/>
        </w:rPr>
      </w:pPr>
      <w:r w:rsidRPr="00C22E53">
        <w:rPr>
          <w:szCs w:val="24"/>
        </w:rPr>
        <w:t>Senate Regulations and Ordinances Committee</w:t>
      </w:r>
    </w:p>
    <w:p w:rsidR="00161AC5" w:rsidRPr="00C22E53" w:rsidRDefault="00161AC5" w:rsidP="00161AC5">
      <w:pPr>
        <w:spacing w:after="0"/>
        <w:ind w:left="720"/>
        <w:rPr>
          <w:szCs w:val="24"/>
        </w:rPr>
      </w:pPr>
      <w:r w:rsidRPr="00C22E53">
        <w:rPr>
          <w:szCs w:val="24"/>
        </w:rPr>
        <w:t>PO Box 6100</w:t>
      </w:r>
    </w:p>
    <w:p w:rsidR="00161AC5" w:rsidRPr="00C22E53" w:rsidRDefault="00161AC5" w:rsidP="00161AC5">
      <w:pPr>
        <w:spacing w:after="0"/>
        <w:ind w:left="720"/>
        <w:rPr>
          <w:szCs w:val="24"/>
        </w:rPr>
      </w:pPr>
      <w:r w:rsidRPr="00C22E53">
        <w:rPr>
          <w:szCs w:val="24"/>
        </w:rPr>
        <w:t>Parliament House</w:t>
      </w:r>
    </w:p>
    <w:p w:rsidR="00161AC5" w:rsidRDefault="00161AC5" w:rsidP="00161AC5">
      <w:pPr>
        <w:spacing w:after="0"/>
        <w:ind w:left="720"/>
        <w:rPr>
          <w:szCs w:val="24"/>
        </w:rPr>
      </w:pPr>
      <w:r w:rsidRPr="00C22E53">
        <w:rPr>
          <w:szCs w:val="24"/>
        </w:rPr>
        <w:t>Canberra ACT 2600</w:t>
      </w:r>
    </w:p>
    <w:p w:rsidR="00161AC5" w:rsidRDefault="00161AC5" w:rsidP="00161AC5">
      <w:pPr>
        <w:spacing w:after="0"/>
        <w:ind w:left="720"/>
        <w:rPr>
          <w:szCs w:val="24"/>
        </w:rPr>
      </w:pPr>
      <w:r w:rsidRPr="00C22E53">
        <w:rPr>
          <w:szCs w:val="24"/>
        </w:rPr>
        <w:t>Australia</w:t>
      </w:r>
    </w:p>
    <w:p w:rsidR="00161AC5" w:rsidRPr="00C22E53" w:rsidRDefault="00161AC5" w:rsidP="00161AC5">
      <w:pPr>
        <w:spacing w:after="60"/>
        <w:ind w:left="720"/>
        <w:rPr>
          <w:szCs w:val="24"/>
        </w:rPr>
      </w:pPr>
    </w:p>
    <w:p w:rsidR="00161AC5" w:rsidRPr="00C22E53" w:rsidRDefault="00161AC5" w:rsidP="00161AC5">
      <w:pPr>
        <w:spacing w:after="0"/>
        <w:ind w:left="720"/>
        <w:rPr>
          <w:szCs w:val="24"/>
        </w:rPr>
      </w:pPr>
      <w:r w:rsidRPr="00C22E53">
        <w:rPr>
          <w:szCs w:val="24"/>
        </w:rPr>
        <w:t xml:space="preserve">Phone: +61 2 6277 3066 </w:t>
      </w:r>
    </w:p>
    <w:p w:rsidR="00161AC5" w:rsidRPr="00C22E53" w:rsidRDefault="00161AC5" w:rsidP="00161AC5">
      <w:pPr>
        <w:spacing w:after="0"/>
        <w:ind w:left="720"/>
        <w:rPr>
          <w:szCs w:val="24"/>
        </w:rPr>
      </w:pPr>
      <w:r w:rsidRPr="00C22E53">
        <w:rPr>
          <w:szCs w:val="24"/>
        </w:rPr>
        <w:t xml:space="preserve">Fax: +61 2 6277 5881 </w:t>
      </w:r>
    </w:p>
    <w:p w:rsidR="00161AC5" w:rsidRPr="00C22E53" w:rsidRDefault="00161AC5" w:rsidP="00161AC5">
      <w:pPr>
        <w:spacing w:after="0"/>
        <w:ind w:left="720"/>
        <w:rPr>
          <w:szCs w:val="24"/>
        </w:rPr>
      </w:pPr>
      <w:r w:rsidRPr="00C22E53">
        <w:rPr>
          <w:szCs w:val="24"/>
        </w:rPr>
        <w:t xml:space="preserve">Email: </w:t>
      </w:r>
      <w:hyperlink r:id="rId45" w:history="1">
        <w:r w:rsidRPr="00C22E53">
          <w:rPr>
            <w:rStyle w:val="Hyperlink"/>
            <w:szCs w:val="24"/>
          </w:rPr>
          <w:t>RegOrds.Sen@aph.gov.au</w:t>
        </w:r>
      </w:hyperlink>
    </w:p>
    <w:p w:rsidR="00161AC5" w:rsidRPr="00520991" w:rsidRDefault="00161AC5" w:rsidP="00325264"/>
    <w:sectPr w:rsidR="00161AC5" w:rsidRPr="00520991" w:rsidSect="004815F0">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pgNumType w:start="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2E7AE8">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E7AE8">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E7AE8">
    <w:pPr>
      <w:pStyle w:val="Footer"/>
      <w:tabs>
        <w:tab w:val="clear" w:pos="4153"/>
        <w:tab w:val="clear" w:pos="8306"/>
        <w:tab w:val="right" w:pos="900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E7AE8">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E7AE8">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E7AE8">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2E7AE8" w:rsidP="00683454">
    <w:pPr>
      <w:pStyle w:val="Footer"/>
      <w:jc w:val="center"/>
    </w:pPr>
  </w:p>
  <w:p w:rsidR="00683454" w:rsidRDefault="002E7AE8" w:rsidP="00683454">
    <w:pPr>
      <w:pStyle w:val="Footer"/>
      <w:jc w:val="center"/>
    </w:pPr>
  </w:p>
  <w:p w:rsidR="00683454" w:rsidRDefault="002E7AE8" w:rsidP="00683454">
    <w:pPr>
      <w:pStyle w:val="Footer"/>
      <w:jc w:val="center"/>
    </w:pPr>
  </w:p>
  <w:p w:rsidR="00683454" w:rsidRDefault="002E7AE8" w:rsidP="00683454">
    <w:pPr>
      <w:pStyle w:val="Footer"/>
      <w:jc w:val="center"/>
    </w:pPr>
  </w:p>
  <w:p w:rsidR="00683454" w:rsidRDefault="002E7AE8" w:rsidP="00683454">
    <w:pPr>
      <w:pStyle w:val="Footer"/>
      <w:jc w:val="center"/>
    </w:pPr>
  </w:p>
  <w:p w:rsidR="00683454" w:rsidRPr="00A4061E" w:rsidRDefault="00161AC5"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sidR="002E7AE8">
      <w:rPr>
        <w:noProof/>
        <w:color w:val="FFFFFF" w:themeColor="background1"/>
      </w:rPr>
      <w:t>iv</w:t>
    </w:r>
    <w:r w:rsidRPr="00A4061E">
      <w:rPr>
        <w:noProof/>
        <w:color w:val="FFFFFF" w:themeColor="background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161AC5">
    <w:pPr>
      <w:pStyle w:val="Footer"/>
      <w:jc w:val="center"/>
    </w:pPr>
    <w:r>
      <w:fldChar w:fldCharType="begin"/>
    </w:r>
    <w:r>
      <w:instrText xml:space="preserve"> PAGE   \* MERGEFORMAT </w:instrText>
    </w:r>
    <w:r>
      <w:fldChar w:fldCharType="separate"/>
    </w:r>
    <w:r w:rsidR="002E7AE8">
      <w:rPr>
        <w:noProof/>
      </w:rPr>
      <w:t>iii</w:t>
    </w:r>
    <w:r>
      <w:rPr>
        <w:noProof/>
      </w:rPr>
      <w:fldChar w:fldCharType="end"/>
    </w:r>
  </w:p>
  <w:p w:rsidR="00683454" w:rsidRDefault="002E7AE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17174"/>
      <w:docPartObj>
        <w:docPartGallery w:val="Page Numbers (Bottom of Page)"/>
        <w:docPartUnique/>
      </w:docPartObj>
    </w:sdtPr>
    <w:sdtEndPr>
      <w:rPr>
        <w:noProof/>
      </w:rPr>
    </w:sdtEndPr>
    <w:sdtContent>
      <w:p w:rsidR="003A5592" w:rsidRDefault="00161AC5">
        <w:pPr>
          <w:pStyle w:val="Footer"/>
          <w:jc w:val="center"/>
        </w:pPr>
        <w:r>
          <w:fldChar w:fldCharType="begin"/>
        </w:r>
        <w:r>
          <w:instrText xml:space="preserve"> PAGE   \* MERGEFORMAT </w:instrText>
        </w:r>
        <w:r>
          <w:fldChar w:fldCharType="separate"/>
        </w:r>
        <w:r w:rsidR="002E7AE8">
          <w:rPr>
            <w:noProof/>
          </w:rPr>
          <w:t>viii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2E7AE8">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228110"/>
      <w:docPartObj>
        <w:docPartGallery w:val="Page Numbers (Bottom of Page)"/>
        <w:docPartUnique/>
      </w:docPartObj>
    </w:sdtPr>
    <w:sdtEndPr>
      <w:rPr>
        <w:noProof/>
      </w:rPr>
    </w:sdtEndPr>
    <w:sdtContent>
      <w:p w:rsidR="003A5592" w:rsidRDefault="00161AC5">
        <w:pPr>
          <w:pStyle w:val="Footer"/>
          <w:jc w:val="center"/>
        </w:pPr>
        <w:r>
          <w:fldChar w:fldCharType="begin"/>
        </w:r>
        <w:r>
          <w:instrText xml:space="preserve"> PAGE   \* MERGEFORMAT </w:instrText>
        </w:r>
        <w:r>
          <w:fldChar w:fldCharType="separate"/>
        </w:r>
        <w:r w:rsidR="002E7AE8">
          <w:rPr>
            <w:noProof/>
          </w:rPr>
          <w:t>vii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E7AE8">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2B3CA6" w:rsidRPr="00ED4CC3" w:rsidRDefault="002B3CA6" w:rsidP="002B3CA6">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2B3CA6" w:rsidRPr="00DB17B5" w:rsidRDefault="002B3CA6" w:rsidP="002B3CA6">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2B3CA6" w:rsidRPr="000E553A" w:rsidRDefault="002B3CA6" w:rsidP="002B3CA6">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2B3CA6" w:rsidRPr="00194B2F" w:rsidRDefault="002B3CA6" w:rsidP="002B3CA6">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2B3CA6" w:rsidRPr="000274A0" w:rsidRDefault="002B3CA6" w:rsidP="002B3CA6">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2B3CA6" w:rsidRPr="00E35D4F" w:rsidRDefault="002B3CA6" w:rsidP="002B3CA6">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161AC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2E7AE8">
      <w:rPr>
        <w:noProof/>
      </w:rPr>
      <w:t>7</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161AC5">
    <w:pPr>
      <w:pStyle w:val="Header"/>
      <w:tabs>
        <w:tab w:val="clear" w:pos="8306"/>
        <w:tab w:val="right" w:pos="9000"/>
      </w:tabs>
    </w:pPr>
    <w:r>
      <w:tab/>
    </w:r>
    <w:r>
      <w:fldChar w:fldCharType="begin"/>
    </w:r>
    <w:r>
      <w:instrText xml:space="preserve"> PAGE </w:instrText>
    </w:r>
    <w:r>
      <w:fldChar w:fldCharType="separate"/>
    </w:r>
    <w:r w:rsidR="002E7AE8">
      <w:rPr>
        <w:noProof/>
      </w:rPr>
      <w:t>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161AC5">
    <w:pPr>
      <w:pStyle w:val="Header"/>
      <w:pBdr>
        <w:bottom w:val="single" w:sz="4" w:space="1" w:color="auto"/>
      </w:pBdr>
      <w:tabs>
        <w:tab w:val="clear" w:pos="8306"/>
        <w:tab w:val="right" w:pos="9000"/>
      </w:tabs>
    </w:pPr>
    <w:r>
      <w:fldChar w:fldCharType="begin"/>
    </w:r>
    <w:r>
      <w:instrText xml:space="preserve"> PAGE </w:instrText>
    </w:r>
    <w:r>
      <w:fldChar w:fldCharType="separate"/>
    </w:r>
    <w:r w:rsidR="002E7AE8">
      <w:rPr>
        <w:noProof/>
      </w:rPr>
      <w:t>14</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61AC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2E7AE8">
      <w:rPr>
        <w:noProof/>
      </w:rPr>
      <w:t>13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61AC5">
    <w:pPr>
      <w:pStyle w:val="Header"/>
      <w:tabs>
        <w:tab w:val="clear" w:pos="8306"/>
        <w:tab w:val="right" w:pos="9000"/>
      </w:tabs>
    </w:pPr>
    <w:r>
      <w:tab/>
      <w:t>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161AC5" w:rsidRDefault="00C77954" w:rsidP="00161AC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61AC5">
      <w:fldChar w:fldCharType="begin"/>
    </w:r>
    <w:r w:rsidR="00161AC5">
      <w:instrText xml:space="preserve"> PAGE </w:instrText>
    </w:r>
    <w:r w:rsidR="00161AC5">
      <w:fldChar w:fldCharType="separate"/>
    </w:r>
    <w:r>
      <w:rPr>
        <w:noProof/>
      </w:rPr>
      <w:t>3</w:t>
    </w:r>
    <w:r w:rsidR="00161AC5">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61AC5">
      <w:t>15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61AC5">
    <w:pPr>
      <w:pStyle w:val="Header"/>
      <w:pBdr>
        <w:bottom w:val="single" w:sz="4" w:space="1" w:color="auto"/>
      </w:pBdr>
      <w:tabs>
        <w:tab w:val="clear" w:pos="8306"/>
        <w:tab w:val="right" w:pos="9000"/>
      </w:tabs>
    </w:pPr>
    <w:r>
      <w:fldChar w:fldCharType="begin"/>
    </w:r>
    <w:r>
      <w:instrText xml:space="preserve"> PAGE </w:instrText>
    </w:r>
    <w:r>
      <w:fldChar w:fldCharType="separate"/>
    </w:r>
    <w:r w:rsidR="002E7AE8">
      <w:rPr>
        <w:noProof/>
      </w:rPr>
      <w:t>20</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61AC5">
      <w:fldChar w:fldCharType="begin"/>
    </w:r>
    <w:r w:rsidR="00161AC5">
      <w:instrText xml:space="preserve"> PAGE </w:instrText>
    </w:r>
    <w:r w:rsidR="00161AC5">
      <w:fldChar w:fldCharType="separate"/>
    </w:r>
    <w:r w:rsidR="002E7AE8">
      <w:rPr>
        <w:noProof/>
      </w:rPr>
      <w:t>21</w:t>
    </w:r>
    <w:r w:rsidR="00161AC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61AC5">
      <w:fldChar w:fldCharType="begin"/>
    </w:r>
    <w:r w:rsidR="00161AC5">
      <w:instrText xml:space="preserve"> PAGE </w:instrText>
    </w:r>
    <w:r w:rsidR="00161AC5">
      <w:fldChar w:fldCharType="separate"/>
    </w:r>
    <w:r w:rsidR="002E7AE8">
      <w:rPr>
        <w:noProof/>
      </w:rPr>
      <w:t>19</w:t>
    </w:r>
    <w:r w:rsidR="00161AC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6" w:rsidRPr="00F710D5" w:rsidRDefault="002B3CA6" w:rsidP="00D2688E">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A6" w:rsidRDefault="002B3CA6" w:rsidP="00D2688E">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2E7AE8" w:rsidP="007E6842">
    <w:pPr>
      <w:pStyle w:val="Header"/>
      <w:tabs>
        <w:tab w:val="clear" w:pos="8306"/>
        <w:tab w:val="right" w:pos="90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2B3CA6" w:rsidRDefault="002E7AE8" w:rsidP="002B3CA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161AC5">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161AC5">
    <w:pPr>
      <w:pStyle w:val="Header"/>
      <w:pBdr>
        <w:bottom w:val="single" w:sz="4" w:space="1" w:color="auto"/>
      </w:pBdr>
      <w:tabs>
        <w:tab w:val="clear" w:pos="8306"/>
        <w:tab w:val="right" w:pos="9000"/>
      </w:tabs>
    </w:pPr>
    <w:r>
      <w:fldChar w:fldCharType="begin"/>
    </w:r>
    <w:r>
      <w:instrText xml:space="preserve"> PAGE </w:instrText>
    </w:r>
    <w:r>
      <w:fldChar w:fldCharType="separate"/>
    </w:r>
    <w:r w:rsidR="002E7AE8">
      <w:rPr>
        <w:noProof/>
      </w:rPr>
      <w:t>8</w:t>
    </w:r>
    <w:r>
      <w:rPr>
        <w:noProof/>
      </w:rPr>
      <w:fldChar w:fldCharType="end"/>
    </w:r>
    <w:r w:rsidRPr="007E5241">
      <w:rPr>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B840E6AE"/>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C70EDC2E"/>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3D2471F"/>
    <w:multiLevelType w:val="multilevel"/>
    <w:tmpl w:val="F094FE5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13"/>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61AC5"/>
    <w:rsid w:val="0018124A"/>
    <w:rsid w:val="00194588"/>
    <w:rsid w:val="00296ADC"/>
    <w:rsid w:val="002B3CA6"/>
    <w:rsid w:val="002E7AE8"/>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4599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16DAA"/>
    <w:rsid w:val="00A31357"/>
    <w:rsid w:val="00A661EE"/>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2E7AE8"/>
    <w:pPr>
      <w:keepNext/>
      <w:numPr>
        <w:ilvl w:val="3"/>
        <w:numId w:val="32"/>
      </w:numPr>
      <w:outlineLvl w:val="3"/>
    </w:pPr>
    <w:rPr>
      <w:b/>
      <w:i/>
    </w:rPr>
  </w:style>
  <w:style w:type="paragraph" w:styleId="Heading5">
    <w:name w:val="heading 5"/>
    <w:basedOn w:val="Normal"/>
    <w:next w:val="Normal"/>
    <w:qFormat/>
    <w:rsid w:val="002E7AE8"/>
    <w:pPr>
      <w:keepNext/>
      <w:numPr>
        <w:ilvl w:val="4"/>
        <w:numId w:val="32"/>
      </w:numPr>
      <w:jc w:val="left"/>
      <w:outlineLvl w:val="4"/>
    </w:pPr>
    <w:rPr>
      <w:i/>
    </w:rPr>
  </w:style>
  <w:style w:type="paragraph" w:styleId="Heading6">
    <w:name w:val="heading 6"/>
    <w:basedOn w:val="Normal"/>
    <w:next w:val="Normal"/>
    <w:qFormat/>
    <w:locked/>
    <w:rsid w:val="002E7AE8"/>
    <w:pPr>
      <w:numPr>
        <w:ilvl w:val="5"/>
        <w:numId w:val="32"/>
      </w:numPr>
      <w:spacing w:before="240" w:after="60"/>
      <w:outlineLvl w:val="5"/>
    </w:pPr>
    <w:rPr>
      <w:i/>
      <w:sz w:val="22"/>
    </w:rPr>
  </w:style>
  <w:style w:type="paragraph" w:styleId="Heading7">
    <w:name w:val="heading 7"/>
    <w:basedOn w:val="Normal"/>
    <w:next w:val="Normal"/>
    <w:qFormat/>
    <w:locked/>
    <w:rsid w:val="002E7AE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E7AE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E7AE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E7AE8"/>
    <w:pPr>
      <w:numPr>
        <w:numId w:val="32"/>
      </w:numPr>
    </w:pPr>
  </w:style>
  <w:style w:type="paragraph" w:customStyle="1" w:styleId="Level2">
    <w:name w:val="Level2"/>
    <w:basedOn w:val="Normal"/>
    <w:rsid w:val="002E7AE8"/>
    <w:pPr>
      <w:numPr>
        <w:ilvl w:val="1"/>
        <w:numId w:val="32"/>
      </w:numPr>
    </w:pPr>
  </w:style>
  <w:style w:type="paragraph" w:customStyle="1" w:styleId="Level3">
    <w:name w:val="Level3"/>
    <w:basedOn w:val="Normal"/>
    <w:link w:val="Level3Char"/>
    <w:rsid w:val="002E7AE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E7AE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FootnoteTextChar">
    <w:name w:val="Footnote Text Char"/>
    <w:basedOn w:val="DefaultParagraphFont"/>
    <w:link w:val="FootnoteText"/>
    <w:rsid w:val="002B3CA6"/>
    <w:rPr>
      <w:sz w:val="22"/>
      <w:lang w:eastAsia="en-US"/>
    </w:rPr>
  </w:style>
  <w:style w:type="character" w:customStyle="1" w:styleId="HeaderChar">
    <w:name w:val="Header Char"/>
    <w:basedOn w:val="DefaultParagraphFont"/>
    <w:link w:val="Header"/>
    <w:semiHidden/>
    <w:rsid w:val="002B3CA6"/>
    <w:rPr>
      <w:rFonts w:ascii="Times New Roman" w:hAnsi="Times New Roman"/>
      <w:sz w:val="22"/>
      <w:lang w:eastAsia="en-US"/>
    </w:rPr>
  </w:style>
  <w:style w:type="character" w:customStyle="1" w:styleId="QuoteChar">
    <w:name w:val="Quote Char"/>
    <w:basedOn w:val="DefaultParagraphFont"/>
    <w:link w:val="Quote"/>
    <w:rsid w:val="002B3CA6"/>
    <w:rPr>
      <w:rFonts w:ascii="Times New Roman" w:hAnsi="Times New Roman"/>
      <w:sz w:val="24"/>
      <w:lang w:eastAsia="en-US"/>
    </w:rPr>
  </w:style>
  <w:style w:type="character" w:customStyle="1" w:styleId="Heading1Char">
    <w:name w:val="Heading 1 Char"/>
    <w:basedOn w:val="DefaultParagraphFont"/>
    <w:link w:val="Heading1"/>
    <w:rsid w:val="002B3CA6"/>
    <w:rPr>
      <w:rFonts w:ascii="Times New Roman" w:hAnsi="Times New Roman"/>
      <w:b/>
      <w:kern w:val="28"/>
      <w:sz w:val="40"/>
      <w:lang w:eastAsia="en-US"/>
    </w:rPr>
  </w:style>
  <w:style w:type="character" w:customStyle="1" w:styleId="Heading2Char">
    <w:name w:val="Heading 2 Char"/>
    <w:basedOn w:val="DefaultParagraphFont"/>
    <w:link w:val="Heading2"/>
    <w:rsid w:val="002B3CA6"/>
    <w:rPr>
      <w:rFonts w:ascii="Times New Roman" w:hAnsi="Times New Roman"/>
      <w:b/>
      <w:sz w:val="36"/>
      <w:lang w:eastAsia="en-US"/>
    </w:rPr>
  </w:style>
  <w:style w:type="character" w:customStyle="1" w:styleId="Heading3Char">
    <w:name w:val="Heading 3 Char"/>
    <w:basedOn w:val="DefaultParagraphFont"/>
    <w:link w:val="Heading3"/>
    <w:rsid w:val="002B3CA6"/>
    <w:rPr>
      <w:rFonts w:ascii="Times New Roman" w:hAnsi="Times New Roman"/>
      <w:b/>
      <w:sz w:val="28"/>
      <w:lang w:eastAsia="en-US"/>
    </w:rPr>
  </w:style>
  <w:style w:type="paragraph" w:customStyle="1" w:styleId="JNP2">
    <w:name w:val="JNP2"/>
    <w:basedOn w:val="Normal"/>
    <w:rsid w:val="00A16DAA"/>
    <w:pPr>
      <w:spacing w:after="0"/>
      <w:ind w:left="2268"/>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2E7AE8"/>
    <w:pPr>
      <w:keepNext/>
      <w:numPr>
        <w:ilvl w:val="3"/>
        <w:numId w:val="32"/>
      </w:numPr>
      <w:outlineLvl w:val="3"/>
    </w:pPr>
    <w:rPr>
      <w:b/>
      <w:i/>
    </w:rPr>
  </w:style>
  <w:style w:type="paragraph" w:styleId="Heading5">
    <w:name w:val="heading 5"/>
    <w:basedOn w:val="Normal"/>
    <w:next w:val="Normal"/>
    <w:qFormat/>
    <w:rsid w:val="002E7AE8"/>
    <w:pPr>
      <w:keepNext/>
      <w:numPr>
        <w:ilvl w:val="4"/>
        <w:numId w:val="32"/>
      </w:numPr>
      <w:jc w:val="left"/>
      <w:outlineLvl w:val="4"/>
    </w:pPr>
    <w:rPr>
      <w:i/>
    </w:rPr>
  </w:style>
  <w:style w:type="paragraph" w:styleId="Heading6">
    <w:name w:val="heading 6"/>
    <w:basedOn w:val="Normal"/>
    <w:next w:val="Normal"/>
    <w:qFormat/>
    <w:locked/>
    <w:rsid w:val="002E7AE8"/>
    <w:pPr>
      <w:numPr>
        <w:ilvl w:val="5"/>
        <w:numId w:val="32"/>
      </w:numPr>
      <w:spacing w:before="240" w:after="60"/>
      <w:outlineLvl w:val="5"/>
    </w:pPr>
    <w:rPr>
      <w:i/>
      <w:sz w:val="22"/>
    </w:rPr>
  </w:style>
  <w:style w:type="paragraph" w:styleId="Heading7">
    <w:name w:val="heading 7"/>
    <w:basedOn w:val="Normal"/>
    <w:next w:val="Normal"/>
    <w:qFormat/>
    <w:locked/>
    <w:rsid w:val="002E7AE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E7AE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E7AE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E7AE8"/>
    <w:pPr>
      <w:numPr>
        <w:numId w:val="32"/>
      </w:numPr>
    </w:pPr>
  </w:style>
  <w:style w:type="paragraph" w:customStyle="1" w:styleId="Level2">
    <w:name w:val="Level2"/>
    <w:basedOn w:val="Normal"/>
    <w:rsid w:val="002E7AE8"/>
    <w:pPr>
      <w:numPr>
        <w:ilvl w:val="1"/>
        <w:numId w:val="32"/>
      </w:numPr>
    </w:pPr>
  </w:style>
  <w:style w:type="paragraph" w:customStyle="1" w:styleId="Level3">
    <w:name w:val="Level3"/>
    <w:basedOn w:val="Normal"/>
    <w:link w:val="Level3Char"/>
    <w:rsid w:val="002E7AE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E7AE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FootnoteTextChar">
    <w:name w:val="Footnote Text Char"/>
    <w:basedOn w:val="DefaultParagraphFont"/>
    <w:link w:val="FootnoteText"/>
    <w:rsid w:val="002B3CA6"/>
    <w:rPr>
      <w:sz w:val="22"/>
      <w:lang w:eastAsia="en-US"/>
    </w:rPr>
  </w:style>
  <w:style w:type="character" w:customStyle="1" w:styleId="HeaderChar">
    <w:name w:val="Header Char"/>
    <w:basedOn w:val="DefaultParagraphFont"/>
    <w:link w:val="Header"/>
    <w:semiHidden/>
    <w:rsid w:val="002B3CA6"/>
    <w:rPr>
      <w:rFonts w:ascii="Times New Roman" w:hAnsi="Times New Roman"/>
      <w:sz w:val="22"/>
      <w:lang w:eastAsia="en-US"/>
    </w:rPr>
  </w:style>
  <w:style w:type="character" w:customStyle="1" w:styleId="QuoteChar">
    <w:name w:val="Quote Char"/>
    <w:basedOn w:val="DefaultParagraphFont"/>
    <w:link w:val="Quote"/>
    <w:rsid w:val="002B3CA6"/>
    <w:rPr>
      <w:rFonts w:ascii="Times New Roman" w:hAnsi="Times New Roman"/>
      <w:sz w:val="24"/>
      <w:lang w:eastAsia="en-US"/>
    </w:rPr>
  </w:style>
  <w:style w:type="character" w:customStyle="1" w:styleId="Heading1Char">
    <w:name w:val="Heading 1 Char"/>
    <w:basedOn w:val="DefaultParagraphFont"/>
    <w:link w:val="Heading1"/>
    <w:rsid w:val="002B3CA6"/>
    <w:rPr>
      <w:rFonts w:ascii="Times New Roman" w:hAnsi="Times New Roman"/>
      <w:b/>
      <w:kern w:val="28"/>
      <w:sz w:val="40"/>
      <w:lang w:eastAsia="en-US"/>
    </w:rPr>
  </w:style>
  <w:style w:type="character" w:customStyle="1" w:styleId="Heading2Char">
    <w:name w:val="Heading 2 Char"/>
    <w:basedOn w:val="DefaultParagraphFont"/>
    <w:link w:val="Heading2"/>
    <w:rsid w:val="002B3CA6"/>
    <w:rPr>
      <w:rFonts w:ascii="Times New Roman" w:hAnsi="Times New Roman"/>
      <w:b/>
      <w:sz w:val="36"/>
      <w:lang w:eastAsia="en-US"/>
    </w:rPr>
  </w:style>
  <w:style w:type="character" w:customStyle="1" w:styleId="Heading3Char">
    <w:name w:val="Heading 3 Char"/>
    <w:basedOn w:val="DefaultParagraphFont"/>
    <w:link w:val="Heading3"/>
    <w:rsid w:val="002B3CA6"/>
    <w:rPr>
      <w:rFonts w:ascii="Times New Roman" w:hAnsi="Times New Roman"/>
      <w:b/>
      <w:sz w:val="28"/>
      <w:lang w:eastAsia="en-US"/>
    </w:rPr>
  </w:style>
  <w:style w:type="paragraph" w:customStyle="1" w:styleId="JNP2">
    <w:name w:val="JNP2"/>
    <w:basedOn w:val="Normal"/>
    <w:rsid w:val="00A16DAA"/>
    <w:pPr>
      <w:spacing w:after="0"/>
      <w:ind w:left="226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yperlink" Target="http://www.comlaw.gov.au/Details/C2012C00041" TargetMode="External"/><Relationship Id="rId47" Type="http://schemas.openxmlformats.org/officeDocument/2006/relationships/header" Target="header19.xml"/><Relationship Id="rId50"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yperlink" Target="mailto:RegOrds.Sen@aph.gov.a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yperlink" Target="http://www.aph.gov.au/Parliamentary_Business/Committees/Senate/Regulations_and_Ordinances%2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yperlink" Target="http://www.aph.gov.au/Parliamentary_Business/Committees/Senate_Committees?url=regord_ctte/alert2012.htm" TargetMode="External"/><Relationship Id="rId48" Type="http://schemas.openxmlformats.org/officeDocument/2006/relationships/footer" Target="footer18.xml"/><Relationship Id="rId8" Type="http://schemas.openxmlformats.org/officeDocument/2006/relationships/header" Target="header1.xml"/><Relationship Id="rId51" Type="http://schemas.openxmlformats.org/officeDocument/2006/relationships/footer" Target="footer20.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5</TotalTime>
  <Pages>25</Pages>
  <Words>5788</Words>
  <Characters>34083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4</cp:revision>
  <dcterms:created xsi:type="dcterms:W3CDTF">2015-11-25T01:20:00Z</dcterms:created>
  <dcterms:modified xsi:type="dcterms:W3CDTF">2015-11-25T02:59:00Z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