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sidR="00E43D1F">
        <w:rPr>
          <w:sz w:val="24"/>
          <w:szCs w:val="24"/>
        </w:rPr>
        <w:t>3</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E43D1F">
        <w:rPr>
          <w:sz w:val="28"/>
        </w:rPr>
        <w:t>13</w:t>
      </w:r>
      <w:r w:rsidR="009A4604">
        <w:rPr>
          <w:sz w:val="28"/>
        </w:rPr>
        <w:t xml:space="preserve"> </w:t>
      </w:r>
      <w:r w:rsidR="00E43D1F">
        <w:rPr>
          <w:sz w:val="28"/>
        </w:rPr>
        <w:t>October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122D9B" w:rsidRDefault="00122D9B" w:rsidP="00325264">
      <w:pPr>
        <w:sectPr w:rsidR="00122D9B"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122D9B" w:rsidRDefault="00122D9B" w:rsidP="00122D9B">
      <w:pPr>
        <w:pStyle w:val="Heading1"/>
      </w:pPr>
      <w:bookmarkStart w:id="0" w:name="_Toc340231481"/>
      <w:r>
        <w:lastRenderedPageBreak/>
        <w:t>Membership of the committee</w:t>
      </w:r>
      <w:bookmarkEnd w:id="0"/>
    </w:p>
    <w:p w:rsidR="00122D9B" w:rsidRDefault="00122D9B" w:rsidP="00122D9B">
      <w:pPr>
        <w:spacing w:after="0"/>
      </w:pPr>
    </w:p>
    <w:p w:rsidR="00122D9B" w:rsidRDefault="00122D9B" w:rsidP="00122D9B">
      <w:pPr>
        <w:spacing w:after="0"/>
      </w:pPr>
    </w:p>
    <w:p w:rsidR="00122D9B" w:rsidRDefault="00122D9B" w:rsidP="00122D9B">
      <w:pPr>
        <w:spacing w:after="0"/>
      </w:pPr>
    </w:p>
    <w:p w:rsidR="00122D9B" w:rsidRDefault="00122D9B" w:rsidP="00122D9B">
      <w:pPr>
        <w:spacing w:after="0"/>
      </w:pPr>
    </w:p>
    <w:p w:rsidR="00122D9B" w:rsidRDefault="00122D9B" w:rsidP="00122D9B">
      <w:pPr>
        <w:spacing w:after="0"/>
      </w:pPr>
    </w:p>
    <w:p w:rsidR="00122D9B" w:rsidRPr="008A46B0" w:rsidRDefault="00122D9B" w:rsidP="00122D9B">
      <w:pPr>
        <w:tabs>
          <w:tab w:val="left" w:pos="4536"/>
        </w:tabs>
        <w:outlineLvl w:val="0"/>
        <w:rPr>
          <w:b/>
        </w:rPr>
      </w:pPr>
      <w:bookmarkStart w:id="1" w:name="_Toc340231482"/>
      <w:r>
        <w:rPr>
          <w:b/>
        </w:rPr>
        <w:t>Current m</w:t>
      </w:r>
      <w:r w:rsidRPr="008A46B0">
        <w:rPr>
          <w:b/>
        </w:rPr>
        <w:t>embers</w:t>
      </w:r>
      <w:bookmarkEnd w:id="1"/>
    </w:p>
    <w:p w:rsidR="00122D9B" w:rsidRPr="001F6A19" w:rsidRDefault="00122D9B" w:rsidP="00122D9B">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122D9B" w:rsidRPr="001F6A19" w:rsidRDefault="00122D9B" w:rsidP="00122D9B">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122D9B" w:rsidRPr="001F6A19" w:rsidRDefault="00122D9B" w:rsidP="00122D9B">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122D9B" w:rsidRPr="001F6A19" w:rsidRDefault="00122D9B" w:rsidP="00122D9B">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122D9B" w:rsidRDefault="00122D9B" w:rsidP="00122D9B">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122D9B" w:rsidRDefault="00122D9B" w:rsidP="00122D9B">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122D9B" w:rsidRDefault="00122D9B" w:rsidP="00122D9B">
      <w:pPr>
        <w:spacing w:after="0"/>
        <w:rPr>
          <w:sz w:val="24"/>
          <w:szCs w:val="24"/>
        </w:rPr>
      </w:pPr>
    </w:p>
    <w:p w:rsidR="00122D9B" w:rsidRDefault="00122D9B" w:rsidP="00122D9B">
      <w:pPr>
        <w:spacing w:after="0"/>
        <w:rPr>
          <w:sz w:val="24"/>
          <w:szCs w:val="24"/>
        </w:rPr>
      </w:pPr>
    </w:p>
    <w:p w:rsidR="00122D9B" w:rsidRDefault="00122D9B" w:rsidP="00122D9B">
      <w:pPr>
        <w:spacing w:after="0"/>
        <w:rPr>
          <w:sz w:val="24"/>
          <w:szCs w:val="24"/>
        </w:rPr>
      </w:pPr>
    </w:p>
    <w:p w:rsidR="00122D9B" w:rsidRDefault="00122D9B" w:rsidP="00122D9B">
      <w:pPr>
        <w:spacing w:after="0"/>
        <w:rPr>
          <w:sz w:val="24"/>
          <w:szCs w:val="24"/>
        </w:rPr>
      </w:pPr>
    </w:p>
    <w:p w:rsidR="00122D9B" w:rsidRDefault="00122D9B" w:rsidP="00122D9B">
      <w:pPr>
        <w:spacing w:after="0"/>
        <w:rPr>
          <w:sz w:val="24"/>
          <w:szCs w:val="24"/>
        </w:rPr>
      </w:pPr>
    </w:p>
    <w:p w:rsidR="00122D9B" w:rsidRPr="00BE73BD" w:rsidRDefault="00122D9B" w:rsidP="00122D9B">
      <w:pPr>
        <w:rPr>
          <w:b/>
        </w:rPr>
      </w:pPr>
      <w:bookmarkStart w:id="2" w:name="_Toc340231484"/>
      <w:r w:rsidRPr="00BE73BD">
        <w:rPr>
          <w:b/>
        </w:rPr>
        <w:t>Secretariat</w:t>
      </w:r>
      <w:bookmarkEnd w:id="2"/>
    </w:p>
    <w:p w:rsidR="00122D9B" w:rsidRPr="00BE73BD" w:rsidRDefault="00122D9B" w:rsidP="00122D9B">
      <w:pPr>
        <w:spacing w:after="0"/>
        <w:rPr>
          <w:sz w:val="24"/>
          <w:szCs w:val="24"/>
        </w:rPr>
      </w:pPr>
      <w:bookmarkStart w:id="3" w:name="_Toc340231485"/>
      <w:r w:rsidRPr="00BE73BD">
        <w:rPr>
          <w:sz w:val="24"/>
          <w:szCs w:val="24"/>
        </w:rPr>
        <w:t>Mr Ivan Powell, Secretary</w:t>
      </w:r>
      <w:bookmarkEnd w:id="3"/>
    </w:p>
    <w:p w:rsidR="00122D9B" w:rsidRPr="00BE73BD" w:rsidRDefault="00122D9B" w:rsidP="00122D9B">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122D9B" w:rsidRDefault="00122D9B" w:rsidP="00122D9B">
      <w:pPr>
        <w:spacing w:after="0"/>
        <w:rPr>
          <w:sz w:val="24"/>
          <w:szCs w:val="24"/>
        </w:rPr>
      </w:pPr>
    </w:p>
    <w:p w:rsidR="00122D9B" w:rsidRDefault="00122D9B" w:rsidP="00122D9B">
      <w:pPr>
        <w:spacing w:after="0"/>
        <w:rPr>
          <w:sz w:val="24"/>
          <w:szCs w:val="24"/>
        </w:rPr>
      </w:pPr>
    </w:p>
    <w:p w:rsidR="00122D9B" w:rsidRDefault="00122D9B" w:rsidP="00122D9B">
      <w:pPr>
        <w:spacing w:after="0"/>
        <w:rPr>
          <w:sz w:val="24"/>
          <w:szCs w:val="24"/>
        </w:rPr>
      </w:pPr>
    </w:p>
    <w:p w:rsidR="00122D9B" w:rsidRPr="007A6AAA" w:rsidRDefault="00122D9B" w:rsidP="00122D9B">
      <w:pPr>
        <w:spacing w:after="0"/>
        <w:rPr>
          <w:sz w:val="24"/>
          <w:szCs w:val="24"/>
        </w:rPr>
      </w:pPr>
    </w:p>
    <w:p w:rsidR="00122D9B" w:rsidRPr="00BE73BD" w:rsidRDefault="00122D9B" w:rsidP="00122D9B">
      <w:pPr>
        <w:rPr>
          <w:b/>
        </w:rPr>
      </w:pPr>
      <w:bookmarkStart w:id="4" w:name="_Toc340231486"/>
      <w:r w:rsidRPr="00BE73BD">
        <w:rPr>
          <w:b/>
        </w:rPr>
        <w:t>Committee legal adviser</w:t>
      </w:r>
      <w:bookmarkEnd w:id="4"/>
    </w:p>
    <w:p w:rsidR="00122D9B" w:rsidRPr="00BE73BD" w:rsidRDefault="00122D9B" w:rsidP="00122D9B">
      <w:pPr>
        <w:rPr>
          <w:sz w:val="24"/>
          <w:szCs w:val="24"/>
        </w:rPr>
      </w:pPr>
      <w:r w:rsidRPr="00BE73BD">
        <w:rPr>
          <w:sz w:val="24"/>
          <w:szCs w:val="24"/>
        </w:rPr>
        <w:t>Mr Stephen Argument</w:t>
      </w:r>
    </w:p>
    <w:p w:rsidR="00122D9B" w:rsidRDefault="00122D9B" w:rsidP="00122D9B">
      <w:pPr>
        <w:spacing w:after="0"/>
        <w:rPr>
          <w:sz w:val="24"/>
          <w:szCs w:val="24"/>
        </w:rPr>
      </w:pPr>
    </w:p>
    <w:p w:rsidR="00122D9B" w:rsidRDefault="00122D9B" w:rsidP="00122D9B">
      <w:pPr>
        <w:spacing w:after="0"/>
        <w:rPr>
          <w:sz w:val="24"/>
          <w:szCs w:val="24"/>
        </w:rPr>
      </w:pPr>
    </w:p>
    <w:p w:rsidR="00122D9B" w:rsidRPr="001B64F3" w:rsidRDefault="00122D9B" w:rsidP="00122D9B">
      <w:pPr>
        <w:spacing w:after="0"/>
        <w:rPr>
          <w:sz w:val="24"/>
          <w:szCs w:val="24"/>
        </w:rPr>
      </w:pPr>
    </w:p>
    <w:p w:rsidR="00122D9B" w:rsidRPr="001B64F3" w:rsidRDefault="00122D9B" w:rsidP="00122D9B">
      <w:pPr>
        <w:spacing w:after="0"/>
        <w:rPr>
          <w:sz w:val="24"/>
          <w:szCs w:val="24"/>
        </w:rPr>
      </w:pPr>
    </w:p>
    <w:p w:rsidR="00122D9B" w:rsidRPr="00BE73BD" w:rsidRDefault="00122D9B" w:rsidP="00122D9B">
      <w:pPr>
        <w:rPr>
          <w:b/>
        </w:rPr>
      </w:pPr>
      <w:bookmarkStart w:id="5" w:name="_Toc340231487"/>
      <w:r w:rsidRPr="00BE73BD">
        <w:rPr>
          <w:b/>
        </w:rPr>
        <w:t>Committee contacts</w:t>
      </w:r>
      <w:bookmarkEnd w:id="5"/>
    </w:p>
    <w:p w:rsidR="00122D9B" w:rsidRPr="00BE73BD" w:rsidRDefault="00122D9B" w:rsidP="00122D9B">
      <w:pPr>
        <w:spacing w:after="0"/>
        <w:rPr>
          <w:sz w:val="24"/>
          <w:szCs w:val="24"/>
        </w:rPr>
      </w:pPr>
      <w:bookmarkStart w:id="6" w:name="_Toc340231488"/>
      <w:r w:rsidRPr="00BE73BD">
        <w:rPr>
          <w:sz w:val="24"/>
          <w:szCs w:val="24"/>
        </w:rPr>
        <w:t>PO Box 6100</w:t>
      </w:r>
      <w:bookmarkEnd w:id="6"/>
    </w:p>
    <w:p w:rsidR="00122D9B" w:rsidRPr="00BE73BD" w:rsidRDefault="00122D9B" w:rsidP="00122D9B">
      <w:pPr>
        <w:spacing w:after="0"/>
        <w:rPr>
          <w:sz w:val="24"/>
          <w:szCs w:val="24"/>
        </w:rPr>
      </w:pPr>
      <w:r w:rsidRPr="00BE73BD">
        <w:rPr>
          <w:sz w:val="24"/>
          <w:szCs w:val="24"/>
        </w:rPr>
        <w:t>Parliament House</w:t>
      </w:r>
    </w:p>
    <w:p w:rsidR="00122D9B" w:rsidRPr="00BE73BD" w:rsidRDefault="00122D9B" w:rsidP="00122D9B">
      <w:pPr>
        <w:spacing w:after="0"/>
        <w:rPr>
          <w:sz w:val="24"/>
          <w:szCs w:val="24"/>
        </w:rPr>
      </w:pPr>
      <w:r w:rsidRPr="00BE73BD">
        <w:rPr>
          <w:sz w:val="24"/>
          <w:szCs w:val="24"/>
        </w:rPr>
        <w:t>Canberra ACT 2600</w:t>
      </w:r>
    </w:p>
    <w:p w:rsidR="00122D9B" w:rsidRPr="00BE73BD" w:rsidRDefault="00122D9B" w:rsidP="00122D9B">
      <w:pPr>
        <w:spacing w:after="0"/>
        <w:rPr>
          <w:sz w:val="24"/>
          <w:szCs w:val="24"/>
        </w:rPr>
      </w:pPr>
      <w:r w:rsidRPr="00BE73BD">
        <w:rPr>
          <w:sz w:val="24"/>
          <w:szCs w:val="24"/>
        </w:rPr>
        <w:t>Ph: 02 6277 3066</w:t>
      </w:r>
    </w:p>
    <w:p w:rsidR="00122D9B" w:rsidRPr="00BE73BD" w:rsidRDefault="00122D9B" w:rsidP="00122D9B">
      <w:pPr>
        <w:spacing w:after="0"/>
        <w:rPr>
          <w:sz w:val="24"/>
          <w:szCs w:val="24"/>
        </w:rPr>
      </w:pPr>
      <w:r w:rsidRPr="00BE73BD">
        <w:rPr>
          <w:sz w:val="24"/>
          <w:szCs w:val="24"/>
        </w:rPr>
        <w:t>Email: regords.sen@aph.gov.au</w:t>
      </w:r>
    </w:p>
    <w:p w:rsidR="00122D9B" w:rsidRPr="00F72A71" w:rsidRDefault="00122D9B" w:rsidP="00122D9B">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122D9B" w:rsidRPr="007E04A9" w:rsidRDefault="00122D9B" w:rsidP="00122D9B">
      <w:pPr>
        <w:spacing w:after="0"/>
      </w:pPr>
    </w:p>
    <w:p w:rsidR="00122D9B" w:rsidRDefault="00122D9B" w:rsidP="00122D9B">
      <w:r>
        <w:br w:type="page"/>
      </w:r>
    </w:p>
    <w:p w:rsidR="00122D9B" w:rsidRDefault="00122D9B" w:rsidP="00325264">
      <w:pPr>
        <w:sectPr w:rsidR="00122D9B"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520991" w:rsidRDefault="00520991" w:rsidP="00325264"/>
    <w:p w:rsidR="00122D9B" w:rsidRDefault="00122D9B" w:rsidP="00325264">
      <w:pPr>
        <w:sectPr w:rsidR="00122D9B" w:rsidSect="008F59CB">
          <w:pgSz w:w="11906" w:h="16838" w:code="9"/>
          <w:pgMar w:top="1440" w:right="1440" w:bottom="1202" w:left="1440" w:header="1134" w:footer="720" w:gutter="0"/>
          <w:pgNumType w:fmt="lowerRoman" w:start="3"/>
          <w:cols w:space="720"/>
          <w:titlePg/>
        </w:sectPr>
      </w:pPr>
    </w:p>
    <w:p w:rsidR="00122D9B" w:rsidRDefault="00122D9B" w:rsidP="00122D9B">
      <w:pPr>
        <w:pStyle w:val="Heading1"/>
        <w:spacing w:after="480"/>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32501435"/>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22D9B" w:rsidRPr="00635538" w:rsidRDefault="00122D9B" w:rsidP="00122D9B">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122D9B" w:rsidRPr="004228CC" w:rsidRDefault="00122D9B" w:rsidP="00122D9B">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122D9B" w:rsidRDefault="00122D9B" w:rsidP="00122D9B">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r w:rsidRPr="000909B3">
        <w:rPr>
          <w:b w:val="0"/>
          <w:noProof/>
          <w:sz w:val="26"/>
          <w:szCs w:val="26"/>
        </w:rPr>
        <w:tab/>
        <w:t>1</w:t>
      </w:r>
    </w:p>
    <w:p w:rsidR="00122D9B" w:rsidRDefault="00122D9B" w:rsidP="00122D9B">
      <w:pPr>
        <w:pStyle w:val="TOC1"/>
        <w:tabs>
          <w:tab w:val="right" w:leader="dot" w:pos="9016"/>
        </w:tabs>
        <w:rPr>
          <w:b w:val="0"/>
          <w:noProof/>
          <w:sz w:val="26"/>
          <w:szCs w:val="26"/>
        </w:rPr>
      </w:pPr>
      <w:r>
        <w:rPr>
          <w:noProof/>
        </w:rPr>
        <w:t>Chapter 2 – Concluded matters</w:t>
      </w:r>
    </w:p>
    <w:p w:rsidR="00122D9B" w:rsidRDefault="00122D9B" w:rsidP="00122D9B">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3) Regulation 2015 [F2015L00572]</w:t>
      </w:r>
      <w:r>
        <w:rPr>
          <w:noProof/>
        </w:rPr>
        <w:tab/>
        <w:t>3</w:t>
      </w:r>
    </w:p>
    <w:p w:rsidR="00122D9B" w:rsidRDefault="00122D9B" w:rsidP="00122D9B">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15</w:t>
      </w:r>
    </w:p>
    <w:p w:rsidR="00122D9B" w:rsidRDefault="00122D9B" w:rsidP="00122D9B">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19</w:t>
      </w:r>
    </w:p>
    <w:p w:rsidR="00122D9B" w:rsidRDefault="00122D9B" w:rsidP="00122D9B">
      <w:pPr>
        <w:tabs>
          <w:tab w:val="left" w:pos="1170"/>
        </w:tabs>
        <w:jc w:val="left"/>
        <w:rPr>
          <w:sz w:val="16"/>
          <w:szCs w:val="16"/>
        </w:rPr>
      </w:pPr>
    </w:p>
    <w:p w:rsidR="00122D9B" w:rsidRDefault="00122D9B" w:rsidP="00122D9B">
      <w:pPr>
        <w:tabs>
          <w:tab w:val="left" w:pos="1170"/>
        </w:tabs>
        <w:jc w:val="left"/>
        <w:rPr>
          <w:sz w:val="16"/>
          <w:szCs w:val="16"/>
        </w:rPr>
      </w:pPr>
    </w:p>
    <w:p w:rsidR="00122D9B" w:rsidRDefault="00122D9B" w:rsidP="00122D9B">
      <w:pPr>
        <w:tabs>
          <w:tab w:val="left" w:pos="1170"/>
        </w:tabs>
        <w:jc w:val="left"/>
        <w:rPr>
          <w:sz w:val="16"/>
          <w:szCs w:val="16"/>
        </w:rPr>
      </w:pPr>
    </w:p>
    <w:p w:rsidR="00122D9B" w:rsidRDefault="00122D9B" w:rsidP="00122D9B">
      <w:pPr>
        <w:tabs>
          <w:tab w:val="left" w:pos="1170"/>
        </w:tabs>
        <w:jc w:val="left"/>
        <w:rPr>
          <w:sz w:val="16"/>
          <w:szCs w:val="16"/>
        </w:rPr>
      </w:pPr>
    </w:p>
    <w:p w:rsidR="00122D9B" w:rsidRDefault="00122D9B" w:rsidP="00122D9B"/>
    <w:p w:rsidR="00122D9B" w:rsidRDefault="00122D9B" w:rsidP="00122D9B">
      <w:pPr>
        <w:pStyle w:val="Heading1"/>
      </w:pPr>
      <w:r>
        <w:br w:type="page"/>
      </w:r>
    </w:p>
    <w:p w:rsidR="00122D9B" w:rsidRDefault="00122D9B" w:rsidP="00122D9B">
      <w:pPr>
        <w:spacing w:after="0"/>
        <w:jc w:val="left"/>
        <w:sectPr w:rsidR="00122D9B"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122D9B" w:rsidRPr="00520991" w:rsidRDefault="00122D9B" w:rsidP="00122D9B">
      <w:pPr>
        <w:spacing w:after="0"/>
        <w:jc w:val="left"/>
      </w:pPr>
    </w:p>
    <w:p w:rsidR="00122D9B" w:rsidRDefault="00122D9B" w:rsidP="00325264">
      <w:pPr>
        <w:sectPr w:rsidR="00122D9B" w:rsidSect="00676A5E">
          <w:footerReference w:type="default" r:id="rId25"/>
          <w:pgSz w:w="11906" w:h="16838" w:code="9"/>
          <w:pgMar w:top="1440" w:right="1440" w:bottom="1202" w:left="1440" w:header="1134" w:footer="720" w:gutter="0"/>
          <w:pgNumType w:fmt="lowerRoman" w:start="3"/>
          <w:cols w:space="720"/>
          <w:docGrid w:linePitch="354"/>
        </w:sectPr>
      </w:pPr>
    </w:p>
    <w:p w:rsidR="00122D9B" w:rsidRPr="004B17F0" w:rsidRDefault="00122D9B" w:rsidP="00122D9B">
      <w:pPr>
        <w:pStyle w:val="Heading1"/>
      </w:pPr>
      <w:r>
        <w:lastRenderedPageBreak/>
        <w:t>Introduction</w:t>
      </w:r>
    </w:p>
    <w:p w:rsidR="00122D9B" w:rsidRDefault="00122D9B" w:rsidP="00122D9B">
      <w:pPr>
        <w:pStyle w:val="Heading3"/>
        <w:spacing w:after="120"/>
      </w:pPr>
      <w:r>
        <w:t>Terms of reference</w:t>
      </w:r>
    </w:p>
    <w:p w:rsidR="00122D9B" w:rsidRDefault="00122D9B" w:rsidP="00122D9B">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122D9B" w:rsidRDefault="00122D9B" w:rsidP="00122D9B">
      <w:pPr>
        <w:pStyle w:val="Level1"/>
        <w:numPr>
          <w:ilvl w:val="0"/>
          <w:numId w:val="0"/>
        </w:numPr>
      </w:pPr>
      <w:r>
        <w:t>Senate Standing Order 23(3) requires the committee to scrutinise each instrument referred to it to ensure:</w:t>
      </w:r>
    </w:p>
    <w:p w:rsidR="00122D9B" w:rsidRPr="00BF47FD" w:rsidRDefault="00122D9B" w:rsidP="00122D9B">
      <w:pPr>
        <w:pStyle w:val="Quote"/>
        <w:tabs>
          <w:tab w:val="left" w:pos="1418"/>
        </w:tabs>
        <w:spacing w:after="120"/>
        <w:ind w:left="1418" w:hanging="709"/>
      </w:pPr>
      <w:r>
        <w:t>(a)</w:t>
      </w:r>
      <w:r>
        <w:tab/>
      </w:r>
      <w:r w:rsidRPr="00BF47FD">
        <w:t>that it is in accordance with the statute;</w:t>
      </w:r>
    </w:p>
    <w:p w:rsidR="00122D9B" w:rsidRPr="00BF47FD" w:rsidRDefault="00122D9B" w:rsidP="00122D9B">
      <w:pPr>
        <w:pStyle w:val="Quote"/>
        <w:tabs>
          <w:tab w:val="left" w:pos="1418"/>
        </w:tabs>
        <w:spacing w:after="120"/>
        <w:ind w:left="1418" w:hanging="709"/>
      </w:pPr>
      <w:r>
        <w:t>(b)</w:t>
      </w:r>
      <w:r>
        <w:tab/>
      </w:r>
      <w:r w:rsidRPr="00BF47FD">
        <w:t>that it does not trespass unduly on personal rights and liberties;</w:t>
      </w:r>
    </w:p>
    <w:p w:rsidR="00122D9B" w:rsidRPr="00BF47FD" w:rsidRDefault="00122D9B" w:rsidP="00122D9B">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122D9B" w:rsidRDefault="00122D9B" w:rsidP="00122D9B">
      <w:pPr>
        <w:pStyle w:val="Quote"/>
        <w:tabs>
          <w:tab w:val="left" w:pos="1418"/>
        </w:tabs>
        <w:spacing w:after="120"/>
        <w:ind w:left="1418" w:hanging="709"/>
      </w:pPr>
      <w:r>
        <w:t>(d)</w:t>
      </w:r>
      <w:r>
        <w:tab/>
      </w:r>
      <w:r w:rsidRPr="00BF47FD">
        <w:t>that it does not contain matter more appropriate for parliamentary enactment.</w:t>
      </w:r>
    </w:p>
    <w:p w:rsidR="00122D9B" w:rsidRDefault="00122D9B" w:rsidP="00122D9B">
      <w:pPr>
        <w:pStyle w:val="Heading3"/>
        <w:spacing w:after="120"/>
      </w:pPr>
      <w:r>
        <w:t>Nature of the committee's scrutiny</w:t>
      </w:r>
    </w:p>
    <w:p w:rsidR="00122D9B" w:rsidRDefault="00122D9B" w:rsidP="00122D9B">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122D9B" w:rsidRDefault="00122D9B" w:rsidP="00122D9B">
      <w:pPr>
        <w:pStyle w:val="Level1"/>
        <w:numPr>
          <w:ilvl w:val="0"/>
          <w:numId w:val="0"/>
        </w:numPr>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122D9B" w:rsidRDefault="00122D9B" w:rsidP="00122D9B">
      <w:pPr>
        <w:pStyle w:val="Heading3"/>
        <w:spacing w:after="120"/>
      </w:pPr>
      <w:r>
        <w:t>Publications</w:t>
      </w:r>
    </w:p>
    <w:p w:rsidR="00122D9B" w:rsidRDefault="00122D9B" w:rsidP="00122D9B">
      <w:pPr>
        <w:pStyle w:val="Level1"/>
        <w:numPr>
          <w:ilvl w:val="0"/>
          <w:numId w:val="0"/>
        </w:numPr>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122D9B" w:rsidRPr="008B16ED" w:rsidRDefault="00122D9B" w:rsidP="00122D9B">
      <w:pPr>
        <w:pStyle w:val="Heading3"/>
        <w:spacing w:after="120"/>
      </w:pPr>
      <w:r>
        <w:lastRenderedPageBreak/>
        <w:t>Structure of the monitor</w:t>
      </w:r>
    </w:p>
    <w:p w:rsidR="00122D9B" w:rsidRDefault="00122D9B" w:rsidP="00122D9B">
      <w:pPr>
        <w:pStyle w:val="Level1"/>
        <w:numPr>
          <w:ilvl w:val="0"/>
          <w:numId w:val="0"/>
        </w:numPr>
        <w:spacing w:after="120"/>
      </w:pPr>
      <w:r>
        <w:t>The monitor is comprised of the following parts:</w:t>
      </w:r>
    </w:p>
    <w:p w:rsidR="00122D9B" w:rsidRDefault="00122D9B" w:rsidP="00122D9B">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122D9B" w:rsidRDefault="00122D9B" w:rsidP="00122D9B">
      <w:pPr>
        <w:pStyle w:val="Bullet1"/>
        <w:numPr>
          <w:ilvl w:val="0"/>
          <w:numId w:val="35"/>
        </w:numPr>
        <w:tabs>
          <w:tab w:val="clear" w:pos="851"/>
          <w:tab w:val="left" w:pos="567"/>
        </w:tabs>
        <w:spacing w:after="120"/>
        <w:ind w:left="1134" w:hanging="567"/>
      </w:pPr>
      <w:r>
        <w:t xml:space="preserve">seeking an explanation/information; or </w:t>
      </w:r>
    </w:p>
    <w:p w:rsidR="00122D9B" w:rsidRDefault="00122D9B" w:rsidP="00122D9B">
      <w:pPr>
        <w:pStyle w:val="Bullet1"/>
        <w:numPr>
          <w:ilvl w:val="0"/>
          <w:numId w:val="35"/>
        </w:numPr>
        <w:tabs>
          <w:tab w:val="clear" w:pos="851"/>
          <w:tab w:val="left" w:pos="567"/>
        </w:tabs>
        <w:spacing w:after="120"/>
        <w:ind w:left="1134" w:hanging="567"/>
      </w:pPr>
      <w:r>
        <w:t>seeking further explanation/information subsequent to a response; or</w:t>
      </w:r>
    </w:p>
    <w:p w:rsidR="00122D9B" w:rsidRDefault="00122D9B" w:rsidP="00122D9B">
      <w:pPr>
        <w:pStyle w:val="Bullet1"/>
        <w:numPr>
          <w:ilvl w:val="0"/>
          <w:numId w:val="35"/>
        </w:numPr>
        <w:tabs>
          <w:tab w:val="clear" w:pos="851"/>
          <w:tab w:val="left" w:pos="567"/>
        </w:tabs>
        <w:spacing w:after="120"/>
        <w:ind w:left="1134" w:hanging="567"/>
      </w:pPr>
      <w:r>
        <w:t>on an advice only basis.</w:t>
      </w:r>
    </w:p>
    <w:p w:rsidR="00122D9B" w:rsidRDefault="00122D9B" w:rsidP="00122D9B">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122D9B" w:rsidRDefault="00122D9B" w:rsidP="00122D9B">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122D9B" w:rsidRDefault="00122D9B" w:rsidP="00122D9B">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122D9B" w:rsidRDefault="00122D9B" w:rsidP="00122D9B">
      <w:pPr>
        <w:pStyle w:val="Heading3"/>
        <w:spacing w:after="120"/>
      </w:pPr>
      <w:r>
        <w:t>Acknowledgement</w:t>
      </w:r>
    </w:p>
    <w:p w:rsidR="00122D9B" w:rsidRDefault="00122D9B" w:rsidP="00122D9B">
      <w:pPr>
        <w:pStyle w:val="Level1"/>
        <w:numPr>
          <w:ilvl w:val="0"/>
          <w:numId w:val="0"/>
        </w:numPr>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122D9B" w:rsidRDefault="00122D9B" w:rsidP="00122D9B">
      <w:pPr>
        <w:pStyle w:val="Heading3"/>
        <w:spacing w:after="120"/>
      </w:pPr>
      <w:r>
        <w:t>General information</w:t>
      </w:r>
    </w:p>
    <w:p w:rsidR="00122D9B" w:rsidRDefault="00122D9B" w:rsidP="00122D9B">
      <w:pPr>
        <w:pStyle w:val="Level1"/>
        <w:numPr>
          <w:ilvl w:val="0"/>
          <w:numId w:val="0"/>
        </w:numPr>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122D9B" w:rsidRDefault="00122D9B" w:rsidP="00122D9B">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4"/>
      </w:r>
      <w:r>
        <w:t xml:space="preserve"> </w:t>
      </w:r>
    </w:p>
    <w:p w:rsidR="00122D9B" w:rsidRDefault="00122D9B" w:rsidP="00122D9B">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122D9B" w:rsidRDefault="00122D9B" w:rsidP="00122D9B">
      <w:pPr>
        <w:pStyle w:val="Bullet1"/>
        <w:numPr>
          <w:ilvl w:val="0"/>
          <w:numId w:val="0"/>
        </w:numPr>
        <w:spacing w:after="0"/>
        <w:ind w:left="851" w:hanging="851"/>
        <w:rPr>
          <w:b/>
          <w:sz w:val="24"/>
          <w:szCs w:val="24"/>
        </w:rPr>
      </w:pPr>
    </w:p>
    <w:p w:rsidR="00122D9B" w:rsidRDefault="00122D9B" w:rsidP="00122D9B">
      <w:pPr>
        <w:pStyle w:val="Bullet1"/>
        <w:numPr>
          <w:ilvl w:val="0"/>
          <w:numId w:val="0"/>
        </w:numPr>
        <w:spacing w:after="0"/>
        <w:ind w:left="851" w:hanging="851"/>
        <w:rPr>
          <w:b/>
          <w:sz w:val="24"/>
          <w:szCs w:val="24"/>
        </w:rPr>
      </w:pPr>
    </w:p>
    <w:p w:rsidR="00122D9B" w:rsidRPr="00364316" w:rsidRDefault="00122D9B" w:rsidP="00122D9B">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122D9B" w:rsidRDefault="00122D9B" w:rsidP="00122D9B">
      <w:pPr>
        <w:spacing w:after="120"/>
        <w:sectPr w:rsidR="00122D9B" w:rsidSect="0059467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122D9B" w:rsidRPr="001F4E38" w:rsidRDefault="00122D9B" w:rsidP="00122D9B">
      <w:pPr>
        <w:pStyle w:val="Heading1"/>
      </w:pPr>
      <w:r w:rsidRPr="001F4E38">
        <w:lastRenderedPageBreak/>
        <w:t>Chapter 1</w:t>
      </w:r>
    </w:p>
    <w:p w:rsidR="00122D9B" w:rsidRPr="001F4E38" w:rsidRDefault="00122D9B" w:rsidP="00122D9B">
      <w:pPr>
        <w:pStyle w:val="Heading2"/>
      </w:pPr>
      <w:r w:rsidRPr="001F4E38">
        <w:t xml:space="preserve">New </w:t>
      </w:r>
      <w:r>
        <w:t xml:space="preserve">and continuing </w:t>
      </w:r>
      <w:r w:rsidRPr="001F4E38">
        <w:t>matters</w:t>
      </w:r>
    </w:p>
    <w:p w:rsidR="00122D9B" w:rsidRPr="00117C8E" w:rsidRDefault="00122D9B" w:rsidP="00122D9B">
      <w:pPr>
        <w:pStyle w:val="Level1"/>
        <w:numPr>
          <w:ilvl w:val="0"/>
          <w:numId w:val="0"/>
        </w:numPr>
      </w:pPr>
      <w:r>
        <w:rPr>
          <w:szCs w:val="26"/>
        </w:rPr>
        <w:t>There are no new or continuing matters.</w:t>
      </w:r>
    </w:p>
    <w:p w:rsidR="00122D9B" w:rsidRDefault="00122D9B" w:rsidP="00122D9B">
      <w:pPr>
        <w:spacing w:after="0"/>
        <w:sectPr w:rsidR="00122D9B" w:rsidSect="001E10A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122D9B" w:rsidRDefault="00122D9B" w:rsidP="00122D9B">
      <w:pPr>
        <w:spacing w:after="0"/>
        <w:sectPr w:rsidR="00122D9B" w:rsidSect="001E10A8">
          <w:pgSz w:w="11906" w:h="16838" w:code="9"/>
          <w:pgMar w:top="1440" w:right="1440" w:bottom="1202" w:left="1440" w:header="1134" w:footer="720" w:gutter="0"/>
          <w:pgNumType w:start="1"/>
          <w:cols w:space="720"/>
          <w:titlePg/>
        </w:sectPr>
      </w:pPr>
    </w:p>
    <w:p w:rsidR="00122D9B" w:rsidRPr="0076670E" w:rsidRDefault="00122D9B" w:rsidP="00122D9B">
      <w:pPr>
        <w:pStyle w:val="Heading1"/>
      </w:pPr>
      <w:r w:rsidRPr="0076670E">
        <w:lastRenderedPageBreak/>
        <w:t>Chapter 2</w:t>
      </w:r>
    </w:p>
    <w:p w:rsidR="00122D9B" w:rsidRPr="0076670E" w:rsidRDefault="00122D9B" w:rsidP="00122D9B">
      <w:pPr>
        <w:pStyle w:val="Heading2"/>
      </w:pPr>
      <w:r w:rsidRPr="0076670E">
        <w:t>Concluded matters</w:t>
      </w:r>
    </w:p>
    <w:p w:rsidR="00122D9B" w:rsidRPr="0076670E" w:rsidRDefault="00122D9B" w:rsidP="00122D9B">
      <w:pPr>
        <w:pStyle w:val="Level1"/>
        <w:numPr>
          <w:ilvl w:val="0"/>
          <w:numId w:val="0"/>
        </w:numPr>
      </w:pPr>
      <w:r w:rsidRPr="0076670E">
        <w:t xml:space="preserve">This chapter </w:t>
      </w:r>
      <w:r>
        <w:t xml:space="preserve">sets out matters which have been concluded </w:t>
      </w:r>
      <w:r w:rsidRPr="00F92CFA">
        <w:t>to the satisfaction of the</w:t>
      </w:r>
      <w:r>
        <w:t xml:space="preserve"> committee based on </w:t>
      </w:r>
      <w:r w:rsidRPr="0076670E">
        <w:t>responses received from ministers or relevant instrument-makers.</w:t>
      </w:r>
    </w:p>
    <w:p w:rsidR="00122D9B" w:rsidRDefault="00122D9B" w:rsidP="00122D9B">
      <w:pPr>
        <w:pStyle w:val="Level1"/>
        <w:numPr>
          <w:ilvl w:val="0"/>
          <w:numId w:val="0"/>
        </w:numPr>
      </w:pPr>
      <w:r>
        <w:t>C</w:t>
      </w:r>
      <w:r w:rsidRPr="0076670E">
        <w:t xml:space="preserve">orrespondence relating to these matters is included at Appendix </w:t>
      </w:r>
      <w:r>
        <w:t>1</w:t>
      </w:r>
      <w:r w:rsidRPr="0076670E">
        <w:t>.</w:t>
      </w:r>
    </w:p>
    <w:p w:rsidR="00122D9B" w:rsidRDefault="00122D9B" w:rsidP="00122D9B"/>
    <w:tbl>
      <w:tblPr>
        <w:tblW w:w="0" w:type="auto"/>
        <w:tblInd w:w="108" w:type="dxa"/>
        <w:tblLook w:val="04A0" w:firstRow="1" w:lastRow="0" w:firstColumn="1" w:lastColumn="0" w:noHBand="0" w:noVBand="1"/>
      </w:tblPr>
      <w:tblGrid>
        <w:gridCol w:w="2694"/>
        <w:gridCol w:w="6378"/>
      </w:tblGrid>
      <w:tr w:rsidR="00122D9B" w:rsidRPr="002718CE" w:rsidTr="00EB73F5">
        <w:tc>
          <w:tcPr>
            <w:tcW w:w="2694" w:type="dxa"/>
            <w:tcBorders>
              <w:top w:val="single" w:sz="12" w:space="0" w:color="auto"/>
              <w:right w:val="single" w:sz="12" w:space="0" w:color="auto"/>
            </w:tcBorders>
          </w:tcPr>
          <w:p w:rsidR="00122D9B" w:rsidRPr="002718CE" w:rsidRDefault="00122D9B" w:rsidP="00EB73F5">
            <w:pPr>
              <w:rPr>
                <w:b/>
                <w:sz w:val="24"/>
                <w:szCs w:val="24"/>
              </w:rPr>
            </w:pPr>
            <w:r w:rsidRPr="002718CE">
              <w:rPr>
                <w:b/>
                <w:sz w:val="24"/>
                <w:szCs w:val="24"/>
              </w:rPr>
              <w:t>Instrument</w:t>
            </w:r>
          </w:p>
        </w:tc>
        <w:tc>
          <w:tcPr>
            <w:tcW w:w="6378" w:type="dxa"/>
            <w:tcBorders>
              <w:top w:val="single" w:sz="12" w:space="0" w:color="auto"/>
              <w:left w:val="single" w:sz="12" w:space="0" w:color="auto"/>
            </w:tcBorders>
          </w:tcPr>
          <w:p w:rsidR="00122D9B" w:rsidRPr="002718CE" w:rsidRDefault="00122D9B" w:rsidP="00EB73F5">
            <w:pPr>
              <w:pStyle w:val="Heading3"/>
              <w:rPr>
                <w:sz w:val="24"/>
                <w:szCs w:val="24"/>
              </w:rPr>
            </w:pPr>
            <w:r w:rsidRPr="002718CE">
              <w:rPr>
                <w:noProof/>
                <w:sz w:val="24"/>
                <w:szCs w:val="24"/>
              </w:rPr>
              <w:t>Financial Framework (Supplementary Powers) Amendment (2015 Measures No. 3) Regulation 2015 [F2015L00572]</w:t>
            </w:r>
          </w:p>
        </w:tc>
      </w:tr>
      <w:tr w:rsidR="00122D9B" w:rsidRPr="002718CE" w:rsidTr="00EB73F5">
        <w:tc>
          <w:tcPr>
            <w:tcW w:w="2694" w:type="dxa"/>
            <w:tcBorders>
              <w:right w:val="single" w:sz="12" w:space="0" w:color="auto"/>
            </w:tcBorders>
          </w:tcPr>
          <w:p w:rsidR="00122D9B" w:rsidRPr="002718CE" w:rsidRDefault="00122D9B" w:rsidP="00EB73F5">
            <w:pPr>
              <w:rPr>
                <w:b/>
                <w:sz w:val="24"/>
                <w:szCs w:val="24"/>
              </w:rPr>
            </w:pPr>
            <w:r w:rsidRPr="002718CE">
              <w:rPr>
                <w:b/>
                <w:sz w:val="24"/>
                <w:szCs w:val="24"/>
              </w:rPr>
              <w:t>Purpose</w:t>
            </w:r>
          </w:p>
        </w:tc>
        <w:tc>
          <w:tcPr>
            <w:tcW w:w="6378" w:type="dxa"/>
            <w:tcBorders>
              <w:left w:val="single" w:sz="12" w:space="0" w:color="auto"/>
            </w:tcBorders>
          </w:tcPr>
          <w:p w:rsidR="00122D9B" w:rsidRPr="002718CE" w:rsidRDefault="00122D9B" w:rsidP="00EB73F5">
            <w:pPr>
              <w:rPr>
                <w:sz w:val="24"/>
                <w:szCs w:val="24"/>
              </w:rPr>
            </w:pPr>
            <w:r w:rsidRPr="002718CE">
              <w:rPr>
                <w:noProof/>
                <w:sz w:val="24"/>
                <w:szCs w:val="24"/>
              </w:rPr>
              <w:t>Amends the Financial Framework (Supplementary Powers) Regulations 1997 to establish legislative authority for spending activities administered by the Department of Education and Training and the Department of Social Services</w:t>
            </w:r>
          </w:p>
        </w:tc>
      </w:tr>
      <w:tr w:rsidR="00122D9B" w:rsidRPr="002718CE" w:rsidTr="00EB73F5">
        <w:tc>
          <w:tcPr>
            <w:tcW w:w="2694" w:type="dxa"/>
            <w:tcBorders>
              <w:right w:val="single" w:sz="12" w:space="0" w:color="auto"/>
            </w:tcBorders>
          </w:tcPr>
          <w:p w:rsidR="00122D9B" w:rsidRPr="002718CE" w:rsidRDefault="00122D9B" w:rsidP="00EB73F5">
            <w:pPr>
              <w:rPr>
                <w:b/>
                <w:sz w:val="24"/>
                <w:szCs w:val="24"/>
              </w:rPr>
            </w:pPr>
            <w:r w:rsidRPr="002718CE">
              <w:rPr>
                <w:b/>
                <w:sz w:val="24"/>
                <w:szCs w:val="24"/>
              </w:rPr>
              <w:t>Last day to disallow</w:t>
            </w:r>
          </w:p>
        </w:tc>
        <w:tc>
          <w:tcPr>
            <w:tcW w:w="6378" w:type="dxa"/>
            <w:tcBorders>
              <w:left w:val="single" w:sz="12" w:space="0" w:color="auto"/>
            </w:tcBorders>
          </w:tcPr>
          <w:p w:rsidR="00122D9B" w:rsidRPr="002718CE" w:rsidRDefault="00122D9B" w:rsidP="00EB73F5">
            <w:pPr>
              <w:rPr>
                <w:sz w:val="24"/>
                <w:szCs w:val="24"/>
              </w:rPr>
            </w:pPr>
            <w:r w:rsidRPr="002718CE">
              <w:rPr>
                <w:noProof/>
                <w:sz w:val="24"/>
                <w:szCs w:val="24"/>
              </w:rPr>
              <w:t>14 October 2015</w:t>
            </w:r>
          </w:p>
        </w:tc>
      </w:tr>
      <w:tr w:rsidR="00122D9B" w:rsidRPr="002718CE" w:rsidTr="00EB73F5">
        <w:tc>
          <w:tcPr>
            <w:tcW w:w="2694" w:type="dxa"/>
            <w:tcBorders>
              <w:right w:val="single" w:sz="12" w:space="0" w:color="auto"/>
            </w:tcBorders>
          </w:tcPr>
          <w:p w:rsidR="00122D9B" w:rsidRPr="002718CE" w:rsidRDefault="00122D9B" w:rsidP="00EB73F5">
            <w:pPr>
              <w:rPr>
                <w:b/>
                <w:sz w:val="24"/>
                <w:szCs w:val="24"/>
              </w:rPr>
            </w:pPr>
            <w:r w:rsidRPr="002718CE">
              <w:rPr>
                <w:b/>
                <w:sz w:val="24"/>
                <w:szCs w:val="24"/>
              </w:rPr>
              <w:t>Authorising legislation</w:t>
            </w:r>
          </w:p>
        </w:tc>
        <w:tc>
          <w:tcPr>
            <w:tcW w:w="6378" w:type="dxa"/>
            <w:tcBorders>
              <w:left w:val="single" w:sz="12" w:space="0" w:color="auto"/>
            </w:tcBorders>
          </w:tcPr>
          <w:p w:rsidR="00122D9B" w:rsidRPr="002718CE" w:rsidRDefault="00122D9B" w:rsidP="00EB73F5">
            <w:pPr>
              <w:rPr>
                <w:i/>
                <w:sz w:val="24"/>
                <w:szCs w:val="24"/>
              </w:rPr>
            </w:pPr>
            <w:r w:rsidRPr="002718CE">
              <w:rPr>
                <w:i/>
                <w:noProof/>
                <w:sz w:val="24"/>
                <w:szCs w:val="24"/>
              </w:rPr>
              <w:t>Financial Framework (Supplementary Powers) Act 1997</w:t>
            </w:r>
          </w:p>
        </w:tc>
      </w:tr>
      <w:tr w:rsidR="00122D9B" w:rsidRPr="002718CE" w:rsidTr="00EB73F5">
        <w:tc>
          <w:tcPr>
            <w:tcW w:w="2694" w:type="dxa"/>
            <w:tcBorders>
              <w:right w:val="single" w:sz="12" w:space="0" w:color="auto"/>
            </w:tcBorders>
          </w:tcPr>
          <w:p w:rsidR="00122D9B" w:rsidRPr="002718CE" w:rsidRDefault="00122D9B" w:rsidP="00EB73F5">
            <w:pPr>
              <w:rPr>
                <w:b/>
                <w:sz w:val="24"/>
                <w:szCs w:val="24"/>
              </w:rPr>
            </w:pPr>
            <w:r w:rsidRPr="002718CE">
              <w:rPr>
                <w:b/>
                <w:sz w:val="24"/>
                <w:szCs w:val="24"/>
              </w:rPr>
              <w:t>Department</w:t>
            </w:r>
          </w:p>
        </w:tc>
        <w:tc>
          <w:tcPr>
            <w:tcW w:w="6378" w:type="dxa"/>
            <w:tcBorders>
              <w:left w:val="single" w:sz="12" w:space="0" w:color="auto"/>
            </w:tcBorders>
          </w:tcPr>
          <w:p w:rsidR="00122D9B" w:rsidRPr="002718CE" w:rsidRDefault="00122D9B" w:rsidP="00EB73F5">
            <w:pPr>
              <w:rPr>
                <w:sz w:val="24"/>
                <w:szCs w:val="24"/>
              </w:rPr>
            </w:pPr>
            <w:r w:rsidRPr="002718CE">
              <w:rPr>
                <w:noProof/>
                <w:sz w:val="24"/>
                <w:szCs w:val="24"/>
              </w:rPr>
              <w:t>Finance</w:t>
            </w:r>
          </w:p>
        </w:tc>
      </w:tr>
      <w:tr w:rsidR="00122D9B" w:rsidRPr="002718CE" w:rsidTr="00EB73F5">
        <w:tc>
          <w:tcPr>
            <w:tcW w:w="2694" w:type="dxa"/>
            <w:tcBorders>
              <w:right w:val="single" w:sz="12" w:space="0" w:color="auto"/>
            </w:tcBorders>
          </w:tcPr>
          <w:p w:rsidR="00122D9B" w:rsidRPr="002718CE" w:rsidRDefault="00122D9B" w:rsidP="00EB73F5">
            <w:pPr>
              <w:rPr>
                <w:b/>
                <w:sz w:val="24"/>
                <w:szCs w:val="24"/>
              </w:rPr>
            </w:pPr>
            <w:r w:rsidRPr="002718CE">
              <w:rPr>
                <w:b/>
                <w:sz w:val="24"/>
                <w:szCs w:val="24"/>
              </w:rPr>
              <w:t>Scrutiny principle</w:t>
            </w:r>
          </w:p>
        </w:tc>
        <w:tc>
          <w:tcPr>
            <w:tcW w:w="6378" w:type="dxa"/>
            <w:tcBorders>
              <w:left w:val="single" w:sz="12" w:space="0" w:color="auto"/>
            </w:tcBorders>
          </w:tcPr>
          <w:p w:rsidR="00122D9B" w:rsidRPr="002718CE" w:rsidRDefault="00122D9B" w:rsidP="00EB73F5">
            <w:pPr>
              <w:rPr>
                <w:sz w:val="24"/>
                <w:szCs w:val="24"/>
              </w:rPr>
            </w:pPr>
            <w:r w:rsidRPr="002718CE">
              <w:rPr>
                <w:sz w:val="24"/>
                <w:szCs w:val="24"/>
              </w:rPr>
              <w:t>Standing Order 23(3)</w:t>
            </w:r>
            <w:r w:rsidRPr="002718CE">
              <w:rPr>
                <w:noProof/>
                <w:sz w:val="24"/>
                <w:szCs w:val="24"/>
              </w:rPr>
              <w:t>(</w:t>
            </w:r>
            <w:r>
              <w:rPr>
                <w:noProof/>
                <w:sz w:val="24"/>
                <w:szCs w:val="24"/>
              </w:rPr>
              <w:t>a</w:t>
            </w:r>
            <w:r w:rsidRPr="002718CE">
              <w:rPr>
                <w:noProof/>
                <w:sz w:val="24"/>
                <w:szCs w:val="24"/>
              </w:rPr>
              <w:t>)</w:t>
            </w:r>
          </w:p>
        </w:tc>
      </w:tr>
      <w:tr w:rsidR="00122D9B" w:rsidRPr="002718CE" w:rsidTr="00EB73F5">
        <w:tc>
          <w:tcPr>
            <w:tcW w:w="2694" w:type="dxa"/>
            <w:tcBorders>
              <w:bottom w:val="single" w:sz="12" w:space="0" w:color="auto"/>
              <w:right w:val="single" w:sz="12" w:space="0" w:color="auto"/>
            </w:tcBorders>
          </w:tcPr>
          <w:p w:rsidR="00122D9B" w:rsidRPr="002718CE" w:rsidRDefault="00122D9B" w:rsidP="00EB73F5">
            <w:pPr>
              <w:rPr>
                <w:b/>
                <w:sz w:val="24"/>
                <w:szCs w:val="24"/>
              </w:rPr>
            </w:pPr>
            <w:r w:rsidRPr="002718CE">
              <w:rPr>
                <w:b/>
                <w:sz w:val="24"/>
                <w:szCs w:val="24"/>
              </w:rPr>
              <w:t>Previously reported in</w:t>
            </w:r>
          </w:p>
        </w:tc>
        <w:tc>
          <w:tcPr>
            <w:tcW w:w="6378" w:type="dxa"/>
            <w:tcBorders>
              <w:left w:val="single" w:sz="12" w:space="0" w:color="auto"/>
              <w:bottom w:val="single" w:sz="12" w:space="0" w:color="auto"/>
            </w:tcBorders>
          </w:tcPr>
          <w:p w:rsidR="00122D9B" w:rsidRPr="002718CE" w:rsidRDefault="00122D9B" w:rsidP="00EB73F5">
            <w:pPr>
              <w:rPr>
                <w:sz w:val="24"/>
                <w:szCs w:val="24"/>
              </w:rPr>
            </w:pPr>
            <w:r w:rsidRPr="002718CE">
              <w:rPr>
                <w:i/>
                <w:noProof/>
                <w:sz w:val="24"/>
                <w:szCs w:val="24"/>
              </w:rPr>
              <w:t>Delegated legislation monitor</w:t>
            </w:r>
            <w:r>
              <w:rPr>
                <w:i/>
                <w:noProof/>
                <w:sz w:val="24"/>
                <w:szCs w:val="24"/>
              </w:rPr>
              <w:t>s</w:t>
            </w:r>
            <w:r w:rsidRPr="002718CE">
              <w:rPr>
                <w:i/>
                <w:noProof/>
                <w:sz w:val="24"/>
                <w:szCs w:val="24"/>
              </w:rPr>
              <w:t xml:space="preserve"> </w:t>
            </w:r>
            <w:r>
              <w:rPr>
                <w:noProof/>
                <w:sz w:val="24"/>
                <w:szCs w:val="24"/>
              </w:rPr>
              <w:t>No. 6, 8, 10 and 12 of 2015</w:t>
            </w:r>
          </w:p>
        </w:tc>
      </w:tr>
    </w:tbl>
    <w:p w:rsidR="00122D9B" w:rsidRPr="002718CE" w:rsidRDefault="00122D9B" w:rsidP="00122D9B"/>
    <w:p w:rsidR="00122D9B" w:rsidRPr="002718CE" w:rsidRDefault="00122D9B" w:rsidP="00122D9B">
      <w:pPr>
        <w:rPr>
          <w:b/>
        </w:rPr>
      </w:pPr>
      <w:r w:rsidRPr="002718CE">
        <w:rPr>
          <w:b/>
          <w:noProof/>
        </w:rPr>
        <w:t>Previously unauthorised expenditure</w:t>
      </w:r>
    </w:p>
    <w:p w:rsidR="00122D9B" w:rsidRPr="002718CE" w:rsidRDefault="00122D9B" w:rsidP="00122D9B">
      <w:pPr>
        <w:rPr>
          <w:noProof/>
          <w:szCs w:val="26"/>
        </w:rPr>
      </w:pPr>
      <w:r w:rsidRPr="002718CE">
        <w:t xml:space="preserve">The committee commented as follows: </w:t>
      </w:r>
      <w:r w:rsidRPr="002718CE">
        <w:rPr>
          <w:noProof/>
          <w:szCs w:val="26"/>
        </w:rPr>
        <w:t>Scrutiny principle 23(3)(a)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122D9B" w:rsidRPr="002718CE" w:rsidRDefault="00122D9B" w:rsidP="00122D9B">
      <w:pPr>
        <w:rPr>
          <w:noProof/>
          <w:szCs w:val="26"/>
        </w:rPr>
      </w:pPr>
      <w:r w:rsidRPr="002718CE">
        <w:rPr>
          <w:noProof/>
          <w:szCs w:val="26"/>
        </w:rPr>
        <w:t xml:space="preserve">The committee notes that, in </w:t>
      </w:r>
      <w:r w:rsidRPr="002718CE">
        <w:rPr>
          <w:i/>
          <w:noProof/>
          <w:szCs w:val="26"/>
        </w:rPr>
        <w:t>Williams No. 1</w:t>
      </w:r>
      <w:r w:rsidRPr="002718CE">
        <w:rPr>
          <w:noProof/>
          <w:szCs w:val="26"/>
        </w:rPr>
        <w:t>,</w:t>
      </w:r>
      <w:bookmarkStart w:id="22" w:name="book1"/>
      <w:r w:rsidRPr="002718CE">
        <w:rPr>
          <w:rStyle w:val="FootnoteReference"/>
          <w:noProof/>
          <w:szCs w:val="26"/>
        </w:rPr>
        <w:footnoteReference w:id="6"/>
      </w:r>
      <w:bookmarkEnd w:id="22"/>
      <w:r w:rsidRPr="002718CE">
        <w:rPr>
          <w:noProof/>
          <w:szCs w:val="26"/>
        </w:rPr>
        <w:t xml:space="preserve"> the High Court confirmed that executive authority to spend appropriated monies is not unlimited and therefore generally requires legislative authority. As a result of the subsequent High Court decision in </w:t>
      </w:r>
      <w:r w:rsidRPr="002718CE">
        <w:rPr>
          <w:i/>
          <w:noProof/>
          <w:szCs w:val="26"/>
        </w:rPr>
        <w:t>Williams No. 2</w:t>
      </w:r>
      <w:r w:rsidRPr="002718CE">
        <w:rPr>
          <w:noProof/>
          <w:szCs w:val="26"/>
        </w:rPr>
        <w:t>,</w:t>
      </w:r>
      <w:bookmarkStart w:id="23" w:name="book2"/>
      <w:r w:rsidRPr="002718CE">
        <w:rPr>
          <w:rStyle w:val="FootnoteReference"/>
          <w:noProof/>
          <w:szCs w:val="26"/>
        </w:rPr>
        <w:footnoteReference w:id="7"/>
      </w:r>
      <w:bookmarkEnd w:id="23"/>
      <w:r w:rsidRPr="002718CE">
        <w:rPr>
          <w:noProof/>
          <w:szCs w:val="26"/>
        </w:rPr>
        <w:t xml:space="preserve"> the committee requires that the ES for all instruments specifying </w:t>
      </w:r>
      <w:r w:rsidRPr="002718CE">
        <w:rPr>
          <w:noProof/>
          <w:szCs w:val="26"/>
        </w:rPr>
        <w:lastRenderedPageBreak/>
        <w:t xml:space="preserve">programs for the purposes of section 32B of the </w:t>
      </w:r>
      <w:r w:rsidRPr="002718CE">
        <w:rPr>
          <w:i/>
          <w:noProof/>
          <w:szCs w:val="26"/>
        </w:rPr>
        <w:t>Financial Framework (Supplementary Powers) Act 1997</w:t>
      </w:r>
      <w:r w:rsidRPr="002718CE">
        <w:rPr>
          <w:noProof/>
          <w:szCs w:val="26"/>
        </w:rPr>
        <w:t xml:space="preserve"> explicitly state, for each new program, the constitutional authority for the expenditure.</w:t>
      </w:r>
    </w:p>
    <w:p w:rsidR="00122D9B" w:rsidRPr="002718CE" w:rsidRDefault="00122D9B" w:rsidP="00122D9B">
      <w:pPr>
        <w:rPr>
          <w:noProof/>
          <w:szCs w:val="26"/>
        </w:rPr>
      </w:pPr>
      <w:r w:rsidRPr="002718CE">
        <w:rPr>
          <w:noProof/>
          <w:szCs w:val="26"/>
        </w:rPr>
        <w:t>In this regard, the committee notes that the ES states that the objective of the Mathematics by Inquiry program is:</w:t>
      </w:r>
    </w:p>
    <w:p w:rsidR="00122D9B" w:rsidRPr="002718CE" w:rsidRDefault="00122D9B" w:rsidP="00122D9B">
      <w:pPr>
        <w:pStyle w:val="Quote"/>
      </w:pPr>
      <w:r w:rsidRPr="002718CE">
        <w:t>To create and improve mathematics curriculum resources for primary and secondary school students:</w:t>
      </w:r>
    </w:p>
    <w:p w:rsidR="00122D9B" w:rsidRPr="002718CE" w:rsidRDefault="00122D9B" w:rsidP="00122D9B">
      <w:pPr>
        <w:pStyle w:val="Quote"/>
        <w:numPr>
          <w:ilvl w:val="0"/>
          <w:numId w:val="37"/>
        </w:numPr>
        <w:spacing w:after="120"/>
      </w:pPr>
      <w:r w:rsidRPr="002718CE">
        <w:t>to meet Australia’s international obligations under the Convention on the Rights of the Child and the International Covenant on Economic, Social and Cultural Rights; and</w:t>
      </w:r>
    </w:p>
    <w:p w:rsidR="00122D9B" w:rsidRPr="002718CE" w:rsidRDefault="00122D9B" w:rsidP="00122D9B">
      <w:pPr>
        <w:pStyle w:val="Quote"/>
        <w:numPr>
          <w:ilvl w:val="0"/>
          <w:numId w:val="37"/>
        </w:numPr>
        <w:spacing w:after="120"/>
      </w:pPr>
      <w:r w:rsidRPr="002718CE">
        <w:t>as activities that are peculiarly adapted to the government of a nation and cannot otherwise be carried on for the benefit of the nation.</w:t>
      </w:r>
    </w:p>
    <w:p w:rsidR="00122D9B" w:rsidRPr="002718CE" w:rsidRDefault="00122D9B" w:rsidP="00122D9B">
      <w:pPr>
        <w:rPr>
          <w:noProof/>
          <w:szCs w:val="26"/>
        </w:rPr>
      </w:pPr>
      <w:r w:rsidRPr="002718CE">
        <w:rPr>
          <w:noProof/>
          <w:szCs w:val="26"/>
        </w:rPr>
        <w:t>The objective of the Coding Across the Curriculum program is:</w:t>
      </w:r>
    </w:p>
    <w:p w:rsidR="00122D9B" w:rsidRPr="002718CE" w:rsidRDefault="00122D9B" w:rsidP="00122D9B">
      <w:pPr>
        <w:pStyle w:val="Quote"/>
      </w:pPr>
      <w:r w:rsidRPr="002718CE">
        <w:t>To encourage the introduction of computer coding and programming across different year levels in Australian schools:</w:t>
      </w:r>
    </w:p>
    <w:p w:rsidR="00122D9B" w:rsidRPr="002718CE" w:rsidRDefault="00122D9B" w:rsidP="00122D9B">
      <w:pPr>
        <w:pStyle w:val="Quote"/>
        <w:numPr>
          <w:ilvl w:val="0"/>
          <w:numId w:val="38"/>
        </w:numPr>
        <w:spacing w:after="120"/>
      </w:pPr>
      <w:r w:rsidRPr="002718CE">
        <w:t>to meet Australia’s international obligations under the Convention on the Rights of the Child and the International Covenant on Economic, Social and Cultural Rights; and</w:t>
      </w:r>
    </w:p>
    <w:p w:rsidR="00122D9B" w:rsidRPr="002718CE" w:rsidRDefault="00122D9B" w:rsidP="00122D9B">
      <w:pPr>
        <w:pStyle w:val="Quote"/>
        <w:numPr>
          <w:ilvl w:val="0"/>
          <w:numId w:val="38"/>
        </w:numPr>
        <w:spacing w:after="120"/>
      </w:pPr>
      <w:r w:rsidRPr="002718CE">
        <w:t>as an activity that is peculiarly adapted to the government of a nation and cannot otherwise be carried on for the benefit of the nation.</w:t>
      </w:r>
    </w:p>
    <w:p w:rsidR="00122D9B" w:rsidRPr="002718CE" w:rsidRDefault="00122D9B" w:rsidP="00122D9B">
      <w:pPr>
        <w:rPr>
          <w:noProof/>
          <w:szCs w:val="26"/>
        </w:rPr>
      </w:pPr>
      <w:r w:rsidRPr="002718CE">
        <w:rPr>
          <w:noProof/>
          <w:szCs w:val="26"/>
        </w:rPr>
        <w:t>The committee notes that the ES identifies the consititutional basis for expenditure in relation to both the Mathematics by Inquiry and the Coding Across the Curriculum programs as follows:</w:t>
      </w:r>
    </w:p>
    <w:p w:rsidR="00122D9B" w:rsidRPr="002718CE" w:rsidRDefault="00122D9B" w:rsidP="00122D9B">
      <w:pPr>
        <w:pStyle w:val="Quote"/>
      </w:pPr>
      <w:r w:rsidRPr="002718CE">
        <w:t>Noting that it is not a comprehensive statement of relevant constitutional considerations, the objective of the item references the following powers of the Constitution:</w:t>
      </w:r>
    </w:p>
    <w:p w:rsidR="00122D9B" w:rsidRPr="002718CE" w:rsidRDefault="00122D9B" w:rsidP="00122D9B">
      <w:pPr>
        <w:pStyle w:val="Quote"/>
        <w:numPr>
          <w:ilvl w:val="0"/>
          <w:numId w:val="39"/>
        </w:numPr>
        <w:spacing w:after="120"/>
      </w:pPr>
      <w:r w:rsidRPr="002718CE">
        <w:t xml:space="preserve">the external affairs power (section 51(xxix)) </w:t>
      </w:r>
    </w:p>
    <w:p w:rsidR="00122D9B" w:rsidRPr="002718CE" w:rsidRDefault="00122D9B" w:rsidP="00122D9B">
      <w:pPr>
        <w:pStyle w:val="Quote"/>
        <w:numPr>
          <w:ilvl w:val="0"/>
          <w:numId w:val="39"/>
        </w:numPr>
        <w:spacing w:after="120"/>
      </w:pPr>
      <w:r w:rsidRPr="002718CE">
        <w:t>Commonwealth executive power and the express incidental power (sections 61 and 51(xxxix)).</w:t>
      </w:r>
    </w:p>
    <w:p w:rsidR="00122D9B" w:rsidRPr="002718CE" w:rsidRDefault="00122D9B" w:rsidP="00122D9B">
      <w:r w:rsidRPr="002718CE">
        <w:t>Therefore, the instrument appears to rely on the external affairs power and the executive nationhood power (coupled with the express incidental power) as the relevant heads of legislative power to authorise the making of these provisions (and therefore the spending of public money under them).</w:t>
      </w:r>
    </w:p>
    <w:p w:rsidR="00122D9B" w:rsidRPr="002718CE" w:rsidRDefault="00122D9B" w:rsidP="00122D9B">
      <w:r w:rsidRPr="002718CE">
        <w:t xml:space="preserve">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 </w:t>
      </w:r>
    </w:p>
    <w:p w:rsidR="00122D9B" w:rsidRPr="002718CE" w:rsidRDefault="00122D9B" w:rsidP="00122D9B">
      <w:r w:rsidRPr="002718CE">
        <w:lastRenderedPageBreak/>
        <w:t>In relation to the executive nationhood power and the express incidental power, the committee understands that the nationhood power provides the Commonwealth executive with a capacity to engage in enterprises and activities peculiarly adapted to the government of a nation and which cannot otherwise be carried out for the benefit of the nation.</w:t>
      </w:r>
    </w:p>
    <w:p w:rsidR="00122D9B" w:rsidRPr="002718CE" w:rsidRDefault="00122D9B" w:rsidP="00122D9B">
      <w:pPr>
        <w:rPr>
          <w:b/>
          <w:i/>
        </w:rPr>
      </w:pPr>
      <w:r w:rsidRPr="002718CE">
        <w:rPr>
          <w:b/>
          <w:i/>
        </w:rPr>
        <w:t>The committee therefore sought the minister's advice as to:</w:t>
      </w:r>
    </w:p>
    <w:p w:rsidR="00122D9B" w:rsidRPr="002718CE" w:rsidRDefault="00122D9B" w:rsidP="00122D9B">
      <w:pPr>
        <w:pStyle w:val="Bullet1"/>
        <w:rPr>
          <w:b/>
          <w:i/>
          <w:noProof/>
          <w:szCs w:val="26"/>
        </w:rPr>
      </w:pPr>
      <w:r w:rsidRPr="002718CE">
        <w:rPr>
          <w:b/>
          <w:i/>
        </w:rPr>
        <w:t xml:space="preserve">how the obligations under the Convention on the Rights of the Child and the International Covenant on Economic, Social and Cultural Rights are sufficiently specific to support the </w:t>
      </w:r>
      <w:r w:rsidRPr="002718CE">
        <w:rPr>
          <w:b/>
          <w:i/>
          <w:noProof/>
          <w:szCs w:val="26"/>
        </w:rPr>
        <w:t>Mathematics by Inquiry and the Coding Across the Curriculum programs; and</w:t>
      </w:r>
    </w:p>
    <w:p w:rsidR="00122D9B" w:rsidRPr="002718CE" w:rsidRDefault="00122D9B" w:rsidP="00122D9B">
      <w:pPr>
        <w:pStyle w:val="Bullet1"/>
        <w:rPr>
          <w:b/>
          <w:i/>
        </w:rPr>
      </w:pPr>
      <w:r w:rsidRPr="002718CE">
        <w:rPr>
          <w:b/>
          <w:i/>
        </w:rPr>
        <w:t xml:space="preserve">how the </w:t>
      </w:r>
      <w:r w:rsidRPr="002718CE">
        <w:rPr>
          <w:b/>
          <w:i/>
          <w:noProof/>
          <w:szCs w:val="26"/>
        </w:rPr>
        <w:t xml:space="preserve">Mathematics by Inquiry and the Coding Across the Curriculum programs are supported by the </w:t>
      </w:r>
      <w:r w:rsidRPr="002718CE">
        <w:rPr>
          <w:b/>
          <w:i/>
        </w:rPr>
        <w:t>executive nationhood power and the express incidental power</w:t>
      </w:r>
      <w:r w:rsidRPr="002718CE">
        <w:rPr>
          <w:b/>
          <w:i/>
          <w:noProof/>
          <w:szCs w:val="26"/>
        </w:rPr>
        <w:t xml:space="preserve"> to the extent that they are </w:t>
      </w:r>
      <w:r w:rsidRPr="002718CE">
        <w:rPr>
          <w:b/>
          <w:i/>
        </w:rPr>
        <w:t>enterprises and activities peculiarly adapted to the government of a nation and which cannot otherwise be carried out for the benefit of the nation.</w:t>
      </w:r>
    </w:p>
    <w:p w:rsidR="00122D9B" w:rsidRPr="002718CE" w:rsidRDefault="00122D9B" w:rsidP="00122D9B">
      <w:pPr>
        <w:pStyle w:val="Bullet1"/>
        <w:numPr>
          <w:ilvl w:val="0"/>
          <w:numId w:val="0"/>
        </w:numPr>
        <w:ind w:left="851" w:hanging="851"/>
        <w:rPr>
          <w:b/>
        </w:rPr>
      </w:pPr>
      <w:r w:rsidRPr="002718CE">
        <w:rPr>
          <w:b/>
        </w:rPr>
        <w:t>Minister's first response</w:t>
      </w:r>
    </w:p>
    <w:p w:rsidR="00122D9B" w:rsidRPr="002718CE" w:rsidRDefault="00122D9B" w:rsidP="00122D9B">
      <w:pPr>
        <w:pStyle w:val="Bullet1"/>
        <w:numPr>
          <w:ilvl w:val="0"/>
          <w:numId w:val="0"/>
        </w:numPr>
        <w:ind w:left="851" w:hanging="851"/>
      </w:pPr>
      <w:r w:rsidRPr="002718CE">
        <w:t>The Minister for Finance advised that:</w:t>
      </w:r>
    </w:p>
    <w:p w:rsidR="00122D9B" w:rsidRPr="002718CE" w:rsidRDefault="00122D9B" w:rsidP="00122D9B">
      <w:pPr>
        <w:pStyle w:val="Quote"/>
      </w:pPr>
      <w:r w:rsidRPr="002718CE">
        <w:t>The Committee may be aware that 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 The drafting of legislation, including subordinate legislation, is routinely undertaken having regard to a range of constitutional and other legal considerations. In some cases, basic constitutional underpinnings will be evident in provisions that describe the objective scope of legislation.</w:t>
      </w:r>
    </w:p>
    <w:p w:rsidR="00122D9B" w:rsidRPr="002718CE" w:rsidRDefault="00122D9B" w:rsidP="00122D9B">
      <w:pPr>
        <w:pStyle w:val="Quote"/>
      </w:pPr>
      <w:r w:rsidRPr="002718CE">
        <w:t>The items for Mathematics by Inquiry and Coding across the Curriculum in the Regulation are a case in point. As indicated in the explanatory statement accompanying the Regulation, the objective for each of these items references the external affairs power, the Commonwealth executive power and the express incidental power.</w:t>
      </w:r>
    </w:p>
    <w:p w:rsidR="00122D9B" w:rsidRPr="002718CE" w:rsidRDefault="00122D9B" w:rsidP="00122D9B">
      <w:pPr>
        <w:pStyle w:val="Quote"/>
      </w:pPr>
      <w:r w:rsidRPr="002718CE">
        <w:t xml:space="preserve">The Government will continue to draft amendments for legislative authority under the section 32B mechanism in the </w:t>
      </w:r>
      <w:r w:rsidRPr="002718CE">
        <w:rPr>
          <w:i/>
        </w:rPr>
        <w:t xml:space="preserve">Financial Framework (Supplementary Powers) Act 1997 </w:t>
      </w:r>
      <w:r w:rsidRPr="002718CE">
        <w:t xml:space="preserve">having due regard to constitutional limits. Consistent with this approach to law-making more generally, the Government will continue to work on maximising clarity in its approach to drafting. </w:t>
      </w:r>
    </w:p>
    <w:p w:rsidR="00122D9B" w:rsidRPr="002718CE" w:rsidRDefault="00122D9B" w:rsidP="00122D9B">
      <w:pPr>
        <w:pStyle w:val="Bullet1"/>
        <w:numPr>
          <w:ilvl w:val="0"/>
          <w:numId w:val="0"/>
        </w:numPr>
        <w:ind w:left="851" w:hanging="851"/>
        <w:rPr>
          <w:b/>
        </w:rPr>
      </w:pPr>
      <w:r w:rsidRPr="002718CE">
        <w:rPr>
          <w:b/>
        </w:rPr>
        <w:t>Committee's first response</w:t>
      </w:r>
    </w:p>
    <w:p w:rsidR="00122D9B" w:rsidRPr="002718CE" w:rsidRDefault="00122D9B" w:rsidP="00122D9B">
      <w:pPr>
        <w:pStyle w:val="Bullet1"/>
        <w:numPr>
          <w:ilvl w:val="0"/>
          <w:numId w:val="0"/>
        </w:numPr>
        <w:tabs>
          <w:tab w:val="clear" w:pos="851"/>
          <w:tab w:val="left" w:pos="0"/>
        </w:tabs>
      </w:pPr>
      <w:r w:rsidRPr="002718CE">
        <w:lastRenderedPageBreak/>
        <w:t>The committee commented as follows:</w:t>
      </w:r>
      <w:r>
        <w:t xml:space="preserve"> </w:t>
      </w:r>
      <w:r w:rsidRPr="00AC4E3D">
        <w:rPr>
          <w:b/>
          <w:i/>
        </w:rPr>
        <w:t>The committee thanked the minister for his response.</w:t>
      </w:r>
      <w:r>
        <w:t xml:space="preserve"> </w:t>
      </w:r>
      <w:r w:rsidRPr="002718CE">
        <w:t>However, the minister's response has not addressed the specific questions asked by the committee, namely:</w:t>
      </w:r>
    </w:p>
    <w:p w:rsidR="00122D9B" w:rsidRPr="002718CE" w:rsidRDefault="00122D9B" w:rsidP="00122D9B">
      <w:pPr>
        <w:pStyle w:val="Bullet1"/>
        <w:tabs>
          <w:tab w:val="left" w:pos="0"/>
        </w:tabs>
        <w:spacing w:after="120"/>
      </w:pPr>
      <w:r w:rsidRPr="002718CE">
        <w:t>how the obligations under the Convention on the Rights of the Child and the International Covenant on Economic, Social and Cultural Rights are sufficiently specific to support the Mathematics by Inquiry and the Coding Across the Curriculum programs; and</w:t>
      </w:r>
    </w:p>
    <w:p w:rsidR="00122D9B" w:rsidRPr="002718CE" w:rsidRDefault="00122D9B" w:rsidP="00122D9B">
      <w:pPr>
        <w:pStyle w:val="Bullet1"/>
        <w:tabs>
          <w:tab w:val="left" w:pos="0"/>
        </w:tabs>
        <w:spacing w:after="120"/>
        <w:rPr>
          <w:b/>
        </w:rPr>
      </w:pPr>
      <w:r w:rsidRPr="002718CE">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122D9B" w:rsidRPr="002718CE" w:rsidRDefault="00122D9B" w:rsidP="00122D9B">
      <w:pPr>
        <w:pStyle w:val="Bullet1"/>
        <w:numPr>
          <w:ilvl w:val="0"/>
          <w:numId w:val="0"/>
        </w:numPr>
        <w:tabs>
          <w:tab w:val="left" w:pos="0"/>
        </w:tabs>
      </w:pPr>
      <w:r w:rsidRPr="002718CE">
        <w:t>First, the committee notes that these questions are asked of the minister in his capacity as the instrument-maker. In this respect, the committee seeks the minister's advice as to whether he regards the referenced constitutional powers as providing a basis for the making of the instrument.</w:t>
      </w:r>
    </w:p>
    <w:p w:rsidR="00122D9B" w:rsidRPr="002718CE" w:rsidRDefault="00122D9B" w:rsidP="00122D9B">
      <w:pPr>
        <w:pStyle w:val="Bullet1"/>
        <w:numPr>
          <w:ilvl w:val="0"/>
          <w:numId w:val="0"/>
        </w:numPr>
        <w:tabs>
          <w:tab w:val="left" w:pos="0"/>
        </w:tabs>
        <w:rPr>
          <w:b/>
          <w:i/>
        </w:rPr>
      </w:pPr>
      <w:r w:rsidRPr="002718CE">
        <w:rPr>
          <w:b/>
          <w:i/>
        </w:rPr>
        <w:t>The committee therefore sought further advice from the minister in relation to this matter.</w:t>
      </w:r>
    </w:p>
    <w:p w:rsidR="00122D9B" w:rsidRPr="002718CE" w:rsidRDefault="00122D9B" w:rsidP="00122D9B">
      <w:pPr>
        <w:pStyle w:val="Bullet1"/>
        <w:numPr>
          <w:ilvl w:val="0"/>
          <w:numId w:val="0"/>
        </w:numPr>
        <w:tabs>
          <w:tab w:val="clear" w:pos="851"/>
          <w:tab w:val="left" w:pos="0"/>
        </w:tabs>
      </w:pPr>
      <w:r w:rsidRPr="002718CE">
        <w:t>Second, the committee notes that the minister's response suggests that legal advice may have been obtained in relation to the constitutional support for the Mathematics by Inquiry and the Coding Across the Curriculum programs. The minister states:</w:t>
      </w:r>
    </w:p>
    <w:p w:rsidR="00122D9B" w:rsidRPr="002718CE" w:rsidRDefault="00122D9B" w:rsidP="00122D9B">
      <w:pPr>
        <w:pStyle w:val="Quote"/>
      </w:pPr>
      <w:r w:rsidRPr="002718CE">
        <w:t>…successive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w:t>
      </w:r>
    </w:p>
    <w:p w:rsidR="00122D9B" w:rsidRPr="002718CE" w:rsidRDefault="00122D9B" w:rsidP="00122D9B">
      <w:pPr>
        <w:pStyle w:val="Bullet1"/>
        <w:numPr>
          <w:ilvl w:val="0"/>
          <w:numId w:val="0"/>
        </w:numPr>
        <w:tabs>
          <w:tab w:val="clear" w:pos="851"/>
          <w:tab w:val="left" w:pos="0"/>
        </w:tabs>
      </w:pPr>
      <w:r w:rsidRPr="002718CE">
        <w:t>While the Senate has indicated some measure of acceptance of certain public interest immunity grounds for refusals to disclose information (in cases where a particular harm is identified), the committee does not understand the minister's response to be explicitly advancing a public interest immunity claim on a recognised ground in this case.</w:t>
      </w:r>
    </w:p>
    <w:p w:rsidR="00122D9B" w:rsidRPr="002718CE" w:rsidRDefault="00122D9B" w:rsidP="00122D9B">
      <w:pPr>
        <w:pStyle w:val="Bullet1"/>
        <w:numPr>
          <w:ilvl w:val="0"/>
          <w:numId w:val="0"/>
        </w:numPr>
        <w:tabs>
          <w:tab w:val="clear" w:pos="851"/>
          <w:tab w:val="left" w:pos="0"/>
        </w:tabs>
      </w:pPr>
      <w:r w:rsidRPr="002718CE">
        <w:t xml:space="preserve">In relation to the stated position of governments not to disclose legal advice, the committee has noted previously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w:t>
      </w:r>
      <w:r w:rsidRPr="002718CE">
        <w:lastRenderedPageBreak/>
        <w:t>advice to government or a department.</w:t>
      </w:r>
      <w:r w:rsidRPr="002718CE">
        <w:rPr>
          <w:rStyle w:val="FootnoteReference"/>
        </w:rPr>
        <w:footnoteReference w:id="8"/>
      </w:r>
      <w:r w:rsidRPr="002718CE">
        <w:t xml:space="preserve"> To underline this point, the committee notes that it has been provided with legal advice on a number of occasions.</w:t>
      </w:r>
      <w:r w:rsidRPr="002718CE">
        <w:rPr>
          <w:rStyle w:val="FootnoteReference"/>
        </w:rPr>
        <w:footnoteReference w:id="9"/>
      </w:r>
    </w:p>
    <w:p w:rsidR="00122D9B" w:rsidRPr="002718CE" w:rsidRDefault="00122D9B" w:rsidP="00122D9B">
      <w:pPr>
        <w:pStyle w:val="Bullet1"/>
        <w:numPr>
          <w:ilvl w:val="0"/>
          <w:numId w:val="0"/>
        </w:numPr>
        <w:tabs>
          <w:tab w:val="clear" w:pos="851"/>
          <w:tab w:val="left" w:pos="0"/>
        </w:tabs>
        <w:rPr>
          <w:b/>
          <w:i/>
        </w:rPr>
      </w:pPr>
      <w:r w:rsidRPr="002718CE">
        <w:rPr>
          <w:b/>
          <w:i/>
        </w:rPr>
        <w:t>The committee therefore requested from the minister a copy of any legal advice obtained in relation to this matter, and particularly the question of whether the referenced constitutional powers support the inclusion of the programs in question in the regulation.</w:t>
      </w:r>
    </w:p>
    <w:p w:rsidR="00122D9B" w:rsidRPr="002718CE" w:rsidRDefault="00122D9B" w:rsidP="00122D9B">
      <w:pPr>
        <w:rPr>
          <w:b/>
          <w:noProof/>
          <w:szCs w:val="26"/>
        </w:rPr>
      </w:pPr>
      <w:r w:rsidRPr="002718CE">
        <w:rPr>
          <w:b/>
          <w:noProof/>
          <w:szCs w:val="26"/>
        </w:rPr>
        <w:t>Minister's second response</w:t>
      </w:r>
    </w:p>
    <w:p w:rsidR="00122D9B" w:rsidRPr="002718CE" w:rsidRDefault="00122D9B" w:rsidP="00122D9B">
      <w:pPr>
        <w:rPr>
          <w:noProof/>
        </w:rPr>
      </w:pPr>
      <w:r w:rsidRPr="002718CE">
        <w:rPr>
          <w:noProof/>
        </w:rPr>
        <w:t>The Minister for Finance advised that:</w:t>
      </w:r>
    </w:p>
    <w:p w:rsidR="00122D9B" w:rsidRPr="002718CE" w:rsidRDefault="00122D9B" w:rsidP="00122D9B">
      <w:pPr>
        <w:pStyle w:val="Quote"/>
        <w:rPr>
          <w:noProof/>
        </w:rPr>
      </w:pPr>
      <w:r w:rsidRPr="002718CE">
        <w:rPr>
          <w:noProof/>
        </w:rPr>
        <w:t>The Government does not consider it would be appropriate to disclose the content of its legal advice. Disclosure of legal advice must always be carefully considered, including whether there is a risk that disclosure will prejudice the Commonwealth's legal position.</w:t>
      </w:r>
    </w:p>
    <w:p w:rsidR="00122D9B" w:rsidRPr="002718CE" w:rsidRDefault="00122D9B" w:rsidP="00122D9B">
      <w:pPr>
        <w:pStyle w:val="Quote"/>
        <w:rPr>
          <w:noProof/>
        </w:rPr>
      </w:pPr>
      <w:r w:rsidRPr="002718CE">
        <w:rPr>
          <w:noProof/>
        </w:rPr>
        <w:t>The formulation of programmes and the drafti</w:t>
      </w:r>
      <w:r>
        <w:rPr>
          <w:noProof/>
        </w:rPr>
        <w:t>ng of legislation often involves</w:t>
      </w:r>
      <w:r w:rsidRPr="002718CE">
        <w:rPr>
          <w:noProof/>
        </w:rPr>
        <w:t xml:space="preserve"> complex issues and is routinely undertaken having regard to a range of constitutional and other legal considerations. In relation to the items for the Mathematics by Inquiry and the Coding Across the Currciculum Programmes, legal advice was obtained and carefully considered, including Australia's international obligations under the Convention on the Rights of the Child, particularly Articles 28 and 29, and under the International Covenant on Economic, Social and Cultural Rights, particularly Article 13.</w:t>
      </w:r>
    </w:p>
    <w:p w:rsidR="00122D9B" w:rsidRPr="002718CE" w:rsidRDefault="00122D9B" w:rsidP="00122D9B">
      <w:pPr>
        <w:rPr>
          <w:b/>
          <w:noProof/>
        </w:rPr>
      </w:pPr>
      <w:r w:rsidRPr="002718CE">
        <w:rPr>
          <w:b/>
          <w:noProof/>
        </w:rPr>
        <w:t>Committee's second response</w:t>
      </w:r>
    </w:p>
    <w:p w:rsidR="00122D9B" w:rsidRPr="002718CE" w:rsidRDefault="00122D9B" w:rsidP="00122D9B">
      <w:pPr>
        <w:pStyle w:val="Bullet1"/>
        <w:numPr>
          <w:ilvl w:val="0"/>
          <w:numId w:val="0"/>
        </w:numPr>
        <w:tabs>
          <w:tab w:val="clear" w:pos="851"/>
          <w:tab w:val="left" w:pos="0"/>
        </w:tabs>
      </w:pPr>
      <w:r w:rsidRPr="002718CE">
        <w:t xml:space="preserve">The committee commented as follows: </w:t>
      </w:r>
      <w:r>
        <w:rPr>
          <w:b/>
          <w:i/>
          <w:noProof/>
        </w:rPr>
        <w:t>The committee thanked</w:t>
      </w:r>
      <w:r w:rsidRPr="005E665B">
        <w:rPr>
          <w:b/>
          <w:i/>
          <w:noProof/>
        </w:rPr>
        <w:t xml:space="preserve"> the minister for his response</w:t>
      </w:r>
      <w:r>
        <w:rPr>
          <w:b/>
          <w:i/>
          <w:noProof/>
        </w:rPr>
        <w:t>.</w:t>
      </w:r>
      <w:r w:rsidRPr="002718CE">
        <w:t xml:space="preserve"> However, scrutiny principle (a) of the committee's terms of reference requires the committee to ensure that the exercise of the Parliament's delegated legislative powers is done in accordance with the law, including the Constitution of Australia.</w:t>
      </w:r>
    </w:p>
    <w:p w:rsidR="00122D9B" w:rsidRPr="002718CE" w:rsidRDefault="00122D9B" w:rsidP="00122D9B">
      <w:pPr>
        <w:pStyle w:val="Bullet1"/>
        <w:numPr>
          <w:ilvl w:val="0"/>
          <w:numId w:val="0"/>
        </w:numPr>
        <w:tabs>
          <w:tab w:val="clear" w:pos="851"/>
          <w:tab w:val="left" w:pos="0"/>
        </w:tabs>
      </w:pPr>
      <w:r w:rsidRPr="002718CE">
        <w:t>In this regard, the committee's request to the minister effectively sought an explicit and positive assurance that, in exercising the Parliament's delegated powers in the making of the regulation, the min</w:t>
      </w:r>
      <w:r>
        <w:t>i</w:t>
      </w:r>
      <w:r w:rsidRPr="002718CE">
        <w:t xml:space="preserve">ster was satisfied that there was sufficient constitutional authority for the exercise of that power. The committee sought that assurance in the context of specific questions pertaining to the character of the powers </w:t>
      </w:r>
      <w:r w:rsidRPr="002718CE">
        <w:lastRenderedPageBreak/>
        <w:t>referenced in the ES for the regulation, being the external affairs power and the executive nationhood power and the express incidental power.</w:t>
      </w:r>
    </w:p>
    <w:p w:rsidR="00122D9B" w:rsidRPr="002718CE" w:rsidRDefault="00122D9B" w:rsidP="00122D9B">
      <w:pPr>
        <w:pStyle w:val="Bullet1"/>
        <w:numPr>
          <w:ilvl w:val="0"/>
          <w:numId w:val="0"/>
        </w:numPr>
        <w:tabs>
          <w:tab w:val="clear" w:pos="851"/>
          <w:tab w:val="left" w:pos="0"/>
        </w:tabs>
      </w:pPr>
      <w:r w:rsidRPr="002718CE">
        <w:t xml:space="preserve">First, while the minister's response advises that legal advice was obtained in relation to articles 28 and 29 of the </w:t>
      </w:r>
      <w:r w:rsidRPr="002718CE">
        <w:rPr>
          <w:noProof/>
        </w:rPr>
        <w:t xml:space="preserve">Convention on the Rights of the Child and article 13 of the International Covenant on Economic, Social and Cultural Rights, the minister does not address the question of how the articles cited </w:t>
      </w:r>
      <w:r w:rsidRPr="002718CE">
        <w:t>are sufficiently specific to support the Mathematics by Inquiry and the Coding Across the Curriculum programs.</w:t>
      </w:r>
    </w:p>
    <w:p w:rsidR="00122D9B" w:rsidRPr="005E665B" w:rsidRDefault="00122D9B" w:rsidP="00122D9B">
      <w:pPr>
        <w:pStyle w:val="Bullet1"/>
        <w:numPr>
          <w:ilvl w:val="0"/>
          <w:numId w:val="0"/>
        </w:numPr>
        <w:tabs>
          <w:tab w:val="clear" w:pos="851"/>
          <w:tab w:val="left" w:pos="0"/>
        </w:tabs>
        <w:rPr>
          <w:i/>
        </w:rPr>
      </w:pPr>
      <w:r w:rsidRPr="002718CE">
        <w:t>Second, the min</w:t>
      </w:r>
      <w:r>
        <w:t>i</w:t>
      </w:r>
      <w:r w:rsidRPr="002718CE">
        <w:t xml:space="preserve">ster has not addressed the question of how the Mathematics by Inquiry and the Coding Across the Curriculum programs are supported by the executive nationhood power and the express incidental power to the extent that they are enterprises and activities peculiarly adapted to the government of a nation and which </w:t>
      </w:r>
      <w:r w:rsidRPr="005E665B">
        <w:rPr>
          <w:i/>
        </w:rPr>
        <w:t>cannot otherwise be carried out for the benefit of the nation.</w:t>
      </w:r>
    </w:p>
    <w:p w:rsidR="00122D9B" w:rsidRPr="005E665B" w:rsidRDefault="00122D9B" w:rsidP="00122D9B">
      <w:pPr>
        <w:rPr>
          <w:b/>
          <w:i/>
        </w:rPr>
      </w:pPr>
      <w:r w:rsidRPr="005E665B">
        <w:rPr>
          <w:b/>
          <w:i/>
        </w:rPr>
        <w:t>In light of the above comments, the committee therefore sought the minister's further advice as to:</w:t>
      </w:r>
    </w:p>
    <w:p w:rsidR="00122D9B" w:rsidRPr="005E665B" w:rsidRDefault="00122D9B" w:rsidP="00122D9B">
      <w:pPr>
        <w:pStyle w:val="Bullet1"/>
        <w:tabs>
          <w:tab w:val="left" w:pos="0"/>
        </w:tabs>
        <w:rPr>
          <w:b/>
          <w:i/>
        </w:rPr>
      </w:pPr>
      <w:r w:rsidRPr="005E665B">
        <w:rPr>
          <w:b/>
          <w:i/>
        </w:rPr>
        <w:t>how the obligations under the Convention on the Rights of the Child and the International Covenant on Economic, Social and Cultural Rights are sufficiently specific to support the Mathematics by Inquiry and the Coding Across the Curriculum programs; and</w:t>
      </w:r>
    </w:p>
    <w:p w:rsidR="00122D9B" w:rsidRPr="005E665B" w:rsidRDefault="00122D9B" w:rsidP="00122D9B">
      <w:pPr>
        <w:pStyle w:val="Bullet1"/>
        <w:numPr>
          <w:ilvl w:val="0"/>
          <w:numId w:val="0"/>
        </w:numPr>
        <w:tabs>
          <w:tab w:val="left" w:pos="0"/>
        </w:tabs>
        <w:ind w:left="720" w:hanging="720"/>
        <w:rPr>
          <w:b/>
          <w:i/>
        </w:rPr>
      </w:pPr>
      <w:r w:rsidRPr="005E665B">
        <w:rPr>
          <w:b/>
          <w:i/>
        </w:rPr>
        <w:t>•</w:t>
      </w:r>
      <w:r w:rsidRPr="005E665B">
        <w:rPr>
          <w:b/>
          <w:i/>
        </w:rPr>
        <w:tab/>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122D9B" w:rsidRPr="002718CE" w:rsidRDefault="00122D9B" w:rsidP="00122D9B">
      <w:pPr>
        <w:pStyle w:val="Bullet1"/>
        <w:numPr>
          <w:ilvl w:val="0"/>
          <w:numId w:val="0"/>
        </w:numPr>
        <w:tabs>
          <w:tab w:val="clear" w:pos="851"/>
          <w:tab w:val="left" w:pos="0"/>
        </w:tabs>
      </w:pPr>
      <w:r w:rsidRPr="002718CE">
        <w:t>In addition, the committee notes the minister's refusal to provide the committee with the legal advice obtained in relation to the Mathematics by Inquiry and the Coding Across the Curriculum programs:</w:t>
      </w:r>
    </w:p>
    <w:p w:rsidR="00122D9B" w:rsidRPr="002718CE" w:rsidRDefault="00122D9B" w:rsidP="00122D9B">
      <w:pPr>
        <w:pStyle w:val="Quote"/>
      </w:pPr>
      <w:r w:rsidRPr="002718CE">
        <w:t>The Government does not consider it would be appropriate to disclose the content of its legal advice. Disclosure of legal advice must always be carefully considered, including whether there is a risk that disclosure will prejudice the Commonwealth's legal position.</w:t>
      </w:r>
    </w:p>
    <w:p w:rsidR="00122D9B" w:rsidRPr="002718CE" w:rsidRDefault="00122D9B" w:rsidP="00122D9B">
      <w:pPr>
        <w:pStyle w:val="Bullet1"/>
        <w:numPr>
          <w:ilvl w:val="0"/>
          <w:numId w:val="0"/>
        </w:numPr>
        <w:tabs>
          <w:tab w:val="clear" w:pos="851"/>
          <w:tab w:val="left" w:pos="0"/>
        </w:tabs>
      </w:pPr>
      <w:r w:rsidRPr="002718CE">
        <w:t>The committee notes that the Senate has indicated some measure of acceptance of certain public interest immunity grounds for refusals to disclose information (in cases where a particular harm is clearly identified). However, it is important to note that the Senate's requirements and the process for the making of public interest immunity claims (as set out in an Order of the Senate of 13 May 2009 ('Public interest immunity claims'))</w:t>
      </w:r>
      <w:r w:rsidRPr="002718CE">
        <w:rPr>
          <w:rStyle w:val="FootnoteReference"/>
        </w:rPr>
        <w:footnoteReference w:id="10"/>
      </w:r>
      <w:r w:rsidRPr="002718CE">
        <w:t xml:space="preserve"> do not specify recognised grounds for making such claims. This is because </w:t>
      </w:r>
      <w:r w:rsidRPr="002718CE">
        <w:lastRenderedPageBreak/>
        <w:t>whether any of the grounds are justified in a particular case depends on the circumstances of that case.</w:t>
      </w:r>
      <w:r w:rsidRPr="002718CE">
        <w:rPr>
          <w:rStyle w:val="FootnoteReference"/>
        </w:rPr>
        <w:footnoteReference w:id="11"/>
      </w:r>
    </w:p>
    <w:p w:rsidR="00122D9B" w:rsidRPr="002718CE" w:rsidRDefault="00122D9B" w:rsidP="00122D9B">
      <w:r w:rsidRPr="002718CE">
        <w:t>The committee notes that the minister's response does not advance a public interest immunity claim that addresses the requirements of the Order of the Sena</w:t>
      </w:r>
      <w:r>
        <w:t>te of 13 May </w:t>
      </w:r>
      <w:r w:rsidRPr="002718CE">
        <w:t>2009 ('Public interest immunity claims'), particularly in relation to (a) the need to specify the harm to the public interest that could result from the disclosure of the information or document and (b) the need to indicate whether any specified harm to the public interest from the disclosure of the information or document could result equally or in part from the disclosure of the information or document to the committee as in camera evidence.</w:t>
      </w:r>
    </w:p>
    <w:p w:rsidR="00122D9B" w:rsidRDefault="00122D9B" w:rsidP="00122D9B">
      <w:pPr>
        <w:pStyle w:val="Bullet1"/>
        <w:numPr>
          <w:ilvl w:val="0"/>
          <w:numId w:val="0"/>
        </w:numPr>
        <w:tabs>
          <w:tab w:val="left" w:pos="0"/>
        </w:tabs>
        <w:rPr>
          <w:b/>
          <w:i/>
        </w:rPr>
      </w:pPr>
      <w:r w:rsidRPr="005E665B">
        <w:rPr>
          <w:b/>
          <w:i/>
        </w:rPr>
        <w:t>The committee therefore reiterate</w:t>
      </w:r>
      <w:r>
        <w:rPr>
          <w:b/>
          <w:i/>
        </w:rPr>
        <w:t>d</w:t>
      </w:r>
      <w:r w:rsidRPr="005E665B">
        <w:rPr>
          <w:b/>
          <w:i/>
        </w:rPr>
        <w:t xml:space="preserve"> its request to the minister for a copy of the legal advice obtained in relation to this matter, and particularly the question of whether the referenced constitutional powers support the inclusion of the programs in question in the regulation.</w:t>
      </w:r>
    </w:p>
    <w:p w:rsidR="00122D9B" w:rsidRDefault="00122D9B" w:rsidP="00122D9B">
      <w:pPr>
        <w:pStyle w:val="Bullet1"/>
        <w:numPr>
          <w:ilvl w:val="0"/>
          <w:numId w:val="0"/>
        </w:numPr>
        <w:tabs>
          <w:tab w:val="left" w:pos="0"/>
        </w:tabs>
        <w:rPr>
          <w:b/>
        </w:rPr>
      </w:pPr>
      <w:r>
        <w:rPr>
          <w:b/>
        </w:rPr>
        <w:t>Minister's third response</w:t>
      </w:r>
    </w:p>
    <w:p w:rsidR="00122D9B" w:rsidRDefault="00122D9B" w:rsidP="00122D9B">
      <w:pPr>
        <w:pStyle w:val="Bullet1"/>
        <w:numPr>
          <w:ilvl w:val="0"/>
          <w:numId w:val="0"/>
        </w:numPr>
        <w:tabs>
          <w:tab w:val="left" w:pos="0"/>
        </w:tabs>
      </w:pPr>
      <w:r>
        <w:t xml:space="preserve">The Minister for Finance advised that: </w:t>
      </w:r>
    </w:p>
    <w:p w:rsidR="00122D9B" w:rsidRPr="005E665B" w:rsidRDefault="00122D9B" w:rsidP="00122D9B">
      <w:pPr>
        <w:pStyle w:val="Bullet1"/>
        <w:numPr>
          <w:ilvl w:val="0"/>
          <w:numId w:val="0"/>
        </w:numPr>
        <w:ind w:left="851" w:right="804"/>
        <w:rPr>
          <w:sz w:val="24"/>
          <w:szCs w:val="24"/>
        </w:rPr>
      </w:pPr>
      <w:r w:rsidRPr="005E665B">
        <w:rPr>
          <w:sz w:val="24"/>
          <w:szCs w:val="24"/>
        </w:rPr>
        <w:t>I can assure the Committee that the Government has obtained legal advice and has considered the constitutional position very carefully. This has included consideration of the constitutional powers identified in the explanatory statement accompanying the Regulation and the provisions of international instruments as advised in my letter to the Committee of 1</w:t>
      </w:r>
      <w:r>
        <w:rPr>
          <w:sz w:val="24"/>
          <w:szCs w:val="24"/>
        </w:rPr>
        <w:t> </w:t>
      </w:r>
      <w:r w:rsidRPr="005E665B">
        <w:rPr>
          <w:sz w:val="24"/>
          <w:szCs w:val="24"/>
        </w:rPr>
        <w:t>September 2015.</w:t>
      </w:r>
    </w:p>
    <w:p w:rsidR="00122D9B" w:rsidRPr="005E665B" w:rsidRDefault="00122D9B" w:rsidP="00122D9B">
      <w:pPr>
        <w:pStyle w:val="Bullet1"/>
        <w:numPr>
          <w:ilvl w:val="0"/>
          <w:numId w:val="0"/>
        </w:numPr>
        <w:tabs>
          <w:tab w:val="left" w:pos="0"/>
        </w:tabs>
        <w:ind w:left="851" w:right="662"/>
        <w:rPr>
          <w:sz w:val="24"/>
          <w:szCs w:val="24"/>
        </w:rPr>
      </w:pPr>
      <w:r w:rsidRPr="005E665B">
        <w:rPr>
          <w:sz w:val="24"/>
          <w:szCs w:val="24"/>
        </w:rPr>
        <w:t>Access by government to confidential legal advice is, in practical terms, central to the development of sound Commonwealth policy and robust legislative instruments. It is important to note the long-standing practice of successive governments not to publish or provide legal advice obtained in the course of developing policy and legislation. The Government considers that it is not in the public interest to depart from a position established and maintained over many years in the interests of conserving the Commonwealth's broader legal and constitutional interests.</w:t>
      </w:r>
    </w:p>
    <w:p w:rsidR="00122D9B" w:rsidRPr="005E665B" w:rsidRDefault="00122D9B" w:rsidP="00122D9B">
      <w:pPr>
        <w:pStyle w:val="Bullet1"/>
        <w:numPr>
          <w:ilvl w:val="0"/>
          <w:numId w:val="0"/>
        </w:numPr>
        <w:tabs>
          <w:tab w:val="left" w:pos="0"/>
        </w:tabs>
        <w:ind w:left="851" w:right="521"/>
        <w:rPr>
          <w:sz w:val="24"/>
          <w:szCs w:val="24"/>
        </w:rPr>
      </w:pPr>
      <w:r w:rsidRPr="005E665B">
        <w:rPr>
          <w:sz w:val="24"/>
          <w:szCs w:val="24"/>
        </w:rPr>
        <w:t xml:space="preserve">This practice was most recently outlined by the Attorney-General, Senator the Hon George Brandis QC, in his letter of 27 August 2015 to the Joint Intelligence and Security Committee (see Appendix D of the </w:t>
      </w:r>
      <w:r w:rsidRPr="00AC4E3D">
        <w:rPr>
          <w:i/>
          <w:sz w:val="24"/>
          <w:szCs w:val="24"/>
        </w:rPr>
        <w:t>Advisory Report on the Australian Citizenship Amendment (Allegiance to Australia) Bill 2015</w:t>
      </w:r>
      <w:r w:rsidRPr="005E665B">
        <w:rPr>
          <w:sz w:val="24"/>
          <w:szCs w:val="24"/>
        </w:rPr>
        <w:t xml:space="preserve">): </w:t>
      </w:r>
    </w:p>
    <w:p w:rsidR="00122D9B" w:rsidRPr="005E665B" w:rsidRDefault="00122D9B" w:rsidP="00122D9B">
      <w:pPr>
        <w:pStyle w:val="Bullet1"/>
        <w:numPr>
          <w:ilvl w:val="0"/>
          <w:numId w:val="0"/>
        </w:numPr>
        <w:tabs>
          <w:tab w:val="left" w:pos="0"/>
        </w:tabs>
        <w:ind w:left="851" w:right="521"/>
        <w:rPr>
          <w:sz w:val="24"/>
          <w:szCs w:val="24"/>
        </w:rPr>
      </w:pPr>
      <w:r w:rsidRPr="005E665B">
        <w:rPr>
          <w:sz w:val="24"/>
          <w:szCs w:val="24"/>
        </w:rPr>
        <w:t>It has been the practice of successive governments not to publish or provide legal advice that has been obtained for the purposes of drafting legislation.</w:t>
      </w:r>
    </w:p>
    <w:p w:rsidR="00122D9B" w:rsidRPr="005E665B" w:rsidRDefault="00122D9B" w:rsidP="00122D9B">
      <w:pPr>
        <w:ind w:left="851" w:right="379"/>
        <w:rPr>
          <w:sz w:val="24"/>
          <w:szCs w:val="24"/>
        </w:rPr>
      </w:pPr>
      <w:r w:rsidRPr="005E665B">
        <w:rPr>
          <w:sz w:val="24"/>
          <w:szCs w:val="24"/>
        </w:rPr>
        <w:t>It has been stated on other occasions previous to that. As outlined by the Hon Gareth Evans QC:</w:t>
      </w:r>
    </w:p>
    <w:p w:rsidR="00122D9B" w:rsidRPr="005E665B" w:rsidRDefault="00122D9B" w:rsidP="00122D9B">
      <w:pPr>
        <w:ind w:left="851" w:right="379"/>
        <w:rPr>
          <w:sz w:val="24"/>
          <w:szCs w:val="24"/>
        </w:rPr>
      </w:pPr>
      <w:r w:rsidRPr="005E665B">
        <w:rPr>
          <w:sz w:val="24"/>
          <w:szCs w:val="24"/>
        </w:rPr>
        <w:lastRenderedPageBreak/>
        <w:t>... [n]or is it the practice or has it been the practice over the years for any government to make available legal advice from its legal advisers made in the course of the normal decision making process of government, for good practical reasons associated with good government and also as a matter of fundamental principle ... (</w:t>
      </w:r>
      <w:r w:rsidRPr="00AC4E3D">
        <w:rPr>
          <w:i/>
          <w:sz w:val="24"/>
          <w:szCs w:val="24"/>
        </w:rPr>
        <w:t>Senate Hansard</w:t>
      </w:r>
      <w:r w:rsidRPr="005E665B">
        <w:rPr>
          <w:sz w:val="24"/>
          <w:szCs w:val="24"/>
        </w:rPr>
        <w:t>, 28 August 1995, page 466);</w:t>
      </w:r>
    </w:p>
    <w:p w:rsidR="00122D9B" w:rsidRPr="005E665B" w:rsidRDefault="00122D9B" w:rsidP="00122D9B">
      <w:pPr>
        <w:ind w:left="851" w:right="379"/>
        <w:rPr>
          <w:sz w:val="24"/>
          <w:szCs w:val="24"/>
        </w:rPr>
      </w:pPr>
      <w:r w:rsidRPr="005E665B">
        <w:rPr>
          <w:sz w:val="24"/>
          <w:szCs w:val="24"/>
        </w:rPr>
        <w:t>the Hon Daryl Williams QC:</w:t>
      </w:r>
    </w:p>
    <w:p w:rsidR="00122D9B" w:rsidRPr="005E665B" w:rsidRDefault="00122D9B" w:rsidP="00122D9B">
      <w:pPr>
        <w:tabs>
          <w:tab w:val="left" w:pos="8789"/>
        </w:tabs>
        <w:ind w:left="851" w:right="379"/>
        <w:rPr>
          <w:sz w:val="24"/>
          <w:szCs w:val="24"/>
        </w:rPr>
      </w:pPr>
      <w:r w:rsidRPr="005E665B">
        <w:rPr>
          <w:sz w:val="24"/>
          <w:szCs w:val="24"/>
        </w:rPr>
        <w:t>... I am going to offer the traditional response. I am not going to speculate about advice that the government may or may not have received nor am I going to provide any of that advice ... (</w:t>
      </w:r>
      <w:r w:rsidRPr="00AC4E3D">
        <w:rPr>
          <w:i/>
          <w:sz w:val="24"/>
          <w:szCs w:val="24"/>
        </w:rPr>
        <w:t>House of Representatives Hansard</w:t>
      </w:r>
      <w:r w:rsidRPr="005E665B">
        <w:rPr>
          <w:sz w:val="24"/>
          <w:szCs w:val="24"/>
        </w:rPr>
        <w:t>, 25 November 1997, page 11165);</w:t>
      </w:r>
    </w:p>
    <w:p w:rsidR="00122D9B" w:rsidRPr="005E665B" w:rsidRDefault="00122D9B" w:rsidP="00122D9B">
      <w:pPr>
        <w:tabs>
          <w:tab w:val="left" w:pos="8789"/>
        </w:tabs>
        <w:ind w:left="851" w:right="379"/>
        <w:rPr>
          <w:sz w:val="24"/>
          <w:szCs w:val="24"/>
        </w:rPr>
      </w:pPr>
      <w:r w:rsidRPr="005E665B">
        <w:rPr>
          <w:sz w:val="24"/>
          <w:szCs w:val="24"/>
        </w:rPr>
        <w:t>the Hon Philip Ruddock MP:</w:t>
      </w:r>
    </w:p>
    <w:p w:rsidR="00122D9B" w:rsidRPr="005E665B" w:rsidRDefault="00122D9B" w:rsidP="00122D9B">
      <w:pPr>
        <w:tabs>
          <w:tab w:val="left" w:pos="8789"/>
        </w:tabs>
        <w:ind w:left="851" w:right="379"/>
        <w:rPr>
          <w:sz w:val="24"/>
          <w:szCs w:val="24"/>
        </w:rPr>
      </w:pPr>
      <w:r w:rsidRPr="005E665B">
        <w:rPr>
          <w:sz w:val="24"/>
          <w:szCs w:val="24"/>
        </w:rPr>
        <w:t>... It is not the practice of the Attorney to comment on matters of legal advice to the Government. Any advice given, if it is given, is given to the Government ... (</w:t>
      </w:r>
      <w:r w:rsidRPr="00AC4E3D">
        <w:rPr>
          <w:i/>
          <w:sz w:val="24"/>
          <w:szCs w:val="24"/>
        </w:rPr>
        <w:t>House of Representatives Hansard</w:t>
      </w:r>
      <w:r w:rsidRPr="005E665B">
        <w:rPr>
          <w:sz w:val="24"/>
          <w:szCs w:val="24"/>
        </w:rPr>
        <w:t>, 29 March 2004, page 27405); and</w:t>
      </w:r>
    </w:p>
    <w:p w:rsidR="00122D9B" w:rsidRPr="005E665B" w:rsidRDefault="00122D9B" w:rsidP="00122D9B">
      <w:pPr>
        <w:tabs>
          <w:tab w:val="left" w:pos="8789"/>
        </w:tabs>
        <w:ind w:left="851" w:right="379"/>
        <w:rPr>
          <w:sz w:val="24"/>
          <w:szCs w:val="24"/>
        </w:rPr>
      </w:pPr>
      <w:r w:rsidRPr="005E665B">
        <w:rPr>
          <w:sz w:val="24"/>
          <w:szCs w:val="24"/>
        </w:rPr>
        <w:t>Senator the Hon Joe Ludwig:</w:t>
      </w:r>
    </w:p>
    <w:p w:rsidR="00122D9B" w:rsidRDefault="00122D9B" w:rsidP="00122D9B">
      <w:pPr>
        <w:tabs>
          <w:tab w:val="left" w:pos="8789"/>
        </w:tabs>
        <w:ind w:left="851" w:right="379"/>
        <w:rPr>
          <w:sz w:val="24"/>
          <w:szCs w:val="24"/>
        </w:rPr>
      </w:pPr>
      <w:r w:rsidRPr="005E665B">
        <w:rPr>
          <w:sz w:val="24"/>
          <w:szCs w:val="24"/>
        </w:rPr>
        <w:t xml:space="preserve">To the extent that we are now going to go to the content of the advice, can I say that it has been a longstanding practice of both this government and successive governments not to disclose the content of advice. (Senate Legal and Constitutional Affairs Legislation Committee, </w:t>
      </w:r>
      <w:r w:rsidRPr="00AC4E3D">
        <w:rPr>
          <w:i/>
          <w:sz w:val="24"/>
          <w:szCs w:val="24"/>
        </w:rPr>
        <w:t>Hansard</w:t>
      </w:r>
      <w:r w:rsidRPr="005E665B">
        <w:rPr>
          <w:sz w:val="24"/>
          <w:szCs w:val="24"/>
        </w:rPr>
        <w:t xml:space="preserve"> of Estimates hearing, 26 May 2011, page 161).</w:t>
      </w:r>
    </w:p>
    <w:p w:rsidR="00122D9B" w:rsidRDefault="00122D9B" w:rsidP="00122D9B">
      <w:pPr>
        <w:ind w:right="804"/>
        <w:rPr>
          <w:b/>
          <w:szCs w:val="26"/>
        </w:rPr>
      </w:pPr>
      <w:r w:rsidRPr="005E665B">
        <w:rPr>
          <w:b/>
          <w:szCs w:val="26"/>
        </w:rPr>
        <w:t>Committee's third response</w:t>
      </w:r>
    </w:p>
    <w:p w:rsidR="00122D9B" w:rsidRDefault="00122D9B" w:rsidP="00122D9B">
      <w:pPr>
        <w:ind w:right="804"/>
        <w:rPr>
          <w:b/>
          <w:szCs w:val="26"/>
        </w:rPr>
      </w:pPr>
      <w:r>
        <w:rPr>
          <w:szCs w:val="26"/>
        </w:rPr>
        <w:t xml:space="preserve">The committee commented as follows: </w:t>
      </w:r>
      <w:r w:rsidRPr="00492635">
        <w:rPr>
          <w:b/>
          <w:i/>
          <w:szCs w:val="26"/>
        </w:rPr>
        <w:t>The committee thanks the minister for his response</w:t>
      </w:r>
      <w:r>
        <w:rPr>
          <w:b/>
          <w:szCs w:val="26"/>
        </w:rPr>
        <w:t>.</w:t>
      </w:r>
    </w:p>
    <w:p w:rsidR="00122D9B" w:rsidRDefault="00122D9B" w:rsidP="00122D9B">
      <w:pPr>
        <w:ind w:right="95"/>
        <w:rPr>
          <w:szCs w:val="26"/>
        </w:rPr>
      </w:pPr>
      <w:r>
        <w:rPr>
          <w:szCs w:val="26"/>
        </w:rPr>
        <w:t>First, the committee notes the minister's advice that the Government 'has considered the constitutional position carefully'. The minister also reiterates his previous advice that legal advice was obtained; and that the government considers that it is not in the public interest to depart from the 'longstanding practice' of successive governments not to provide legal advice obtained in the course of developing policy and legislation 'in the interests of conserving the Commonwealth's broader legal and constitutional interests'.</w:t>
      </w:r>
    </w:p>
    <w:p w:rsidR="00122D9B" w:rsidRDefault="00122D9B" w:rsidP="00122D9B">
      <w:pPr>
        <w:ind w:right="95"/>
        <w:rPr>
          <w:szCs w:val="26"/>
        </w:rPr>
      </w:pPr>
      <w:r>
        <w:rPr>
          <w:szCs w:val="26"/>
        </w:rPr>
        <w:t xml:space="preserve">However, the committee again notes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advice to government or a department. </w:t>
      </w:r>
    </w:p>
    <w:p w:rsidR="00122D9B" w:rsidRDefault="00122D9B" w:rsidP="00122D9B">
      <w:r>
        <w:rPr>
          <w:szCs w:val="26"/>
        </w:rPr>
        <w:t>In this respect, the committee notes that the minister has not advanced a public interest immunity clai</w:t>
      </w:r>
      <w:r>
        <w:t xml:space="preserve">m </w:t>
      </w:r>
      <w:r w:rsidRPr="002718CE">
        <w:t>that addresses the requirements of th</w:t>
      </w:r>
      <w:r>
        <w:t>e Order of the Senate of 13 May </w:t>
      </w:r>
      <w:r w:rsidRPr="002718CE">
        <w:t xml:space="preserve">2009 ('Public interest immunity claims'), particularly in relation to (a) the </w:t>
      </w:r>
      <w:r w:rsidRPr="002718CE">
        <w:lastRenderedPageBreak/>
        <w:t>need to specify the harm to the public interest that could result from the disclosure of the information or document and (b) the need to indicate whether any specified harm to the public interest from the disclosure of the information or document could result equally or in part from the disclosure of the information or document to the committee as in camera evidence.</w:t>
      </w:r>
    </w:p>
    <w:p w:rsidR="00122D9B" w:rsidRDefault="00122D9B" w:rsidP="00122D9B">
      <w:r>
        <w:t xml:space="preserve">Similarly, the examples cited by the minister do not accord with the procedure for making public interest immunity claims as set out in the </w:t>
      </w:r>
      <w:r w:rsidRPr="002718CE">
        <w:t>Order of the Senate of 13</w:t>
      </w:r>
      <w:r>
        <w:t> </w:t>
      </w:r>
      <w:r w:rsidRPr="002718CE">
        <w:t>May 2009</w:t>
      </w:r>
      <w:r>
        <w:t>. The committee notes that such assertions of a general government practice in relation to legal advice reflect a lack of understanding of 'the principle that claims to withhold information from Senate committees require a statement of public interest grounds that can be considered by the committee and the Senate'.</w:t>
      </w:r>
      <w:r>
        <w:rPr>
          <w:rStyle w:val="FootnoteReference"/>
        </w:rPr>
        <w:footnoteReference w:id="12"/>
      </w:r>
      <w:r>
        <w:t xml:space="preserve"> On this point, </w:t>
      </w:r>
      <w:r w:rsidRPr="00C13781">
        <w:rPr>
          <w:i/>
        </w:rPr>
        <w:t>Odgers' Australian Senate Practice</w:t>
      </w:r>
      <w:r>
        <w:t xml:space="preserve"> states:</w:t>
      </w:r>
    </w:p>
    <w:p w:rsidR="00122D9B" w:rsidRDefault="00122D9B" w:rsidP="00122D9B">
      <w:pPr>
        <w:pStyle w:val="Quote"/>
      </w:pPr>
      <w:r>
        <w:t xml:space="preserve">Although governments have generally abandoned claims that documents should not be produced simply because they belong to a class of documents, this claim has continued in residual forms. </w:t>
      </w:r>
    </w:p>
    <w:p w:rsidR="00122D9B" w:rsidRPr="002718CE" w:rsidRDefault="00122D9B" w:rsidP="00122D9B">
      <w:pPr>
        <w:pStyle w:val="Quote"/>
      </w:pPr>
      <w:r>
        <w:t>…</w:t>
      </w:r>
      <w:r w:rsidRPr="00FD1964">
        <w:t xml:space="preserve">Governments have also claimed that there is a long-established practice of not disclosing their advice, or of not doing so except in exceptional circumstances. These claims are contradicted by the occasions on which advice is voluntarily disclosed when it supports a government position. The actual position was stated in a letter produced in 2008 by the Secretary of the Department of Prime Minister and Cabinet: the government discloses its legal advice when it chooses to </w:t>
      </w:r>
      <w:r>
        <w:t>do so [references omitted].</w:t>
      </w:r>
      <w:r>
        <w:rPr>
          <w:rStyle w:val="FootnoteReference"/>
        </w:rPr>
        <w:footnoteReference w:id="13"/>
      </w:r>
    </w:p>
    <w:p w:rsidR="00122D9B" w:rsidRDefault="00122D9B" w:rsidP="00122D9B">
      <w:pPr>
        <w:pStyle w:val="Bullet1"/>
        <w:numPr>
          <w:ilvl w:val="0"/>
          <w:numId w:val="0"/>
        </w:numPr>
        <w:tabs>
          <w:tab w:val="clear" w:pos="851"/>
          <w:tab w:val="left" w:pos="0"/>
        </w:tabs>
      </w:pPr>
      <w:r>
        <w:t>In light of the above, the committee notes that the minister has failed to advance a public interest immunity claim in accordance with the Order of</w:t>
      </w:r>
      <w:r w:rsidRPr="002718CE">
        <w:t xml:space="preserve"> the Senate of</w:t>
      </w:r>
      <w:r>
        <w:t xml:space="preserve"> 13 </w:t>
      </w:r>
      <w:r w:rsidRPr="002718CE">
        <w:t>May</w:t>
      </w:r>
      <w:r>
        <w:t> </w:t>
      </w:r>
      <w:r w:rsidRPr="002718CE">
        <w:t>2009 ('Public interest immunity claims')</w:t>
      </w:r>
      <w:r>
        <w:t xml:space="preserve"> so as to allow the committee and the Senate to judge whether the refusal to provide the legal advice in question is justified in this case.</w:t>
      </w:r>
    </w:p>
    <w:p w:rsidR="00122D9B" w:rsidRDefault="00122D9B" w:rsidP="00122D9B">
      <w:pPr>
        <w:ind w:right="-188"/>
      </w:pPr>
      <w:r>
        <w:rPr>
          <w:szCs w:val="26"/>
        </w:rPr>
        <w:t>Second, the committee notes that the</w:t>
      </w:r>
      <w:r w:rsidRPr="002718CE">
        <w:t xml:space="preserve"> minister </w:t>
      </w:r>
      <w:r>
        <w:t xml:space="preserve">has not provided </w:t>
      </w:r>
      <w:r w:rsidRPr="002718CE">
        <w:t>an explicit and positive assurance that, in exercising the Parliament's delegated powers in the making of the regulation,</w:t>
      </w:r>
      <w:r>
        <w:t xml:space="preserve"> he</w:t>
      </w:r>
      <w:r w:rsidRPr="002718CE">
        <w:t xml:space="preserve"> was satisfied that there was sufficient constitutional authority for the exercise of that power. The committee sought that assurance in the context of specific questions pertaining to the character of the powers referenced in the ES for the regulation, being the external affairs power and the executive nationhood power and the express incidental power.</w:t>
      </w:r>
    </w:p>
    <w:p w:rsidR="00122D9B" w:rsidRPr="00FC2183" w:rsidRDefault="00122D9B" w:rsidP="00122D9B">
      <w:pPr>
        <w:ind w:right="-188"/>
      </w:pPr>
      <w:r>
        <w:t>The committee notes that Standing Order 23(3)(a) requires the committee to '</w:t>
      </w:r>
      <w:r>
        <w:rPr>
          <w:i/>
        </w:rPr>
        <w:t xml:space="preserve">ensure </w:t>
      </w:r>
      <w:r>
        <w:t xml:space="preserve">that…[an instrument of delegated legislation] is in accordance with statute', which includes the question of whether an instrument is constitutionally valid [emphasis added]. In this regard, the committee considers that there is no more fundamental issue </w:t>
      </w:r>
      <w:r>
        <w:lastRenderedPageBreak/>
        <w:t>than the question of whether the purported making of an instrument is supported by a constitutional head of power. It is therefore incumbent on the minister to provide an assurance to the committee and the Parliament of his satisfaction that such authority exists for his purported exercise of the Parliament's delegated power to make legislation.</w:t>
      </w:r>
    </w:p>
    <w:p w:rsidR="00122D9B" w:rsidRPr="005C6176" w:rsidRDefault="00122D9B" w:rsidP="00122D9B">
      <w:pPr>
        <w:ind w:right="-188"/>
      </w:pPr>
      <w:r>
        <w:t xml:space="preserve">In this respect, the committee notes that the minister's responses have failed to provide any assurance that the specifying of the programs in question for the purposes of </w:t>
      </w:r>
      <w:r>
        <w:rPr>
          <w:noProof/>
          <w:szCs w:val="26"/>
        </w:rPr>
        <w:t>section </w:t>
      </w:r>
      <w:r w:rsidRPr="002718CE">
        <w:rPr>
          <w:noProof/>
          <w:szCs w:val="26"/>
        </w:rPr>
        <w:t xml:space="preserve">32B of the </w:t>
      </w:r>
      <w:r w:rsidRPr="002718CE">
        <w:rPr>
          <w:i/>
          <w:noProof/>
          <w:szCs w:val="26"/>
        </w:rPr>
        <w:t>Financial Framework (Supplementary Powers) Act 1997</w:t>
      </w:r>
      <w:r>
        <w:rPr>
          <w:noProof/>
          <w:szCs w:val="26"/>
        </w:rPr>
        <w:t xml:space="preserve"> is in fact supported by the </w:t>
      </w:r>
      <w:r w:rsidRPr="002718CE">
        <w:t>external affairs power and</w:t>
      </w:r>
      <w:r>
        <w:t>/or</w:t>
      </w:r>
      <w:r w:rsidRPr="002718CE">
        <w:t xml:space="preserve"> the executive nationhood power (coupled with the express incidental power)</w:t>
      </w:r>
      <w:r>
        <w:t xml:space="preserve">. Further, the minister has responded in only general terms that do not address the committee's specific questions regarding the basis on which it is claimed these powers support the specification of the </w:t>
      </w:r>
      <w:r w:rsidRPr="000E5CEE">
        <w:t>Mathem</w:t>
      </w:r>
      <w:r>
        <w:t xml:space="preserve">atics by Inquiry and the Coding </w:t>
      </w:r>
      <w:r w:rsidRPr="000E5CEE">
        <w:t>Across the Curriculum program</w:t>
      </w:r>
      <w:r>
        <w:t>s for the purposes of section 32B.</w:t>
      </w:r>
    </w:p>
    <w:p w:rsidR="00122D9B" w:rsidRPr="00492635" w:rsidRDefault="00122D9B" w:rsidP="00122D9B">
      <w:pPr>
        <w:rPr>
          <w:b/>
          <w:i/>
          <w:szCs w:val="26"/>
        </w:rPr>
      </w:pPr>
      <w:r w:rsidRPr="00492635">
        <w:rPr>
          <w:b/>
          <w:i/>
        </w:rPr>
        <w:t>Noting that the last day for disallowance is 14 October 2015, and i</w:t>
      </w:r>
      <w:r w:rsidRPr="00492635">
        <w:rPr>
          <w:b/>
          <w:i/>
          <w:szCs w:val="26"/>
        </w:rPr>
        <w:t>n light of the minister's failure to provide supporting legal advice or positive assurance that the specification of the Mathematics by Inquiry and the Coding Across the Curriculum programs for the purposes of section 32B of the Financial Framework (Supplementary Powers) Act 1997 is supported by the external affairs power and/or the executive nationhood power (coupled with the express incidental power), the committee again requests that the minister provide:</w:t>
      </w:r>
    </w:p>
    <w:p w:rsidR="00122D9B" w:rsidRPr="00492635" w:rsidRDefault="00122D9B" w:rsidP="00122D9B">
      <w:pPr>
        <w:pStyle w:val="ListParagraph"/>
        <w:numPr>
          <w:ilvl w:val="0"/>
          <w:numId w:val="40"/>
        </w:numPr>
        <w:rPr>
          <w:i/>
        </w:rPr>
      </w:pPr>
      <w:r w:rsidRPr="00492635">
        <w:rPr>
          <w:b/>
          <w:i/>
          <w:szCs w:val="26"/>
        </w:rPr>
        <w:t>legal advice received on the question of whether the specification of the Mathematics by Inquiry and the Coding Across the Curriculum programs for the purposes of section 32B of the Financial Framework (Supplementary Powers) Act 1997 is supported by the external affairs power and/or the executive nationhood power (coupled with the express incidental power); or</w:t>
      </w:r>
    </w:p>
    <w:p w:rsidR="00122D9B" w:rsidRPr="00492635" w:rsidRDefault="00122D9B" w:rsidP="00122D9B">
      <w:pPr>
        <w:pStyle w:val="ListParagraph"/>
        <w:numPr>
          <w:ilvl w:val="0"/>
          <w:numId w:val="40"/>
        </w:numPr>
        <w:spacing w:after="120"/>
        <w:rPr>
          <w:i/>
        </w:rPr>
      </w:pPr>
      <w:r w:rsidRPr="00492635">
        <w:rPr>
          <w:b/>
          <w:i/>
          <w:szCs w:val="26"/>
        </w:rPr>
        <w:t>in the event that a valid public interest immunity claim is advanced in relation to the requested legal advice, positive assurance to the committee that the minister regards the specification of the Mathematics by Inquiry and the Coding Across the Curriculum programs for the purposes of section 32B of the Financial Framework (Supplementary Powers) Act 1997 as authorised by the external affairs power and/or the executive nationhood power (coupled with the express incidental power).</w:t>
      </w:r>
    </w:p>
    <w:p w:rsidR="00122D9B" w:rsidRDefault="00122D9B" w:rsidP="00122D9B">
      <w:pPr>
        <w:rPr>
          <w:b/>
        </w:rPr>
      </w:pPr>
      <w:r w:rsidRPr="00492635">
        <w:rPr>
          <w:b/>
        </w:rPr>
        <w:t>Minister's fourth response</w:t>
      </w:r>
    </w:p>
    <w:p w:rsidR="00122D9B" w:rsidRDefault="00122D9B" w:rsidP="00122D9B">
      <w:r>
        <w:t>The Minister for Finance advised that:</w:t>
      </w:r>
    </w:p>
    <w:p w:rsidR="00122D9B" w:rsidRDefault="00122D9B" w:rsidP="00122D9B">
      <w:pPr>
        <w:pStyle w:val="Quote"/>
      </w:pPr>
      <w:r>
        <w:t xml:space="preserve">I understand the Committee is scheduled to consider this matter at a special meeting on 13 October 2015. I note, however, that this is the day before the disallowance motion must be put to the Senate for determination, or on which the Regulation would otherwise be deemed to be disallowed. Although a motion may be withdrawn by leave on the day, if any outstanding concerns of the Committee are not resolved to the Committee's </w:t>
      </w:r>
      <w:r>
        <w:lastRenderedPageBreak/>
        <w:t>satisfaction prior to that date then there will be a risk to the continuity of the programmes affected by this resolution.</w:t>
      </w:r>
    </w:p>
    <w:p w:rsidR="00122D9B" w:rsidRDefault="00122D9B" w:rsidP="00122D9B">
      <w:pPr>
        <w:pStyle w:val="Quote"/>
      </w:pPr>
      <w:bookmarkStart w:id="24" w:name="OLE_LINK1"/>
      <w:r>
        <w:t xml:space="preserve">I can assure the committee that the Government's legal advice confirms that the specification of the Mathematics by Inquiry and the Coding Across the Curriculum programmes in section 32B of the </w:t>
      </w:r>
      <w:r w:rsidRPr="00F92CFA">
        <w:rPr>
          <w:i/>
        </w:rPr>
        <w:t>Financial Framework (Supplementary Powers) Act 1997</w:t>
      </w:r>
      <w:r>
        <w:t xml:space="preserve"> are supported by the external affairs power and/or the executive nationhood power(coupled with the express incidental power)</w:t>
      </w:r>
      <w:bookmarkEnd w:id="24"/>
      <w:r>
        <w:t>.</w:t>
      </w:r>
    </w:p>
    <w:p w:rsidR="00122D9B" w:rsidRDefault="00122D9B" w:rsidP="00122D9B">
      <w:pPr>
        <w:pStyle w:val="Quote"/>
      </w:pPr>
      <w:r>
        <w:t>In relation to the request for the legal advice that supports the Commonwealth's position, it is quite contrary to the public interest to provide Commonwealth legal advice in this instance. In this case, the legal advice is nuanced and assesses the risks of different legal approaches. Such information can be taken out of context to support legal action to threaten the continuity and stability of collaborative activities, including, in this case, between the Commonwealth, the states and the territories. Successive governments have also been careful to avoid action that might effectively waive legal privilege in advice and thereby potentially prejudice the Commonwealth's legal position. I therefore consider that a public interest immunity claim is therefore valid in this instance.</w:t>
      </w:r>
    </w:p>
    <w:p w:rsidR="00122D9B" w:rsidRDefault="00122D9B" w:rsidP="00122D9B">
      <w:pPr>
        <w:pStyle w:val="Quote"/>
      </w:pPr>
      <w:r>
        <w:t>Further, and as noted in my letter of 16 September 2015, access by government to confidential legal advice is, in practical terms, central to the development of sound Commonwealth policy and robust legislative instruments. A public interest immunity claim in these circumstances is therefore appropriate and consistent with the practice of successive governments.</w:t>
      </w:r>
    </w:p>
    <w:p w:rsidR="00122D9B" w:rsidRDefault="00122D9B" w:rsidP="00122D9B">
      <w:pPr>
        <w:pStyle w:val="Quote"/>
      </w:pPr>
      <w:r>
        <w:t>The most recent practice of this Government of routinely advising the parliament of which constitutional powers we rely upon when authorising spending for new programmes, provides a level of disclosure far above the practice of any earlier government.</w:t>
      </w:r>
    </w:p>
    <w:p w:rsidR="00122D9B" w:rsidRDefault="00122D9B" w:rsidP="00122D9B">
      <w:pPr>
        <w:pStyle w:val="Quote"/>
      </w:pPr>
      <w:r>
        <w:t>Finally, I am advised that a national curriculum solution developed in collaboration with the states is necessary for certain maths and computing curriculum content, because the smaller jurisdictions do not have the expertise or resources to design highly specialist parts of the curriculum.</w:t>
      </w:r>
    </w:p>
    <w:p w:rsidR="00122D9B" w:rsidRDefault="00122D9B" w:rsidP="00122D9B">
      <w:pPr>
        <w:spacing w:after="0"/>
        <w:jc w:val="left"/>
        <w:rPr>
          <w:b/>
        </w:rPr>
      </w:pPr>
      <w:r>
        <w:rPr>
          <w:b/>
        </w:rPr>
        <w:br w:type="page"/>
      </w:r>
    </w:p>
    <w:p w:rsidR="00122D9B" w:rsidRDefault="00122D9B" w:rsidP="00122D9B">
      <w:pPr>
        <w:rPr>
          <w:b/>
        </w:rPr>
      </w:pPr>
      <w:r>
        <w:rPr>
          <w:b/>
        </w:rPr>
        <w:lastRenderedPageBreak/>
        <w:t>Committee's fourth response</w:t>
      </w:r>
    </w:p>
    <w:p w:rsidR="00122D9B" w:rsidRPr="00BF05B3" w:rsidRDefault="00122D9B" w:rsidP="00122D9B">
      <w:pPr>
        <w:rPr>
          <w:b/>
          <w:u w:val="single"/>
        </w:rPr>
      </w:pPr>
      <w:r w:rsidRPr="00492635">
        <w:rPr>
          <w:b/>
        </w:rPr>
        <w:t>The committee thanks the m</w:t>
      </w:r>
      <w:r>
        <w:rPr>
          <w:b/>
        </w:rPr>
        <w:t xml:space="preserve">inister for his prompt response and has concluded </w:t>
      </w:r>
      <w:r>
        <w:rPr>
          <w:b/>
          <w:bCs/>
          <w:szCs w:val="26"/>
          <w:lang w:eastAsia="en-AU"/>
        </w:rPr>
        <w:t>its examination of the instrument.</w:t>
      </w:r>
    </w:p>
    <w:p w:rsidR="00122D9B" w:rsidRDefault="00122D9B" w:rsidP="00122D9B">
      <w:pPr>
        <w:autoSpaceDE w:val="0"/>
        <w:autoSpaceDN w:val="0"/>
        <w:adjustRightInd w:val="0"/>
      </w:pPr>
      <w:r>
        <w:rPr>
          <w:szCs w:val="26"/>
          <w:lang w:eastAsia="en-AU"/>
        </w:rPr>
        <w:t>However, the committee notes that it has concluded its examination on the basis of the minister's assurance that the '</w:t>
      </w:r>
      <w:r>
        <w:t>Government's legal advice confirms that</w:t>
      </w:r>
      <w:r w:rsidRPr="006048F0">
        <w:t xml:space="preserve"> </w:t>
      </w:r>
      <w:r>
        <w:t xml:space="preserve">that the specification of the Mathematics by Inquiry and the Coding Across the Curriculum programmes…[under] section 32B of the </w:t>
      </w:r>
      <w:r w:rsidRPr="00F92CFA">
        <w:rPr>
          <w:i/>
        </w:rPr>
        <w:t>Financial Framework (Supplementary Powers) Act 1997</w:t>
      </w:r>
      <w:r>
        <w:t xml:space="preserve"> are supported by the external affairs power and/or the executive nationhood power (coupled with the express incidental power)'.</w:t>
      </w:r>
    </w:p>
    <w:p w:rsidR="00122D9B" w:rsidRPr="00BF05B3" w:rsidRDefault="00122D9B" w:rsidP="00122D9B">
      <w:pPr>
        <w:autoSpaceDE w:val="0"/>
        <w:autoSpaceDN w:val="0"/>
        <w:adjustRightInd w:val="0"/>
        <w:rPr>
          <w:b/>
          <w:u w:val="single"/>
        </w:rPr>
      </w:pPr>
      <w:r>
        <w:t>Given this assurance, the committee emphasises that it has not been necessary in this case to make a determination in respect of whether the min</w:t>
      </w:r>
      <w:r w:rsidR="003C4012">
        <w:t>i</w:t>
      </w:r>
      <w:r>
        <w:t>ster has advanced a valid public interest immunity claim to support his refusal to provide the legal advice requested.</w:t>
      </w:r>
    </w:p>
    <w:p w:rsidR="00122D9B" w:rsidRDefault="00122D9B" w:rsidP="00122D9B">
      <w:pPr>
        <w:spacing w:after="0"/>
        <w:sectPr w:rsidR="00122D9B" w:rsidSect="00950F97">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3"/>
          <w:cols w:space="708"/>
          <w:titlePg/>
          <w:docGrid w:linePitch="360"/>
        </w:sectPr>
      </w:pPr>
      <w:bookmarkStart w:id="25" w:name="_GoBack"/>
      <w:bookmarkEnd w:id="25"/>
    </w:p>
    <w:p w:rsidR="00122D9B" w:rsidRDefault="00122D9B" w:rsidP="00122D9B">
      <w:pPr>
        <w:pStyle w:val="Heading1"/>
      </w:pPr>
      <w:r>
        <w:lastRenderedPageBreak/>
        <w:t>Appendix 1</w:t>
      </w:r>
    </w:p>
    <w:p w:rsidR="00122D9B" w:rsidRPr="00520991" w:rsidRDefault="00122D9B" w:rsidP="00122D9B">
      <w:pPr>
        <w:pStyle w:val="Heading2"/>
      </w:pPr>
      <w:r>
        <w:t>Correspondence</w:t>
      </w:r>
    </w:p>
    <w:p w:rsidR="00122D9B" w:rsidRDefault="00122D9B" w:rsidP="00122D9B">
      <w:pPr>
        <w:spacing w:after="0"/>
        <w:sectPr w:rsidR="00122D9B" w:rsidSect="00357F39">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29"/>
          <w:cols w:space="720"/>
          <w:titlePg/>
        </w:sectPr>
      </w:pPr>
    </w:p>
    <w:p w:rsidR="00122D9B" w:rsidRDefault="00122D9B" w:rsidP="00122D9B">
      <w:pPr>
        <w:spacing w:after="0"/>
        <w:sectPr w:rsidR="00122D9B" w:rsidSect="00357F39">
          <w:headerReference w:type="first" r:id="rId50"/>
          <w:footerReference w:type="first" r:id="rId51"/>
          <w:pgSz w:w="11906" w:h="16838" w:code="9"/>
          <w:pgMar w:top="1440" w:right="1440" w:bottom="1202" w:left="1440" w:header="1134" w:footer="720" w:gutter="0"/>
          <w:pgNumType w:start="29"/>
          <w:cols w:space="720"/>
          <w:titlePg/>
        </w:sectPr>
      </w:pPr>
    </w:p>
    <w:p w:rsidR="00122D9B" w:rsidRDefault="00122D9B" w:rsidP="00122D9B">
      <w:pPr>
        <w:pStyle w:val="Heading1"/>
      </w:pPr>
      <w:r>
        <w:lastRenderedPageBreak/>
        <w:t>Appendix 2</w:t>
      </w:r>
    </w:p>
    <w:p w:rsidR="00122D9B" w:rsidRDefault="00122D9B" w:rsidP="00122D9B">
      <w:pPr>
        <w:pStyle w:val="Heading2"/>
      </w:pPr>
      <w:r>
        <w:t>Guideline on consultation</w:t>
      </w:r>
    </w:p>
    <w:p w:rsidR="00122D9B" w:rsidRPr="00C22E53" w:rsidRDefault="00122D9B" w:rsidP="00122D9B">
      <w:pPr>
        <w:pStyle w:val="Heading3"/>
      </w:pPr>
      <w:r>
        <w:t>Purpose</w:t>
      </w:r>
    </w:p>
    <w:p w:rsidR="00122D9B" w:rsidRPr="00C22E53" w:rsidRDefault="00122D9B" w:rsidP="00122D9B">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122D9B" w:rsidRPr="00C22E53" w:rsidRDefault="00122D9B" w:rsidP="00122D9B">
      <w:pPr>
        <w:rPr>
          <w:szCs w:val="24"/>
        </w:rPr>
      </w:pPr>
      <w:r w:rsidRPr="00C22E53">
        <w:rPr>
          <w:szCs w:val="24"/>
        </w:rPr>
        <w:t xml:space="preserve">The committee scrutinises instruments to ensure, inter alia, that they meet the technical requirements of the </w:t>
      </w:r>
      <w:hyperlink r:id="rId52"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122D9B" w:rsidRPr="00241303" w:rsidRDefault="00122D9B" w:rsidP="00122D9B">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3" w:history="1">
        <w:r w:rsidRPr="00241303">
          <w:rPr>
            <w:rStyle w:val="Hyperlink"/>
            <w:color w:val="auto"/>
            <w:szCs w:val="24"/>
            <w:u w:val="none"/>
          </w:rPr>
          <w:t>disallowance</w:t>
        </w:r>
      </w:hyperlink>
      <w:r w:rsidRPr="00241303">
        <w:rPr>
          <w:szCs w:val="24"/>
        </w:rPr>
        <w:t>.</w:t>
      </w:r>
    </w:p>
    <w:p w:rsidR="00122D9B" w:rsidRPr="00C22E53" w:rsidRDefault="00122D9B" w:rsidP="00122D9B">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122D9B" w:rsidRDefault="00122D9B" w:rsidP="00122D9B">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122D9B" w:rsidRPr="00C22E53" w:rsidRDefault="00122D9B" w:rsidP="00122D9B">
      <w:pPr>
        <w:pStyle w:val="Heading3"/>
      </w:pPr>
      <w:r w:rsidRPr="00241303">
        <w:t xml:space="preserve">Requirements of the </w:t>
      </w:r>
      <w:r w:rsidRPr="00241303">
        <w:rPr>
          <w:i/>
        </w:rPr>
        <w:t>Legislative Instruments Act 2003</w:t>
      </w:r>
    </w:p>
    <w:p w:rsidR="00122D9B" w:rsidRPr="00C22E53" w:rsidRDefault="00122D9B" w:rsidP="00122D9B">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122D9B" w:rsidRPr="00C22E53" w:rsidRDefault="00122D9B" w:rsidP="00122D9B">
      <w:pPr>
        <w:rPr>
          <w:szCs w:val="24"/>
        </w:rPr>
      </w:pPr>
      <w:r w:rsidRPr="00C22E53">
        <w:rPr>
          <w:szCs w:val="24"/>
        </w:rPr>
        <w:t>Section 18 of the Act, however, provides that in some circumstances such consultation may be 'unnecessary or inappropriate'.</w:t>
      </w:r>
    </w:p>
    <w:p w:rsidR="00122D9B" w:rsidRPr="00241303" w:rsidRDefault="00122D9B" w:rsidP="00122D9B">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122D9B" w:rsidRPr="00241303" w:rsidRDefault="00122D9B" w:rsidP="00122D9B">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122D9B" w:rsidRPr="00C22E53" w:rsidRDefault="00122D9B" w:rsidP="00122D9B">
      <w:pPr>
        <w:rPr>
          <w:szCs w:val="24"/>
        </w:rPr>
      </w:pPr>
      <w:r w:rsidRPr="00C22E53">
        <w:rPr>
          <w:szCs w:val="24"/>
        </w:rPr>
        <w:t>If a RIS or similar assessment has been prepared, it should be provided to the committee along with the ES.</w:t>
      </w:r>
    </w:p>
    <w:p w:rsidR="00122D9B" w:rsidRPr="00C22E53" w:rsidRDefault="00122D9B" w:rsidP="00122D9B">
      <w:pPr>
        <w:pStyle w:val="Heading3"/>
      </w:pPr>
      <w:r w:rsidRPr="00C22E53">
        <w:t>Describing the nature of consultation</w:t>
      </w:r>
    </w:p>
    <w:p w:rsidR="00122D9B" w:rsidRPr="00C22E53" w:rsidRDefault="00122D9B" w:rsidP="00122D9B">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122D9B" w:rsidRDefault="00122D9B" w:rsidP="00122D9B">
      <w:pPr>
        <w:rPr>
          <w:szCs w:val="24"/>
        </w:rPr>
      </w:pPr>
      <w:r w:rsidRPr="00C22E53">
        <w:rPr>
          <w:szCs w:val="24"/>
        </w:rPr>
        <w:t>Where consultation has taken place, the ES to an instrument should set out the following information:</w:t>
      </w:r>
    </w:p>
    <w:p w:rsidR="00122D9B" w:rsidRDefault="00122D9B" w:rsidP="00122D9B">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122D9B" w:rsidRDefault="00122D9B" w:rsidP="00122D9B">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122D9B" w:rsidRPr="00241303" w:rsidRDefault="00122D9B" w:rsidP="00122D9B">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122D9B" w:rsidRPr="00C22E53" w:rsidRDefault="00122D9B" w:rsidP="00122D9B">
      <w:pPr>
        <w:pStyle w:val="Heading3"/>
      </w:pPr>
      <w:r w:rsidRPr="00C22E53">
        <w:t>Explaining why consultation has not been undertaken</w:t>
      </w:r>
    </w:p>
    <w:p w:rsidR="00122D9B" w:rsidRPr="00C22E53" w:rsidRDefault="00122D9B" w:rsidP="00122D9B">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122D9B" w:rsidRDefault="00122D9B" w:rsidP="00122D9B">
      <w:pPr>
        <w:spacing w:after="0"/>
        <w:jc w:val="left"/>
        <w:rPr>
          <w:szCs w:val="24"/>
        </w:rPr>
      </w:pPr>
      <w:r>
        <w:rPr>
          <w:szCs w:val="24"/>
        </w:rPr>
        <w:br w:type="page"/>
      </w:r>
    </w:p>
    <w:p w:rsidR="00122D9B" w:rsidRPr="00C22E53" w:rsidRDefault="00122D9B" w:rsidP="00122D9B">
      <w:pPr>
        <w:rPr>
          <w:szCs w:val="24"/>
        </w:rPr>
      </w:pPr>
      <w:r w:rsidRPr="00C22E53">
        <w:rPr>
          <w:szCs w:val="24"/>
        </w:rPr>
        <w:lastRenderedPageBreak/>
        <w:t>In explaining why no consultation has taken place, it is important to note the following considerations:</w:t>
      </w:r>
    </w:p>
    <w:p w:rsidR="00122D9B" w:rsidRPr="00241303" w:rsidRDefault="00122D9B" w:rsidP="00122D9B">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122D9B" w:rsidRPr="00C22E53" w:rsidRDefault="00122D9B" w:rsidP="00122D9B">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122D9B" w:rsidRDefault="00122D9B" w:rsidP="00122D9B">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122D9B" w:rsidRPr="00C22E53" w:rsidRDefault="00122D9B" w:rsidP="00122D9B">
      <w:pPr>
        <w:pStyle w:val="Heading3"/>
      </w:pPr>
      <w:r w:rsidRPr="00C22E53">
        <w:t>Seeking further advice or information</w:t>
      </w:r>
    </w:p>
    <w:p w:rsidR="00122D9B" w:rsidRDefault="00122D9B" w:rsidP="00122D9B">
      <w:pPr>
        <w:rPr>
          <w:szCs w:val="24"/>
        </w:rPr>
      </w:pPr>
      <w:r w:rsidRPr="00C22E53">
        <w:rPr>
          <w:szCs w:val="24"/>
        </w:rPr>
        <w:t xml:space="preserve">Further information is available through the committee's website at </w:t>
      </w:r>
      <w:hyperlink r:id="rId54"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122D9B" w:rsidRDefault="00122D9B" w:rsidP="00122D9B">
      <w:pPr>
        <w:spacing w:after="0"/>
        <w:ind w:left="720"/>
        <w:rPr>
          <w:szCs w:val="24"/>
        </w:rPr>
      </w:pPr>
      <w:r w:rsidRPr="00C22E53">
        <w:rPr>
          <w:szCs w:val="24"/>
        </w:rPr>
        <w:t>Committee Secretary</w:t>
      </w:r>
    </w:p>
    <w:p w:rsidR="00122D9B" w:rsidRPr="00C22E53" w:rsidRDefault="00122D9B" w:rsidP="00122D9B">
      <w:pPr>
        <w:spacing w:after="0"/>
        <w:ind w:left="720"/>
        <w:rPr>
          <w:szCs w:val="24"/>
        </w:rPr>
      </w:pPr>
      <w:r w:rsidRPr="00C22E53">
        <w:rPr>
          <w:szCs w:val="24"/>
        </w:rPr>
        <w:t>Senate Regulations and Ordinances Committee</w:t>
      </w:r>
    </w:p>
    <w:p w:rsidR="00122D9B" w:rsidRPr="00C22E53" w:rsidRDefault="00122D9B" w:rsidP="00122D9B">
      <w:pPr>
        <w:spacing w:after="0"/>
        <w:ind w:left="720"/>
        <w:rPr>
          <w:szCs w:val="24"/>
        </w:rPr>
      </w:pPr>
      <w:r w:rsidRPr="00C22E53">
        <w:rPr>
          <w:szCs w:val="24"/>
        </w:rPr>
        <w:t>PO Box 6100</w:t>
      </w:r>
    </w:p>
    <w:p w:rsidR="00122D9B" w:rsidRPr="00C22E53" w:rsidRDefault="00122D9B" w:rsidP="00122D9B">
      <w:pPr>
        <w:spacing w:after="0"/>
        <w:ind w:left="720"/>
        <w:rPr>
          <w:szCs w:val="24"/>
        </w:rPr>
      </w:pPr>
      <w:r w:rsidRPr="00C22E53">
        <w:rPr>
          <w:szCs w:val="24"/>
        </w:rPr>
        <w:t>Parliament House</w:t>
      </w:r>
    </w:p>
    <w:p w:rsidR="00122D9B" w:rsidRDefault="00122D9B" w:rsidP="00122D9B">
      <w:pPr>
        <w:spacing w:after="0"/>
        <w:ind w:left="720"/>
        <w:rPr>
          <w:szCs w:val="24"/>
        </w:rPr>
      </w:pPr>
      <w:r w:rsidRPr="00C22E53">
        <w:rPr>
          <w:szCs w:val="24"/>
        </w:rPr>
        <w:t>Canberra ACT 2600</w:t>
      </w:r>
    </w:p>
    <w:p w:rsidR="00122D9B" w:rsidRDefault="00122D9B" w:rsidP="00122D9B">
      <w:pPr>
        <w:spacing w:after="0"/>
        <w:ind w:left="720"/>
        <w:rPr>
          <w:szCs w:val="24"/>
        </w:rPr>
      </w:pPr>
      <w:r w:rsidRPr="00C22E53">
        <w:rPr>
          <w:szCs w:val="24"/>
        </w:rPr>
        <w:t>Australia</w:t>
      </w:r>
    </w:p>
    <w:p w:rsidR="00122D9B" w:rsidRPr="00C22E53" w:rsidRDefault="00122D9B" w:rsidP="00122D9B">
      <w:pPr>
        <w:spacing w:after="60"/>
        <w:ind w:left="720"/>
        <w:rPr>
          <w:szCs w:val="24"/>
        </w:rPr>
      </w:pPr>
    </w:p>
    <w:p w:rsidR="00122D9B" w:rsidRPr="00C22E53" w:rsidRDefault="00122D9B" w:rsidP="00122D9B">
      <w:pPr>
        <w:spacing w:after="0"/>
        <w:ind w:left="720"/>
        <w:rPr>
          <w:szCs w:val="24"/>
        </w:rPr>
      </w:pPr>
      <w:r w:rsidRPr="00C22E53">
        <w:rPr>
          <w:szCs w:val="24"/>
        </w:rPr>
        <w:t xml:space="preserve">Phone: +61 2 6277 3066 </w:t>
      </w:r>
    </w:p>
    <w:p w:rsidR="00122D9B" w:rsidRPr="00C22E53" w:rsidRDefault="00122D9B" w:rsidP="00122D9B">
      <w:pPr>
        <w:spacing w:after="0"/>
        <w:ind w:left="720"/>
        <w:rPr>
          <w:szCs w:val="24"/>
        </w:rPr>
      </w:pPr>
      <w:r w:rsidRPr="00C22E53">
        <w:rPr>
          <w:szCs w:val="24"/>
        </w:rPr>
        <w:t xml:space="preserve">Fax: +61 2 6277 5881 </w:t>
      </w:r>
    </w:p>
    <w:p w:rsidR="00122D9B" w:rsidRPr="00C22E53" w:rsidRDefault="00122D9B" w:rsidP="00122D9B">
      <w:pPr>
        <w:spacing w:after="0"/>
        <w:ind w:left="720"/>
        <w:rPr>
          <w:szCs w:val="24"/>
        </w:rPr>
      </w:pPr>
      <w:r w:rsidRPr="00C22E53">
        <w:rPr>
          <w:szCs w:val="24"/>
        </w:rPr>
        <w:t xml:space="preserve">Email: </w:t>
      </w:r>
      <w:hyperlink r:id="rId55" w:history="1">
        <w:r w:rsidRPr="00C22E53">
          <w:rPr>
            <w:rStyle w:val="Hyperlink"/>
            <w:szCs w:val="24"/>
          </w:rPr>
          <w:t>RegOrds.Sen@aph.gov.au</w:t>
        </w:r>
      </w:hyperlink>
    </w:p>
    <w:p w:rsidR="00122D9B" w:rsidRPr="00520991" w:rsidRDefault="00122D9B" w:rsidP="00122D9B">
      <w:pPr>
        <w:spacing w:after="0"/>
      </w:pPr>
    </w:p>
    <w:sectPr w:rsidR="00122D9B" w:rsidRPr="00520991" w:rsidSect="0004061C">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202" w:left="1440" w:header="1134" w:footer="720"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3C4012">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3C4012">
    <w:pPr>
      <w:pStyle w:val="Footer"/>
      <w:jc w:val="center"/>
    </w:pPr>
  </w:p>
  <w:p w:rsidR="00F67155" w:rsidRDefault="003C4012">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1741C0">
        <w:pPr>
          <w:pStyle w:val="Footer"/>
          <w:jc w:val="center"/>
        </w:pPr>
        <w:r>
          <w:fldChar w:fldCharType="begin"/>
        </w:r>
        <w:r>
          <w:instrText xml:space="preserve"> PAGE   \* MERGEFORMAT </w:instrText>
        </w:r>
        <w:r>
          <w:fldChar w:fldCharType="separate"/>
        </w:r>
        <w:r w:rsidR="003C4012">
          <w:rPr>
            <w:noProof/>
          </w:rPr>
          <w:t>viii</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3C4012">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1741C0">
        <w:pPr>
          <w:pStyle w:val="Footer"/>
          <w:jc w:val="center"/>
        </w:pPr>
        <w:r>
          <w:fldChar w:fldCharType="begin"/>
        </w:r>
        <w:r>
          <w:instrText xml:space="preserve"> PAGE   \* MERGEFORMAT </w:instrText>
        </w:r>
        <w:r>
          <w:fldChar w:fldCharType="separate"/>
        </w:r>
        <w:r w:rsidR="003C4012">
          <w:rPr>
            <w:noProof/>
          </w:rPr>
          <w:t>vii</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C4012">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C4012">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C4012">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C4012">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C4012">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C4012">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Default="00122D9B">
    <w:pPr>
      <w:pStyle w:val="Footer"/>
      <w:tabs>
        <w:tab w:val="clear" w:pos="4153"/>
        <w:tab w:val="clear" w:pos="8306"/>
        <w:tab w:val="right" w:pos="9000"/>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1741C0">
        <w:pPr>
          <w:pStyle w:val="Footer"/>
          <w:jc w:val="center"/>
        </w:pPr>
        <w:r>
          <w:fldChar w:fldCharType="begin"/>
        </w:r>
        <w:r>
          <w:instrText xml:space="preserve"> PAGE   \* MERGEFORMAT </w:instrText>
        </w:r>
        <w:r>
          <w:fldChar w:fldCharType="separate"/>
        </w:r>
        <w:r w:rsidR="00122D9B">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1741C0">
        <w:pPr>
          <w:pStyle w:val="Footer"/>
          <w:jc w:val="center"/>
        </w:pPr>
        <w:r>
          <w:fldChar w:fldCharType="begin"/>
        </w:r>
        <w:r>
          <w:instrText xml:space="preserve"> PAGE   \* MERGEFORMAT </w:instrText>
        </w:r>
        <w:r>
          <w:fldChar w:fldCharType="separate"/>
        </w:r>
        <w:r w:rsidR="003C4012">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Default="00122D9B">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22D9B" w:rsidRDefault="00122D9B">
        <w:pPr>
          <w:pStyle w:val="Footer"/>
          <w:jc w:val="center"/>
        </w:pPr>
        <w:r>
          <w:fldChar w:fldCharType="begin"/>
        </w:r>
        <w:r>
          <w:instrText xml:space="preserve"> PAGE   \* MERGEFORMAT </w:instrText>
        </w:r>
        <w:r>
          <w:fldChar w:fldCharType="separate"/>
        </w:r>
        <w:r w:rsidR="003C4012">
          <w:rPr>
            <w:noProof/>
          </w:rPr>
          <w:t>v</w:t>
        </w:r>
        <w:r>
          <w:rPr>
            <w:noProof/>
          </w:rPr>
          <w:fldChar w:fldCharType="end"/>
        </w:r>
      </w:p>
    </w:sdtContent>
  </w:sdt>
  <w:p w:rsidR="00122D9B" w:rsidRDefault="00122D9B">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Default="00122D9B">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122D9B" w:rsidRPr="00ED4CC3" w:rsidRDefault="00122D9B" w:rsidP="00122D9B">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122D9B" w:rsidRPr="00DB17B5" w:rsidRDefault="00122D9B" w:rsidP="00122D9B">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122D9B" w:rsidRPr="000E553A" w:rsidRDefault="00122D9B" w:rsidP="00122D9B">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122D9B" w:rsidRPr="00194B2F" w:rsidRDefault="00122D9B" w:rsidP="00122D9B">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122D9B" w:rsidRPr="000274A0" w:rsidRDefault="00122D9B" w:rsidP="00122D9B">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122D9B" w:rsidRPr="002718CE" w:rsidRDefault="00122D9B" w:rsidP="00122D9B">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(2012) 248 CLR 156.</w:t>
      </w:r>
    </w:p>
  </w:footnote>
  <w:footnote w:id="7">
    <w:p w:rsidR="00122D9B" w:rsidRPr="002718CE" w:rsidRDefault="00122D9B" w:rsidP="00122D9B">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(2014) 252 CLR 416.</w:t>
      </w:r>
    </w:p>
  </w:footnote>
  <w:footnote w:id="8">
    <w:p w:rsidR="00122D9B" w:rsidRPr="002718CE" w:rsidRDefault="00122D9B" w:rsidP="00122D9B">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A full account of the Senate's approach to such matters may be found in </w:t>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pp 595–625.</w:t>
      </w:r>
    </w:p>
  </w:footnote>
  <w:footnote w:id="9">
    <w:p w:rsidR="00122D9B" w:rsidRPr="002718CE" w:rsidRDefault="00122D9B" w:rsidP="00122D9B">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See for example </w:t>
      </w:r>
      <w:r w:rsidRPr="002718CE">
        <w:rPr>
          <w:rFonts w:ascii="Times New Roman" w:hAnsi="Times New Roman"/>
          <w:i/>
        </w:rPr>
        <w:t>Delegated legislation monitor</w:t>
      </w:r>
      <w:r w:rsidRPr="002718CE">
        <w:rPr>
          <w:rFonts w:ascii="Times New Roman" w:hAnsi="Times New Roman"/>
        </w:rPr>
        <w:t xml:space="preserve"> No. 2 of 2014, entries on Veterans' Entitlements (Actuarial Certificate – Life Expectancy Income Stream Guidelines) Determination 2013 [F2013L00671] and Veterans' Entitlements (Actuarial Certificate – Lifetime Income Stream Guidelines) Determination 2013 [F2013L00670], pp 6–9.</w:t>
      </w:r>
    </w:p>
  </w:footnote>
  <w:footnote w:id="10">
    <w:p w:rsidR="00122D9B" w:rsidRPr="002718CE" w:rsidRDefault="00122D9B" w:rsidP="00122D9B">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rPr>
        <w:t>Journals of the Senate</w:t>
      </w:r>
      <w:r w:rsidRPr="002718CE">
        <w:rPr>
          <w:rFonts w:ascii="Times New Roman" w:hAnsi="Times New Roman"/>
        </w:rPr>
        <w:t>, 13 May 2009, 'Public interest immunity claims', p. 1941.</w:t>
      </w:r>
    </w:p>
  </w:footnote>
  <w:footnote w:id="11">
    <w:p w:rsidR="00122D9B" w:rsidRPr="002718CE" w:rsidRDefault="00122D9B" w:rsidP="00122D9B">
      <w:pPr>
        <w:pStyle w:val="FootnoteText"/>
        <w:spacing w:after="120"/>
        <w:rPr>
          <w:rFonts w:ascii="Times New Roman" w:hAnsi="Times New Roman"/>
          <w:i/>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Senate Standing Committee on Procedure, </w:t>
      </w:r>
      <w:r w:rsidRPr="002718CE">
        <w:rPr>
          <w:rFonts w:ascii="Times New Roman" w:hAnsi="Times New Roman"/>
          <w:i/>
        </w:rPr>
        <w:t>Second report</w:t>
      </w:r>
      <w:r w:rsidRPr="002718CE">
        <w:rPr>
          <w:rFonts w:ascii="Times New Roman" w:hAnsi="Times New Roman"/>
        </w:rPr>
        <w:t>, June 2015, p. 8.</w:t>
      </w:r>
    </w:p>
  </w:footnote>
  <w:footnote w:id="12">
    <w:p w:rsidR="00122D9B" w:rsidRPr="00FD1964" w:rsidRDefault="00122D9B" w:rsidP="00122D9B">
      <w:pPr>
        <w:pStyle w:val="FootnoteText"/>
        <w:spacing w:after="120"/>
      </w:pPr>
      <w:r w:rsidRPr="00FD1964">
        <w:rPr>
          <w:rStyle w:val="FootnoteReference"/>
          <w:vertAlign w:val="baseline"/>
        </w:rPr>
        <w:footnoteRef/>
      </w:r>
      <w:r w:rsidRPr="00FD1964">
        <w:t xml:space="preserve"> </w:t>
      </w:r>
      <w:r>
        <w:tab/>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pp</w:t>
      </w:r>
      <w:r>
        <w:t xml:space="preserve"> 621-622.</w:t>
      </w:r>
    </w:p>
  </w:footnote>
  <w:footnote w:id="13">
    <w:p w:rsidR="00122D9B" w:rsidRPr="00FD1964" w:rsidRDefault="00122D9B" w:rsidP="00122D9B">
      <w:pPr>
        <w:pStyle w:val="FootnoteText"/>
        <w:spacing w:after="120"/>
      </w:pPr>
      <w:r w:rsidRPr="00FD1964">
        <w:rPr>
          <w:rStyle w:val="FootnoteReference"/>
          <w:vertAlign w:val="baseline"/>
        </w:rPr>
        <w:footnoteRef/>
      </w:r>
      <w:r w:rsidRPr="00FD1964">
        <w:t xml:space="preserve"> </w:t>
      </w:r>
      <w:r>
        <w:tab/>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w:t>
      </w:r>
      <w:r>
        <w:t>. 622.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741C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122D9B">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741C0">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1741C0">
    <w:pPr>
      <w:pStyle w:val="Header"/>
      <w:pBdr>
        <w:bottom w:val="single" w:sz="4" w:space="1" w:color="auto"/>
      </w:pBdr>
      <w:tabs>
        <w:tab w:val="clear" w:pos="8306"/>
        <w:tab w:val="right" w:pos="9000"/>
      </w:tabs>
    </w:pPr>
    <w:r>
      <w:fldChar w:fldCharType="begin"/>
    </w:r>
    <w:r>
      <w:instrText xml:space="preserve"> PAGE </w:instrText>
    </w:r>
    <w:r>
      <w:fldChar w:fldCharType="separate"/>
    </w:r>
    <w:r w:rsidR="00122D9B">
      <w:rPr>
        <w:noProof/>
      </w:rPr>
      <w:t>2</w:t>
    </w:r>
    <w:r>
      <w:rPr>
        <w:noProof/>
      </w:rPr>
      <w:fldChar w:fldCharType="end"/>
    </w:r>
    <w:r w:rsidRPr="007E5241">
      <w:rPr>
        <w:color w:val="FF000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1741C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1741C0">
    <w:pPr>
      <w:pStyle w:val="Header"/>
      <w:tabs>
        <w:tab w:val="clear" w:pos="8306"/>
        <w:tab w:val="right" w:pos="9000"/>
      </w:tabs>
    </w:pPr>
    <w:r>
      <w:tab/>
    </w:r>
    <w:r>
      <w:fldChar w:fldCharType="begin"/>
    </w:r>
    <w:r>
      <w:instrText xml:space="preserve"> PAGE </w:instrText>
    </w:r>
    <w:r>
      <w:fldChar w:fldCharType="separate"/>
    </w:r>
    <w:r w:rsidR="003C4012">
      <w:rPr>
        <w:noProof/>
      </w:rPr>
      <w:t>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1741C0">
    <w:pPr>
      <w:pStyle w:val="Header"/>
      <w:pBdr>
        <w:bottom w:val="single" w:sz="4" w:space="1" w:color="auto"/>
      </w:pBdr>
      <w:tabs>
        <w:tab w:val="clear" w:pos="8306"/>
        <w:tab w:val="right" w:pos="9000"/>
      </w:tabs>
    </w:pPr>
    <w:r>
      <w:fldChar w:fldCharType="begin"/>
    </w:r>
    <w:r>
      <w:instrText xml:space="preserve"> PAGE </w:instrText>
    </w:r>
    <w:r>
      <w:fldChar w:fldCharType="separate"/>
    </w:r>
    <w:r w:rsidR="003C4012">
      <w:rPr>
        <w:noProof/>
      </w:rPr>
      <w:t>14</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741C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3C4012">
      <w:rPr>
        <w:noProof/>
      </w:rPr>
      <w:t>11</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741C0">
    <w:pPr>
      <w:pStyle w:val="Header"/>
      <w:tabs>
        <w:tab w:val="clear" w:pos="8306"/>
        <w:tab w:val="right" w:pos="9000"/>
      </w:tabs>
    </w:pPr>
    <w:r>
      <w:tab/>
    </w:r>
    <w:r>
      <w:fldChar w:fldCharType="begin"/>
    </w:r>
    <w:r>
      <w:instrText xml:space="preserve"> PAGE </w:instrText>
    </w:r>
    <w:r>
      <w:fldChar w:fldCharType="separate"/>
    </w:r>
    <w:r w:rsidR="003C4012">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741C0">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741C0">
      <w:fldChar w:fldCharType="begin"/>
    </w:r>
    <w:r w:rsidR="001741C0">
      <w:instrText xml:space="preserve"> PAGE </w:instrText>
    </w:r>
    <w:r w:rsidR="001741C0">
      <w:fldChar w:fldCharType="separate"/>
    </w:r>
    <w:r>
      <w:rPr>
        <w:noProof/>
      </w:rPr>
      <w:t>3</w:t>
    </w:r>
    <w:r w:rsidR="001741C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741C0">
      <w:t>15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Default="00122D9B">
    <w:pPr>
      <w:pStyle w:val="Header"/>
      <w:tabs>
        <w:tab w:val="clear" w:pos="8306"/>
        <w:tab w:val="right" w:pos="9000"/>
      </w:tabs>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741C0">
    <w:pPr>
      <w:pStyle w:val="Header"/>
      <w:pBdr>
        <w:bottom w:val="single" w:sz="4" w:space="1" w:color="auto"/>
      </w:pBdr>
      <w:tabs>
        <w:tab w:val="clear" w:pos="8306"/>
        <w:tab w:val="right" w:pos="9000"/>
      </w:tabs>
    </w:pPr>
    <w:r>
      <w:fldChar w:fldCharType="begin"/>
    </w:r>
    <w:r>
      <w:instrText xml:space="preserve"> PAGE </w:instrText>
    </w:r>
    <w:r>
      <w:fldChar w:fldCharType="separate"/>
    </w:r>
    <w:r w:rsidR="003C4012">
      <w:rPr>
        <w:noProof/>
      </w:rPr>
      <w:t>20</w:t>
    </w:r>
    <w:r>
      <w:rPr>
        <w:noProof/>
      </w:rPr>
      <w:fldChar w:fldCharType="end"/>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741C0">
      <w:fldChar w:fldCharType="begin"/>
    </w:r>
    <w:r w:rsidR="001741C0">
      <w:instrText xml:space="preserve"> PAGE </w:instrText>
    </w:r>
    <w:r w:rsidR="001741C0">
      <w:fldChar w:fldCharType="separate"/>
    </w:r>
    <w:r w:rsidR="003C4012">
      <w:rPr>
        <w:noProof/>
      </w:rPr>
      <w:t>21</w:t>
    </w:r>
    <w:r w:rsidR="001741C0">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741C0">
      <w:fldChar w:fldCharType="begin"/>
    </w:r>
    <w:r w:rsidR="001741C0">
      <w:instrText xml:space="preserve"> PAGE </w:instrText>
    </w:r>
    <w:r w:rsidR="001741C0">
      <w:fldChar w:fldCharType="separate"/>
    </w:r>
    <w:r w:rsidR="003C4012">
      <w:rPr>
        <w:noProof/>
      </w:rPr>
      <w:t>19</w:t>
    </w:r>
    <w:r w:rsidR="001741C0">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741C0">
      <w:fldChar w:fldCharType="begin"/>
    </w:r>
    <w:r w:rsidR="001741C0">
      <w:instrText xml:space="preserve"> PAGE </w:instrText>
    </w:r>
    <w:r w:rsidR="001741C0">
      <w:fldChar w:fldCharType="separate"/>
    </w:r>
    <w:r w:rsidR="003C4012">
      <w:rPr>
        <w:noProof/>
      </w:rPr>
      <w:t>iii</w:t>
    </w:r>
    <w:r w:rsidR="001741C0">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Pr="00F710D5" w:rsidRDefault="00122D9B">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iii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B" w:rsidRDefault="00122D9B">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3C4012"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4B289D"/>
    <w:multiLevelType w:val="hybridMultilevel"/>
    <w:tmpl w:val="8B6ADDE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10B09C7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47757B"/>
    <w:multiLevelType w:val="multilevel"/>
    <w:tmpl w:val="07CA1BBC"/>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3D2471F"/>
    <w:multiLevelType w:val="multilevel"/>
    <w:tmpl w:val="EA66CA2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2">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3"/>
  </w:num>
  <w:num w:numId="3">
    <w:abstractNumId w:val="15"/>
  </w:num>
  <w:num w:numId="4">
    <w:abstractNumId w:val="16"/>
  </w:num>
  <w:num w:numId="5">
    <w:abstractNumId w:val="2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31"/>
  </w:num>
  <w:num w:numId="20">
    <w:abstractNumId w:val="10"/>
  </w:num>
  <w:num w:numId="21">
    <w:abstractNumId w:val="28"/>
  </w:num>
  <w:num w:numId="22">
    <w:abstractNumId w:val="21"/>
  </w:num>
  <w:num w:numId="23">
    <w:abstractNumId w:val="29"/>
  </w:num>
  <w:num w:numId="24">
    <w:abstractNumId w:val="22"/>
  </w:num>
  <w:num w:numId="25">
    <w:abstractNumId w:val="23"/>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8"/>
  </w:num>
  <w:num w:numId="34">
    <w:abstractNumId w:val="14"/>
  </w:num>
  <w:num w:numId="35">
    <w:abstractNumId w:val="30"/>
  </w:num>
  <w:num w:numId="36">
    <w:abstractNumId w:val="27"/>
  </w:num>
  <w:num w:numId="37">
    <w:abstractNumId w:val="25"/>
  </w:num>
  <w:num w:numId="38">
    <w:abstractNumId w:val="19"/>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22D9B"/>
    <w:rsid w:val="001428C3"/>
    <w:rsid w:val="00151846"/>
    <w:rsid w:val="001741C0"/>
    <w:rsid w:val="0018124A"/>
    <w:rsid w:val="00194588"/>
    <w:rsid w:val="00296ADC"/>
    <w:rsid w:val="00312055"/>
    <w:rsid w:val="003168FA"/>
    <w:rsid w:val="00325264"/>
    <w:rsid w:val="00333EC9"/>
    <w:rsid w:val="00350769"/>
    <w:rsid w:val="003C4012"/>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15D5C"/>
    <w:rsid w:val="00E43D1F"/>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3C4012"/>
    <w:pPr>
      <w:keepNext/>
      <w:numPr>
        <w:ilvl w:val="3"/>
        <w:numId w:val="32"/>
      </w:numPr>
      <w:outlineLvl w:val="3"/>
    </w:pPr>
    <w:rPr>
      <w:b/>
      <w:i/>
    </w:rPr>
  </w:style>
  <w:style w:type="paragraph" w:styleId="Heading5">
    <w:name w:val="heading 5"/>
    <w:basedOn w:val="Normal"/>
    <w:next w:val="Normal"/>
    <w:qFormat/>
    <w:rsid w:val="003C4012"/>
    <w:pPr>
      <w:keepNext/>
      <w:numPr>
        <w:ilvl w:val="4"/>
        <w:numId w:val="32"/>
      </w:numPr>
      <w:jc w:val="left"/>
      <w:outlineLvl w:val="4"/>
    </w:pPr>
    <w:rPr>
      <w:i/>
    </w:rPr>
  </w:style>
  <w:style w:type="paragraph" w:styleId="Heading6">
    <w:name w:val="heading 6"/>
    <w:basedOn w:val="Normal"/>
    <w:next w:val="Normal"/>
    <w:qFormat/>
    <w:locked/>
    <w:rsid w:val="003C4012"/>
    <w:pPr>
      <w:numPr>
        <w:ilvl w:val="5"/>
        <w:numId w:val="32"/>
      </w:numPr>
      <w:spacing w:before="240" w:after="60"/>
      <w:outlineLvl w:val="5"/>
    </w:pPr>
    <w:rPr>
      <w:i/>
      <w:sz w:val="22"/>
    </w:rPr>
  </w:style>
  <w:style w:type="paragraph" w:styleId="Heading7">
    <w:name w:val="heading 7"/>
    <w:basedOn w:val="Normal"/>
    <w:next w:val="Normal"/>
    <w:qFormat/>
    <w:locked/>
    <w:rsid w:val="003C4012"/>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3C4012"/>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3C401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3C4012"/>
    <w:pPr>
      <w:numPr>
        <w:numId w:val="32"/>
      </w:numPr>
    </w:pPr>
  </w:style>
  <w:style w:type="paragraph" w:customStyle="1" w:styleId="Level2">
    <w:name w:val="Level2"/>
    <w:basedOn w:val="Normal"/>
    <w:rsid w:val="003C4012"/>
    <w:pPr>
      <w:numPr>
        <w:ilvl w:val="1"/>
        <w:numId w:val="32"/>
      </w:numPr>
    </w:pPr>
  </w:style>
  <w:style w:type="paragraph" w:customStyle="1" w:styleId="Level3">
    <w:name w:val="Level3"/>
    <w:basedOn w:val="Normal"/>
    <w:link w:val="Level3Char"/>
    <w:rsid w:val="003C4012"/>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3C4012"/>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22D9B"/>
    <w:rPr>
      <w:rFonts w:ascii="Times New Roman" w:hAnsi="Times New Roman"/>
      <w:b/>
      <w:kern w:val="28"/>
      <w:sz w:val="40"/>
      <w:lang w:eastAsia="en-US"/>
    </w:rPr>
  </w:style>
  <w:style w:type="character" w:customStyle="1" w:styleId="HeaderChar">
    <w:name w:val="Header Char"/>
    <w:basedOn w:val="DefaultParagraphFont"/>
    <w:link w:val="Header"/>
    <w:semiHidden/>
    <w:rsid w:val="00122D9B"/>
    <w:rPr>
      <w:rFonts w:ascii="Times New Roman" w:hAnsi="Times New Roman"/>
      <w:sz w:val="22"/>
      <w:lang w:eastAsia="en-US"/>
    </w:rPr>
  </w:style>
  <w:style w:type="paragraph" w:customStyle="1" w:styleId="JNP2">
    <w:name w:val="JNP2"/>
    <w:basedOn w:val="Normal"/>
    <w:rsid w:val="00122D9B"/>
    <w:pPr>
      <w:spacing w:after="0"/>
      <w:ind w:left="2268"/>
    </w:pPr>
    <w:rPr>
      <w:lang w:val="en-US"/>
    </w:rPr>
  </w:style>
  <w:style w:type="character" w:customStyle="1" w:styleId="FootnoteTextChar">
    <w:name w:val="Footnote Text Char"/>
    <w:basedOn w:val="DefaultParagraphFont"/>
    <w:link w:val="FootnoteText"/>
    <w:rsid w:val="00122D9B"/>
    <w:rPr>
      <w:sz w:val="22"/>
      <w:lang w:eastAsia="en-US"/>
    </w:rPr>
  </w:style>
  <w:style w:type="character" w:customStyle="1" w:styleId="QuoteChar">
    <w:name w:val="Quote Char"/>
    <w:basedOn w:val="DefaultParagraphFont"/>
    <w:link w:val="Quote"/>
    <w:rsid w:val="00122D9B"/>
    <w:rPr>
      <w:rFonts w:ascii="Times New Roman" w:hAnsi="Times New Roman"/>
      <w:sz w:val="24"/>
      <w:lang w:eastAsia="en-US"/>
    </w:rPr>
  </w:style>
  <w:style w:type="character" w:customStyle="1" w:styleId="Heading2Char">
    <w:name w:val="Heading 2 Char"/>
    <w:basedOn w:val="DefaultParagraphFont"/>
    <w:link w:val="Heading2"/>
    <w:rsid w:val="00122D9B"/>
    <w:rPr>
      <w:rFonts w:ascii="Times New Roman" w:hAnsi="Times New Roman"/>
      <w:b/>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3C4012"/>
    <w:pPr>
      <w:keepNext/>
      <w:numPr>
        <w:ilvl w:val="3"/>
        <w:numId w:val="32"/>
      </w:numPr>
      <w:outlineLvl w:val="3"/>
    </w:pPr>
    <w:rPr>
      <w:b/>
      <w:i/>
    </w:rPr>
  </w:style>
  <w:style w:type="paragraph" w:styleId="Heading5">
    <w:name w:val="heading 5"/>
    <w:basedOn w:val="Normal"/>
    <w:next w:val="Normal"/>
    <w:qFormat/>
    <w:rsid w:val="003C4012"/>
    <w:pPr>
      <w:keepNext/>
      <w:numPr>
        <w:ilvl w:val="4"/>
        <w:numId w:val="32"/>
      </w:numPr>
      <w:jc w:val="left"/>
      <w:outlineLvl w:val="4"/>
    </w:pPr>
    <w:rPr>
      <w:i/>
    </w:rPr>
  </w:style>
  <w:style w:type="paragraph" w:styleId="Heading6">
    <w:name w:val="heading 6"/>
    <w:basedOn w:val="Normal"/>
    <w:next w:val="Normal"/>
    <w:qFormat/>
    <w:locked/>
    <w:rsid w:val="003C4012"/>
    <w:pPr>
      <w:numPr>
        <w:ilvl w:val="5"/>
        <w:numId w:val="32"/>
      </w:numPr>
      <w:spacing w:before="240" w:after="60"/>
      <w:outlineLvl w:val="5"/>
    </w:pPr>
    <w:rPr>
      <w:i/>
      <w:sz w:val="22"/>
    </w:rPr>
  </w:style>
  <w:style w:type="paragraph" w:styleId="Heading7">
    <w:name w:val="heading 7"/>
    <w:basedOn w:val="Normal"/>
    <w:next w:val="Normal"/>
    <w:qFormat/>
    <w:locked/>
    <w:rsid w:val="003C4012"/>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3C4012"/>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3C401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3C4012"/>
    <w:pPr>
      <w:numPr>
        <w:numId w:val="32"/>
      </w:numPr>
    </w:pPr>
  </w:style>
  <w:style w:type="paragraph" w:customStyle="1" w:styleId="Level2">
    <w:name w:val="Level2"/>
    <w:basedOn w:val="Normal"/>
    <w:rsid w:val="003C4012"/>
    <w:pPr>
      <w:numPr>
        <w:ilvl w:val="1"/>
        <w:numId w:val="32"/>
      </w:numPr>
    </w:pPr>
  </w:style>
  <w:style w:type="paragraph" w:customStyle="1" w:styleId="Level3">
    <w:name w:val="Level3"/>
    <w:basedOn w:val="Normal"/>
    <w:link w:val="Level3Char"/>
    <w:rsid w:val="003C4012"/>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3C4012"/>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22D9B"/>
    <w:rPr>
      <w:rFonts w:ascii="Times New Roman" w:hAnsi="Times New Roman"/>
      <w:b/>
      <w:kern w:val="28"/>
      <w:sz w:val="40"/>
      <w:lang w:eastAsia="en-US"/>
    </w:rPr>
  </w:style>
  <w:style w:type="character" w:customStyle="1" w:styleId="HeaderChar">
    <w:name w:val="Header Char"/>
    <w:basedOn w:val="DefaultParagraphFont"/>
    <w:link w:val="Header"/>
    <w:semiHidden/>
    <w:rsid w:val="00122D9B"/>
    <w:rPr>
      <w:rFonts w:ascii="Times New Roman" w:hAnsi="Times New Roman"/>
      <w:sz w:val="22"/>
      <w:lang w:eastAsia="en-US"/>
    </w:rPr>
  </w:style>
  <w:style w:type="paragraph" w:customStyle="1" w:styleId="JNP2">
    <w:name w:val="JNP2"/>
    <w:basedOn w:val="Normal"/>
    <w:rsid w:val="00122D9B"/>
    <w:pPr>
      <w:spacing w:after="0"/>
      <w:ind w:left="2268"/>
    </w:pPr>
    <w:rPr>
      <w:lang w:val="en-US"/>
    </w:rPr>
  </w:style>
  <w:style w:type="character" w:customStyle="1" w:styleId="FootnoteTextChar">
    <w:name w:val="Footnote Text Char"/>
    <w:basedOn w:val="DefaultParagraphFont"/>
    <w:link w:val="FootnoteText"/>
    <w:rsid w:val="00122D9B"/>
    <w:rPr>
      <w:sz w:val="22"/>
      <w:lang w:eastAsia="en-US"/>
    </w:rPr>
  </w:style>
  <w:style w:type="character" w:customStyle="1" w:styleId="QuoteChar">
    <w:name w:val="Quote Char"/>
    <w:basedOn w:val="DefaultParagraphFont"/>
    <w:link w:val="Quote"/>
    <w:rsid w:val="00122D9B"/>
    <w:rPr>
      <w:rFonts w:ascii="Times New Roman" w:hAnsi="Times New Roman"/>
      <w:sz w:val="24"/>
      <w:lang w:eastAsia="en-US"/>
    </w:rPr>
  </w:style>
  <w:style w:type="character" w:customStyle="1" w:styleId="Heading2Char">
    <w:name w:val="Heading 2 Char"/>
    <w:basedOn w:val="DefaultParagraphFont"/>
    <w:link w:val="Heading2"/>
    <w:rsid w:val="00122D9B"/>
    <w:rPr>
      <w:rFonts w:ascii="Times New Roman" w:hAnsi="Times New Roman"/>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footer" Target="footer21.xml"/><Relationship Id="rId50" Type="http://schemas.openxmlformats.org/officeDocument/2006/relationships/header" Target="header21.xml"/><Relationship Id="rId55" Type="http://schemas.openxmlformats.org/officeDocument/2006/relationships/hyperlink" Target="mailto:RegOrds.Sen@aph.gov.a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hyperlink" Target="http://www.aph.gov.au/Parliamentary_Business/Committees/Senate/Regulations_and_Ordinances%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hyperlink" Target="http://www.aph.gov.au/Parliamentary_Business/Committees/Senate_Committees?url=regord_ctte/alert2012.htm" TargetMode="External"/><Relationship Id="rId58"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header" Target="header23.xml"/><Relationship Id="rId61"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hyperlink" Target="http://www.comlaw.gov.au/Details/C2012C00041" TargetMode="External"/><Relationship Id="rId60"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footer" Target="footer23.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20.xml"/><Relationship Id="rId59" Type="http://schemas.openxmlformats.org/officeDocument/2006/relationships/footer" Target="footer25.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35</Pages>
  <Words>6044</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Strout, Jessica (SEN)</cp:lastModifiedBy>
  <cp:revision>3</cp:revision>
  <dcterms:created xsi:type="dcterms:W3CDTF">2015-10-13T03:25:00Z</dcterms:created>
  <dcterms:modified xsi:type="dcterms:W3CDTF">2015-10-14T00:02:00Z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