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sidR="002F48B0">
        <w:rPr>
          <w:sz w:val="24"/>
          <w:szCs w:val="24"/>
        </w:rPr>
        <w:t>1</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DC7A3A">
        <w:rPr>
          <w:sz w:val="28"/>
        </w:rPr>
        <w:t>7</w:t>
      </w:r>
      <w:r w:rsidR="002F48B0">
        <w:rPr>
          <w:sz w:val="28"/>
        </w:rPr>
        <w:t xml:space="preserve"> September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2A5150" w:rsidRDefault="002A5150" w:rsidP="00325264">
      <w:pPr>
        <w:sectPr w:rsidR="002A5150"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2A5150" w:rsidRDefault="002A5150" w:rsidP="002A5150">
      <w:pPr>
        <w:pStyle w:val="Heading1"/>
      </w:pPr>
      <w:bookmarkStart w:id="1" w:name="_Toc340231481"/>
      <w:r>
        <w:lastRenderedPageBreak/>
        <w:t>Membership of the committee</w:t>
      </w:r>
      <w:bookmarkEnd w:id="1"/>
    </w:p>
    <w:p w:rsidR="002A5150" w:rsidRDefault="002A5150" w:rsidP="002A5150">
      <w:pPr>
        <w:spacing w:after="0"/>
      </w:pPr>
    </w:p>
    <w:p w:rsidR="002A5150" w:rsidRDefault="002A5150" w:rsidP="002A5150">
      <w:pPr>
        <w:spacing w:after="0"/>
      </w:pPr>
    </w:p>
    <w:p w:rsidR="002A5150" w:rsidRDefault="002A5150" w:rsidP="002A5150">
      <w:pPr>
        <w:spacing w:after="0"/>
      </w:pPr>
    </w:p>
    <w:p w:rsidR="002A5150" w:rsidRDefault="002A5150" w:rsidP="002A5150">
      <w:pPr>
        <w:spacing w:after="0"/>
      </w:pPr>
    </w:p>
    <w:p w:rsidR="002A5150" w:rsidRDefault="002A5150" w:rsidP="002A5150">
      <w:pPr>
        <w:spacing w:after="0"/>
      </w:pPr>
    </w:p>
    <w:p w:rsidR="002A5150" w:rsidRPr="008A46B0" w:rsidRDefault="002A5150" w:rsidP="002A5150">
      <w:pPr>
        <w:tabs>
          <w:tab w:val="left" w:pos="4536"/>
        </w:tabs>
        <w:outlineLvl w:val="0"/>
        <w:rPr>
          <w:b/>
        </w:rPr>
      </w:pPr>
      <w:bookmarkStart w:id="2" w:name="_Toc340231482"/>
      <w:r>
        <w:rPr>
          <w:b/>
        </w:rPr>
        <w:t>Current m</w:t>
      </w:r>
      <w:r w:rsidRPr="008A46B0">
        <w:rPr>
          <w:b/>
        </w:rPr>
        <w:t>embers</w:t>
      </w:r>
      <w:bookmarkEnd w:id="2"/>
    </w:p>
    <w:p w:rsidR="002A5150" w:rsidRPr="001F6A19" w:rsidRDefault="002A5150" w:rsidP="002A5150">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2A5150" w:rsidRPr="001F6A19" w:rsidRDefault="002A5150" w:rsidP="002A5150">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2A5150" w:rsidRPr="001F6A19" w:rsidRDefault="002A5150" w:rsidP="002A5150">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2A5150" w:rsidRPr="001F6A19" w:rsidRDefault="002A5150" w:rsidP="002A5150">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2A5150" w:rsidRDefault="002A5150" w:rsidP="002A5150">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2A5150" w:rsidRDefault="002A5150" w:rsidP="002A5150">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2A5150" w:rsidRDefault="002A5150" w:rsidP="002A5150">
      <w:pPr>
        <w:spacing w:after="0"/>
        <w:rPr>
          <w:sz w:val="24"/>
          <w:szCs w:val="24"/>
        </w:rPr>
      </w:pPr>
    </w:p>
    <w:p w:rsidR="002A5150" w:rsidRDefault="002A5150" w:rsidP="002A5150">
      <w:pPr>
        <w:spacing w:after="0"/>
        <w:rPr>
          <w:sz w:val="24"/>
          <w:szCs w:val="24"/>
        </w:rPr>
      </w:pPr>
    </w:p>
    <w:p w:rsidR="002A5150" w:rsidRDefault="002A5150" w:rsidP="002A5150">
      <w:pPr>
        <w:spacing w:after="0"/>
        <w:rPr>
          <w:sz w:val="24"/>
          <w:szCs w:val="24"/>
        </w:rPr>
      </w:pPr>
    </w:p>
    <w:p w:rsidR="002A5150" w:rsidRDefault="002A5150" w:rsidP="002A5150">
      <w:pPr>
        <w:spacing w:after="0"/>
        <w:rPr>
          <w:sz w:val="24"/>
          <w:szCs w:val="24"/>
        </w:rPr>
      </w:pPr>
    </w:p>
    <w:p w:rsidR="002A5150" w:rsidRDefault="002A5150" w:rsidP="002A5150">
      <w:pPr>
        <w:spacing w:after="0"/>
        <w:rPr>
          <w:sz w:val="24"/>
          <w:szCs w:val="24"/>
        </w:rPr>
      </w:pPr>
    </w:p>
    <w:p w:rsidR="002A5150" w:rsidRPr="00BE73BD" w:rsidRDefault="002A5150" w:rsidP="002A5150">
      <w:pPr>
        <w:rPr>
          <w:b/>
        </w:rPr>
      </w:pPr>
      <w:bookmarkStart w:id="3" w:name="_Toc340231484"/>
      <w:r w:rsidRPr="00BE73BD">
        <w:rPr>
          <w:b/>
        </w:rPr>
        <w:t>Secretariat</w:t>
      </w:r>
      <w:bookmarkEnd w:id="3"/>
    </w:p>
    <w:p w:rsidR="002A5150" w:rsidRPr="00BE73BD" w:rsidRDefault="002A5150" w:rsidP="002A5150">
      <w:pPr>
        <w:spacing w:after="0"/>
        <w:rPr>
          <w:sz w:val="24"/>
          <w:szCs w:val="24"/>
        </w:rPr>
      </w:pPr>
      <w:bookmarkStart w:id="4" w:name="_Toc340231485"/>
      <w:r w:rsidRPr="00BE73BD">
        <w:rPr>
          <w:sz w:val="24"/>
          <w:szCs w:val="24"/>
        </w:rPr>
        <w:t>Mr Ivan Powell, Secretary</w:t>
      </w:r>
      <w:bookmarkEnd w:id="4"/>
    </w:p>
    <w:p w:rsidR="002A5150" w:rsidRPr="00BE73BD" w:rsidRDefault="002A5150" w:rsidP="002A5150">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2A5150" w:rsidRDefault="002A5150" w:rsidP="002A5150">
      <w:pPr>
        <w:spacing w:after="0"/>
        <w:rPr>
          <w:sz w:val="24"/>
          <w:szCs w:val="24"/>
        </w:rPr>
      </w:pPr>
    </w:p>
    <w:p w:rsidR="002A5150" w:rsidRDefault="002A5150" w:rsidP="002A5150">
      <w:pPr>
        <w:spacing w:after="0"/>
        <w:rPr>
          <w:sz w:val="24"/>
          <w:szCs w:val="24"/>
        </w:rPr>
      </w:pPr>
    </w:p>
    <w:p w:rsidR="002A5150" w:rsidRDefault="002A5150" w:rsidP="002A5150">
      <w:pPr>
        <w:spacing w:after="0"/>
        <w:rPr>
          <w:sz w:val="24"/>
          <w:szCs w:val="24"/>
        </w:rPr>
      </w:pPr>
    </w:p>
    <w:p w:rsidR="002A5150" w:rsidRPr="007A6AAA" w:rsidRDefault="002A5150" w:rsidP="002A5150">
      <w:pPr>
        <w:spacing w:after="0"/>
        <w:rPr>
          <w:sz w:val="24"/>
          <w:szCs w:val="24"/>
        </w:rPr>
      </w:pPr>
    </w:p>
    <w:p w:rsidR="002A5150" w:rsidRPr="00BE73BD" w:rsidRDefault="002A5150" w:rsidP="002A5150">
      <w:pPr>
        <w:rPr>
          <w:b/>
        </w:rPr>
      </w:pPr>
      <w:bookmarkStart w:id="5" w:name="_Toc340231486"/>
      <w:r w:rsidRPr="00BE73BD">
        <w:rPr>
          <w:b/>
        </w:rPr>
        <w:t>Committee legal adviser</w:t>
      </w:r>
      <w:bookmarkEnd w:id="5"/>
    </w:p>
    <w:p w:rsidR="002A5150" w:rsidRPr="00BE73BD" w:rsidRDefault="002A5150" w:rsidP="002A5150">
      <w:pPr>
        <w:rPr>
          <w:sz w:val="24"/>
          <w:szCs w:val="24"/>
        </w:rPr>
      </w:pPr>
      <w:r w:rsidRPr="00BE73BD">
        <w:rPr>
          <w:sz w:val="24"/>
          <w:szCs w:val="24"/>
        </w:rPr>
        <w:t>Mr Stephen Argument</w:t>
      </w:r>
    </w:p>
    <w:p w:rsidR="002A5150" w:rsidRDefault="002A5150" w:rsidP="002A5150">
      <w:pPr>
        <w:spacing w:after="0"/>
        <w:rPr>
          <w:sz w:val="24"/>
          <w:szCs w:val="24"/>
        </w:rPr>
      </w:pPr>
    </w:p>
    <w:p w:rsidR="002A5150" w:rsidRDefault="002A5150" w:rsidP="002A5150">
      <w:pPr>
        <w:spacing w:after="0"/>
        <w:rPr>
          <w:sz w:val="24"/>
          <w:szCs w:val="24"/>
        </w:rPr>
      </w:pPr>
    </w:p>
    <w:p w:rsidR="002A5150" w:rsidRPr="001B64F3" w:rsidRDefault="002A5150" w:rsidP="002A5150">
      <w:pPr>
        <w:spacing w:after="0"/>
        <w:rPr>
          <w:sz w:val="24"/>
          <w:szCs w:val="24"/>
        </w:rPr>
      </w:pPr>
    </w:p>
    <w:p w:rsidR="002A5150" w:rsidRPr="001B64F3" w:rsidRDefault="002A5150" w:rsidP="002A5150">
      <w:pPr>
        <w:spacing w:after="0"/>
        <w:rPr>
          <w:sz w:val="24"/>
          <w:szCs w:val="24"/>
        </w:rPr>
      </w:pPr>
    </w:p>
    <w:p w:rsidR="002A5150" w:rsidRPr="00BE73BD" w:rsidRDefault="002A5150" w:rsidP="002A5150">
      <w:pPr>
        <w:rPr>
          <w:b/>
        </w:rPr>
      </w:pPr>
      <w:bookmarkStart w:id="6" w:name="_Toc340231487"/>
      <w:r w:rsidRPr="00BE73BD">
        <w:rPr>
          <w:b/>
        </w:rPr>
        <w:t>Committee contacts</w:t>
      </w:r>
      <w:bookmarkEnd w:id="6"/>
    </w:p>
    <w:p w:rsidR="002A5150" w:rsidRPr="00BE73BD" w:rsidRDefault="002A5150" w:rsidP="002A5150">
      <w:pPr>
        <w:spacing w:after="0"/>
        <w:rPr>
          <w:sz w:val="24"/>
          <w:szCs w:val="24"/>
        </w:rPr>
      </w:pPr>
      <w:bookmarkStart w:id="7" w:name="_Toc340231488"/>
      <w:r w:rsidRPr="00BE73BD">
        <w:rPr>
          <w:sz w:val="24"/>
          <w:szCs w:val="24"/>
        </w:rPr>
        <w:t>PO Box 6100</w:t>
      </w:r>
      <w:bookmarkEnd w:id="7"/>
    </w:p>
    <w:p w:rsidR="002A5150" w:rsidRPr="00BE73BD" w:rsidRDefault="002A5150" w:rsidP="002A5150">
      <w:pPr>
        <w:spacing w:after="0"/>
        <w:rPr>
          <w:sz w:val="24"/>
          <w:szCs w:val="24"/>
        </w:rPr>
      </w:pPr>
      <w:r w:rsidRPr="00BE73BD">
        <w:rPr>
          <w:sz w:val="24"/>
          <w:szCs w:val="24"/>
        </w:rPr>
        <w:t>Parliament House</w:t>
      </w:r>
    </w:p>
    <w:p w:rsidR="002A5150" w:rsidRPr="00BE73BD" w:rsidRDefault="002A5150" w:rsidP="002A5150">
      <w:pPr>
        <w:spacing w:after="0"/>
        <w:rPr>
          <w:sz w:val="24"/>
          <w:szCs w:val="24"/>
        </w:rPr>
      </w:pPr>
      <w:r w:rsidRPr="00BE73BD">
        <w:rPr>
          <w:sz w:val="24"/>
          <w:szCs w:val="24"/>
        </w:rPr>
        <w:t>Canberra ACT 2600</w:t>
      </w:r>
    </w:p>
    <w:p w:rsidR="002A5150" w:rsidRPr="00BE73BD" w:rsidRDefault="002A5150" w:rsidP="002A5150">
      <w:pPr>
        <w:spacing w:after="0"/>
        <w:rPr>
          <w:sz w:val="24"/>
          <w:szCs w:val="24"/>
        </w:rPr>
      </w:pPr>
      <w:r w:rsidRPr="00BE73BD">
        <w:rPr>
          <w:sz w:val="24"/>
          <w:szCs w:val="24"/>
        </w:rPr>
        <w:t>Ph: 02 6277 3066</w:t>
      </w:r>
    </w:p>
    <w:p w:rsidR="002A5150" w:rsidRPr="00BE73BD" w:rsidRDefault="002A5150" w:rsidP="002A5150">
      <w:pPr>
        <w:spacing w:after="0"/>
        <w:rPr>
          <w:sz w:val="24"/>
          <w:szCs w:val="24"/>
        </w:rPr>
      </w:pPr>
      <w:r w:rsidRPr="00BE73BD">
        <w:rPr>
          <w:sz w:val="24"/>
          <w:szCs w:val="24"/>
        </w:rPr>
        <w:t>Email: regords.sen@aph.gov.au</w:t>
      </w:r>
    </w:p>
    <w:p w:rsidR="002A5150" w:rsidRPr="00F72A71" w:rsidRDefault="002A5150" w:rsidP="002A5150">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2A5150" w:rsidRPr="007E04A9" w:rsidRDefault="002A5150" w:rsidP="002A5150">
      <w:pPr>
        <w:spacing w:after="0"/>
      </w:pPr>
    </w:p>
    <w:p w:rsidR="002A5150" w:rsidRDefault="002A5150" w:rsidP="002A5150">
      <w:r>
        <w:br w:type="page"/>
      </w:r>
    </w:p>
    <w:p w:rsidR="002A5150" w:rsidRPr="00520991" w:rsidRDefault="002A5150" w:rsidP="002A5150"/>
    <w:p w:rsidR="002A5150" w:rsidRDefault="002A5150" w:rsidP="00325264">
      <w:pPr>
        <w:sectPr w:rsidR="002A5150"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2A5150" w:rsidRDefault="002A5150" w:rsidP="002A5150">
      <w:pPr>
        <w:pStyle w:val="Heading1"/>
        <w:spacing w:before="0"/>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30080345"/>
      <w:bookmarkStart w:id="23" w:name="_Toc430080438"/>
      <w:bookmarkStart w:id="24" w:name="_Toc430157867"/>
      <w:bookmarkStart w:id="25" w:name="_Toc430181453"/>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2A5150" w:rsidRPr="00635538" w:rsidRDefault="002A5150" w:rsidP="002A5150">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2A5150" w:rsidRPr="004228CC" w:rsidRDefault="002A5150" w:rsidP="002A5150">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2A5150" w:rsidRDefault="002A5150" w:rsidP="002A5150">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2A5150" w:rsidRDefault="002A5150" w:rsidP="002A5150">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sidRPr="00E23A51">
        <w:rPr>
          <w:rFonts w:ascii="Times New (W1)" w:hAnsi="Times New (W1)"/>
          <w:noProof/>
        </w:rPr>
        <w:t>Carbon Credits (Carbon Farming Initiative—Facilities) Methodology Determination 2015 [F2015L01346]</w:t>
      </w:r>
      <w:r>
        <w:rPr>
          <w:noProof/>
        </w:rPr>
        <w:tab/>
        <w:t>1</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sidRPr="00E23A51">
        <w:rPr>
          <w:rFonts w:ascii="Times New (W1)" w:hAnsi="Times New (W1)"/>
          <w:noProof/>
        </w:rPr>
        <w:t>Health Insurance (Pharmacogenetic Testing – RAS (KRAS and NRAS)) Revocation Determination 2015 [F2015L01353]</w:t>
      </w:r>
      <w:r>
        <w:rPr>
          <w:noProof/>
        </w:rPr>
        <w:tab/>
        <w:t>2</w:t>
      </w:r>
    </w:p>
    <w:p w:rsidR="002A5150" w:rsidRDefault="002A5150" w:rsidP="002A5150">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Corporations Amendment (Financial Advice) Regulation 2015</w:t>
      </w:r>
      <w:r>
        <w:rPr>
          <w:noProof/>
        </w:rPr>
        <w:br/>
        <w:t>[F2015L00969]</w:t>
      </w:r>
      <w:r>
        <w:rPr>
          <w:noProof/>
        </w:rPr>
        <w:tab/>
        <w:t>3</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B4572">
        <w:rPr>
          <w:i/>
          <w:noProof/>
        </w:rPr>
        <w:t>Acts Interpretation Act 1901</w:t>
      </w:r>
      <w:r>
        <w:rPr>
          <w:noProof/>
        </w:rPr>
        <w:tab/>
        <w:t>7</w:t>
      </w:r>
    </w:p>
    <w:p w:rsidR="002A5150" w:rsidRDefault="002A5150" w:rsidP="002A5150">
      <w:pPr>
        <w:pStyle w:val="TOC1"/>
        <w:tabs>
          <w:tab w:val="right" w:leader="dot" w:pos="9016"/>
        </w:tabs>
        <w:rPr>
          <w:b w:val="0"/>
          <w:noProof/>
          <w:sz w:val="26"/>
          <w:szCs w:val="26"/>
        </w:rPr>
      </w:pPr>
      <w:r>
        <w:rPr>
          <w:noProof/>
        </w:rPr>
        <w:t>Chapter 2 – Concluded matters</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(Amendment) Instrument 2015/624 [F2015L01158]</w:t>
      </w:r>
      <w:r>
        <w:rPr>
          <w:noProof/>
        </w:rPr>
        <w:tab/>
        <w:t>9</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Passports (Application Fees) Determination 2015 [F2015L01222]  and the Foreign Passports (Law Enforcement and Security) Determination 2015 [F2015L01224]</w:t>
      </w:r>
      <w:r>
        <w:rPr>
          <w:noProof/>
        </w:rPr>
        <w:tab/>
        <w:t>11</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Amendment (Sanctioned Commercial</w:t>
      </w:r>
      <w:r>
        <w:rPr>
          <w:noProof/>
        </w:rPr>
        <w:br/>
        <w:t>Activity—Russia) Regulation 2015 [F2015L00946]</w:t>
      </w:r>
      <w:r>
        <w:rPr>
          <w:noProof/>
        </w:rPr>
        <w:tab/>
        <w:t>12</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(Places of Detention) Directions 2015 [F2015L00891]</w:t>
      </w:r>
      <w:r>
        <w:rPr>
          <w:noProof/>
        </w:rPr>
        <w:tab/>
        <w:t>13</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6) Regulation 2015 [F2015L00939]</w:t>
      </w:r>
      <w:r>
        <w:rPr>
          <w:noProof/>
        </w:rPr>
        <w:tab/>
        <w:t>15</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Legislation Amendment (2015 Measures No. 2) Regulation 2015 [F2015L00972]</w:t>
      </w:r>
      <w:r>
        <w:rPr>
          <w:noProof/>
        </w:rPr>
        <w:tab/>
        <w:t>18</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(Overseas Amateurs Visiting Australia) Class Licence 2015 [F2015L01114]</w:t>
      </w:r>
      <w:r>
        <w:rPr>
          <w:noProof/>
        </w:rPr>
        <w:tab/>
        <w:t>19</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(Administration) (Income Management – Crediting</w:t>
      </w:r>
      <w:r>
        <w:rPr>
          <w:noProof/>
        </w:rPr>
        <w:br/>
        <w:t>of Accounts) Rules 2015 [F2015L00781]</w:t>
      </w:r>
      <w:r>
        <w:rPr>
          <w:noProof/>
        </w:rPr>
        <w:tab/>
        <w:t>21</w:t>
      </w:r>
    </w:p>
    <w:p w:rsidR="002A5150" w:rsidRDefault="002A5150" w:rsidP="002A5150">
      <w:pPr>
        <w:pStyle w:val="TOC3"/>
        <w:tabs>
          <w:tab w:val="right" w:leader="dot" w:pos="9016"/>
        </w:tabs>
        <w:jc w:val="left"/>
        <w:rPr>
          <w:rFonts w:asciiTheme="minorHAnsi" w:eastAsiaTheme="minorEastAsia" w:hAnsiTheme="minorHAnsi" w:cstheme="minorBidi"/>
          <w:noProof/>
          <w:sz w:val="22"/>
          <w:szCs w:val="22"/>
          <w:lang w:eastAsia="en-AU"/>
        </w:rPr>
      </w:pPr>
      <w:r>
        <w:rPr>
          <w:noProof/>
        </w:rPr>
        <w:t>Work Health and Safety Amendment Regulation 2015 (No. 1)</w:t>
      </w:r>
      <w:r>
        <w:rPr>
          <w:noProof/>
        </w:rPr>
        <w:br/>
        <w:t>[F2015L00951]</w:t>
      </w:r>
      <w:r>
        <w:rPr>
          <w:noProof/>
        </w:rPr>
        <w:tab/>
        <w:t>22</w:t>
      </w:r>
    </w:p>
    <w:p w:rsidR="002A5150" w:rsidRDefault="002A5150" w:rsidP="002A5150">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25</w:t>
      </w:r>
    </w:p>
    <w:p w:rsidR="002A5150" w:rsidRDefault="002A5150" w:rsidP="002A5150">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51</w:t>
      </w:r>
    </w:p>
    <w:p w:rsidR="002A5150" w:rsidRDefault="002A5150" w:rsidP="002A5150">
      <w:pPr>
        <w:tabs>
          <w:tab w:val="left" w:pos="1170"/>
        </w:tabs>
        <w:jc w:val="left"/>
        <w:rPr>
          <w:sz w:val="16"/>
          <w:szCs w:val="16"/>
        </w:rPr>
      </w:pPr>
    </w:p>
    <w:p w:rsidR="002A5150" w:rsidRDefault="002A5150" w:rsidP="002A5150">
      <w:pPr>
        <w:tabs>
          <w:tab w:val="left" w:pos="1170"/>
        </w:tabs>
        <w:jc w:val="left"/>
        <w:rPr>
          <w:sz w:val="16"/>
          <w:szCs w:val="16"/>
        </w:rPr>
      </w:pPr>
    </w:p>
    <w:p w:rsidR="002A5150" w:rsidRDefault="002A5150" w:rsidP="002A5150">
      <w:pPr>
        <w:pStyle w:val="Heading1"/>
      </w:pPr>
    </w:p>
    <w:p w:rsidR="002A5150" w:rsidRDefault="002A5150" w:rsidP="002A5150">
      <w:pPr>
        <w:spacing w:after="0"/>
        <w:jc w:val="left"/>
        <w:sectPr w:rsidR="002A5150"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2A5150" w:rsidRPr="004B17F0" w:rsidRDefault="002A5150" w:rsidP="002A5150">
      <w:pPr>
        <w:pStyle w:val="Heading1"/>
      </w:pPr>
      <w:r>
        <w:lastRenderedPageBreak/>
        <w:t>Introduction</w:t>
      </w:r>
    </w:p>
    <w:p w:rsidR="002A5150" w:rsidRDefault="002A5150" w:rsidP="002A5150">
      <w:pPr>
        <w:pStyle w:val="Heading3"/>
        <w:spacing w:after="120"/>
      </w:pPr>
      <w:r>
        <w:t>Terms of reference</w:t>
      </w:r>
    </w:p>
    <w:p w:rsidR="002A5150" w:rsidRDefault="002A5150" w:rsidP="002A5150">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2A5150" w:rsidRDefault="002A5150" w:rsidP="002A5150">
      <w:pPr>
        <w:pStyle w:val="Level1"/>
        <w:numPr>
          <w:ilvl w:val="0"/>
          <w:numId w:val="0"/>
        </w:numPr>
      </w:pPr>
      <w:r>
        <w:t>Senate Standing Order 23(3) requires the committee to scrutinise each instrument referred to it to ensure:</w:t>
      </w:r>
    </w:p>
    <w:p w:rsidR="002A5150" w:rsidRPr="00BF47FD" w:rsidRDefault="002A5150" w:rsidP="002A5150">
      <w:pPr>
        <w:pStyle w:val="Quote"/>
        <w:tabs>
          <w:tab w:val="left" w:pos="1418"/>
        </w:tabs>
        <w:spacing w:after="120"/>
        <w:ind w:left="1418" w:hanging="709"/>
      </w:pPr>
      <w:r>
        <w:t>(a)</w:t>
      </w:r>
      <w:r>
        <w:tab/>
      </w:r>
      <w:r w:rsidRPr="00BF47FD">
        <w:t>that it is in accordance with the statute;</w:t>
      </w:r>
    </w:p>
    <w:p w:rsidR="002A5150" w:rsidRPr="00BF47FD" w:rsidRDefault="002A5150" w:rsidP="002A5150">
      <w:pPr>
        <w:pStyle w:val="Quote"/>
        <w:tabs>
          <w:tab w:val="left" w:pos="1418"/>
        </w:tabs>
        <w:spacing w:after="120"/>
        <w:ind w:left="1418" w:hanging="709"/>
      </w:pPr>
      <w:r>
        <w:t>(b)</w:t>
      </w:r>
      <w:r>
        <w:tab/>
      </w:r>
      <w:r w:rsidRPr="00BF47FD">
        <w:t>that it does not trespass unduly on personal rights and liberties;</w:t>
      </w:r>
    </w:p>
    <w:p w:rsidR="002A5150" w:rsidRPr="00BF47FD" w:rsidRDefault="002A5150" w:rsidP="002A5150">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2A5150" w:rsidRDefault="002A5150" w:rsidP="002A5150">
      <w:pPr>
        <w:pStyle w:val="Quote"/>
        <w:tabs>
          <w:tab w:val="left" w:pos="1418"/>
        </w:tabs>
        <w:spacing w:after="120"/>
        <w:ind w:left="1418" w:hanging="709"/>
      </w:pPr>
      <w:r>
        <w:t>(d)</w:t>
      </w:r>
      <w:r>
        <w:tab/>
      </w:r>
      <w:r w:rsidRPr="00BF47FD">
        <w:t>that it does not contain matter more appropriate for parliamentary enactment.</w:t>
      </w:r>
    </w:p>
    <w:p w:rsidR="002A5150" w:rsidRDefault="002A5150" w:rsidP="002A5150">
      <w:pPr>
        <w:pStyle w:val="Heading3"/>
        <w:spacing w:after="120"/>
      </w:pPr>
      <w:r>
        <w:t>Nature of the committee's scrutiny</w:t>
      </w:r>
    </w:p>
    <w:p w:rsidR="002A5150" w:rsidRDefault="002A5150" w:rsidP="002A5150">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2A5150" w:rsidRDefault="002A5150" w:rsidP="002A5150">
      <w:pPr>
        <w:pStyle w:val="Level1"/>
        <w:numPr>
          <w:ilvl w:val="0"/>
          <w:numId w:val="0"/>
        </w:numPr>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2A5150" w:rsidRDefault="002A5150" w:rsidP="002A5150">
      <w:pPr>
        <w:pStyle w:val="Heading3"/>
        <w:spacing w:after="120"/>
      </w:pPr>
      <w:r>
        <w:t>Publications</w:t>
      </w:r>
    </w:p>
    <w:p w:rsidR="002A5150" w:rsidRDefault="002A5150" w:rsidP="002A5150">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2A5150" w:rsidRPr="008B16ED" w:rsidRDefault="002A5150" w:rsidP="002A5150">
      <w:pPr>
        <w:pStyle w:val="Heading3"/>
        <w:spacing w:after="120"/>
      </w:pPr>
      <w:r>
        <w:lastRenderedPageBreak/>
        <w:t>Structure of the monitor</w:t>
      </w:r>
    </w:p>
    <w:p w:rsidR="002A5150" w:rsidRDefault="002A5150" w:rsidP="002A5150">
      <w:pPr>
        <w:pStyle w:val="Level1"/>
        <w:numPr>
          <w:ilvl w:val="0"/>
          <w:numId w:val="0"/>
        </w:numPr>
      </w:pPr>
      <w:r>
        <w:t>The monitor is comprised of the following parts:</w:t>
      </w:r>
    </w:p>
    <w:p w:rsidR="002A5150" w:rsidRDefault="002A5150" w:rsidP="002A5150">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2A5150" w:rsidRDefault="002A5150" w:rsidP="002A5150">
      <w:pPr>
        <w:pStyle w:val="Bullet1"/>
        <w:numPr>
          <w:ilvl w:val="0"/>
          <w:numId w:val="35"/>
        </w:numPr>
        <w:tabs>
          <w:tab w:val="clear" w:pos="851"/>
          <w:tab w:val="left" w:pos="567"/>
        </w:tabs>
        <w:spacing w:after="120"/>
        <w:ind w:left="1134" w:hanging="567"/>
      </w:pPr>
      <w:r>
        <w:t xml:space="preserve">seeking an explanation/information; or </w:t>
      </w:r>
    </w:p>
    <w:p w:rsidR="002A5150" w:rsidRDefault="002A5150" w:rsidP="002A5150">
      <w:pPr>
        <w:pStyle w:val="Bullet1"/>
        <w:numPr>
          <w:ilvl w:val="0"/>
          <w:numId w:val="35"/>
        </w:numPr>
        <w:tabs>
          <w:tab w:val="clear" w:pos="851"/>
          <w:tab w:val="left" w:pos="567"/>
        </w:tabs>
        <w:spacing w:after="120"/>
        <w:ind w:left="1134" w:hanging="567"/>
      </w:pPr>
      <w:r>
        <w:t>seeking further explanation/information subsequent to a response; or</w:t>
      </w:r>
    </w:p>
    <w:p w:rsidR="002A5150" w:rsidRDefault="002A5150" w:rsidP="002A5150">
      <w:pPr>
        <w:pStyle w:val="Bullet1"/>
        <w:numPr>
          <w:ilvl w:val="0"/>
          <w:numId w:val="35"/>
        </w:numPr>
        <w:tabs>
          <w:tab w:val="clear" w:pos="851"/>
          <w:tab w:val="left" w:pos="567"/>
        </w:tabs>
        <w:spacing w:after="120"/>
        <w:ind w:left="1134" w:hanging="567"/>
      </w:pPr>
      <w:r>
        <w:t>on an advice only basis.</w:t>
      </w:r>
    </w:p>
    <w:p w:rsidR="002A5150" w:rsidRDefault="002A5150" w:rsidP="002A5150">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2A5150" w:rsidRDefault="002A5150" w:rsidP="002A5150">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2A5150" w:rsidRDefault="002A5150" w:rsidP="002A5150">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2A5150" w:rsidRDefault="002A5150" w:rsidP="002A5150">
      <w:pPr>
        <w:pStyle w:val="Heading3"/>
      </w:pPr>
      <w:r>
        <w:t>Acknowledgement</w:t>
      </w:r>
    </w:p>
    <w:p w:rsidR="002A5150" w:rsidRDefault="002A5150" w:rsidP="002A5150">
      <w:pPr>
        <w:pStyle w:val="Level1"/>
        <w:numPr>
          <w:ilvl w:val="0"/>
          <w:numId w:val="0"/>
        </w:numPr>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2A5150" w:rsidRDefault="002A5150" w:rsidP="002A5150">
      <w:pPr>
        <w:pStyle w:val="Heading3"/>
      </w:pPr>
      <w:r>
        <w:t>General information</w:t>
      </w:r>
    </w:p>
    <w:p w:rsidR="002A5150" w:rsidRDefault="002A5150" w:rsidP="002A5150">
      <w:pPr>
        <w:pStyle w:val="Level1"/>
        <w:numPr>
          <w:ilvl w:val="0"/>
          <w:numId w:val="0"/>
        </w:numPr>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2A5150" w:rsidRDefault="002A5150" w:rsidP="002A5150">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4"/>
      </w:r>
      <w:r>
        <w:t xml:space="preserve"> </w:t>
      </w:r>
    </w:p>
    <w:p w:rsidR="002A5150" w:rsidRDefault="002A5150" w:rsidP="002A5150">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2A5150" w:rsidRDefault="002A5150" w:rsidP="002A5150">
      <w:pPr>
        <w:pStyle w:val="Bullet1"/>
        <w:numPr>
          <w:ilvl w:val="0"/>
          <w:numId w:val="0"/>
        </w:numPr>
        <w:spacing w:after="0"/>
        <w:ind w:left="851" w:hanging="851"/>
        <w:rPr>
          <w:b/>
          <w:sz w:val="24"/>
          <w:szCs w:val="24"/>
        </w:rPr>
      </w:pPr>
    </w:p>
    <w:p w:rsidR="002A5150" w:rsidRPr="00364316" w:rsidRDefault="002A5150" w:rsidP="002A5150">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2A5150" w:rsidRDefault="002A5150" w:rsidP="00325264">
      <w:pPr>
        <w:sectPr w:rsidR="002A5150" w:rsidSect="0059467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2A5150" w:rsidRPr="001F4E38" w:rsidRDefault="002A5150" w:rsidP="002A5150">
      <w:pPr>
        <w:pStyle w:val="Heading1"/>
      </w:pPr>
      <w:r w:rsidRPr="001F4E38">
        <w:lastRenderedPageBreak/>
        <w:t>Chapter 1</w:t>
      </w:r>
    </w:p>
    <w:p w:rsidR="002A5150" w:rsidRPr="001F4E38" w:rsidRDefault="002A5150" w:rsidP="002A5150">
      <w:pPr>
        <w:pStyle w:val="Heading2"/>
      </w:pPr>
      <w:r w:rsidRPr="001F4E38">
        <w:t xml:space="preserve">New </w:t>
      </w:r>
      <w:r>
        <w:t xml:space="preserve">and continuing </w:t>
      </w:r>
      <w:r w:rsidRPr="001F4E38">
        <w:t>matters</w:t>
      </w:r>
    </w:p>
    <w:p w:rsidR="002A5150" w:rsidRDefault="002A5150" w:rsidP="002A5150">
      <w:pPr>
        <w:pStyle w:val="Level1"/>
        <w:numPr>
          <w:ilvl w:val="0"/>
          <w:numId w:val="0"/>
        </w:numPr>
      </w:pPr>
      <w:r>
        <w:t>This chapter details concerns in relation to disallowable instruments of delegated legislation received by the Senate Standing Committee on Regulations and Ordinances (the committee) between 28 August 2015 and 3 September 2015 (new matters); and matters previously raised in relation to which the committee seeks further information (continuing matters).</w:t>
      </w:r>
    </w:p>
    <w:p w:rsidR="002A5150" w:rsidRPr="00E8612C" w:rsidRDefault="002A5150" w:rsidP="002A5150">
      <w:pPr>
        <w:pStyle w:val="Heading2"/>
        <w:spacing w:before="240"/>
        <w:rPr>
          <w:sz w:val="32"/>
          <w:szCs w:val="32"/>
        </w:rPr>
      </w:pPr>
      <w:r w:rsidRPr="00E8612C">
        <w:rPr>
          <w:sz w:val="32"/>
          <w:szCs w:val="32"/>
        </w:rPr>
        <w:t>Response required</w:t>
      </w:r>
    </w:p>
    <w:p w:rsidR="002A5150" w:rsidRDefault="002A5150" w:rsidP="002A5150">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2A5150" w:rsidRPr="00164622" w:rsidRDefault="002A5150" w:rsidP="002A5150">
      <w:pPr>
        <w:spacing w:after="0"/>
        <w:rPr>
          <w:szCs w:val="26"/>
        </w:rPr>
      </w:pP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A5150" w:rsidRPr="007E4267" w:rsidRDefault="002A5150" w:rsidP="004923B3">
            <w:pPr>
              <w:pStyle w:val="Heading3"/>
              <w:spacing w:before="120" w:after="120"/>
              <w:rPr>
                <w:rFonts w:ascii="Times New (W1)" w:hAnsi="Times New (W1)"/>
                <w:noProof/>
                <w:sz w:val="24"/>
                <w:szCs w:val="24"/>
              </w:rPr>
            </w:pPr>
            <w:r w:rsidRPr="00066D26">
              <w:rPr>
                <w:rFonts w:ascii="Times New (W1)" w:hAnsi="Times New (W1)"/>
                <w:noProof/>
                <w:sz w:val="24"/>
                <w:szCs w:val="24"/>
              </w:rPr>
              <w:t>Carbon Credits (Carbon Farming Initiative—Facilities) Methodology Determination 2015 [F2015L01346]</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spacing w:before="120" w:after="120"/>
              <w:rPr>
                <w:sz w:val="24"/>
                <w:szCs w:val="24"/>
              </w:rPr>
            </w:pPr>
            <w:r>
              <w:rPr>
                <w:noProof/>
                <w:sz w:val="24"/>
                <w:szCs w:val="24"/>
              </w:rPr>
              <w:t>S</w:t>
            </w:r>
            <w:r w:rsidRPr="00066D26">
              <w:rPr>
                <w:noProof/>
                <w:sz w:val="24"/>
                <w:szCs w:val="24"/>
              </w:rPr>
              <w:t>upport</w:t>
            </w:r>
            <w:r>
              <w:rPr>
                <w:noProof/>
                <w:sz w:val="24"/>
                <w:szCs w:val="24"/>
              </w:rPr>
              <w:t>s</w:t>
            </w:r>
            <w:r w:rsidRPr="00066D26">
              <w:rPr>
                <w:noProof/>
                <w:sz w:val="24"/>
                <w:szCs w:val="24"/>
              </w:rPr>
              <w:t xml:space="preserve"> E</w:t>
            </w:r>
            <w:r>
              <w:rPr>
                <w:noProof/>
                <w:sz w:val="24"/>
                <w:szCs w:val="24"/>
              </w:rPr>
              <w:t xml:space="preserve">mmissions </w:t>
            </w:r>
            <w:r w:rsidRPr="00066D26">
              <w:rPr>
                <w:noProof/>
                <w:sz w:val="24"/>
                <w:szCs w:val="24"/>
              </w:rPr>
              <w:t>R</w:t>
            </w:r>
            <w:r>
              <w:rPr>
                <w:noProof/>
                <w:sz w:val="24"/>
                <w:szCs w:val="24"/>
              </w:rPr>
              <w:t xml:space="preserve">eduction </w:t>
            </w:r>
            <w:r w:rsidRPr="00066D26">
              <w:rPr>
                <w:noProof/>
                <w:sz w:val="24"/>
                <w:szCs w:val="24"/>
              </w:rPr>
              <w:t>F</w:t>
            </w:r>
            <w:r>
              <w:rPr>
                <w:noProof/>
                <w:sz w:val="24"/>
                <w:szCs w:val="24"/>
              </w:rPr>
              <w:t>und (ERF)</w:t>
            </w:r>
            <w:r w:rsidRPr="00066D26">
              <w:rPr>
                <w:noProof/>
                <w:sz w:val="24"/>
                <w:szCs w:val="24"/>
              </w:rPr>
              <w:t xml:space="preserve"> projects through crediting verified emissions reductions achieved through a reduction in emissions per unit of output at facilities that report emissions under the National Greenhouse and Energy Reporting Scheme and produce a saleable product</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spacing w:before="120" w:after="120"/>
              <w:rPr>
                <w:sz w:val="24"/>
                <w:szCs w:val="24"/>
              </w:rPr>
            </w:pPr>
            <w:r w:rsidRPr="00066D26">
              <w:rPr>
                <w:noProof/>
                <w:sz w:val="24"/>
                <w:szCs w:val="24"/>
              </w:rPr>
              <w:t>12 November 2015</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spacing w:before="120" w:after="120"/>
              <w:rPr>
                <w:i/>
                <w:sz w:val="24"/>
                <w:szCs w:val="24"/>
              </w:rPr>
            </w:pPr>
            <w:r w:rsidRPr="00066D26">
              <w:rPr>
                <w:i/>
                <w:noProof/>
                <w:sz w:val="24"/>
                <w:szCs w:val="24"/>
              </w:rPr>
              <w:t>Carbon Credits (Carbon Farming Initiative) Act 2011</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spacing w:before="120" w:after="120"/>
              <w:rPr>
                <w:sz w:val="24"/>
                <w:szCs w:val="24"/>
              </w:rPr>
            </w:pPr>
            <w:r w:rsidRPr="00066D26">
              <w:rPr>
                <w:noProof/>
                <w:sz w:val="24"/>
                <w:szCs w:val="24"/>
              </w:rPr>
              <w:t>Environment</w:t>
            </w:r>
          </w:p>
        </w:tc>
      </w:tr>
      <w:tr w:rsidR="002A5150" w:rsidRPr="00164622" w:rsidTr="004923B3">
        <w:tc>
          <w:tcPr>
            <w:tcW w:w="2694" w:type="dxa"/>
            <w:tcBorders>
              <w:bottom w:val="single" w:sz="12" w:space="0" w:color="auto"/>
              <w:right w:val="single" w:sz="12" w:space="0" w:color="auto"/>
            </w:tcBorders>
          </w:tcPr>
          <w:p w:rsidR="002A5150" w:rsidRPr="00A77228" w:rsidRDefault="002A5150" w:rsidP="004923B3">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A5150" w:rsidRPr="00A77228" w:rsidRDefault="002A5150" w:rsidP="004923B3">
            <w:pPr>
              <w:spacing w:before="120" w:after="120"/>
              <w:rPr>
                <w:sz w:val="24"/>
                <w:szCs w:val="24"/>
              </w:rPr>
            </w:pPr>
            <w:r w:rsidRPr="004D68E4">
              <w:rPr>
                <w:sz w:val="24"/>
                <w:szCs w:val="24"/>
              </w:rPr>
              <w:t>Standing Order 23(</w:t>
            </w:r>
            <w:r>
              <w:rPr>
                <w:sz w:val="24"/>
                <w:szCs w:val="24"/>
              </w:rPr>
              <w:t>3</w:t>
            </w:r>
            <w:r w:rsidRPr="004D68E4">
              <w:rPr>
                <w:sz w:val="24"/>
                <w:szCs w:val="24"/>
              </w:rPr>
              <w:t>)</w:t>
            </w:r>
            <w:r>
              <w:rPr>
                <w:sz w:val="24"/>
                <w:szCs w:val="24"/>
              </w:rPr>
              <w:t>(a)</w:t>
            </w:r>
          </w:p>
        </w:tc>
      </w:tr>
    </w:tbl>
    <w:p w:rsidR="002A5150" w:rsidRDefault="002A5150" w:rsidP="002A5150">
      <w:pPr>
        <w:spacing w:after="120"/>
      </w:pPr>
    </w:p>
    <w:p w:rsidR="002A5150" w:rsidRPr="00DE1290" w:rsidRDefault="002A5150" w:rsidP="002A5150">
      <w:pPr>
        <w:spacing w:after="120"/>
        <w:rPr>
          <w:b/>
        </w:rPr>
      </w:pPr>
      <w:r w:rsidRPr="00DE1290">
        <w:rPr>
          <w:b/>
        </w:rPr>
        <w:t>Incorporation of extrinsic material</w:t>
      </w:r>
    </w:p>
    <w:p w:rsidR="002A5150" w:rsidRDefault="002A5150" w:rsidP="002A5150">
      <w:r>
        <w:t>This instrument p</w:t>
      </w:r>
      <w:r w:rsidRPr="00564FD8">
        <w:t xml:space="preserve">rovides for </w:t>
      </w:r>
      <w:r>
        <w:t xml:space="preserve">procedures for estimating greenhouse gas abatement for offsets projects under the </w:t>
      </w:r>
      <w:r w:rsidRPr="008D0C55">
        <w:rPr>
          <w:i/>
        </w:rPr>
        <w:t xml:space="preserve">Carbon Credits (Carbon Farming Initiative) Act </w:t>
      </w:r>
      <w:r w:rsidRPr="007F289A">
        <w:t>2</w:t>
      </w:r>
      <w:r w:rsidRPr="007F289A">
        <w:rPr>
          <w:i/>
        </w:rPr>
        <w:t>011</w:t>
      </w:r>
      <w:r w:rsidRPr="004D68E4">
        <w:t>.</w:t>
      </w:r>
    </w:p>
    <w:p w:rsidR="002A5150" w:rsidRDefault="002A5150" w:rsidP="002A5150">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2A5150" w:rsidRPr="00564FD8" w:rsidRDefault="002A5150" w:rsidP="002A5150">
      <w:r>
        <w:t xml:space="preserve">Subsection 106(8) of the authorising legislation for the instrument (the </w:t>
      </w:r>
      <w:r w:rsidRPr="008D0C55">
        <w:rPr>
          <w:i/>
        </w:rPr>
        <w:t>Carbon Credits (Carbon Farming Initiative) Act 2011</w:t>
      </w:r>
      <w:r>
        <w:t xml:space="preserve">) provides that instruments may apply, adopt or incorporate (with or without modifications) matter contained in any other instrument or writing 'as in force or existing at a particular time' or 'as in force or </w:t>
      </w:r>
      <w:r>
        <w:lastRenderedPageBreak/>
        <w:t xml:space="preserve">existing from time to time' (thereby altering the effect of section 14 of the </w:t>
      </w:r>
      <w:r w:rsidRPr="008D0C55">
        <w:rPr>
          <w:i/>
        </w:rPr>
        <w:t>Legislative Instruments Act 2003</w:t>
      </w:r>
      <w:r>
        <w:t>).</w:t>
      </w:r>
    </w:p>
    <w:p w:rsidR="002A5150" w:rsidRDefault="002A5150" w:rsidP="002A5150">
      <w:r>
        <w:t>With reference to the above, the committee notes that various provisions of the instrument refer to the ‘</w:t>
      </w:r>
      <w:r w:rsidRPr="007F289A">
        <w:t>NGER (Measurement) Determination</w:t>
      </w:r>
      <w:r>
        <w:t>’</w:t>
      </w:r>
      <w:r w:rsidRPr="007F289A">
        <w:t xml:space="preserve"> which is </w:t>
      </w:r>
      <w:r>
        <w:t xml:space="preserve">defined in section 5 of the instrument as </w:t>
      </w:r>
      <w:r w:rsidRPr="007F289A">
        <w:t xml:space="preserve">the National Greenhouse and Energy Reporting (Measurement) Determination 2008. </w:t>
      </w:r>
      <w:r>
        <w:t>However, neither the instrument nor the explanatory statement (ES) expressly states the manner in which the determination in question is incorporated.</w:t>
      </w:r>
    </w:p>
    <w:p w:rsidR="002A5150" w:rsidRDefault="002A5150" w:rsidP="002A5150">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2A5150" w:rsidRDefault="002A5150" w:rsidP="002A5150">
      <w:pPr>
        <w:spacing w:after="120"/>
      </w:pPr>
      <w:r w:rsidRPr="00636938">
        <w:rPr>
          <w:b/>
        </w:rPr>
        <w:t xml:space="preserve">The committee requests </w:t>
      </w:r>
      <w:r>
        <w:rPr>
          <w:b/>
        </w:rPr>
        <w:t>the advice of the minister in relation to</w:t>
      </w:r>
      <w:r w:rsidRPr="00636938">
        <w:rPr>
          <w:b/>
        </w:rPr>
        <w:t xml:space="preserve"> this matter</w:t>
      </w:r>
      <w:r>
        <w:t>.</w:t>
      </w:r>
    </w:p>
    <w:p w:rsidR="002A5150" w:rsidRDefault="002A5150" w:rsidP="002A5150">
      <w:pPr>
        <w:spacing w:after="120"/>
      </w:pP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spacing w:before="120" w:after="120"/>
              <w:rPr>
                <w:sz w:val="24"/>
                <w:szCs w:val="24"/>
              </w:rPr>
            </w:pPr>
            <w:r w:rsidRPr="00066D26">
              <w:rPr>
                <w:rFonts w:ascii="Times New (W1)" w:hAnsi="Times New (W1)"/>
                <w:noProof/>
                <w:sz w:val="24"/>
                <w:szCs w:val="24"/>
              </w:rPr>
              <w:t xml:space="preserve">Health Insurance (Pharmacogenetic Testing – RAS (KRAS and NRAS)) Revocation Determination 2015 </w:t>
            </w:r>
            <w:r>
              <w:rPr>
                <w:rFonts w:ascii="Times New (W1)" w:hAnsi="Times New (W1)"/>
                <w:noProof/>
                <w:sz w:val="24"/>
                <w:szCs w:val="24"/>
              </w:rPr>
              <w:t>[</w:t>
            </w:r>
            <w:r w:rsidRPr="00066D26">
              <w:rPr>
                <w:rFonts w:ascii="Times New (W1)" w:hAnsi="Times New (W1)"/>
                <w:noProof/>
                <w:sz w:val="24"/>
                <w:szCs w:val="24"/>
              </w:rPr>
              <w:t>F2015L01353</w:t>
            </w:r>
            <w:r>
              <w:rPr>
                <w:rFonts w:ascii="Times New (W1)" w:hAnsi="Times New (W1)"/>
                <w:noProof/>
                <w:sz w:val="24"/>
                <w:szCs w:val="24"/>
              </w:rPr>
              <w:t>]</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spacing w:before="120" w:after="120"/>
              <w:rPr>
                <w:sz w:val="24"/>
                <w:szCs w:val="24"/>
              </w:rPr>
            </w:pPr>
            <w:r>
              <w:rPr>
                <w:noProof/>
                <w:sz w:val="24"/>
                <w:szCs w:val="24"/>
              </w:rPr>
              <w:t>R</w:t>
            </w:r>
            <w:r w:rsidRPr="00066D26">
              <w:rPr>
                <w:noProof/>
                <w:sz w:val="24"/>
                <w:szCs w:val="24"/>
              </w:rPr>
              <w:t>evokes the Health Insurance (Pharmacogenetic Testing - RAS (KRAS and NRAS)) Determination 2014</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spacing w:before="120" w:after="120"/>
              <w:rPr>
                <w:sz w:val="24"/>
                <w:szCs w:val="24"/>
              </w:rPr>
            </w:pPr>
            <w:r w:rsidRPr="00066D26">
              <w:rPr>
                <w:noProof/>
                <w:sz w:val="24"/>
                <w:szCs w:val="24"/>
              </w:rPr>
              <w:t>12 November 2015</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spacing w:before="120" w:after="120"/>
              <w:rPr>
                <w:i/>
                <w:sz w:val="24"/>
                <w:szCs w:val="24"/>
              </w:rPr>
            </w:pPr>
            <w:r w:rsidRPr="00066D26">
              <w:rPr>
                <w:i/>
                <w:noProof/>
                <w:sz w:val="24"/>
                <w:szCs w:val="24"/>
              </w:rPr>
              <w:t>Health Insurance Act 1973</w:t>
            </w:r>
          </w:p>
        </w:tc>
      </w:tr>
      <w:tr w:rsidR="002A5150" w:rsidRPr="00164622" w:rsidTr="004923B3">
        <w:tc>
          <w:tcPr>
            <w:tcW w:w="2694" w:type="dxa"/>
            <w:tcBorders>
              <w:right w:val="single" w:sz="12" w:space="0" w:color="auto"/>
            </w:tcBorders>
          </w:tcPr>
          <w:p w:rsidR="002A5150" w:rsidRPr="00A77228" w:rsidRDefault="002A5150" w:rsidP="004923B3">
            <w:pPr>
              <w:spacing w:before="120" w:after="120"/>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spacing w:before="120" w:after="120"/>
              <w:rPr>
                <w:sz w:val="24"/>
                <w:szCs w:val="24"/>
              </w:rPr>
            </w:pPr>
            <w:r w:rsidRPr="00066D26">
              <w:rPr>
                <w:noProof/>
                <w:sz w:val="24"/>
                <w:szCs w:val="24"/>
              </w:rPr>
              <w:t>Health</w:t>
            </w:r>
          </w:p>
        </w:tc>
      </w:tr>
      <w:tr w:rsidR="002A5150" w:rsidRPr="00164622" w:rsidTr="004923B3">
        <w:tc>
          <w:tcPr>
            <w:tcW w:w="2694" w:type="dxa"/>
            <w:tcBorders>
              <w:bottom w:val="single" w:sz="12" w:space="0" w:color="auto"/>
              <w:right w:val="single" w:sz="12" w:space="0" w:color="auto"/>
            </w:tcBorders>
          </w:tcPr>
          <w:p w:rsidR="002A5150" w:rsidRPr="00A77228" w:rsidRDefault="002A5150" w:rsidP="004923B3">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2A5150" w:rsidRPr="00A77228" w:rsidRDefault="002A5150" w:rsidP="004923B3">
            <w:pPr>
              <w:spacing w:before="120" w:after="120"/>
              <w:rPr>
                <w:sz w:val="24"/>
                <w:szCs w:val="24"/>
              </w:rPr>
            </w:pPr>
            <w:r w:rsidRPr="004D68E4">
              <w:rPr>
                <w:sz w:val="24"/>
                <w:szCs w:val="24"/>
              </w:rPr>
              <w:t>Standing Order 23(3)</w:t>
            </w:r>
            <w:r>
              <w:rPr>
                <w:sz w:val="24"/>
                <w:szCs w:val="24"/>
              </w:rPr>
              <w:t>(a)</w:t>
            </w:r>
          </w:p>
        </w:tc>
      </w:tr>
    </w:tbl>
    <w:p w:rsidR="002A5150" w:rsidRDefault="002A5150" w:rsidP="002A5150">
      <w:pPr>
        <w:spacing w:after="120"/>
      </w:pPr>
    </w:p>
    <w:p w:rsidR="002A5150" w:rsidRPr="00DE1290" w:rsidRDefault="002A5150" w:rsidP="002A5150">
      <w:pPr>
        <w:spacing w:after="120"/>
        <w:rPr>
          <w:b/>
        </w:rPr>
      </w:pPr>
      <w:r w:rsidRPr="00DE1290">
        <w:rPr>
          <w:b/>
        </w:rPr>
        <w:t>No description of consultation</w:t>
      </w:r>
    </w:p>
    <w:p w:rsidR="002A5150" w:rsidRDefault="002A5150" w:rsidP="002A5150">
      <w:r>
        <w:t xml:space="preserve">Section 17 of the </w:t>
      </w:r>
      <w:r w:rsidRPr="00636938">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2A5150" w:rsidRDefault="002A5150" w:rsidP="002A5150">
      <w:r>
        <w:lastRenderedPageBreak/>
        <w:t>The committee's expectations in this regard are set out in the guideline on consultation contained in Appendix 2.</w:t>
      </w:r>
    </w:p>
    <w:p w:rsidR="002A5150" w:rsidRDefault="002A5150" w:rsidP="002A5150">
      <w:pPr>
        <w:rPr>
          <w:b/>
        </w:rPr>
      </w:pPr>
      <w:r w:rsidRPr="00636938">
        <w:rPr>
          <w:b/>
        </w:rPr>
        <w:t xml:space="preserve">The committee requests </w:t>
      </w:r>
      <w:r>
        <w:rPr>
          <w:b/>
        </w:rPr>
        <w:t xml:space="preserve">the advice of </w:t>
      </w:r>
      <w:r w:rsidRPr="00636938">
        <w:rPr>
          <w:b/>
        </w:rPr>
        <w:t>the minister</w:t>
      </w:r>
      <w:r>
        <w:rPr>
          <w:b/>
        </w:rPr>
        <w:t xml:space="preserve"> in relation to</w:t>
      </w:r>
      <w:r w:rsidRPr="00636938">
        <w:rPr>
          <w:b/>
        </w:rPr>
        <w:t xml:space="preserve"> this matter; and requests that the ES be updated in accordance with the requirements of the </w:t>
      </w:r>
      <w:r w:rsidRPr="00636938">
        <w:rPr>
          <w:b/>
          <w:i/>
        </w:rPr>
        <w:t>Legislative Instruments Act 2003</w:t>
      </w:r>
      <w:r w:rsidRPr="00636938">
        <w:rPr>
          <w:b/>
        </w:rPr>
        <w:t>.</w:t>
      </w:r>
    </w:p>
    <w:p w:rsidR="002A5150" w:rsidRDefault="002A5150" w:rsidP="002A5150">
      <w:pPr>
        <w:spacing w:after="0"/>
        <w:jc w:val="left"/>
        <w:rPr>
          <w:b/>
          <w:sz w:val="32"/>
          <w:szCs w:val="32"/>
        </w:rPr>
      </w:pPr>
    </w:p>
    <w:p w:rsidR="002A5150" w:rsidRPr="00647493" w:rsidRDefault="002A5150" w:rsidP="002A5150">
      <w:pPr>
        <w:pStyle w:val="Heading2"/>
        <w:spacing w:before="240"/>
        <w:rPr>
          <w:sz w:val="32"/>
          <w:szCs w:val="32"/>
        </w:rPr>
      </w:pPr>
      <w:r>
        <w:rPr>
          <w:sz w:val="32"/>
          <w:szCs w:val="32"/>
        </w:rPr>
        <w:t xml:space="preserve">Advice </w:t>
      </w:r>
      <w:r w:rsidRPr="00647493">
        <w:rPr>
          <w:sz w:val="32"/>
          <w:szCs w:val="32"/>
        </w:rPr>
        <w:t>only</w:t>
      </w:r>
    </w:p>
    <w:p w:rsidR="002A5150" w:rsidRDefault="002A5150" w:rsidP="002A5150">
      <w:pPr>
        <w:pStyle w:val="Level1"/>
        <w:numPr>
          <w:ilvl w:val="0"/>
          <w:numId w:val="0"/>
        </w:numPr>
        <w:spacing w:after="360"/>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rPr>
                <w:sz w:val="24"/>
                <w:szCs w:val="24"/>
              </w:rPr>
            </w:pPr>
            <w:r w:rsidRPr="00B77A45">
              <w:rPr>
                <w:noProof/>
                <w:sz w:val="24"/>
                <w:szCs w:val="24"/>
              </w:rPr>
              <w:t>Corporations Amendment (Financial Advice) Regulation 2015 [F2015L00969]</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sidRPr="00B77A45">
              <w:rPr>
                <w:noProof/>
                <w:sz w:val="24"/>
                <w:szCs w:val="24"/>
              </w:rPr>
              <w:t>Amends the Corporations Regulations 2001 in relation to the Future of Financial Advice</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sidRPr="00B77A45">
              <w:rPr>
                <w:noProof/>
                <w:sz w:val="24"/>
                <w:szCs w:val="24"/>
              </w:rPr>
              <w:t>17 September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rPr>
                <w:i/>
                <w:sz w:val="24"/>
                <w:szCs w:val="24"/>
              </w:rPr>
            </w:pPr>
            <w:r w:rsidRPr="00B77A45">
              <w:rPr>
                <w:i/>
                <w:noProof/>
                <w:sz w:val="24"/>
                <w:szCs w:val="24"/>
              </w:rPr>
              <w:t>Corporations Act 2001</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B77A45">
              <w:rPr>
                <w:noProof/>
                <w:sz w:val="24"/>
                <w:szCs w:val="24"/>
              </w:rPr>
              <w:t>Treasury</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sz w:val="24"/>
                <w:szCs w:val="24"/>
              </w:rPr>
              <w:t>Standing Order 23(3)</w:t>
            </w:r>
            <w:r w:rsidRPr="00B77A45">
              <w:rPr>
                <w:noProof/>
                <w:sz w:val="24"/>
                <w:szCs w:val="24"/>
              </w:rPr>
              <w:t>(d)</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sidRPr="003C6D44">
              <w:rPr>
                <w:noProof/>
                <w:sz w:val="24"/>
                <w:szCs w:val="24"/>
              </w:rPr>
              <w:t>No. 8 of 2015</w:t>
            </w:r>
          </w:p>
        </w:tc>
      </w:tr>
    </w:tbl>
    <w:p w:rsidR="002A5150" w:rsidRDefault="002A5150" w:rsidP="002A5150">
      <w:pPr>
        <w:spacing w:after="0"/>
      </w:pPr>
    </w:p>
    <w:p w:rsidR="002A5150" w:rsidRDefault="002A5150" w:rsidP="002A5150">
      <w:pPr>
        <w:rPr>
          <w:b/>
          <w:noProof/>
        </w:rPr>
      </w:pPr>
      <w:r w:rsidRPr="00B77A45">
        <w:rPr>
          <w:b/>
          <w:noProof/>
        </w:rPr>
        <w:t>Matters more appropriate parliamentary enactment</w:t>
      </w:r>
    </w:p>
    <w:p w:rsidR="002A5150" w:rsidRDefault="002A5150" w:rsidP="002A5150">
      <w:r>
        <w:rPr>
          <w:noProof/>
        </w:rPr>
        <w:t xml:space="preserve">The committee commented as follows: </w:t>
      </w:r>
      <w:r>
        <w:t xml:space="preserve">This instrument amends the Corporations Regulations 2000 in relation to the Future of Financial Advice (FOFA) provisions of the </w:t>
      </w:r>
      <w:r>
        <w:rPr>
          <w:i/>
        </w:rPr>
        <w:t>Corporations Act 2001</w:t>
      </w:r>
      <w:r>
        <w:t>. The ES for the instrument states that the purpose of the instrument is to:</w:t>
      </w:r>
    </w:p>
    <w:p w:rsidR="002A5150" w:rsidRDefault="002A5150" w:rsidP="002A5150">
      <w:pPr>
        <w:pStyle w:val="Quote"/>
      </w:pPr>
      <w:r>
        <w:t>…reduce compliance costs for small business, financial advisers, and the broader financial services industry, whilst maintaining the quality of advice for consumers who access financial advice.</w:t>
      </w:r>
    </w:p>
    <w:p w:rsidR="002A5150" w:rsidRDefault="002A5150" w:rsidP="002A5150">
      <w:pPr>
        <w:jc w:val="left"/>
      </w:pPr>
      <w:r>
        <w:t xml:space="preserve">The regulation makes amendments to: </w:t>
      </w:r>
    </w:p>
    <w:p w:rsidR="002A5150" w:rsidRDefault="002A5150" w:rsidP="002A5150">
      <w:pPr>
        <w:pStyle w:val="Bullet1"/>
        <w:spacing w:after="120"/>
      </w:pPr>
      <w:r>
        <w:t>clarify that a provider who provides advice to an employer about default funds is providing a financial service to a retail client;</w:t>
      </w:r>
    </w:p>
    <w:p w:rsidR="002A5150" w:rsidRDefault="002A5150" w:rsidP="002A5150">
      <w:pPr>
        <w:pStyle w:val="Bullet1"/>
        <w:spacing w:after="120"/>
      </w:pPr>
      <w:r>
        <w:t xml:space="preserve">provide that the wholesale and retail client distinction that currently applies in other Parts of the </w:t>
      </w:r>
      <w:r w:rsidRPr="00066CBF">
        <w:rPr>
          <w:i/>
        </w:rPr>
        <w:t>Corporations Act 2001</w:t>
      </w:r>
      <w:r>
        <w:t xml:space="preserve"> also applies to the FOFA provisions;</w:t>
      </w:r>
    </w:p>
    <w:p w:rsidR="002A5150" w:rsidRDefault="002A5150" w:rsidP="002A5150">
      <w:pPr>
        <w:pStyle w:val="Bullet1"/>
        <w:spacing w:after="120"/>
      </w:pPr>
      <w:r>
        <w:lastRenderedPageBreak/>
        <w:t>modify best interests duty to giving advice on a basic banking product and/or a general insurance product where the subject matter of the advice being sought also relates to consumer credit insurance;</w:t>
      </w:r>
    </w:p>
    <w:p w:rsidR="002A5150" w:rsidRDefault="002A5150" w:rsidP="002A5150">
      <w:pPr>
        <w:pStyle w:val="Bullet1"/>
        <w:spacing w:after="120"/>
      </w:pPr>
      <w:r>
        <w:t>provide a facility for making non-cash payments that is not related to a basic deposit product is a basic deposit product for the purposes of the FOFA provisions;</w:t>
      </w:r>
    </w:p>
    <w:p w:rsidR="002A5150" w:rsidRDefault="002A5150" w:rsidP="002A5150">
      <w:pPr>
        <w:pStyle w:val="Bullet1"/>
        <w:spacing w:after="120"/>
      </w:pPr>
      <w:r>
        <w:t>clarify the application of the existing client-pays provision; and</w:t>
      </w:r>
    </w:p>
    <w:p w:rsidR="002A5150" w:rsidRDefault="002A5150" w:rsidP="002A5150">
      <w:pPr>
        <w:pStyle w:val="Bullet1"/>
        <w:spacing w:after="120"/>
      </w:pPr>
      <w:r>
        <w:t>broaden the basic banking exemption from the ban on conflicted remuneration to include benefits relating to consumer credit insurance products.</w:t>
      </w:r>
    </w:p>
    <w:p w:rsidR="002A5150" w:rsidRDefault="002A5150" w:rsidP="002A5150">
      <w:pPr>
        <w:pStyle w:val="Bullet1"/>
        <w:numPr>
          <w:ilvl w:val="0"/>
          <w:numId w:val="0"/>
        </w:numPr>
      </w:pPr>
      <w:r w:rsidRPr="00066CBF">
        <w:t xml:space="preserve">Scrutiny principle </w:t>
      </w:r>
      <w:r>
        <w:t>23(3)</w:t>
      </w:r>
      <w:r w:rsidRPr="00066CBF">
        <w:t>(d) of the committee's terms of reference require</w:t>
      </w:r>
      <w:r>
        <w:t>s</w:t>
      </w:r>
      <w:r w:rsidRPr="00066CBF">
        <w:t xml:space="preserve"> the committee to consider whether an instrument contains matters more appropriate for parliamentary enactment (that is, matters that should be enacted via primary rather than delegated legislation). This includes legislation which fundamentally changes the law.</w:t>
      </w:r>
    </w:p>
    <w:p w:rsidR="002A5150" w:rsidRDefault="002A5150" w:rsidP="002A5150">
      <w:pPr>
        <w:pStyle w:val="Bullet1"/>
        <w:numPr>
          <w:ilvl w:val="0"/>
          <w:numId w:val="0"/>
        </w:numPr>
      </w:pPr>
      <w:r w:rsidRPr="00066CBF">
        <w:t>The ES for the instrument provides the following reason f</w:t>
      </w:r>
      <w:r>
        <w:t>or introducing the changes via delegated legislation</w:t>
      </w:r>
      <w:r w:rsidRPr="00066CBF">
        <w:t xml:space="preserve"> rather than primary legislation</w:t>
      </w:r>
      <w:r>
        <w:t>:</w:t>
      </w:r>
    </w:p>
    <w:p w:rsidR="002A5150" w:rsidRPr="00066CBF" w:rsidRDefault="002A5150" w:rsidP="002A5150">
      <w:pPr>
        <w:pStyle w:val="Quote"/>
      </w:pPr>
      <w:r w:rsidRPr="00066CBF">
        <w:t>The majority of these time sensitive FOFA amendments will also be enacted in legislation. The Government has adopted this approach to provide certainty to industry as quickly as possible.</w:t>
      </w:r>
    </w:p>
    <w:p w:rsidR="002A5150" w:rsidRDefault="002A5150" w:rsidP="002A5150">
      <w:pPr>
        <w:pStyle w:val="Bullet1"/>
        <w:numPr>
          <w:ilvl w:val="0"/>
          <w:numId w:val="0"/>
        </w:numPr>
      </w:pPr>
      <w:r w:rsidRPr="00066CBF">
        <w:t xml:space="preserve">However, </w:t>
      </w:r>
      <w:r>
        <w:t xml:space="preserve">along with </w:t>
      </w:r>
      <w:r w:rsidRPr="00066CBF">
        <w:t>the Senate Standing Committee for the Scrut</w:t>
      </w:r>
      <w:r>
        <w:t xml:space="preserve">iny of Bills (Scrutiny of Bills </w:t>
      </w:r>
      <w:r w:rsidRPr="00066CBF">
        <w:t>committee)</w:t>
      </w:r>
      <w:r>
        <w:t xml:space="preserve">, the committee </w:t>
      </w:r>
      <w:r w:rsidRPr="00066CBF">
        <w:t xml:space="preserve">has </w:t>
      </w:r>
      <w:r>
        <w:t xml:space="preserve">previously questioned </w:t>
      </w:r>
      <w:r w:rsidRPr="00066CBF">
        <w:t>whether industry certainty (and benefit) amounts to a sufficient justification for effecting significant policy change via regulation. Th</w:t>
      </w:r>
      <w:r>
        <w:t>e</w:t>
      </w:r>
      <w:r w:rsidRPr="00066CBF">
        <w:t xml:space="preserve"> </w:t>
      </w:r>
      <w:r>
        <w:t>Scrutiny of Bills c</w:t>
      </w:r>
      <w:r w:rsidRPr="00066CBF">
        <w:t>ommittee</w:t>
      </w:r>
      <w:r>
        <w:t xml:space="preserve">, for example, </w:t>
      </w:r>
      <w:r w:rsidRPr="00066CBF">
        <w:t>has stated:</w:t>
      </w:r>
    </w:p>
    <w:p w:rsidR="002A5150" w:rsidRDefault="002A5150" w:rsidP="002A5150">
      <w:pPr>
        <w:pStyle w:val="Quote"/>
      </w:pPr>
      <w:r>
        <w:t>…enabling a regulated industry to benefit from legislative changes 'a</w:t>
      </w:r>
      <w:r w:rsidRPr="00066CBF">
        <w:t>s</w:t>
      </w:r>
      <w:r>
        <w:t xml:space="preserve"> soon as</w:t>
      </w:r>
      <w:r w:rsidRPr="00066CBF">
        <w:t xml:space="preserve"> possible' is not a sufficient justification to achieve policy change through regulations rather than Parliamentary enactment as this justification could be claimed with respect to any proposal. The fact that the changes may subsequently be enacted in primary legislation does not moderate the sc</w:t>
      </w:r>
      <w:r>
        <w:t>rutiny concerns in this regard.</w:t>
      </w:r>
    </w:p>
    <w:p w:rsidR="002A5150" w:rsidRDefault="002A5150" w:rsidP="002A5150">
      <w:pPr>
        <w:autoSpaceDE w:val="0"/>
        <w:autoSpaceDN w:val="0"/>
        <w:adjustRightInd w:val="0"/>
        <w:spacing w:after="0"/>
        <w:rPr>
          <w:szCs w:val="26"/>
        </w:rPr>
      </w:pPr>
      <w:r>
        <w:t>I</w:t>
      </w:r>
      <w:r w:rsidRPr="00066CBF">
        <w:t>n light of these</w:t>
      </w:r>
      <w:r>
        <w:t xml:space="preserve"> considerations</w:t>
      </w:r>
      <w:r w:rsidRPr="00066CBF">
        <w:t>, the committee</w:t>
      </w:r>
      <w:r>
        <w:rPr>
          <w:szCs w:val="26"/>
        </w:rPr>
        <w:t xml:space="preserve"> considers that the changes effected by the regulation may be regarded as more appropriate for parliamentary enactment in respect of their substantive effect and the justification provided for their inclusion in delegated legislation.</w:t>
      </w:r>
    </w:p>
    <w:p w:rsidR="002A5150" w:rsidRDefault="002A5150" w:rsidP="002A5150">
      <w:pPr>
        <w:rPr>
          <w:i/>
        </w:rPr>
      </w:pPr>
      <w:r w:rsidRPr="00035C4F">
        <w:rPr>
          <w:b/>
          <w:i/>
        </w:rPr>
        <w:t>The committee requested the advice of the minister in relation to this matter</w:t>
      </w:r>
      <w:r w:rsidRPr="00035C4F">
        <w:rPr>
          <w:i/>
        </w:rPr>
        <w:t>.</w:t>
      </w:r>
    </w:p>
    <w:p w:rsidR="002A5150" w:rsidRDefault="002A5150" w:rsidP="002A5150">
      <w:pPr>
        <w:rPr>
          <w:b/>
        </w:rPr>
      </w:pPr>
      <w:r>
        <w:rPr>
          <w:b/>
        </w:rPr>
        <w:t>Assistant Treasurer's</w:t>
      </w:r>
      <w:r w:rsidRPr="00035C4F">
        <w:rPr>
          <w:b/>
        </w:rPr>
        <w:t xml:space="preserve"> response</w:t>
      </w:r>
    </w:p>
    <w:p w:rsidR="002A5150" w:rsidRDefault="002A5150" w:rsidP="002A5150">
      <w:r>
        <w:t>The Assistant Treasurer responded with the following advice:</w:t>
      </w:r>
    </w:p>
    <w:p w:rsidR="002A5150" w:rsidRPr="00E553F5" w:rsidRDefault="002A5150" w:rsidP="002A5150">
      <w:pPr>
        <w:ind w:left="851" w:right="804"/>
        <w:rPr>
          <w:sz w:val="24"/>
          <w:szCs w:val="24"/>
        </w:rPr>
      </w:pPr>
      <w:r w:rsidRPr="00E553F5">
        <w:rPr>
          <w:sz w:val="24"/>
          <w:szCs w:val="24"/>
        </w:rPr>
        <w:t xml:space="preserve">…on 20 December 2013, the Government announced a package of changes to the Future of Financial Advice (FOFA) Provisions. These changes were </w:t>
      </w:r>
      <w:r w:rsidRPr="00E553F5">
        <w:rPr>
          <w:sz w:val="24"/>
          <w:szCs w:val="24"/>
        </w:rPr>
        <w:lastRenderedPageBreak/>
        <w:t xml:space="preserve">implements through the Corporations Amendment (Streamlining Future of Financial Advice) Regulation 2014 (the </w:t>
      </w:r>
      <w:r w:rsidRPr="00E553F5">
        <w:rPr>
          <w:b/>
          <w:sz w:val="24"/>
          <w:szCs w:val="24"/>
        </w:rPr>
        <w:t>Streamlining FOFA Regulation</w:t>
      </w:r>
      <w:r w:rsidRPr="00E553F5">
        <w:rPr>
          <w:sz w:val="24"/>
          <w:szCs w:val="24"/>
        </w:rPr>
        <w:t>), which came into effect on 1 July 2014. However, this Regulation was disallowed on 19 November 2014, which meant that the FOFA provisions reverted to their position prior to commencement of the Streamlining FOFA Regulation.</w:t>
      </w:r>
    </w:p>
    <w:p w:rsidR="002A5150" w:rsidRPr="00E553F5" w:rsidRDefault="002A5150" w:rsidP="002A5150">
      <w:pPr>
        <w:ind w:left="851" w:right="804"/>
        <w:rPr>
          <w:sz w:val="24"/>
          <w:szCs w:val="24"/>
        </w:rPr>
      </w:pPr>
      <w:r w:rsidRPr="00E553F5">
        <w:rPr>
          <w:sz w:val="24"/>
          <w:szCs w:val="24"/>
        </w:rPr>
        <w:t xml:space="preserve">The disallowance of the Streamlining FOFA Regulation caused industry disruption. From the date of disallowance, the financial advice industry, having made changes to comply with the Streamlining FOFA Regulation, had to make further changes to their systems and processes to comply with the original FOFA provisions. </w:t>
      </w:r>
    </w:p>
    <w:p w:rsidR="002A5150" w:rsidRPr="00E553F5" w:rsidRDefault="002A5150" w:rsidP="002A5150">
      <w:pPr>
        <w:ind w:left="851" w:right="804"/>
        <w:rPr>
          <w:sz w:val="24"/>
          <w:szCs w:val="24"/>
        </w:rPr>
      </w:pPr>
      <w:r w:rsidRPr="00E553F5">
        <w:rPr>
          <w:sz w:val="24"/>
          <w:szCs w:val="24"/>
        </w:rPr>
        <w:t>In response to the disallowance, ASIC announced that it would take a facilitative approach to administering the law until 1 July 2015. The Government also agreed with the Opposition that in order to alleviate industry disruption, certain minor and technical refinements to FOFA Should be progressed as a priority via regulation before ASIC's facilitative approach expired.</w:t>
      </w:r>
    </w:p>
    <w:p w:rsidR="002A5150" w:rsidRPr="00E553F5" w:rsidRDefault="002A5150" w:rsidP="002A5150">
      <w:pPr>
        <w:ind w:left="851" w:right="804"/>
        <w:rPr>
          <w:sz w:val="24"/>
          <w:szCs w:val="24"/>
        </w:rPr>
      </w:pPr>
      <w:r w:rsidRPr="00E553F5">
        <w:rPr>
          <w:sz w:val="24"/>
          <w:szCs w:val="24"/>
        </w:rPr>
        <w:t>With bipartisan support, the first tranche of refinements was made through the Corporations Amendment (Revising Future Financial Advice) Regulation (</w:t>
      </w:r>
      <w:r w:rsidRPr="00E553F5">
        <w:rPr>
          <w:b/>
          <w:sz w:val="24"/>
          <w:szCs w:val="24"/>
        </w:rPr>
        <w:t>Revising FOFA Regulation</w:t>
      </w:r>
      <w:r w:rsidRPr="00E553F5">
        <w:rPr>
          <w:sz w:val="24"/>
          <w:szCs w:val="24"/>
        </w:rPr>
        <w:t xml:space="preserve">), which commenced on 16 December 2014. The second tranche of refinements was made, also with bipartisan support, through the Regulation, which commenced on 1 July 2015. </w:t>
      </w:r>
    </w:p>
    <w:p w:rsidR="002A5150" w:rsidRPr="00E553F5" w:rsidRDefault="002A5150" w:rsidP="002A5150">
      <w:pPr>
        <w:ind w:left="851" w:right="804"/>
        <w:rPr>
          <w:sz w:val="24"/>
          <w:szCs w:val="24"/>
        </w:rPr>
      </w:pPr>
      <w:r w:rsidRPr="00E553F5">
        <w:rPr>
          <w:sz w:val="24"/>
          <w:szCs w:val="24"/>
        </w:rPr>
        <w:t>The majority of the amendments made through the Revising FOFA Regulation and the Regulation will also be enacted in legislation through the Corporations Amendment (Streamlining of Future of Financial Advice) Bill 2014, which is currently before the Senate and will be subject to full Parliamentary scrutiny.</w:t>
      </w:r>
    </w:p>
    <w:p w:rsidR="002A5150" w:rsidRPr="00E553F5" w:rsidRDefault="002A5150" w:rsidP="002A5150">
      <w:pPr>
        <w:ind w:left="851" w:right="804"/>
        <w:rPr>
          <w:sz w:val="24"/>
          <w:szCs w:val="24"/>
        </w:rPr>
      </w:pPr>
      <w:r w:rsidRPr="00E553F5">
        <w:rPr>
          <w:sz w:val="24"/>
          <w:szCs w:val="24"/>
        </w:rPr>
        <w:t>In summary, the purpose of amending FOFA through the Regulation was to swiftly deal in a bipartisan manner with disruption to the financial services sector caused by disallowance of the Streamlining FOFA Regulation and the expiry of ASIC's facilitative approach to compliance with FOFA provisions.</w:t>
      </w:r>
    </w:p>
    <w:p w:rsidR="002A5150" w:rsidRDefault="002A5150" w:rsidP="002A5150">
      <w:pPr>
        <w:rPr>
          <w:b/>
        </w:rPr>
      </w:pPr>
      <w:r w:rsidRPr="00E553F5">
        <w:rPr>
          <w:b/>
        </w:rPr>
        <w:t>Committee's response</w:t>
      </w:r>
    </w:p>
    <w:p w:rsidR="002A5150" w:rsidRDefault="002A5150" w:rsidP="002A5150">
      <w:pPr>
        <w:rPr>
          <w:b/>
        </w:rPr>
      </w:pPr>
      <w:r w:rsidRPr="00850FA6">
        <w:rPr>
          <w:b/>
        </w:rPr>
        <w:t>The committee thanks the Assistant Treasurer for the response and has concluded its examination of the instrument.</w:t>
      </w:r>
    </w:p>
    <w:p w:rsidR="002A5150" w:rsidRDefault="002A5150" w:rsidP="002A5150">
      <w:pPr>
        <w:pStyle w:val="Level1"/>
        <w:numPr>
          <w:ilvl w:val="0"/>
          <w:numId w:val="0"/>
        </w:numPr>
        <w:rPr>
          <w:b/>
        </w:rPr>
      </w:pPr>
      <w:r>
        <w:t>However, the committee notes that 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2A5150" w:rsidRDefault="002A5150" w:rsidP="002A5150">
      <w:r>
        <w:t>The committee notes the minister's claim that the purpose of the Regulation is:</w:t>
      </w:r>
    </w:p>
    <w:p w:rsidR="002A5150" w:rsidRDefault="002A5150" w:rsidP="002A5150">
      <w:pPr>
        <w:ind w:left="851" w:right="804"/>
      </w:pPr>
      <w:r>
        <w:lastRenderedPageBreak/>
        <w:t xml:space="preserve">…to swiftly </w:t>
      </w:r>
      <w:r w:rsidRPr="00E553F5">
        <w:t>deal in a bipartisan manner with disruption to the financial services sector caused by disallowance of the Streamlining FOFA Regulation and the expiry of ASIC's facilitative approach to compliance with FOFA provisions</w:t>
      </w:r>
      <w:r>
        <w:t>.</w:t>
      </w:r>
    </w:p>
    <w:p w:rsidR="002A5150" w:rsidRDefault="002A5150" w:rsidP="002A5150">
      <w:r>
        <w:t>The committee also notes the minister's advice that:</w:t>
      </w:r>
    </w:p>
    <w:p w:rsidR="002A5150" w:rsidRDefault="002A5150" w:rsidP="002A5150">
      <w:pPr>
        <w:ind w:left="851" w:right="804"/>
      </w:pPr>
      <w:r w:rsidRPr="00A82ABC">
        <w:t>The majority of the amendments made through the Revising FOFA Regulation and the Regulation will also be enacted in legislation through the Corporations Amendment (Streamlining of Future of Financial Advice) Bill 2014, which is currently before the Senate and will be subject to full Parliamentary scrutiny.</w:t>
      </w:r>
    </w:p>
    <w:p w:rsidR="002A5150" w:rsidRDefault="002A5150" w:rsidP="002A5150">
      <w:r>
        <w:t xml:space="preserve">The committee notes the current progress of the </w:t>
      </w:r>
      <w:r w:rsidRPr="00A82ABC">
        <w:t>Corporations Amendment (Streamlining of Future of Financial Advice) Bill 2014</w:t>
      </w:r>
      <w:r>
        <w:t>, namely that it was introduced into the Senate on 1 July 2014.</w:t>
      </w:r>
    </w:p>
    <w:p w:rsidR="002A5150" w:rsidRDefault="002A5150" w:rsidP="002A5150">
      <w:r>
        <w:t>The committee remains concerned that the minister's position is capable of forming a precedent for the use of delegated legislation in favour of primary legislation on the basis that, due to the timing or inherent uncertainty of the Parliament's full legislative processes, it is the most convenient or preferred means to effect (interim) policy change.</w:t>
      </w:r>
    </w:p>
    <w:p w:rsidR="002A5150" w:rsidRDefault="002A5150" w:rsidP="002A5150">
      <w:r>
        <w:t>While the committee notes the minster's advice that there is bipartisan support for the changes contained in the regulation, a</w:t>
      </w:r>
      <w:r w:rsidRPr="00381CB7">
        <w:t xml:space="preserve">s the committee has previously noted, it is the pre-emptive character of the use of regulation in this case that gives rise to the committee's inquiries. The committee's questions on this issue point </w:t>
      </w:r>
      <w:r>
        <w:t xml:space="preserve">are based on </w:t>
      </w:r>
      <w:r w:rsidRPr="00381CB7">
        <w:t>the possibility that</w:t>
      </w:r>
      <w:r>
        <w:t xml:space="preserve">, notwithstanding the apparent bipartisan support for the regulation, </w:t>
      </w:r>
      <w:r w:rsidRPr="00381CB7">
        <w:t xml:space="preserve">the bill </w:t>
      </w:r>
      <w:r>
        <w:t xml:space="preserve">may </w:t>
      </w:r>
      <w:r w:rsidRPr="00381CB7">
        <w:t xml:space="preserve">not </w:t>
      </w:r>
      <w:r>
        <w:t xml:space="preserve">be </w:t>
      </w:r>
      <w:r w:rsidRPr="00381CB7">
        <w:t>passed in a form which contains all the measures in the regulation. The committee considers that the potential for this approach, in this and future cases, to 'permit a temporary mechanism to turn into a permanent legislative artefact', or to continue in operation despite the clearly expressed will of the Parliament (for example, if the bill were passed with amendment</w:t>
      </w:r>
      <w:r>
        <w:t>s</w:t>
      </w:r>
      <w:r w:rsidRPr="00381CB7">
        <w:t xml:space="preserve"> to remove one of the measures in the regulation</w:t>
      </w:r>
      <w:r>
        <w:t xml:space="preserve"> or not complemented by the operation of the regulation</w:t>
      </w:r>
      <w:r w:rsidRPr="00381CB7">
        <w:t>), is critical to the assessment of whether the legislative approach offends the committee's scrutiny principle (d).</w:t>
      </w:r>
    </w:p>
    <w:p w:rsidR="002A5150" w:rsidRDefault="002A5150" w:rsidP="002A5150">
      <w:pPr>
        <w:rPr>
          <w:b/>
        </w:rPr>
      </w:pPr>
      <w:r w:rsidRPr="0042371C">
        <w:rPr>
          <w:b/>
        </w:rPr>
        <w:t>In light of these concerns about the potential for the regulation to implement changes that are subsequently not passed by the Senate, the committee has determined to give a notice of motion for disallowance to ensure that the ability to disallow the instrument is protected prior to the finalisation of the Senate's consideration of the bill.</w:t>
      </w:r>
    </w:p>
    <w:p w:rsidR="002A5150" w:rsidRPr="00A32D6E" w:rsidRDefault="002A5150" w:rsidP="002A5150">
      <w:r>
        <w:rPr>
          <w:b/>
        </w:rPr>
        <w:t>The committee draws this matter to the Assistant Treasurer's attention.</w:t>
      </w:r>
    </w:p>
    <w:p w:rsidR="002A5150" w:rsidRDefault="002A5150" w:rsidP="002A5150">
      <w:pPr>
        <w:pStyle w:val="Level1"/>
        <w:numPr>
          <w:ilvl w:val="0"/>
          <w:numId w:val="0"/>
        </w:numPr>
      </w:pPr>
    </w:p>
    <w:p w:rsidR="002A5150" w:rsidRDefault="002A5150" w:rsidP="002A5150">
      <w:pPr>
        <w:pStyle w:val="Heading3"/>
        <w:rPr>
          <w:i/>
        </w:rPr>
      </w:pPr>
      <w:r w:rsidRPr="00075F16">
        <w:lastRenderedPageBreak/>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2A5150" w:rsidRPr="002C1F31" w:rsidTr="004923B3">
        <w:tc>
          <w:tcPr>
            <w:tcW w:w="2694" w:type="dxa"/>
            <w:tcBorders>
              <w:top w:val="single" w:sz="12" w:space="0" w:color="auto"/>
              <w:left w:val="nil"/>
              <w:bottom w:val="nil"/>
              <w:right w:val="single" w:sz="12" w:space="0" w:color="auto"/>
            </w:tcBorders>
          </w:tcPr>
          <w:p w:rsidR="002A5150" w:rsidRPr="002C1F31" w:rsidRDefault="002A5150" w:rsidP="004923B3">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2A5150" w:rsidRPr="008D199B" w:rsidRDefault="002A5150" w:rsidP="004923B3">
            <w:pPr>
              <w:spacing w:before="240" w:after="120"/>
              <w:rPr>
                <w:sz w:val="22"/>
                <w:szCs w:val="22"/>
              </w:rPr>
            </w:pPr>
            <w:r w:rsidRPr="008D199B">
              <w:rPr>
                <w:sz w:val="22"/>
                <w:szCs w:val="22"/>
              </w:rPr>
              <w:t>ASIC Corporations (Repeal) Instrument 2015/363 [F2015L01384] (sections 741, 992B and 1020F, Corporations Act 2001)</w:t>
            </w:r>
          </w:p>
          <w:p w:rsidR="002A5150" w:rsidRPr="008D199B" w:rsidRDefault="002A5150" w:rsidP="004923B3">
            <w:pPr>
              <w:spacing w:before="240" w:after="120"/>
              <w:rPr>
                <w:sz w:val="22"/>
                <w:szCs w:val="22"/>
              </w:rPr>
            </w:pPr>
            <w:r w:rsidRPr="008D199B">
              <w:rPr>
                <w:sz w:val="22"/>
                <w:szCs w:val="22"/>
              </w:rPr>
              <w:t>Health Insurance (Pharmacogenetic Testing – RAS (KRAS and NRAS)) Revocation Determination 2015 [F2015L01353] (subsection</w:t>
            </w:r>
            <w:r>
              <w:rPr>
                <w:sz w:val="22"/>
                <w:szCs w:val="22"/>
              </w:rPr>
              <w:t> </w:t>
            </w:r>
            <w:r w:rsidRPr="008D199B">
              <w:rPr>
                <w:sz w:val="22"/>
                <w:szCs w:val="22"/>
              </w:rPr>
              <w:t>3C(1), Health Insurance Act 1973)</w:t>
            </w:r>
          </w:p>
          <w:p w:rsidR="002A5150" w:rsidRPr="002C1F31" w:rsidRDefault="002A5150" w:rsidP="004923B3">
            <w:pPr>
              <w:spacing w:before="240" w:after="120"/>
              <w:rPr>
                <w:sz w:val="22"/>
                <w:szCs w:val="22"/>
              </w:rPr>
            </w:pPr>
            <w:r w:rsidRPr="008D199B">
              <w:rPr>
                <w:sz w:val="22"/>
                <w:szCs w:val="22"/>
              </w:rPr>
              <w:t>Private Health Insurance (Benefit Requirements) Amendment Rules 2015 (No. 3) [F2015L01356] (section 333-20, Private Health Insurance Act 2007)</w:t>
            </w:r>
          </w:p>
        </w:tc>
      </w:tr>
      <w:tr w:rsidR="002A5150" w:rsidRPr="002C1F31" w:rsidTr="004923B3">
        <w:tc>
          <w:tcPr>
            <w:tcW w:w="2694" w:type="dxa"/>
            <w:tcBorders>
              <w:top w:val="nil"/>
              <w:left w:val="nil"/>
              <w:bottom w:val="nil"/>
              <w:right w:val="single" w:sz="12" w:space="0" w:color="auto"/>
            </w:tcBorders>
          </w:tcPr>
          <w:p w:rsidR="002A5150" w:rsidRPr="002C1F31" w:rsidRDefault="002A5150" w:rsidP="004923B3">
            <w:pPr>
              <w:spacing w:before="120" w:after="120"/>
              <w:rPr>
                <w:sz w:val="22"/>
                <w:szCs w:val="22"/>
              </w:rPr>
            </w:pPr>
          </w:p>
        </w:tc>
        <w:tc>
          <w:tcPr>
            <w:tcW w:w="6378" w:type="dxa"/>
            <w:tcBorders>
              <w:top w:val="nil"/>
              <w:left w:val="single" w:sz="12" w:space="0" w:color="auto"/>
              <w:bottom w:val="nil"/>
              <w:right w:val="nil"/>
            </w:tcBorders>
          </w:tcPr>
          <w:p w:rsidR="002A5150" w:rsidRPr="002C1F31" w:rsidRDefault="002A5150" w:rsidP="004923B3">
            <w:pPr>
              <w:spacing w:before="120" w:after="120"/>
              <w:rPr>
                <w:sz w:val="22"/>
                <w:szCs w:val="22"/>
              </w:rPr>
            </w:pPr>
            <w:r w:rsidRPr="008D199B">
              <w:rPr>
                <w:sz w:val="22"/>
                <w:szCs w:val="22"/>
              </w:rPr>
              <w:t>Social Security (Means Test Treatment of Private Trusts – Excluded Trusts) Declaration 2015 [F2015L01363] (subsection 1207(4), Social Security Act 1991)</w:t>
            </w:r>
          </w:p>
        </w:tc>
      </w:tr>
      <w:tr w:rsidR="002A5150" w:rsidRPr="002C1F31" w:rsidTr="004923B3">
        <w:tc>
          <w:tcPr>
            <w:tcW w:w="2694" w:type="dxa"/>
            <w:tcBorders>
              <w:top w:val="nil"/>
              <w:left w:val="nil"/>
              <w:bottom w:val="single" w:sz="12" w:space="0" w:color="auto"/>
              <w:right w:val="single" w:sz="12" w:space="0" w:color="auto"/>
            </w:tcBorders>
          </w:tcPr>
          <w:p w:rsidR="002A5150" w:rsidRPr="002C1F31" w:rsidRDefault="002A5150" w:rsidP="004923B3">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2A5150" w:rsidRPr="002C1F31" w:rsidRDefault="002A5150" w:rsidP="004923B3">
            <w:pPr>
              <w:spacing w:before="120"/>
              <w:rPr>
                <w:sz w:val="22"/>
                <w:szCs w:val="22"/>
              </w:rPr>
            </w:pPr>
            <w:r>
              <w:rPr>
                <w:noProof/>
                <w:sz w:val="24"/>
                <w:szCs w:val="24"/>
              </w:rPr>
              <w:t>Standing Order 23(3)(a)</w:t>
            </w:r>
          </w:p>
        </w:tc>
      </w:tr>
    </w:tbl>
    <w:p w:rsidR="002A5150" w:rsidRDefault="002A5150" w:rsidP="002A5150">
      <w:pPr>
        <w:spacing w:after="0"/>
      </w:pPr>
    </w:p>
    <w:p w:rsidR="002A5150" w:rsidRPr="006F66FE" w:rsidRDefault="002A5150" w:rsidP="002A5150">
      <w:pPr>
        <w:spacing w:after="120"/>
        <w:rPr>
          <w:b/>
          <w:i/>
        </w:rPr>
      </w:pPr>
      <w:r w:rsidRPr="00751A21">
        <w:rPr>
          <w:b/>
        </w:rPr>
        <w:t>Drafting</w:t>
      </w:r>
    </w:p>
    <w:p w:rsidR="002A5150" w:rsidRPr="00E35D4F" w:rsidRDefault="002A5150" w:rsidP="002A5150">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2A5150" w:rsidRPr="00117C8E" w:rsidRDefault="002A5150" w:rsidP="002A5150">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6"/>
      </w:r>
    </w:p>
    <w:p w:rsidR="002A5150" w:rsidRDefault="002A5150" w:rsidP="00325264">
      <w:pPr>
        <w:sectPr w:rsidR="002A5150" w:rsidSect="001E10A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2A5150" w:rsidRDefault="002A5150" w:rsidP="00325264">
      <w:pPr>
        <w:sectPr w:rsidR="002A5150" w:rsidSect="001E10A8">
          <w:headerReference w:type="first" r:id="rId38"/>
          <w:footerReference w:type="first" r:id="rId39"/>
          <w:pgSz w:w="11906" w:h="16838" w:code="9"/>
          <w:pgMar w:top="1440" w:right="1440" w:bottom="1202" w:left="1440" w:header="1134" w:footer="720" w:gutter="0"/>
          <w:pgNumType w:start="1"/>
          <w:cols w:space="720"/>
          <w:titlePg/>
        </w:sectPr>
      </w:pPr>
    </w:p>
    <w:p w:rsidR="002A5150" w:rsidRPr="0076670E" w:rsidRDefault="002A5150" w:rsidP="002A5150">
      <w:pPr>
        <w:pStyle w:val="Heading1"/>
      </w:pPr>
      <w:r w:rsidRPr="0076670E">
        <w:lastRenderedPageBreak/>
        <w:t>Chapter 2</w:t>
      </w:r>
    </w:p>
    <w:p w:rsidR="002A5150" w:rsidRPr="0076670E" w:rsidRDefault="002A5150" w:rsidP="002A5150">
      <w:pPr>
        <w:pStyle w:val="Heading2"/>
      </w:pPr>
      <w:r w:rsidRPr="0076670E">
        <w:t>Concluded matters</w:t>
      </w:r>
    </w:p>
    <w:p w:rsidR="002A5150" w:rsidRPr="0076670E" w:rsidRDefault="002A5150" w:rsidP="002A5150">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2A5150" w:rsidRDefault="002A5150" w:rsidP="002A5150">
      <w:pPr>
        <w:pStyle w:val="Level1"/>
        <w:numPr>
          <w:ilvl w:val="0"/>
          <w:numId w:val="0"/>
        </w:numPr>
        <w:spacing w:after="360"/>
      </w:pPr>
      <w:r>
        <w:t>C</w:t>
      </w:r>
      <w:r w:rsidRPr="0076670E">
        <w:t xml:space="preserve">orrespondence relating to these matters is included at Appendix </w:t>
      </w:r>
      <w:r>
        <w:t>1</w:t>
      </w:r>
      <w:r w:rsidRPr="0076670E">
        <w:t>.</w:t>
      </w: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rPr>
                <w:sz w:val="24"/>
                <w:szCs w:val="24"/>
              </w:rPr>
            </w:pPr>
            <w:r w:rsidRPr="00ED520D">
              <w:rPr>
                <w:noProof/>
                <w:sz w:val="24"/>
                <w:szCs w:val="24"/>
              </w:rPr>
              <w:t>ASIC Corporations (Amendment) Instrument 2015/624 [F2015L01158]</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Amends the ASIC Class Order [CO 08/1] to extend the transitional period for compliance with the breach reporting conditions</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17 September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rPr>
                <w:i/>
                <w:sz w:val="24"/>
                <w:szCs w:val="24"/>
              </w:rPr>
            </w:pPr>
            <w:r w:rsidRPr="00ED520D">
              <w:rPr>
                <w:i/>
                <w:noProof/>
                <w:sz w:val="24"/>
                <w:szCs w:val="24"/>
              </w:rPr>
              <w:t>Corporations Act 2001</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Treasury</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sz w:val="24"/>
                <w:szCs w:val="24"/>
              </w:rPr>
              <w:t>Standing Order 23(3)</w:t>
            </w:r>
            <w:r>
              <w:rPr>
                <w:noProof/>
                <w:sz w:val="24"/>
                <w:szCs w:val="24"/>
              </w:rPr>
              <w:t>(a</w:t>
            </w:r>
            <w:r w:rsidRPr="00ED520D">
              <w:rPr>
                <w:noProof/>
                <w:sz w:val="24"/>
                <w:szCs w:val="24"/>
              </w:rPr>
              <w:t>)</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sidRPr="003C6D44">
              <w:rPr>
                <w:noProof/>
                <w:sz w:val="24"/>
                <w:szCs w:val="24"/>
              </w:rPr>
              <w:t xml:space="preserve">No. </w:t>
            </w:r>
            <w:r>
              <w:rPr>
                <w:noProof/>
                <w:sz w:val="24"/>
                <w:szCs w:val="24"/>
              </w:rPr>
              <w:t>9</w:t>
            </w:r>
            <w:r w:rsidRPr="003C6D44">
              <w:rPr>
                <w:noProof/>
                <w:sz w:val="24"/>
                <w:szCs w:val="24"/>
              </w:rPr>
              <w:t xml:space="preserve"> of 2015</w:t>
            </w:r>
          </w:p>
        </w:tc>
      </w:tr>
    </w:tbl>
    <w:p w:rsidR="002A5150" w:rsidRDefault="002A5150" w:rsidP="002A5150">
      <w:pPr>
        <w:spacing w:after="0"/>
      </w:pPr>
    </w:p>
    <w:p w:rsidR="002A5150" w:rsidRDefault="002A5150" w:rsidP="002A5150">
      <w:pPr>
        <w:rPr>
          <w:b/>
          <w:noProof/>
        </w:rPr>
      </w:pPr>
      <w:r w:rsidRPr="00ED520D">
        <w:rPr>
          <w:b/>
          <w:noProof/>
        </w:rPr>
        <w:t>Extension of exemption</w:t>
      </w:r>
    </w:p>
    <w:p w:rsidR="002A5150" w:rsidRDefault="002A5150" w:rsidP="002A5150">
      <w:r>
        <w:rPr>
          <w:noProof/>
        </w:rPr>
        <w:t xml:space="preserve">The committee commented as follows: </w:t>
      </w:r>
      <w:r>
        <w:t xml:space="preserve">This instrument amends ASIC Class Order [CO 08/1] </w:t>
      </w:r>
      <w:r w:rsidRPr="00895DB3">
        <w:rPr>
          <w:iCs/>
        </w:rPr>
        <w:t>Group purchasing bodies</w:t>
      </w:r>
      <w:r>
        <w:t xml:space="preserve"> </w:t>
      </w:r>
      <w:r w:rsidRPr="004A33E2">
        <w:t xml:space="preserve">[F2011C00298] </w:t>
      </w:r>
      <w:r>
        <w:t>(principal instrument). The principal instrument gives conditional relief from the Australian Financial Services licensing regime and Chapter 5C of the</w:t>
      </w:r>
      <w:r w:rsidRPr="00895DB3">
        <w:rPr>
          <w:i/>
        </w:rPr>
        <w:t xml:space="preserve"> Corporations Act 2001</w:t>
      </w:r>
      <w:r>
        <w:t xml:space="preserve"> to certain group purchasing bodies (</w:t>
      </w:r>
      <w:r w:rsidRPr="00895DB3">
        <w:rPr>
          <w:bCs/>
          <w:iCs/>
        </w:rPr>
        <w:t>GPBs</w:t>
      </w:r>
      <w:r>
        <w:t xml:space="preserve">) who arrange or hold risk management products (such as </w:t>
      </w:r>
      <w:r w:rsidRPr="00895DB3">
        <w:rPr>
          <w:bCs/>
          <w:iCs/>
        </w:rPr>
        <w:t>insurance</w:t>
      </w:r>
      <w:r>
        <w:t>) for the benefit of third parties. GPBs include sporting and other not-for-profit organisations which arrange insurance for third parties (such as players or volunteers).</w:t>
      </w:r>
    </w:p>
    <w:p w:rsidR="002A5150" w:rsidRPr="004C06F0" w:rsidRDefault="002A5150" w:rsidP="002A5150">
      <w:r>
        <w:t>The explanatory statement (ES) for the instrument states:</w:t>
      </w:r>
    </w:p>
    <w:p w:rsidR="002A5150" w:rsidRPr="004C06F0" w:rsidRDefault="002A5150" w:rsidP="002A5150">
      <w:pPr>
        <w:pStyle w:val="Quote"/>
      </w:pPr>
      <w:r>
        <w:t xml:space="preserve">[CO 08/1] provides conditional relief to a limited class of GPBs that organise insurance on a non-commercial basis. It contains a condition that requires a GPB who rely on the relief to report to ASIC breaches of conditions of the relief. The requirement to comply with the breach reporting condition was subject to a delayed start to allow for transition. Based on the current wording of [CO 08/1], the transitional period for compliance with the breach reporting condition in [CO 08/1] ended on 30 June 2015. </w:t>
      </w:r>
    </w:p>
    <w:p w:rsidR="002A5150" w:rsidRDefault="002A5150" w:rsidP="002A5150">
      <w:r>
        <w:rPr>
          <w:bCs/>
        </w:rPr>
        <w:lastRenderedPageBreak/>
        <w:t>This instrument amends the principal instrument to extend the transitional period until 30 June 2016 ‘</w:t>
      </w:r>
      <w:r>
        <w:t>while the Government and ASIC consider the issue’. The ES goes on to state:</w:t>
      </w:r>
    </w:p>
    <w:p w:rsidR="002A5150" w:rsidRPr="00895DB3" w:rsidRDefault="002A5150" w:rsidP="002A5150">
      <w:pPr>
        <w:pStyle w:val="Quote"/>
        <w:rPr>
          <w:color w:val="000000"/>
        </w:rPr>
      </w:pPr>
      <w:r>
        <w:t>This extension will enable the Government and ASIC to consider how the issues raised by GPBs can be addressed by amendments to the Corporations Regulations 2001 and to consult with stakeholders in the development of the regulations.</w:t>
      </w:r>
    </w:p>
    <w:p w:rsidR="002A5150" w:rsidRDefault="002A5150" w:rsidP="002A5150">
      <w:pPr>
        <w:rPr>
          <w:color w:val="000000"/>
        </w:rPr>
      </w:pPr>
      <w:r w:rsidRPr="00895DB3">
        <w:rPr>
          <w:color w:val="000000"/>
        </w:rPr>
        <w:t xml:space="preserve">However, the committee notes that </w:t>
      </w:r>
      <w:r>
        <w:rPr>
          <w:color w:val="000000"/>
        </w:rPr>
        <w:t>the transitional period was originally set, by the principal instrument (made in 2010), to end on</w:t>
      </w:r>
      <w:r w:rsidRPr="00895DB3">
        <w:rPr>
          <w:color w:val="000000"/>
        </w:rPr>
        <w:t xml:space="preserve"> 3</w:t>
      </w:r>
      <w:r>
        <w:rPr>
          <w:color w:val="000000"/>
        </w:rPr>
        <w:t xml:space="preserve">0 June 2011. </w:t>
      </w:r>
      <w:r w:rsidRPr="00895DB3">
        <w:rPr>
          <w:color w:val="000000"/>
        </w:rPr>
        <w:t xml:space="preserve">A series of </w:t>
      </w:r>
      <w:r>
        <w:rPr>
          <w:color w:val="000000"/>
        </w:rPr>
        <w:t xml:space="preserve">nine </w:t>
      </w:r>
      <w:r w:rsidRPr="00895DB3">
        <w:rPr>
          <w:color w:val="000000"/>
        </w:rPr>
        <w:t xml:space="preserve">amendments </w:t>
      </w:r>
      <w:r>
        <w:rPr>
          <w:color w:val="000000"/>
        </w:rPr>
        <w:t>to the principal instrument have since extended that</w:t>
      </w:r>
      <w:r w:rsidRPr="00895DB3">
        <w:rPr>
          <w:color w:val="000000"/>
        </w:rPr>
        <w:t xml:space="preserve"> date</w:t>
      </w:r>
      <w:r>
        <w:rPr>
          <w:color w:val="000000"/>
        </w:rPr>
        <w:t>, initially in increments of six months and more recently in increments of 12 months.</w:t>
      </w:r>
    </w:p>
    <w:p w:rsidR="002A5150" w:rsidRDefault="002A5150" w:rsidP="002A5150">
      <w:pPr>
        <w:rPr>
          <w:color w:val="000000"/>
        </w:rPr>
      </w:pPr>
      <w:r>
        <w:rPr>
          <w:color w:val="000000"/>
        </w:rPr>
        <w:t>While the committee appreciates that these exemptions have been effected to allow for consultation over, and consideration of, amendments to the regulations, the committee would appreciate further advice on the current status and progress of consultations in relation to this matter.</w:t>
      </w:r>
    </w:p>
    <w:p w:rsidR="002A5150" w:rsidRPr="003A6F67" w:rsidRDefault="002A5150" w:rsidP="002A5150">
      <w:pPr>
        <w:rPr>
          <w:b/>
          <w:i/>
          <w:color w:val="000000"/>
        </w:rPr>
      </w:pPr>
      <w:r w:rsidRPr="003A6F67">
        <w:rPr>
          <w:b/>
          <w:i/>
          <w:color w:val="000000"/>
        </w:rPr>
        <w:t>The committee request</w:t>
      </w:r>
      <w:r>
        <w:rPr>
          <w:b/>
          <w:i/>
          <w:color w:val="000000"/>
        </w:rPr>
        <w:t>ed</w:t>
      </w:r>
      <w:r w:rsidRPr="003A6F67">
        <w:rPr>
          <w:b/>
          <w:i/>
          <w:color w:val="000000"/>
        </w:rPr>
        <w:t xml:space="preserve"> the advice of the minister in relation to this matter.</w:t>
      </w:r>
    </w:p>
    <w:p w:rsidR="002A5150" w:rsidRDefault="002A5150" w:rsidP="002A5150">
      <w:pPr>
        <w:rPr>
          <w:b/>
        </w:rPr>
      </w:pPr>
      <w:r>
        <w:rPr>
          <w:b/>
        </w:rPr>
        <w:t>Assistant Treasurer</w:t>
      </w:r>
      <w:r w:rsidRPr="00035C4F">
        <w:rPr>
          <w:b/>
        </w:rPr>
        <w:t>'s response</w:t>
      </w:r>
    </w:p>
    <w:p w:rsidR="002A5150" w:rsidRDefault="002A5150" w:rsidP="002A5150">
      <w:pPr>
        <w:pStyle w:val="Level1"/>
        <w:numPr>
          <w:ilvl w:val="0"/>
          <w:numId w:val="0"/>
        </w:numPr>
      </w:pPr>
      <w:r>
        <w:t>The Assistant Treasurer provided the following advice:</w:t>
      </w:r>
    </w:p>
    <w:p w:rsidR="002A5150" w:rsidRDefault="002A5150" w:rsidP="002A5150">
      <w:pPr>
        <w:pStyle w:val="Quote"/>
      </w:pPr>
      <w:r>
        <w:t>While some consultations have taken place, due to technical complexities, no clear option to progress this matter has emerged. It is intended that further consultations will be held with stakeholders to allow a final position to be established before amendments to the Corporations Regulations 2001 can be drafted.</w:t>
      </w:r>
    </w:p>
    <w:p w:rsidR="002A5150" w:rsidRDefault="002A5150" w:rsidP="002A5150">
      <w:pPr>
        <w:pStyle w:val="Level1"/>
        <w:numPr>
          <w:ilvl w:val="0"/>
          <w:numId w:val="0"/>
        </w:numPr>
        <w:rPr>
          <w:b/>
        </w:rPr>
      </w:pPr>
      <w:r>
        <w:rPr>
          <w:b/>
        </w:rPr>
        <w:t>Committee's response</w:t>
      </w:r>
    </w:p>
    <w:p w:rsidR="002A5150" w:rsidRDefault="002A5150" w:rsidP="002A5150">
      <w:pPr>
        <w:pStyle w:val="Level1"/>
        <w:numPr>
          <w:ilvl w:val="0"/>
          <w:numId w:val="0"/>
        </w:numPr>
        <w:spacing w:after="0"/>
        <w:rPr>
          <w:b/>
        </w:rPr>
      </w:pPr>
      <w:r w:rsidRPr="003826D7">
        <w:rPr>
          <w:b/>
        </w:rPr>
        <w:t>The committee thanks the Assistant Treasurer for his response and has concluded its examination of th</w:t>
      </w:r>
      <w:r>
        <w:rPr>
          <w:b/>
        </w:rPr>
        <w:t>e</w:t>
      </w:r>
      <w:r w:rsidRPr="003826D7">
        <w:rPr>
          <w:b/>
        </w:rPr>
        <w:t xml:space="preserve"> instrument.</w:t>
      </w:r>
    </w:p>
    <w:p w:rsidR="002A5150" w:rsidRDefault="002A5150" w:rsidP="002A5150">
      <w:r>
        <w:br w:type="page"/>
      </w:r>
    </w:p>
    <w:p w:rsidR="002A5150" w:rsidRDefault="002A5150" w:rsidP="002A5150">
      <w:pPr>
        <w:spacing w:after="0"/>
        <w:jc w:val="left"/>
      </w:pP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Default="002A5150" w:rsidP="004923B3">
            <w:pPr>
              <w:pStyle w:val="Heading3"/>
              <w:spacing w:after="0"/>
              <w:rPr>
                <w:noProof/>
                <w:sz w:val="24"/>
                <w:szCs w:val="24"/>
              </w:rPr>
            </w:pPr>
            <w:r w:rsidRPr="00F861E4">
              <w:rPr>
                <w:noProof/>
                <w:sz w:val="24"/>
                <w:szCs w:val="24"/>
              </w:rPr>
              <w:t>Australian Passports (Application Fees) Determination 2015 [F2015L01222]</w:t>
            </w:r>
          </w:p>
          <w:p w:rsidR="002A5150" w:rsidRPr="00BA36F8" w:rsidRDefault="002A5150" w:rsidP="004923B3">
            <w:pPr>
              <w:pStyle w:val="Heading3"/>
              <w:rPr>
                <w:sz w:val="24"/>
                <w:szCs w:val="24"/>
              </w:rPr>
            </w:pPr>
            <w:r w:rsidRPr="00F861E4">
              <w:rPr>
                <w:noProof/>
                <w:sz w:val="24"/>
                <w:szCs w:val="24"/>
              </w:rPr>
              <w:t>Foreign Passports (Law Enforcement and Security) Determination 2015 [F2015L01224]</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Pr>
                <w:noProof/>
                <w:sz w:val="24"/>
                <w:szCs w:val="24"/>
              </w:rPr>
              <w:t>These instruments a</w:t>
            </w:r>
            <w:r w:rsidRPr="00F861E4">
              <w:rPr>
                <w:noProof/>
                <w:sz w:val="24"/>
                <w:szCs w:val="24"/>
              </w:rPr>
              <w:t>mend and remake sections of the Australian Passports Determination 2005 that relate to fees</w:t>
            </w:r>
            <w:r>
              <w:rPr>
                <w:noProof/>
                <w:sz w:val="24"/>
                <w:szCs w:val="24"/>
              </w:rPr>
              <w:t xml:space="preserve"> and </w:t>
            </w:r>
            <w:r w:rsidRPr="00F861E4">
              <w:rPr>
                <w:noProof/>
                <w:sz w:val="24"/>
                <w:szCs w:val="24"/>
              </w:rPr>
              <w:t>taxes into a separate, new determination</w:t>
            </w:r>
            <w:r>
              <w:rPr>
                <w:noProof/>
                <w:sz w:val="24"/>
                <w:szCs w:val="24"/>
              </w:rPr>
              <w:t xml:space="preserve">; and </w:t>
            </w:r>
            <w:r w:rsidRPr="00F861E4">
              <w:rPr>
                <w:noProof/>
                <w:sz w:val="24"/>
                <w:szCs w:val="24"/>
              </w:rPr>
              <w:t>remakes the Foreign Passports Determination 2005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20 August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F861E4" w:rsidRDefault="002A5150" w:rsidP="004923B3">
            <w:pPr>
              <w:rPr>
                <w:sz w:val="24"/>
                <w:szCs w:val="24"/>
              </w:rPr>
            </w:pPr>
            <w:r w:rsidRPr="00F861E4">
              <w:rPr>
                <w:i/>
                <w:noProof/>
                <w:sz w:val="24"/>
                <w:szCs w:val="24"/>
              </w:rPr>
              <w:t>Australian Passports (Application Fees) Act 2005</w:t>
            </w:r>
            <w:r>
              <w:rPr>
                <w:noProof/>
                <w:sz w:val="24"/>
                <w:szCs w:val="24"/>
              </w:rPr>
              <w:t xml:space="preserve">; </w:t>
            </w:r>
            <w:r w:rsidRPr="00F861E4">
              <w:rPr>
                <w:i/>
                <w:noProof/>
                <w:sz w:val="24"/>
                <w:szCs w:val="24"/>
              </w:rPr>
              <w:t>Foreign Passports (Law Enforcement and Security) Act 2005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F861E4">
              <w:rPr>
                <w:noProof/>
                <w:sz w:val="24"/>
                <w:szCs w:val="24"/>
              </w:rPr>
              <w:t>Foreign Affairs and Trade</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sz w:val="24"/>
                <w:szCs w:val="24"/>
              </w:rPr>
              <w:t>Standing Order 23(3)(a)</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9</w:t>
            </w:r>
            <w:r w:rsidRPr="003C6D44">
              <w:rPr>
                <w:noProof/>
                <w:sz w:val="24"/>
                <w:szCs w:val="24"/>
              </w:rPr>
              <w:t xml:space="preserve"> of 2015</w:t>
            </w:r>
          </w:p>
        </w:tc>
      </w:tr>
    </w:tbl>
    <w:p w:rsidR="002A5150" w:rsidRDefault="002A5150" w:rsidP="002A5150"/>
    <w:p w:rsidR="002A5150" w:rsidRDefault="002A5150" w:rsidP="002A5150">
      <w:pPr>
        <w:rPr>
          <w:b/>
          <w:noProof/>
        </w:rPr>
      </w:pPr>
      <w:r w:rsidRPr="00ED520D">
        <w:rPr>
          <w:b/>
          <w:noProof/>
        </w:rPr>
        <w:t>Drafting</w:t>
      </w:r>
    </w:p>
    <w:p w:rsidR="002A5150" w:rsidRPr="009211E4" w:rsidRDefault="002A5150" w:rsidP="002A5150">
      <w:pPr>
        <w:rPr>
          <w:noProof/>
          <w:szCs w:val="26"/>
          <w:u w:val="single"/>
        </w:rPr>
      </w:pPr>
      <w:r w:rsidRPr="009211E4">
        <w:rPr>
          <w:noProof/>
          <w:szCs w:val="26"/>
          <w:u w:val="single"/>
        </w:rPr>
        <w:t>Australian Passports (Application Fees) Determination 2015 [F2015L01222]</w:t>
      </w:r>
    </w:p>
    <w:p w:rsidR="002A5150" w:rsidRPr="009753C3" w:rsidRDefault="002A5150" w:rsidP="002A5150">
      <w:pPr>
        <w:rPr>
          <w:noProof/>
          <w:szCs w:val="26"/>
        </w:rPr>
      </w:pPr>
      <w:r>
        <w:rPr>
          <w:noProof/>
          <w:szCs w:val="26"/>
        </w:rPr>
        <w:t xml:space="preserve">The committee commented as follows: </w:t>
      </w:r>
      <w:r w:rsidRPr="009753C3">
        <w:rPr>
          <w:noProof/>
          <w:szCs w:val="26"/>
        </w:rPr>
        <w:t xml:space="preserve">The committee notes that the instrument </w:t>
      </w:r>
      <w:r>
        <w:rPr>
          <w:noProof/>
          <w:szCs w:val="26"/>
        </w:rPr>
        <w:t xml:space="preserve">is identifed as </w:t>
      </w:r>
      <w:r w:rsidRPr="009753C3">
        <w:rPr>
          <w:noProof/>
          <w:szCs w:val="26"/>
        </w:rPr>
        <w:t xml:space="preserve">made under the </w:t>
      </w:r>
      <w:r w:rsidRPr="00BD1087">
        <w:rPr>
          <w:i/>
          <w:noProof/>
          <w:szCs w:val="26"/>
        </w:rPr>
        <w:t>Au</w:t>
      </w:r>
      <w:r>
        <w:rPr>
          <w:i/>
          <w:noProof/>
          <w:szCs w:val="26"/>
        </w:rPr>
        <w:t xml:space="preserve">stralian Passports (Application Fees) </w:t>
      </w:r>
      <w:r w:rsidRPr="00BD1087">
        <w:rPr>
          <w:i/>
          <w:noProof/>
          <w:szCs w:val="26"/>
        </w:rPr>
        <w:t>Act 20</w:t>
      </w:r>
      <w:r>
        <w:rPr>
          <w:i/>
          <w:noProof/>
          <w:szCs w:val="26"/>
        </w:rPr>
        <w:t>05</w:t>
      </w:r>
      <w:r w:rsidRPr="009753C3">
        <w:rPr>
          <w:noProof/>
          <w:szCs w:val="26"/>
        </w:rPr>
        <w:t xml:space="preserve">. However, neither the instrument nor the ES appear to identify the specific provision of </w:t>
      </w:r>
      <w:r>
        <w:rPr>
          <w:noProof/>
          <w:szCs w:val="26"/>
        </w:rPr>
        <w:t xml:space="preserve">that Act that is </w:t>
      </w:r>
      <w:r w:rsidRPr="009753C3">
        <w:rPr>
          <w:noProof/>
          <w:szCs w:val="26"/>
        </w:rPr>
        <w:t>relied on to make the instrument.</w:t>
      </w:r>
    </w:p>
    <w:p w:rsidR="002A5150" w:rsidRDefault="002A5150" w:rsidP="002A5150">
      <w:r w:rsidRPr="009753C3">
        <w:rPr>
          <w:noProof/>
          <w:szCs w:val="26"/>
        </w:rPr>
        <w:t>The committee</w:t>
      </w:r>
      <w:r>
        <w:rPr>
          <w:noProof/>
          <w:szCs w:val="26"/>
        </w:rPr>
        <w:t xml:space="preserve">'s usual expectation is that an </w:t>
      </w:r>
      <w:r w:rsidRPr="009753C3">
        <w:rPr>
          <w:noProof/>
          <w:szCs w:val="26"/>
        </w:rPr>
        <w:t xml:space="preserve">instrument or </w:t>
      </w:r>
      <w:r>
        <w:rPr>
          <w:noProof/>
          <w:szCs w:val="26"/>
        </w:rPr>
        <w:t xml:space="preserve">its ES identify the </w:t>
      </w:r>
      <w:r w:rsidRPr="009753C3">
        <w:rPr>
          <w:noProof/>
          <w:szCs w:val="26"/>
        </w:rPr>
        <w:t xml:space="preserve">provision of the enabling legislation which </w:t>
      </w:r>
      <w:r>
        <w:rPr>
          <w:noProof/>
          <w:szCs w:val="26"/>
        </w:rPr>
        <w:t xml:space="preserve">authorises </w:t>
      </w:r>
      <w:r w:rsidRPr="009753C3">
        <w:rPr>
          <w:noProof/>
          <w:szCs w:val="26"/>
        </w:rPr>
        <w:t xml:space="preserve">the </w:t>
      </w:r>
      <w:r>
        <w:rPr>
          <w:noProof/>
          <w:szCs w:val="26"/>
        </w:rPr>
        <w:t xml:space="preserve">making of the </w:t>
      </w:r>
      <w:r w:rsidRPr="009753C3">
        <w:rPr>
          <w:noProof/>
          <w:szCs w:val="26"/>
        </w:rPr>
        <w:t>instrument, in the interests of promoting clarity and intelligibility of the instrument to anticipated users.</w:t>
      </w:r>
    </w:p>
    <w:p w:rsidR="002A5150" w:rsidRDefault="002A5150" w:rsidP="002A5150">
      <w:pPr>
        <w:pStyle w:val="Quote"/>
        <w:ind w:left="0"/>
        <w:rPr>
          <w:sz w:val="26"/>
          <w:szCs w:val="26"/>
          <w:u w:val="single"/>
        </w:rPr>
      </w:pPr>
      <w:r w:rsidRPr="009211E4">
        <w:rPr>
          <w:sz w:val="26"/>
          <w:szCs w:val="26"/>
          <w:u w:val="single"/>
        </w:rPr>
        <w:t>Foreign Passports (Law Enforcement and Security) Determination 2015 [F2015L01224]</w:t>
      </w:r>
    </w:p>
    <w:p w:rsidR="002A5150" w:rsidRPr="009753C3" w:rsidRDefault="002A5150" w:rsidP="002A5150">
      <w:pPr>
        <w:rPr>
          <w:noProof/>
          <w:szCs w:val="26"/>
        </w:rPr>
      </w:pPr>
      <w:r>
        <w:rPr>
          <w:noProof/>
          <w:szCs w:val="26"/>
        </w:rPr>
        <w:t xml:space="preserve">The committee commented as follows: </w:t>
      </w:r>
      <w:r w:rsidRPr="009753C3">
        <w:rPr>
          <w:noProof/>
          <w:szCs w:val="26"/>
        </w:rPr>
        <w:t xml:space="preserve">The committee notes that the instrument </w:t>
      </w:r>
      <w:r>
        <w:rPr>
          <w:noProof/>
          <w:szCs w:val="26"/>
        </w:rPr>
        <w:t xml:space="preserve">is identifed as </w:t>
      </w:r>
      <w:r w:rsidRPr="009753C3">
        <w:rPr>
          <w:noProof/>
          <w:szCs w:val="26"/>
        </w:rPr>
        <w:t xml:space="preserve">made under </w:t>
      </w:r>
      <w:r w:rsidRPr="001B5661">
        <w:rPr>
          <w:noProof/>
          <w:szCs w:val="26"/>
        </w:rPr>
        <w:t>the</w:t>
      </w:r>
      <w:r w:rsidRPr="005D5B11">
        <w:rPr>
          <w:i/>
          <w:noProof/>
          <w:szCs w:val="26"/>
        </w:rPr>
        <w:t xml:space="preserve"> Foreign Passports (Law Enforcement and Security) Act 2005</w:t>
      </w:r>
      <w:r w:rsidRPr="009753C3">
        <w:rPr>
          <w:noProof/>
          <w:szCs w:val="26"/>
        </w:rPr>
        <w:t xml:space="preserve">. However, neither the instrument nor the ES appear to identify the specific provision of </w:t>
      </w:r>
      <w:r>
        <w:rPr>
          <w:noProof/>
          <w:szCs w:val="26"/>
        </w:rPr>
        <w:t xml:space="preserve">that Act that is </w:t>
      </w:r>
      <w:r w:rsidRPr="009753C3">
        <w:rPr>
          <w:noProof/>
          <w:szCs w:val="26"/>
        </w:rPr>
        <w:t>relied on to make the instrument.</w:t>
      </w:r>
    </w:p>
    <w:p w:rsidR="002A5150" w:rsidRDefault="002A5150" w:rsidP="002A5150">
      <w:pPr>
        <w:rPr>
          <w:noProof/>
          <w:szCs w:val="26"/>
        </w:rPr>
      </w:pPr>
      <w:r w:rsidRPr="009753C3">
        <w:rPr>
          <w:noProof/>
          <w:szCs w:val="26"/>
        </w:rPr>
        <w:t>The committee</w:t>
      </w:r>
      <w:r>
        <w:rPr>
          <w:noProof/>
          <w:szCs w:val="26"/>
        </w:rPr>
        <w:t xml:space="preserve">'s usual expectation is that an </w:t>
      </w:r>
      <w:r w:rsidRPr="009753C3">
        <w:rPr>
          <w:noProof/>
          <w:szCs w:val="26"/>
        </w:rPr>
        <w:t xml:space="preserve">instrument or </w:t>
      </w:r>
      <w:r>
        <w:rPr>
          <w:noProof/>
          <w:szCs w:val="26"/>
        </w:rPr>
        <w:t xml:space="preserve">its ES identify the </w:t>
      </w:r>
      <w:r w:rsidRPr="009753C3">
        <w:rPr>
          <w:noProof/>
          <w:szCs w:val="26"/>
        </w:rPr>
        <w:t xml:space="preserve">provision of the enabling legislation which </w:t>
      </w:r>
      <w:r>
        <w:rPr>
          <w:noProof/>
          <w:szCs w:val="26"/>
        </w:rPr>
        <w:t xml:space="preserve">authorises </w:t>
      </w:r>
      <w:r w:rsidRPr="009753C3">
        <w:rPr>
          <w:noProof/>
          <w:szCs w:val="26"/>
        </w:rPr>
        <w:t xml:space="preserve">the </w:t>
      </w:r>
      <w:r>
        <w:rPr>
          <w:noProof/>
          <w:szCs w:val="26"/>
        </w:rPr>
        <w:t xml:space="preserve">making of the </w:t>
      </w:r>
      <w:r w:rsidRPr="009753C3">
        <w:rPr>
          <w:noProof/>
          <w:szCs w:val="26"/>
        </w:rPr>
        <w:t>instrument, in the interests of promoting clarity and intelligibility of the instrument to anticipated users.</w:t>
      </w:r>
    </w:p>
    <w:p w:rsidR="002A5150" w:rsidRPr="009211E4" w:rsidRDefault="002A5150" w:rsidP="002A5150">
      <w:pPr>
        <w:rPr>
          <w:i/>
        </w:rPr>
      </w:pPr>
      <w:r w:rsidRPr="009211E4">
        <w:rPr>
          <w:b/>
          <w:i/>
          <w:noProof/>
        </w:rPr>
        <w:lastRenderedPageBreak/>
        <w:t>The committee request</w:t>
      </w:r>
      <w:r>
        <w:rPr>
          <w:b/>
          <w:i/>
          <w:noProof/>
        </w:rPr>
        <w:t>ed</w:t>
      </w:r>
      <w:r w:rsidRPr="009211E4">
        <w:rPr>
          <w:b/>
          <w:i/>
          <w:noProof/>
        </w:rPr>
        <w:t xml:space="preserve"> the advice of the minister in relation to th</w:t>
      </w:r>
      <w:r>
        <w:rPr>
          <w:b/>
          <w:i/>
          <w:noProof/>
        </w:rPr>
        <w:t>ese</w:t>
      </w:r>
      <w:r w:rsidRPr="009211E4">
        <w:rPr>
          <w:b/>
          <w:i/>
          <w:noProof/>
        </w:rPr>
        <w:t xml:space="preserve"> matter</w:t>
      </w:r>
      <w:r>
        <w:rPr>
          <w:b/>
          <w:i/>
          <w:noProof/>
        </w:rPr>
        <w:t>s</w:t>
      </w:r>
      <w:r w:rsidRPr="009211E4">
        <w:rPr>
          <w:b/>
          <w:i/>
          <w:noProof/>
        </w:rPr>
        <w:t>.</w:t>
      </w:r>
    </w:p>
    <w:p w:rsidR="002A5150" w:rsidRDefault="002A5150" w:rsidP="002A5150">
      <w:pPr>
        <w:rPr>
          <w:noProof/>
        </w:rPr>
      </w:pPr>
      <w:r w:rsidRPr="009A7DD8">
        <w:rPr>
          <w:b/>
          <w:noProof/>
        </w:rPr>
        <w:t>Minister's response</w:t>
      </w:r>
    </w:p>
    <w:p w:rsidR="002A5150" w:rsidRPr="005E7BE9" w:rsidRDefault="002A5150" w:rsidP="002A5150">
      <w:pPr>
        <w:pStyle w:val="Quote"/>
        <w:ind w:left="0"/>
        <w:rPr>
          <w:sz w:val="26"/>
          <w:szCs w:val="26"/>
        </w:rPr>
      </w:pPr>
      <w:r w:rsidRPr="005E7BE9">
        <w:rPr>
          <w:sz w:val="26"/>
          <w:szCs w:val="26"/>
        </w:rPr>
        <w:t xml:space="preserve">The Minister for </w:t>
      </w:r>
      <w:r>
        <w:rPr>
          <w:sz w:val="26"/>
          <w:szCs w:val="26"/>
        </w:rPr>
        <w:t>Foreign Affairs advised:</w:t>
      </w:r>
    </w:p>
    <w:p w:rsidR="002A5150" w:rsidRPr="005E7BE9" w:rsidRDefault="002A5150" w:rsidP="002A5150">
      <w:pPr>
        <w:pStyle w:val="Quote"/>
      </w:pPr>
      <w:r w:rsidRPr="005E7BE9">
        <w:t>The Australian Passports (Application Fees) Determination 2015 is made</w:t>
      </w:r>
      <w:r>
        <w:t xml:space="preserve"> </w:t>
      </w:r>
      <w:r w:rsidRPr="005E7BE9">
        <w:t xml:space="preserve">under section 8 of the </w:t>
      </w:r>
      <w:r w:rsidRPr="005E7BE9">
        <w:rPr>
          <w:i/>
        </w:rPr>
        <w:t xml:space="preserve">Australian Passports (Application Fees) Act 2005 </w:t>
      </w:r>
      <w:r w:rsidRPr="005E7BE9">
        <w:t>(the</w:t>
      </w:r>
      <w:r>
        <w:t xml:space="preserve"> </w:t>
      </w:r>
      <w:r w:rsidRPr="005E7BE9">
        <w:t>Application Fees Act). Section 8 gives the Minister the authority to specify</w:t>
      </w:r>
      <w:r>
        <w:t xml:space="preserve"> </w:t>
      </w:r>
      <w:r w:rsidRPr="005E7BE9">
        <w:t>any matters provided in the Application Fees Act in a determination; and</w:t>
      </w:r>
    </w:p>
    <w:p w:rsidR="002A5150" w:rsidRPr="005E7BE9" w:rsidRDefault="002A5150" w:rsidP="002A5150">
      <w:pPr>
        <w:pStyle w:val="Quote"/>
      </w:pPr>
      <w:r w:rsidRPr="005E7BE9">
        <w:t>The Foreign Passports (Law Enforcement and Security) Determination 2015</w:t>
      </w:r>
      <w:r>
        <w:t xml:space="preserve"> </w:t>
      </w:r>
      <w:r w:rsidRPr="005E7BE9">
        <w:t xml:space="preserve">is made under section 24 of the </w:t>
      </w:r>
      <w:r w:rsidRPr="005E7BE9">
        <w:rPr>
          <w:i/>
        </w:rPr>
        <w:t>Foreign Passports (Law Enforcement and Security) Act 2005</w:t>
      </w:r>
      <w:r w:rsidRPr="005E7BE9">
        <w:t xml:space="preserve"> (the Foreign Passports Act). Section 24 gives the Minister</w:t>
      </w:r>
      <w:r>
        <w:t xml:space="preserve"> </w:t>
      </w:r>
      <w:r w:rsidRPr="005E7BE9">
        <w:t>the authority to specify any matters provided in the Foreign Passports Act in</w:t>
      </w:r>
      <w:r>
        <w:t xml:space="preserve"> </w:t>
      </w:r>
      <w:r w:rsidRPr="005E7BE9">
        <w:t>a determination.</w:t>
      </w:r>
    </w:p>
    <w:p w:rsidR="002A5150" w:rsidRDefault="002A5150" w:rsidP="002A5150">
      <w:pPr>
        <w:pStyle w:val="Quote"/>
        <w:ind w:left="0"/>
        <w:rPr>
          <w:b/>
          <w:sz w:val="26"/>
          <w:szCs w:val="26"/>
        </w:rPr>
      </w:pPr>
      <w:r w:rsidRPr="001B7D19">
        <w:rPr>
          <w:b/>
          <w:sz w:val="26"/>
          <w:szCs w:val="26"/>
        </w:rPr>
        <w:t>Committee's response</w:t>
      </w:r>
    </w:p>
    <w:p w:rsidR="002A5150" w:rsidRDefault="002A5150" w:rsidP="002A5150">
      <w:pPr>
        <w:rPr>
          <w:b/>
        </w:rPr>
      </w:pPr>
      <w:r w:rsidRPr="00FC2AAD">
        <w:rPr>
          <w:b/>
        </w:rPr>
        <w:t xml:space="preserve">The committee thanks the </w:t>
      </w:r>
      <w:r>
        <w:rPr>
          <w:b/>
        </w:rPr>
        <w:t xml:space="preserve">minister for her </w:t>
      </w:r>
      <w:r w:rsidRPr="00FC2AAD">
        <w:rPr>
          <w:b/>
        </w:rPr>
        <w:t>response and has concluded its examination of the instrument</w:t>
      </w:r>
      <w:r>
        <w:rPr>
          <w:b/>
        </w:rPr>
        <w:t>s</w:t>
      </w:r>
      <w:r w:rsidRPr="00FC2AAD">
        <w:rPr>
          <w:b/>
        </w:rPr>
        <w:t>.</w:t>
      </w:r>
    </w:p>
    <w:p w:rsidR="002A5150" w:rsidRDefault="002A5150" w:rsidP="002A5150">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rPr>
                <w:sz w:val="24"/>
                <w:szCs w:val="24"/>
              </w:rPr>
            </w:pPr>
            <w:r w:rsidRPr="00E73D2B">
              <w:rPr>
                <w:noProof/>
                <w:sz w:val="24"/>
                <w:szCs w:val="24"/>
              </w:rPr>
              <w:t>Autonomous Sanctions Amendment (Sanctioned Commercial Activity—Russia) Regulation 2015 [F2015L00946]</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Amends the Autonomous Sanctions Regulations 2011 to clarify the definition of 'sanctioned commercial activity'</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Pr>
                <w:noProof/>
                <w:sz w:val="24"/>
                <w:szCs w:val="24"/>
              </w:rPr>
              <w:t>17 September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rPr>
                <w:i/>
                <w:sz w:val="24"/>
                <w:szCs w:val="24"/>
              </w:rPr>
            </w:pPr>
            <w:r w:rsidRPr="00E73D2B">
              <w:rPr>
                <w:i/>
                <w:noProof/>
                <w:sz w:val="24"/>
                <w:szCs w:val="24"/>
              </w:rPr>
              <w:t>Autonomous Sanctions Act 2011</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Foreign Affairs and Trade</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noProof/>
                <w:sz w:val="24"/>
                <w:szCs w:val="24"/>
              </w:rPr>
              <w:t>Standing Order 23(3)(a</w:t>
            </w:r>
            <w:r w:rsidRPr="00F679B2">
              <w:rPr>
                <w:noProof/>
                <w:sz w:val="24"/>
                <w:szCs w:val="24"/>
              </w:rPr>
              <w:t>)</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sidRPr="003C6D44">
              <w:rPr>
                <w:noProof/>
                <w:sz w:val="24"/>
                <w:szCs w:val="24"/>
              </w:rPr>
              <w:t xml:space="preserve">No. </w:t>
            </w:r>
            <w:r>
              <w:rPr>
                <w:noProof/>
                <w:sz w:val="24"/>
                <w:szCs w:val="24"/>
              </w:rPr>
              <w:t>8</w:t>
            </w:r>
            <w:r w:rsidRPr="003C6D44">
              <w:rPr>
                <w:noProof/>
                <w:sz w:val="24"/>
                <w:szCs w:val="24"/>
              </w:rPr>
              <w:t xml:space="preserve"> of 2015</w:t>
            </w:r>
          </w:p>
        </w:tc>
      </w:tr>
    </w:tbl>
    <w:p w:rsidR="002A5150" w:rsidRDefault="002A5150" w:rsidP="002A5150"/>
    <w:p w:rsidR="002A5150" w:rsidRPr="00636938" w:rsidRDefault="002A5150" w:rsidP="002A5150">
      <w:pPr>
        <w:rPr>
          <w:b/>
        </w:rPr>
      </w:pPr>
      <w:r w:rsidRPr="00636938">
        <w:rPr>
          <w:b/>
        </w:rPr>
        <w:t>No description of consultation</w:t>
      </w:r>
    </w:p>
    <w:p w:rsidR="002A5150" w:rsidRDefault="002A5150" w:rsidP="002A5150">
      <w:r>
        <w:rPr>
          <w:noProof/>
        </w:rPr>
        <w:t xml:space="preserve">The committee commented as follows: </w:t>
      </w:r>
      <w:r>
        <w:t xml:space="preserve">Section 17 of the </w:t>
      </w:r>
      <w:r w:rsidRPr="00636938">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w:t>
      </w:r>
      <w:r>
        <w:lastRenderedPageBreak/>
        <w:t>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2A5150" w:rsidRDefault="002A5150" w:rsidP="002A5150">
      <w:r>
        <w:t>The committee's expectations in this regard are set out in the guideline on consultation contained in Appendix 2.</w:t>
      </w:r>
    </w:p>
    <w:p w:rsidR="002A5150" w:rsidRDefault="002A5150" w:rsidP="002A5150">
      <w:pPr>
        <w:rPr>
          <w:b/>
        </w:rPr>
      </w:pPr>
      <w:r w:rsidRPr="00C2439F">
        <w:rPr>
          <w:b/>
          <w:i/>
        </w:rPr>
        <w:t>The committee request</w:t>
      </w:r>
      <w:r>
        <w:rPr>
          <w:b/>
          <w:i/>
        </w:rPr>
        <w:t>ed</w:t>
      </w:r>
      <w:r w:rsidRPr="00C2439F">
        <w:rPr>
          <w:b/>
          <w:i/>
        </w:rPr>
        <w:t xml:space="preserve"> the advice of the minister in relation to this matter; and request</w:t>
      </w:r>
      <w:r>
        <w:rPr>
          <w:b/>
          <w:i/>
        </w:rPr>
        <w:t>ed</w:t>
      </w:r>
      <w:r w:rsidRPr="00C2439F">
        <w:rPr>
          <w:b/>
          <w:i/>
        </w:rPr>
        <w:t xml:space="preserve"> that the ES be updated in accordance with the requirements of the Legislative Instruments Act 2003</w:t>
      </w:r>
      <w:r w:rsidRPr="00636938">
        <w:rPr>
          <w:b/>
        </w:rPr>
        <w:t>.</w:t>
      </w:r>
    </w:p>
    <w:p w:rsidR="002A5150" w:rsidRDefault="002A5150" w:rsidP="002A5150">
      <w:pPr>
        <w:rPr>
          <w:b/>
        </w:rPr>
      </w:pPr>
      <w:r w:rsidRPr="00035C4F">
        <w:rPr>
          <w:b/>
        </w:rPr>
        <w:t>Minister's response</w:t>
      </w:r>
    </w:p>
    <w:p w:rsidR="002A5150" w:rsidRDefault="002A5150" w:rsidP="002A5150">
      <w:pPr>
        <w:pStyle w:val="Level1"/>
        <w:numPr>
          <w:ilvl w:val="0"/>
          <w:numId w:val="0"/>
        </w:numPr>
      </w:pPr>
      <w:r>
        <w:t>The Minister for Foreign Affairs advised:</w:t>
      </w:r>
    </w:p>
    <w:p w:rsidR="002A5150" w:rsidRDefault="002A5150" w:rsidP="002A5150">
      <w:pPr>
        <w:pStyle w:val="Quote"/>
      </w:pPr>
      <w:r>
        <w:t>The Regulation corrected a minor drafting error in in the Autonomous Sanctions Amendment (Russia, Crimea and Sevastopol) Regulation 2015, which had been subject to a public consultation process in 2014. The Department of Foreign Affairs and Trade conducts regular outreach to the Australian business community to explain Australian sanction laws.</w:t>
      </w:r>
    </w:p>
    <w:p w:rsidR="002A5150" w:rsidRDefault="002A5150" w:rsidP="002A5150">
      <w:r>
        <w:t>The minister further advised that the ES for the instrument had been updated as follows:</w:t>
      </w:r>
    </w:p>
    <w:p w:rsidR="002A5150" w:rsidRDefault="002A5150" w:rsidP="002A5150">
      <w:pPr>
        <w:pStyle w:val="Quote"/>
      </w:pPr>
      <w:r>
        <w:t xml:space="preserve">No public consultation was undertaken in relation to the Proposed Regulation because it merely clarifies a point of drafting in the </w:t>
      </w:r>
      <w:r>
        <w:rPr>
          <w:i/>
        </w:rPr>
        <w:t>Autonomous Sanctions Amendment (Russia, Crimea and Sevastopol) Regulation 2015</w:t>
      </w:r>
      <w:r>
        <w:t>, which regulation was subject to a public consultation process.  The Department of Foreign Affairs and Trade conducts regular outreach to the Australian business community to explain Australian sanction laws.</w:t>
      </w:r>
    </w:p>
    <w:p w:rsidR="002A5150" w:rsidRDefault="002A5150" w:rsidP="002A5150">
      <w:pPr>
        <w:pStyle w:val="Quote"/>
        <w:ind w:left="0"/>
        <w:rPr>
          <w:b/>
          <w:sz w:val="26"/>
          <w:szCs w:val="26"/>
        </w:rPr>
      </w:pPr>
      <w:r w:rsidRPr="001B7D19">
        <w:rPr>
          <w:b/>
          <w:sz w:val="26"/>
          <w:szCs w:val="26"/>
        </w:rPr>
        <w:t>Committee's response</w:t>
      </w:r>
    </w:p>
    <w:p w:rsidR="002A5150" w:rsidRDefault="002A5150" w:rsidP="002A5150">
      <w:pPr>
        <w:rPr>
          <w:b/>
        </w:rPr>
      </w:pPr>
      <w:r w:rsidRPr="00FC2AAD">
        <w:rPr>
          <w:b/>
        </w:rPr>
        <w:t xml:space="preserve">The committee thanks the </w:t>
      </w:r>
      <w:r>
        <w:rPr>
          <w:b/>
        </w:rPr>
        <w:t xml:space="preserve">minister for her </w:t>
      </w:r>
      <w:r w:rsidRPr="00FC2AAD">
        <w:rPr>
          <w:b/>
        </w:rPr>
        <w:t>response and has concluded its examination of the instrument.</w:t>
      </w:r>
    </w:p>
    <w:p w:rsidR="002A5150" w:rsidRDefault="002A5150" w:rsidP="002A5150"/>
    <w:tbl>
      <w:tblPr>
        <w:tblW w:w="0" w:type="auto"/>
        <w:tblInd w:w="108" w:type="dxa"/>
        <w:tblLook w:val="04A0" w:firstRow="1" w:lastRow="0" w:firstColumn="1" w:lastColumn="0" w:noHBand="0" w:noVBand="1"/>
      </w:tblPr>
      <w:tblGrid>
        <w:gridCol w:w="2694"/>
        <w:gridCol w:w="6378"/>
      </w:tblGrid>
      <w:tr w:rsidR="002A5150" w:rsidRPr="00F679B2" w:rsidTr="004923B3">
        <w:tc>
          <w:tcPr>
            <w:tcW w:w="2694" w:type="dxa"/>
            <w:tcBorders>
              <w:top w:val="single" w:sz="12" w:space="0" w:color="auto"/>
              <w:right w:val="single" w:sz="12" w:space="0" w:color="auto"/>
            </w:tcBorders>
          </w:tcPr>
          <w:p w:rsidR="002A5150" w:rsidRPr="00F679B2" w:rsidRDefault="002A5150" w:rsidP="004923B3">
            <w:pPr>
              <w:rPr>
                <w:b/>
                <w:sz w:val="24"/>
                <w:szCs w:val="24"/>
              </w:rPr>
            </w:pPr>
            <w:r w:rsidRPr="00F679B2">
              <w:rPr>
                <w:b/>
                <w:sz w:val="24"/>
                <w:szCs w:val="24"/>
              </w:rPr>
              <w:t>Instrument</w:t>
            </w:r>
          </w:p>
        </w:tc>
        <w:tc>
          <w:tcPr>
            <w:tcW w:w="6378" w:type="dxa"/>
            <w:tcBorders>
              <w:top w:val="single" w:sz="12" w:space="0" w:color="auto"/>
              <w:left w:val="single" w:sz="12" w:space="0" w:color="auto"/>
            </w:tcBorders>
          </w:tcPr>
          <w:p w:rsidR="002A5150" w:rsidRPr="00F679B2" w:rsidRDefault="002A5150" w:rsidP="004923B3">
            <w:pPr>
              <w:pStyle w:val="Heading3"/>
              <w:rPr>
                <w:sz w:val="24"/>
                <w:szCs w:val="24"/>
              </w:rPr>
            </w:pPr>
            <w:r w:rsidRPr="00F679B2">
              <w:rPr>
                <w:noProof/>
                <w:sz w:val="24"/>
                <w:szCs w:val="24"/>
              </w:rPr>
              <w:t>Comptroller-General of Customs (Places of Detention) Directions 2015 [F2015L00891]</w:t>
            </w:r>
          </w:p>
        </w:tc>
      </w:tr>
      <w:tr w:rsidR="002A5150" w:rsidRPr="00F679B2" w:rsidTr="004923B3">
        <w:tc>
          <w:tcPr>
            <w:tcW w:w="2694" w:type="dxa"/>
            <w:tcBorders>
              <w:right w:val="single" w:sz="12" w:space="0" w:color="auto"/>
            </w:tcBorders>
          </w:tcPr>
          <w:p w:rsidR="002A5150" w:rsidRPr="00F679B2" w:rsidRDefault="002A5150" w:rsidP="004923B3">
            <w:pPr>
              <w:rPr>
                <w:b/>
                <w:sz w:val="24"/>
                <w:szCs w:val="24"/>
              </w:rPr>
            </w:pPr>
            <w:r w:rsidRPr="00F679B2">
              <w:rPr>
                <w:b/>
                <w:sz w:val="24"/>
                <w:szCs w:val="24"/>
              </w:rPr>
              <w:t>Purpose</w:t>
            </w:r>
          </w:p>
        </w:tc>
        <w:tc>
          <w:tcPr>
            <w:tcW w:w="6378" w:type="dxa"/>
            <w:tcBorders>
              <w:left w:val="single" w:sz="12" w:space="0" w:color="auto"/>
            </w:tcBorders>
          </w:tcPr>
          <w:p w:rsidR="002A5150" w:rsidRPr="00F679B2" w:rsidRDefault="002A5150" w:rsidP="004923B3">
            <w:pPr>
              <w:rPr>
                <w:sz w:val="24"/>
                <w:szCs w:val="24"/>
              </w:rPr>
            </w:pPr>
            <w:r w:rsidRPr="00F679B2">
              <w:rPr>
                <w:noProof/>
                <w:sz w:val="24"/>
                <w:szCs w:val="24"/>
              </w:rPr>
              <w:t xml:space="preserve">Identifies places which an officer is permitted to detain a person and specifies other matters relating to the detention of persons under </w:t>
            </w:r>
            <w:r>
              <w:rPr>
                <w:noProof/>
                <w:sz w:val="24"/>
                <w:szCs w:val="24"/>
              </w:rPr>
              <w:t>paragraph</w:t>
            </w:r>
            <w:r w:rsidRPr="00F679B2">
              <w:rPr>
                <w:noProof/>
                <w:sz w:val="24"/>
                <w:szCs w:val="24"/>
              </w:rPr>
              <w:t xml:space="preserve"> 219ZJE(1)(a) of the </w:t>
            </w:r>
            <w:r w:rsidRPr="004F7DA5">
              <w:rPr>
                <w:i/>
                <w:noProof/>
                <w:sz w:val="24"/>
                <w:szCs w:val="24"/>
              </w:rPr>
              <w:t>Customs Act 1901</w:t>
            </w:r>
          </w:p>
        </w:tc>
      </w:tr>
      <w:tr w:rsidR="002A5150" w:rsidRPr="00F679B2" w:rsidTr="004923B3">
        <w:tc>
          <w:tcPr>
            <w:tcW w:w="2694" w:type="dxa"/>
            <w:tcBorders>
              <w:right w:val="single" w:sz="12" w:space="0" w:color="auto"/>
            </w:tcBorders>
          </w:tcPr>
          <w:p w:rsidR="002A5150" w:rsidRPr="00F679B2" w:rsidRDefault="002A5150" w:rsidP="004923B3">
            <w:pPr>
              <w:rPr>
                <w:b/>
                <w:sz w:val="24"/>
                <w:szCs w:val="24"/>
              </w:rPr>
            </w:pPr>
            <w:r w:rsidRPr="00F679B2">
              <w:rPr>
                <w:b/>
                <w:sz w:val="24"/>
                <w:szCs w:val="24"/>
              </w:rPr>
              <w:t>Last day to disallow</w:t>
            </w:r>
          </w:p>
        </w:tc>
        <w:tc>
          <w:tcPr>
            <w:tcW w:w="6378" w:type="dxa"/>
            <w:tcBorders>
              <w:left w:val="single" w:sz="12" w:space="0" w:color="auto"/>
            </w:tcBorders>
          </w:tcPr>
          <w:p w:rsidR="002A5150" w:rsidRPr="00F679B2" w:rsidRDefault="002A5150" w:rsidP="004923B3">
            <w:pPr>
              <w:rPr>
                <w:sz w:val="24"/>
                <w:szCs w:val="24"/>
              </w:rPr>
            </w:pPr>
            <w:r>
              <w:rPr>
                <w:noProof/>
                <w:sz w:val="24"/>
                <w:szCs w:val="24"/>
              </w:rPr>
              <w:t>17 September 2015</w:t>
            </w:r>
          </w:p>
        </w:tc>
      </w:tr>
      <w:tr w:rsidR="002A5150" w:rsidRPr="00F679B2" w:rsidTr="004923B3">
        <w:tc>
          <w:tcPr>
            <w:tcW w:w="2694" w:type="dxa"/>
            <w:tcBorders>
              <w:right w:val="single" w:sz="12" w:space="0" w:color="auto"/>
            </w:tcBorders>
          </w:tcPr>
          <w:p w:rsidR="002A5150" w:rsidRPr="00F679B2" w:rsidRDefault="002A5150" w:rsidP="004923B3">
            <w:pPr>
              <w:rPr>
                <w:b/>
                <w:sz w:val="24"/>
                <w:szCs w:val="24"/>
              </w:rPr>
            </w:pPr>
            <w:r w:rsidRPr="00F679B2">
              <w:rPr>
                <w:b/>
                <w:sz w:val="24"/>
                <w:szCs w:val="24"/>
              </w:rPr>
              <w:lastRenderedPageBreak/>
              <w:t>Authorising legislation</w:t>
            </w:r>
          </w:p>
        </w:tc>
        <w:tc>
          <w:tcPr>
            <w:tcW w:w="6378" w:type="dxa"/>
            <w:tcBorders>
              <w:left w:val="single" w:sz="12" w:space="0" w:color="auto"/>
            </w:tcBorders>
          </w:tcPr>
          <w:p w:rsidR="002A5150" w:rsidRPr="00F679B2" w:rsidRDefault="002A5150" w:rsidP="004923B3">
            <w:pPr>
              <w:rPr>
                <w:i/>
                <w:sz w:val="24"/>
                <w:szCs w:val="24"/>
              </w:rPr>
            </w:pPr>
            <w:r w:rsidRPr="00F679B2">
              <w:rPr>
                <w:i/>
                <w:noProof/>
                <w:sz w:val="24"/>
                <w:szCs w:val="24"/>
              </w:rPr>
              <w:t>Customs Act 1901</w:t>
            </w:r>
          </w:p>
        </w:tc>
      </w:tr>
      <w:tr w:rsidR="002A5150" w:rsidRPr="00F679B2" w:rsidTr="004923B3">
        <w:tc>
          <w:tcPr>
            <w:tcW w:w="2694" w:type="dxa"/>
            <w:tcBorders>
              <w:right w:val="single" w:sz="12" w:space="0" w:color="auto"/>
            </w:tcBorders>
          </w:tcPr>
          <w:p w:rsidR="002A5150" w:rsidRPr="00F679B2" w:rsidRDefault="002A5150" w:rsidP="004923B3">
            <w:pPr>
              <w:rPr>
                <w:b/>
                <w:sz w:val="24"/>
                <w:szCs w:val="24"/>
              </w:rPr>
            </w:pPr>
            <w:r w:rsidRPr="00F679B2">
              <w:rPr>
                <w:b/>
                <w:sz w:val="24"/>
                <w:szCs w:val="24"/>
              </w:rPr>
              <w:t>Department</w:t>
            </w:r>
          </w:p>
        </w:tc>
        <w:tc>
          <w:tcPr>
            <w:tcW w:w="6378" w:type="dxa"/>
            <w:tcBorders>
              <w:left w:val="single" w:sz="12" w:space="0" w:color="auto"/>
            </w:tcBorders>
          </w:tcPr>
          <w:p w:rsidR="002A5150" w:rsidRPr="00F679B2" w:rsidRDefault="002A5150" w:rsidP="004923B3">
            <w:pPr>
              <w:rPr>
                <w:sz w:val="24"/>
                <w:szCs w:val="24"/>
              </w:rPr>
            </w:pPr>
            <w:r w:rsidRPr="00F679B2">
              <w:rPr>
                <w:noProof/>
                <w:sz w:val="24"/>
                <w:szCs w:val="24"/>
              </w:rPr>
              <w:t>Immigration and Border Protection</w:t>
            </w:r>
          </w:p>
        </w:tc>
      </w:tr>
      <w:tr w:rsidR="002A5150" w:rsidRPr="00F679B2" w:rsidTr="004923B3">
        <w:tc>
          <w:tcPr>
            <w:tcW w:w="2694" w:type="dxa"/>
            <w:tcBorders>
              <w:right w:val="single" w:sz="12" w:space="0" w:color="auto"/>
            </w:tcBorders>
          </w:tcPr>
          <w:p w:rsidR="002A5150" w:rsidRPr="00F679B2" w:rsidRDefault="002A5150" w:rsidP="004923B3">
            <w:pPr>
              <w:rPr>
                <w:b/>
                <w:sz w:val="24"/>
                <w:szCs w:val="24"/>
              </w:rPr>
            </w:pPr>
            <w:r w:rsidRPr="00F679B2">
              <w:rPr>
                <w:b/>
                <w:sz w:val="24"/>
                <w:szCs w:val="24"/>
              </w:rPr>
              <w:t>Scrutiny principle</w:t>
            </w:r>
          </w:p>
        </w:tc>
        <w:tc>
          <w:tcPr>
            <w:tcW w:w="6378" w:type="dxa"/>
            <w:tcBorders>
              <w:left w:val="single" w:sz="12" w:space="0" w:color="auto"/>
            </w:tcBorders>
          </w:tcPr>
          <w:p w:rsidR="002A5150" w:rsidRPr="00F679B2" w:rsidRDefault="002A5150" w:rsidP="004923B3">
            <w:pPr>
              <w:rPr>
                <w:sz w:val="24"/>
                <w:szCs w:val="24"/>
              </w:rPr>
            </w:pPr>
            <w:r w:rsidRPr="00F679B2">
              <w:rPr>
                <w:noProof/>
                <w:sz w:val="24"/>
                <w:szCs w:val="24"/>
              </w:rPr>
              <w:t>S</w:t>
            </w:r>
            <w:r>
              <w:rPr>
                <w:noProof/>
                <w:sz w:val="24"/>
                <w:szCs w:val="24"/>
              </w:rPr>
              <w:t>tanding Order</w:t>
            </w:r>
            <w:r w:rsidRPr="00F679B2">
              <w:rPr>
                <w:noProof/>
                <w:sz w:val="24"/>
                <w:szCs w:val="24"/>
              </w:rPr>
              <w:t xml:space="preserve"> 23(</w:t>
            </w:r>
            <w:r>
              <w:rPr>
                <w:noProof/>
                <w:sz w:val="24"/>
                <w:szCs w:val="24"/>
              </w:rPr>
              <w:t>3</w:t>
            </w:r>
            <w:r w:rsidRPr="00F679B2">
              <w:rPr>
                <w:noProof/>
                <w:sz w:val="24"/>
                <w:szCs w:val="24"/>
              </w:rPr>
              <w:t>)(b)</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8</w:t>
            </w:r>
            <w:r w:rsidRPr="003C6D44">
              <w:rPr>
                <w:noProof/>
                <w:sz w:val="24"/>
                <w:szCs w:val="24"/>
              </w:rPr>
              <w:t xml:space="preserve"> of 2015</w:t>
            </w:r>
          </w:p>
        </w:tc>
      </w:tr>
    </w:tbl>
    <w:p w:rsidR="002A5150" w:rsidRDefault="002A5150" w:rsidP="002A5150"/>
    <w:p w:rsidR="002A5150" w:rsidRDefault="002A5150" w:rsidP="002A5150">
      <w:r>
        <w:br w:type="page"/>
      </w:r>
    </w:p>
    <w:p w:rsidR="002A5150" w:rsidRPr="00636938" w:rsidRDefault="002A5150" w:rsidP="002A5150">
      <w:pPr>
        <w:rPr>
          <w:b/>
        </w:rPr>
      </w:pPr>
      <w:r w:rsidRPr="00F679B2">
        <w:rPr>
          <w:b/>
        </w:rPr>
        <w:lastRenderedPageBreak/>
        <w:t>Undue trespass on personal rights</w:t>
      </w:r>
      <w:r>
        <w:rPr>
          <w:b/>
        </w:rPr>
        <w:t xml:space="preserve"> and liberties</w:t>
      </w:r>
    </w:p>
    <w:p w:rsidR="002A5150" w:rsidRDefault="002A5150" w:rsidP="002A5150">
      <w:r>
        <w:rPr>
          <w:noProof/>
        </w:rPr>
        <w:t xml:space="preserve">The committee commented as follows: </w:t>
      </w:r>
      <w:r>
        <w:t xml:space="preserve">This instrument specifies </w:t>
      </w:r>
      <w:r w:rsidRPr="001008E6">
        <w:t xml:space="preserve">places </w:t>
      </w:r>
      <w:r>
        <w:t xml:space="preserve">where </w:t>
      </w:r>
      <w:r w:rsidRPr="001008E6">
        <w:t xml:space="preserve">an officer is permitted to detain a person and specifies other matters relating to the detention of persons under </w:t>
      </w:r>
      <w:r>
        <w:t>paragraph </w:t>
      </w:r>
      <w:r w:rsidRPr="001008E6">
        <w:t xml:space="preserve">219ZJE(1)(a) of the </w:t>
      </w:r>
      <w:r w:rsidRPr="004F7DA5">
        <w:rPr>
          <w:i/>
        </w:rPr>
        <w:t>Customs Act 1901</w:t>
      </w:r>
      <w:r>
        <w:t>.</w:t>
      </w:r>
    </w:p>
    <w:p w:rsidR="002A5150" w:rsidRDefault="002A5150" w:rsidP="002A5150">
      <w:pPr>
        <w:spacing w:before="80" w:after="80"/>
      </w:pPr>
      <w:r w:rsidRPr="00F679B2">
        <w:t xml:space="preserve">Item 1 of the </w:t>
      </w:r>
      <w:r>
        <w:t xml:space="preserve">instrument </w:t>
      </w:r>
      <w:r w:rsidRPr="00F679B2">
        <w:t>provide</w:t>
      </w:r>
      <w:r>
        <w:t>s</w:t>
      </w:r>
      <w:r w:rsidRPr="00F679B2">
        <w:t xml:space="preserve"> that a person must be detained in a room that meets certain standards or</w:t>
      </w:r>
      <w:r>
        <w:t>,</w:t>
      </w:r>
      <w:r w:rsidRPr="00F679B2">
        <w:t xml:space="preserve"> if no such room is convenient and suitable, an Au</w:t>
      </w:r>
      <w:r>
        <w:t>stralian Border Force vehicle. Item 2 of the instrument provides that, for the purposes of paragraph </w:t>
      </w:r>
      <w:r w:rsidRPr="00F679B2">
        <w:t xml:space="preserve">219ZJE(1)(b) of the </w:t>
      </w:r>
      <w:r w:rsidRPr="00F679B2">
        <w:rPr>
          <w:i/>
        </w:rPr>
        <w:t>Customs Act</w:t>
      </w:r>
      <w:r>
        <w:t xml:space="preserve"> </w:t>
      </w:r>
      <w:r w:rsidRPr="004F7DA5">
        <w:rPr>
          <w:i/>
        </w:rPr>
        <w:t>1901</w:t>
      </w:r>
      <w:r w:rsidRPr="00F679B2">
        <w:t>, if a</w:t>
      </w:r>
      <w:r>
        <w:t xml:space="preserve"> Customs</w:t>
      </w:r>
      <w:r w:rsidRPr="00F679B2">
        <w:t xml:space="preserve"> officer conducts a search before taking a person to </w:t>
      </w:r>
      <w:r>
        <w:t xml:space="preserve">a </w:t>
      </w:r>
      <w:r w:rsidRPr="00F679B2">
        <w:t xml:space="preserve">place mentioned in item 1 of the </w:t>
      </w:r>
      <w:r>
        <w:t>d</w:t>
      </w:r>
      <w:r w:rsidRPr="00F679B2">
        <w:t xml:space="preserve">irection, the officer conducting the search must afford the detainee as much personal privacy </w:t>
      </w:r>
      <w:r>
        <w:t>'</w:t>
      </w:r>
      <w:r w:rsidRPr="00F679B2">
        <w:t>as the circumstances of the search allow</w:t>
      </w:r>
      <w:r>
        <w:t>'</w:t>
      </w:r>
      <w:r w:rsidRPr="00F679B2">
        <w:t>.</w:t>
      </w:r>
    </w:p>
    <w:p w:rsidR="002A5150" w:rsidRDefault="002A5150" w:rsidP="002A5150">
      <w:pPr>
        <w:spacing w:before="80" w:after="80"/>
      </w:pPr>
      <w:r>
        <w:t>Standing Order 23, s</w:t>
      </w:r>
      <w:r w:rsidRPr="00211EAF">
        <w:t xml:space="preserve">crutiny principle </w:t>
      </w:r>
      <w:r>
        <w:t>(3)</w:t>
      </w:r>
      <w:r w:rsidRPr="00211EAF">
        <w:t xml:space="preserve">(b) requires the committee to ensure that an instrument does not 'unduly trespass' on personal rights and liberties. In this case, </w:t>
      </w:r>
      <w:r>
        <w:t xml:space="preserve">the committee notes that the requirement </w:t>
      </w:r>
      <w:r w:rsidRPr="00211EAF">
        <w:t xml:space="preserve">to allow a </w:t>
      </w:r>
      <w:r>
        <w:t>detainee as much privacy 'as the circumstances of the search allow' lacks definition,</w:t>
      </w:r>
      <w:r w:rsidRPr="00211EAF">
        <w:t xml:space="preserve"> </w:t>
      </w:r>
      <w:r>
        <w:t>and would appear to provide a broad discretion to an officer conducting a search in relation to the extent of privacy afforded to a person subject to a search. It is therefore unclear whether the instrument unduly trespasses on the personal rights and liberties of persons affected by the instrument.</w:t>
      </w:r>
    </w:p>
    <w:p w:rsidR="002A5150" w:rsidRPr="00506D86" w:rsidRDefault="002A5150" w:rsidP="002A5150">
      <w:pPr>
        <w:rPr>
          <w:b/>
          <w:i/>
        </w:rPr>
      </w:pPr>
      <w:r w:rsidRPr="00506D86">
        <w:rPr>
          <w:b/>
          <w:i/>
        </w:rPr>
        <w:t>The committee request</w:t>
      </w:r>
      <w:r>
        <w:rPr>
          <w:b/>
          <w:i/>
        </w:rPr>
        <w:t>ed</w:t>
      </w:r>
      <w:r w:rsidRPr="00506D86">
        <w:rPr>
          <w:b/>
          <w:i/>
        </w:rPr>
        <w:t xml:space="preserve"> the advice of the minister in relation to this matter.</w:t>
      </w:r>
    </w:p>
    <w:p w:rsidR="002A5150" w:rsidRDefault="002A5150" w:rsidP="002A5150">
      <w:pPr>
        <w:rPr>
          <w:b/>
        </w:rPr>
      </w:pPr>
      <w:r w:rsidRPr="00035C4F">
        <w:rPr>
          <w:b/>
        </w:rPr>
        <w:t>Minister's response</w:t>
      </w:r>
    </w:p>
    <w:p w:rsidR="002A5150" w:rsidRDefault="002A5150" w:rsidP="002A5150">
      <w:r>
        <w:t>The Minister for Immigration and Border Protection advised:</w:t>
      </w:r>
    </w:p>
    <w:p w:rsidR="002A5150" w:rsidRDefault="002A5150" w:rsidP="002A5150">
      <w:pPr>
        <w:pStyle w:val="Quote"/>
        <w:spacing w:after="80"/>
      </w:pPr>
      <w:r>
        <w:t xml:space="preserve">The instrument refers to the Comptroller-General of Customs giving a direction on the places of detention available to officers when a person is detained under Division 1 BA of Part XII of the </w:t>
      </w:r>
      <w:r w:rsidRPr="00506D86">
        <w:rPr>
          <w:i/>
        </w:rPr>
        <w:t>Customs Act 1901</w:t>
      </w:r>
      <w:r>
        <w:t xml:space="preserve"> (Customs Act) (item 1 of the direction) and the privacy afforded a detained persons who may be searched under section 219ZJD of the Customs Act (item 2 of the direction). Division 1 BA relates to detention and search of persons for the purposes for law enforcement cooperation.</w:t>
      </w:r>
    </w:p>
    <w:p w:rsidR="002A5150" w:rsidRDefault="002A5150" w:rsidP="002A5150">
      <w:pPr>
        <w:pStyle w:val="Quote"/>
        <w:spacing w:after="80"/>
      </w:pPr>
      <w:r>
        <w:t>Officers receive extensive training in relation to their duties which includes regular training in relation to personal search powers. This training includes the procedures that must be followed and provides guidance on officers' obligations to ensure the highest standards of care, wellbeing and privacy considerations of the person.</w:t>
      </w:r>
    </w:p>
    <w:p w:rsidR="002A5150" w:rsidRDefault="002A5150" w:rsidP="002A5150">
      <w:pPr>
        <w:pStyle w:val="Quote"/>
        <w:spacing w:after="80"/>
      </w:pPr>
      <w:r>
        <w:t xml:space="preserve">Provisions in Division 1 BA of Part XII of the Customs Act allow officers to detain a person in certain circumstances. For example, section 219ZJB applies where a person is in a designated place (including gazetted airports and ports, and boarding stations) and the officer has reasonable grounds to suspect that the person has committed, or is committing, a serious commonwealth offence or a prescribed state or territory offence. Officers can detain the person and conduct a search of persons detained under section 219ZJD of the Act. This section allows officers to conduct a frisk or ordinary search of the person, to search the clothing that the person is </w:t>
      </w:r>
      <w:r>
        <w:lastRenderedPageBreak/>
        <w:t>wearing and any property under the person's immediate control. A search under this Division is for the purposes of determining whether a weapon or thing capable of inflicting harm is concealed on the person or in the persons clothing or property; or to prevent the concealment, loss or destruction of evidence relating to an offence; or preventing the concealment, loss or destruction of material of interest for national security or the security of a foreign country. Under section 219ZJD of the Act, a search must be conducted as soon as practicable after the person is detained; and by an officer of the same sex as the detained person. Persons who identify as transgender are consulted as to their preference for a male or female officer to conduct the search.</w:t>
      </w:r>
    </w:p>
    <w:p w:rsidR="002A5150" w:rsidRDefault="002A5150" w:rsidP="002A5150">
      <w:pPr>
        <w:pStyle w:val="Quote"/>
      </w:pPr>
      <w:r>
        <w:t>The level of privacy that may be afforded a detainee who is the subject of a personal search will depend on the location of the detention. Major airports and seaports have designated rooms available for detention and the personal search of detainees. These rooms are closed off from public view and will afford a detainee a higher level of personal privacy while being searched. However, regional airports and seaports may lack identical infrastructure. While a person may be initially detained at such places, the final detention place may be some distance from the initial detention place. In these circumstances, it may preferable to conduct the personal search at the initial detention place and before the final detention space, for example to ensure officer safety. In all circumstances, therefore, the person will be provided as much personal privacy as that particular infrastructure allows.</w:t>
      </w:r>
    </w:p>
    <w:p w:rsidR="002A5150" w:rsidRDefault="002A5150" w:rsidP="002A5150">
      <w:pPr>
        <w:pStyle w:val="Quote"/>
      </w:pPr>
      <w:r>
        <w:t>In these circumstances, I do not consider that the Directions unduly trespass on personal rights and liberties of a detained person.</w:t>
      </w:r>
    </w:p>
    <w:p w:rsidR="002A5150" w:rsidRPr="00506D86" w:rsidRDefault="002A5150" w:rsidP="002A5150">
      <w:pPr>
        <w:spacing w:after="80"/>
        <w:rPr>
          <w:b/>
        </w:rPr>
      </w:pPr>
      <w:r w:rsidRPr="00506D86">
        <w:rPr>
          <w:b/>
        </w:rPr>
        <w:t>Committee's response</w:t>
      </w:r>
    </w:p>
    <w:p w:rsidR="002A5150" w:rsidRDefault="002A5150" w:rsidP="002A5150">
      <w:pPr>
        <w:pStyle w:val="Level1"/>
        <w:numPr>
          <w:ilvl w:val="0"/>
          <w:numId w:val="0"/>
        </w:numPr>
        <w:spacing w:before="80" w:after="180"/>
      </w:pPr>
      <w:r w:rsidRPr="003826D7">
        <w:rPr>
          <w:b/>
        </w:rPr>
        <w:t xml:space="preserve">The committee thanks the </w:t>
      </w:r>
      <w:r>
        <w:rPr>
          <w:b/>
        </w:rPr>
        <w:t xml:space="preserve">minister </w:t>
      </w:r>
      <w:r w:rsidRPr="003826D7">
        <w:rPr>
          <w:b/>
        </w:rPr>
        <w:t>for his response and has concluded its examination of th</w:t>
      </w:r>
      <w:r>
        <w:rPr>
          <w:b/>
        </w:rPr>
        <w:t>e</w:t>
      </w:r>
      <w:r w:rsidRPr="003826D7">
        <w:rPr>
          <w:b/>
        </w:rPr>
        <w:t xml:space="preserve"> instrument.</w:t>
      </w:r>
    </w:p>
    <w:tbl>
      <w:tblPr>
        <w:tblW w:w="0" w:type="auto"/>
        <w:tblInd w:w="108" w:type="dxa"/>
        <w:tblLook w:val="04A0" w:firstRow="1" w:lastRow="0" w:firstColumn="1" w:lastColumn="0" w:noHBand="0" w:noVBand="1"/>
      </w:tblPr>
      <w:tblGrid>
        <w:gridCol w:w="2694"/>
        <w:gridCol w:w="6378"/>
      </w:tblGrid>
      <w:tr w:rsidR="002A5150" w:rsidRPr="00D706D4" w:rsidTr="004923B3">
        <w:tc>
          <w:tcPr>
            <w:tcW w:w="2694" w:type="dxa"/>
            <w:tcBorders>
              <w:top w:val="single" w:sz="12" w:space="0" w:color="auto"/>
              <w:right w:val="single" w:sz="12" w:space="0" w:color="auto"/>
            </w:tcBorders>
          </w:tcPr>
          <w:p w:rsidR="002A5150" w:rsidRPr="00D706D4" w:rsidRDefault="002A5150" w:rsidP="004923B3">
            <w:pPr>
              <w:rPr>
                <w:b/>
                <w:sz w:val="24"/>
                <w:szCs w:val="24"/>
              </w:rPr>
            </w:pPr>
            <w:r w:rsidRPr="00D706D4">
              <w:rPr>
                <w:b/>
                <w:sz w:val="24"/>
                <w:szCs w:val="24"/>
              </w:rPr>
              <w:t>Instrument</w:t>
            </w:r>
          </w:p>
        </w:tc>
        <w:tc>
          <w:tcPr>
            <w:tcW w:w="6378" w:type="dxa"/>
            <w:tcBorders>
              <w:top w:val="single" w:sz="12" w:space="0" w:color="auto"/>
              <w:left w:val="single" w:sz="12" w:space="0" w:color="auto"/>
            </w:tcBorders>
          </w:tcPr>
          <w:p w:rsidR="002A5150" w:rsidRPr="00D706D4" w:rsidRDefault="002A5150" w:rsidP="004923B3">
            <w:pPr>
              <w:pStyle w:val="Heading3"/>
              <w:rPr>
                <w:sz w:val="24"/>
                <w:szCs w:val="24"/>
              </w:rPr>
            </w:pPr>
            <w:r w:rsidRPr="00D706D4">
              <w:rPr>
                <w:noProof/>
                <w:sz w:val="24"/>
                <w:szCs w:val="24"/>
              </w:rPr>
              <w:t>Financial Framework (Supplementary Powers) Amendment (2015 Measures No. 6) Regulation 2015 [F2015L00939]</w:t>
            </w:r>
          </w:p>
        </w:tc>
      </w:tr>
      <w:tr w:rsidR="002A5150" w:rsidRPr="00D706D4" w:rsidTr="004923B3">
        <w:tc>
          <w:tcPr>
            <w:tcW w:w="2694" w:type="dxa"/>
            <w:tcBorders>
              <w:right w:val="single" w:sz="12" w:space="0" w:color="auto"/>
            </w:tcBorders>
          </w:tcPr>
          <w:p w:rsidR="002A5150" w:rsidRPr="00D706D4" w:rsidRDefault="002A5150" w:rsidP="004923B3">
            <w:pPr>
              <w:rPr>
                <w:b/>
                <w:sz w:val="24"/>
                <w:szCs w:val="24"/>
              </w:rPr>
            </w:pPr>
            <w:r w:rsidRPr="00D706D4">
              <w:rPr>
                <w:b/>
                <w:sz w:val="24"/>
                <w:szCs w:val="24"/>
              </w:rPr>
              <w:t>Purpose</w:t>
            </w:r>
          </w:p>
        </w:tc>
        <w:tc>
          <w:tcPr>
            <w:tcW w:w="6378" w:type="dxa"/>
            <w:tcBorders>
              <w:left w:val="single" w:sz="12" w:space="0" w:color="auto"/>
            </w:tcBorders>
          </w:tcPr>
          <w:p w:rsidR="002A5150" w:rsidRPr="00D706D4" w:rsidRDefault="002A5150" w:rsidP="004923B3">
            <w:pPr>
              <w:rPr>
                <w:sz w:val="24"/>
                <w:szCs w:val="24"/>
              </w:rPr>
            </w:pPr>
            <w:r w:rsidRPr="00D706D4">
              <w:rPr>
                <w:noProof/>
                <w:sz w:val="24"/>
                <w:szCs w:val="24"/>
              </w:rPr>
              <w:t>Amends the Financial Framework (Supplementary Powers) Regulations 1997 to establish legislative authority for spending activities administered by the Attorney-General’s Department, the Department of Communications, the Department of Education and Training, the Department of Health, the Department of Industry and Science, the Department of Infrastructure and Regional Development and the Department of Social Services</w:t>
            </w:r>
          </w:p>
        </w:tc>
      </w:tr>
      <w:tr w:rsidR="002A5150" w:rsidRPr="00D706D4" w:rsidTr="004923B3">
        <w:tc>
          <w:tcPr>
            <w:tcW w:w="2694" w:type="dxa"/>
            <w:tcBorders>
              <w:right w:val="single" w:sz="12" w:space="0" w:color="auto"/>
            </w:tcBorders>
          </w:tcPr>
          <w:p w:rsidR="002A5150" w:rsidRPr="00D706D4" w:rsidRDefault="002A5150" w:rsidP="004923B3">
            <w:pPr>
              <w:rPr>
                <w:b/>
                <w:sz w:val="24"/>
                <w:szCs w:val="24"/>
              </w:rPr>
            </w:pPr>
            <w:r w:rsidRPr="00D706D4">
              <w:rPr>
                <w:b/>
                <w:sz w:val="24"/>
                <w:szCs w:val="24"/>
              </w:rPr>
              <w:t>Last day to disallow</w:t>
            </w:r>
          </w:p>
        </w:tc>
        <w:tc>
          <w:tcPr>
            <w:tcW w:w="6378" w:type="dxa"/>
            <w:tcBorders>
              <w:left w:val="single" w:sz="12" w:space="0" w:color="auto"/>
            </w:tcBorders>
          </w:tcPr>
          <w:p w:rsidR="002A5150" w:rsidRPr="00D706D4" w:rsidRDefault="002A5150" w:rsidP="004923B3">
            <w:pPr>
              <w:rPr>
                <w:sz w:val="24"/>
                <w:szCs w:val="24"/>
              </w:rPr>
            </w:pPr>
            <w:r>
              <w:rPr>
                <w:noProof/>
                <w:sz w:val="24"/>
                <w:szCs w:val="24"/>
              </w:rPr>
              <w:t>17 September 2015</w:t>
            </w:r>
          </w:p>
        </w:tc>
      </w:tr>
      <w:tr w:rsidR="002A5150" w:rsidRPr="00D706D4" w:rsidTr="004923B3">
        <w:tc>
          <w:tcPr>
            <w:tcW w:w="2694" w:type="dxa"/>
            <w:tcBorders>
              <w:right w:val="single" w:sz="12" w:space="0" w:color="auto"/>
            </w:tcBorders>
          </w:tcPr>
          <w:p w:rsidR="002A5150" w:rsidRPr="00D706D4" w:rsidRDefault="002A5150" w:rsidP="004923B3">
            <w:pPr>
              <w:rPr>
                <w:b/>
                <w:sz w:val="24"/>
                <w:szCs w:val="24"/>
              </w:rPr>
            </w:pPr>
            <w:r w:rsidRPr="00D706D4">
              <w:rPr>
                <w:b/>
                <w:sz w:val="24"/>
                <w:szCs w:val="24"/>
              </w:rPr>
              <w:t>Authorising legislation</w:t>
            </w:r>
          </w:p>
        </w:tc>
        <w:tc>
          <w:tcPr>
            <w:tcW w:w="6378" w:type="dxa"/>
            <w:tcBorders>
              <w:left w:val="single" w:sz="12" w:space="0" w:color="auto"/>
            </w:tcBorders>
          </w:tcPr>
          <w:p w:rsidR="002A5150" w:rsidRPr="00D706D4" w:rsidRDefault="002A5150" w:rsidP="004923B3">
            <w:pPr>
              <w:rPr>
                <w:i/>
                <w:sz w:val="24"/>
                <w:szCs w:val="24"/>
              </w:rPr>
            </w:pPr>
            <w:r w:rsidRPr="00D706D4">
              <w:rPr>
                <w:i/>
                <w:noProof/>
                <w:sz w:val="24"/>
                <w:szCs w:val="24"/>
              </w:rPr>
              <w:t>Financial Framework (Supplementary Powers) Act 1997</w:t>
            </w:r>
          </w:p>
        </w:tc>
      </w:tr>
      <w:tr w:rsidR="002A5150" w:rsidRPr="00D706D4" w:rsidTr="004923B3">
        <w:tc>
          <w:tcPr>
            <w:tcW w:w="2694" w:type="dxa"/>
            <w:tcBorders>
              <w:right w:val="single" w:sz="12" w:space="0" w:color="auto"/>
            </w:tcBorders>
          </w:tcPr>
          <w:p w:rsidR="002A5150" w:rsidRPr="00D706D4" w:rsidRDefault="002A5150" w:rsidP="004923B3">
            <w:pPr>
              <w:rPr>
                <w:b/>
                <w:sz w:val="24"/>
                <w:szCs w:val="24"/>
              </w:rPr>
            </w:pPr>
            <w:r w:rsidRPr="00D706D4">
              <w:rPr>
                <w:b/>
                <w:sz w:val="24"/>
                <w:szCs w:val="24"/>
              </w:rPr>
              <w:t>Department</w:t>
            </w:r>
          </w:p>
        </w:tc>
        <w:tc>
          <w:tcPr>
            <w:tcW w:w="6378" w:type="dxa"/>
            <w:tcBorders>
              <w:left w:val="single" w:sz="12" w:space="0" w:color="auto"/>
            </w:tcBorders>
          </w:tcPr>
          <w:p w:rsidR="002A5150" w:rsidRPr="00D706D4" w:rsidRDefault="002A5150" w:rsidP="004923B3">
            <w:pPr>
              <w:rPr>
                <w:sz w:val="24"/>
                <w:szCs w:val="24"/>
              </w:rPr>
            </w:pPr>
            <w:r w:rsidRPr="00D706D4">
              <w:rPr>
                <w:noProof/>
                <w:sz w:val="24"/>
                <w:szCs w:val="24"/>
              </w:rPr>
              <w:t>Finance</w:t>
            </w:r>
          </w:p>
        </w:tc>
      </w:tr>
      <w:tr w:rsidR="002A5150" w:rsidRPr="00D706D4" w:rsidTr="004923B3">
        <w:tc>
          <w:tcPr>
            <w:tcW w:w="2694" w:type="dxa"/>
            <w:tcBorders>
              <w:right w:val="single" w:sz="12" w:space="0" w:color="auto"/>
            </w:tcBorders>
          </w:tcPr>
          <w:p w:rsidR="002A5150" w:rsidRPr="00D706D4" w:rsidRDefault="002A5150" w:rsidP="004923B3">
            <w:pPr>
              <w:rPr>
                <w:b/>
                <w:sz w:val="24"/>
                <w:szCs w:val="24"/>
              </w:rPr>
            </w:pPr>
            <w:r w:rsidRPr="00D706D4">
              <w:rPr>
                <w:b/>
                <w:sz w:val="24"/>
                <w:szCs w:val="24"/>
              </w:rPr>
              <w:t>Scrutiny principle</w:t>
            </w:r>
          </w:p>
        </w:tc>
        <w:tc>
          <w:tcPr>
            <w:tcW w:w="6378" w:type="dxa"/>
            <w:tcBorders>
              <w:left w:val="single" w:sz="12" w:space="0" w:color="auto"/>
            </w:tcBorders>
          </w:tcPr>
          <w:p w:rsidR="002A5150" w:rsidRPr="00D706D4" w:rsidRDefault="002A5150" w:rsidP="004923B3">
            <w:pPr>
              <w:rPr>
                <w:sz w:val="24"/>
                <w:szCs w:val="24"/>
              </w:rPr>
            </w:pPr>
            <w:r w:rsidRPr="00D706D4">
              <w:rPr>
                <w:sz w:val="24"/>
                <w:szCs w:val="24"/>
              </w:rPr>
              <w:t>S</w:t>
            </w:r>
            <w:r>
              <w:rPr>
                <w:sz w:val="24"/>
                <w:szCs w:val="24"/>
              </w:rPr>
              <w:t xml:space="preserve">tanding </w:t>
            </w:r>
            <w:r w:rsidRPr="00D706D4">
              <w:rPr>
                <w:sz w:val="24"/>
                <w:szCs w:val="24"/>
              </w:rPr>
              <w:t>O</w:t>
            </w:r>
            <w:r>
              <w:rPr>
                <w:sz w:val="24"/>
                <w:szCs w:val="24"/>
              </w:rPr>
              <w:t xml:space="preserve">rder </w:t>
            </w:r>
            <w:r w:rsidRPr="00D706D4">
              <w:rPr>
                <w:sz w:val="24"/>
                <w:szCs w:val="24"/>
              </w:rPr>
              <w:t>23(</w:t>
            </w:r>
            <w:r>
              <w:rPr>
                <w:sz w:val="24"/>
                <w:szCs w:val="24"/>
              </w:rPr>
              <w:t>3)(a</w:t>
            </w:r>
            <w:r w:rsidRPr="00D706D4">
              <w:rPr>
                <w:sz w:val="24"/>
                <w:szCs w:val="24"/>
              </w:rPr>
              <w:t>)</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lastRenderedPageBreak/>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sidRPr="003C6D44">
              <w:rPr>
                <w:noProof/>
                <w:sz w:val="24"/>
                <w:szCs w:val="24"/>
              </w:rPr>
              <w:t>No. 8 of 2015</w:t>
            </w:r>
          </w:p>
        </w:tc>
      </w:tr>
    </w:tbl>
    <w:p w:rsidR="002A5150" w:rsidRPr="00D706D4" w:rsidRDefault="002A5150" w:rsidP="002A5150">
      <w:pPr>
        <w:rPr>
          <w:b/>
        </w:rPr>
      </w:pPr>
      <w:r>
        <w:rPr>
          <w:b/>
        </w:rPr>
        <w:t>Merits review</w:t>
      </w:r>
    </w:p>
    <w:p w:rsidR="002A5150" w:rsidRPr="004D67FD" w:rsidRDefault="002A5150" w:rsidP="002A5150">
      <w:pPr>
        <w:pStyle w:val="Bullet1"/>
        <w:numPr>
          <w:ilvl w:val="0"/>
          <w:numId w:val="0"/>
        </w:numPr>
        <w:tabs>
          <w:tab w:val="clear" w:pos="851"/>
          <w:tab w:val="left" w:pos="0"/>
        </w:tabs>
      </w:pPr>
      <w:r w:rsidRPr="00B71FD8">
        <w:t>The committee commented as follows:</w:t>
      </w:r>
      <w:r>
        <w:t xml:space="preserve"> </w:t>
      </w:r>
      <w:r w:rsidRPr="004D67FD">
        <w:t>The instrument</w:t>
      </w:r>
      <w:r>
        <w:t xml:space="preserve"> adds new table item 88 to Part </w:t>
      </w:r>
      <w:r w:rsidRPr="004D67FD">
        <w:t xml:space="preserve">4 of Schedule 1AB establishing legislative authority for the Commonwealth government to fund the National Programme for Excellence in the Arts to be administered by the Ministry for Arts within the Attorney-General's Department. </w:t>
      </w:r>
    </w:p>
    <w:p w:rsidR="002A5150" w:rsidRPr="004D67FD" w:rsidRDefault="002A5150" w:rsidP="002A5150">
      <w:pPr>
        <w:pStyle w:val="Bullet1"/>
        <w:numPr>
          <w:ilvl w:val="0"/>
          <w:numId w:val="0"/>
        </w:numPr>
        <w:tabs>
          <w:tab w:val="clear" w:pos="851"/>
          <w:tab w:val="left" w:pos="0"/>
        </w:tabs>
      </w:pPr>
      <w:r w:rsidRPr="004D67FD">
        <w:t xml:space="preserve">The instrument also adds new table item 89 to Part 4 of Schedule 1AB establishing legislative authority for the Commonwealth government to fund a Matched Funding Programme to be administered by Creative Partnerships Australia under a grant agreement with the Attorney-General's Department. </w:t>
      </w:r>
    </w:p>
    <w:p w:rsidR="002A5150" w:rsidRPr="004D67FD" w:rsidRDefault="002A5150" w:rsidP="002A5150">
      <w:pPr>
        <w:pStyle w:val="Bullet1"/>
        <w:numPr>
          <w:ilvl w:val="0"/>
          <w:numId w:val="0"/>
        </w:numPr>
        <w:tabs>
          <w:tab w:val="clear" w:pos="851"/>
          <w:tab w:val="left" w:pos="0"/>
        </w:tabs>
      </w:pPr>
      <w:r w:rsidRPr="004D67FD">
        <w:t>While the ES is generally helpful in providing information about the proposed administration of these programs, no information has been provided as to whether the programs possesses the relevant characteristics that would justify the exclusion of decisions under these programs from merits review.</w:t>
      </w:r>
    </w:p>
    <w:p w:rsidR="002A5150" w:rsidRPr="004D67FD" w:rsidRDefault="002A5150" w:rsidP="002A5150">
      <w:pPr>
        <w:pStyle w:val="Bullet1"/>
        <w:numPr>
          <w:ilvl w:val="0"/>
          <w:numId w:val="0"/>
        </w:numPr>
      </w:pPr>
      <w:r w:rsidRPr="004D67FD">
        <w:t>In order to assess whether a program in schedule 1AB possesses the characteristics justifying the exclusion from merits review, the committee's usual expectation is that ESs specifically address this question in relation to each new a</w:t>
      </w:r>
      <w:r>
        <w:t>nd/or amended program added to S</w:t>
      </w:r>
      <w:r w:rsidRPr="004D67FD">
        <w:t>chedule 1AB, including a description of the policy considerations and program characteristics that are relevant to the question of whether or not decisions should be subject to merits review.</w:t>
      </w:r>
    </w:p>
    <w:p w:rsidR="002A5150" w:rsidRPr="003A6F67" w:rsidRDefault="002A5150" w:rsidP="002A5150">
      <w:pPr>
        <w:rPr>
          <w:b/>
          <w:i/>
        </w:rPr>
      </w:pPr>
      <w:r w:rsidRPr="003A6F67">
        <w:rPr>
          <w:b/>
          <w:i/>
        </w:rPr>
        <w:t>The committee request</w:t>
      </w:r>
      <w:r>
        <w:rPr>
          <w:b/>
          <w:i/>
        </w:rPr>
        <w:t>ed</w:t>
      </w:r>
      <w:r w:rsidRPr="003A6F67">
        <w:rPr>
          <w:b/>
          <w:i/>
        </w:rPr>
        <w:t xml:space="preserve"> the advice of the minister in relation to this matter.</w:t>
      </w:r>
    </w:p>
    <w:p w:rsidR="002A5150" w:rsidRDefault="002A5150" w:rsidP="002A5150">
      <w:pPr>
        <w:rPr>
          <w:b/>
        </w:rPr>
      </w:pPr>
      <w:r w:rsidRPr="00035C4F">
        <w:rPr>
          <w:b/>
        </w:rPr>
        <w:t>Minister's response</w:t>
      </w:r>
    </w:p>
    <w:p w:rsidR="002A5150" w:rsidRDefault="002A5150" w:rsidP="002A5150">
      <w:r>
        <w:t>The Minister for Finance provided an informative response, which offered the following information on the National Programme for Excellence in the Arts:</w:t>
      </w:r>
    </w:p>
    <w:p w:rsidR="002A5150" w:rsidRDefault="002A5150" w:rsidP="002A5150">
      <w:pPr>
        <w:pStyle w:val="Quote"/>
      </w:pPr>
      <w:r>
        <w:t>The allocation of funding through the National Programme for Excellence in the Arts ('the programme') will be decided on an open and competitive basis. Only projects that are consistent with and support the programme to achieve its aims and objectives will be awarded funding.</w:t>
      </w:r>
    </w:p>
    <w:p w:rsidR="002A5150" w:rsidRDefault="002A5150" w:rsidP="002A5150">
      <w:pPr>
        <w:pStyle w:val="Quote"/>
      </w:pPr>
      <w:r>
        <w:t xml:space="preserve">Applications will be assessed in accordance with the </w:t>
      </w:r>
      <w:r w:rsidRPr="00A150C8">
        <w:rPr>
          <w:i/>
        </w:rPr>
        <w:t>Public Governance, Performance and Accountability Act 2013</w:t>
      </w:r>
      <w:r>
        <w:t xml:space="preserve"> and the </w:t>
      </w:r>
      <w:r w:rsidRPr="00A150C8">
        <w:rPr>
          <w:i/>
        </w:rPr>
        <w:t>Commonwealth Grants Rules and Guidelines</w:t>
      </w:r>
      <w:r>
        <w:t>.</w:t>
      </w:r>
    </w:p>
    <w:p w:rsidR="002A5150" w:rsidRDefault="002A5150" w:rsidP="002A5150">
      <w:pPr>
        <w:pStyle w:val="Quote"/>
      </w:pPr>
      <w:r>
        <w:t xml:space="preserve">In line with the </w:t>
      </w:r>
      <w:r w:rsidRPr="00A150C8">
        <w:rPr>
          <w:i/>
        </w:rPr>
        <w:t>Commonwealth Grants Rules and Guidelines</w:t>
      </w:r>
      <w:r>
        <w:t xml:space="preserve">, the programme guidelines will include clearly defined objectives and eligibility criteria, application processes, decision-making responsibilities, the appointment of independent assessors and complaint mechanisms. The draft guidelines for the programme, which were made publicly available for comment from 1 to 31July 2015 online at http://arts.gov.au/nationalexcellenceprogram, identify that assessments will </w:t>
      </w:r>
      <w:r>
        <w:lastRenderedPageBreak/>
        <w:t>be carried out on an ongoing basis with recommendations made to the Minister for the Arts.</w:t>
      </w:r>
    </w:p>
    <w:p w:rsidR="002A5150" w:rsidRDefault="002A5150" w:rsidP="002A5150">
      <w:pPr>
        <w:pStyle w:val="Quote"/>
      </w:pPr>
      <w:r>
        <w:t>Final guidelines for the programme are expected to be released in October 2015 and will be publicly available online at http://arts.gov.au/.</w:t>
      </w:r>
    </w:p>
    <w:p w:rsidR="002A5150" w:rsidRDefault="002A5150" w:rsidP="002A5150">
      <w:pPr>
        <w:pStyle w:val="Quote"/>
      </w:pPr>
      <w:r>
        <w:t>Individual applications will be assessed by a combination of Ministry for the Arts officials and independent assessors and all funding recommendations made to the Minister will be reviewed by senior Ministry officials. Where needed, the process will be informed by other Government officials (for example, consideration of applications under the International and Cultural Diplomacy stream may involve officials of the Department of Foreign Affairs and Trade). Assessors will make their assessments against set criteria and will determine the extent to which applications meet the criteria. The Ministry for the Arts will maintain a Register of Independent Assessors comprising sector and community representatives.</w:t>
      </w:r>
    </w:p>
    <w:p w:rsidR="002A5150" w:rsidRDefault="002A5150" w:rsidP="002A5150">
      <w:pPr>
        <w:pStyle w:val="Quote"/>
      </w:pPr>
      <w:r>
        <w:t>The Ministry for the Arts currently administers a significant portion of Commonwealth arts and cultural funding through various grants programmes with similar operating processes to the National Programme for Excellence in the Arts.</w:t>
      </w:r>
    </w:p>
    <w:p w:rsidR="002A5150" w:rsidRDefault="002A5150" w:rsidP="002A5150">
      <w:pPr>
        <w:pStyle w:val="Quote"/>
      </w:pPr>
      <w:r>
        <w:t>The National Programme for Excellence in the Arts is unsuitable for merits review as the programme has limited funds and only a proportion of applications can be met. A successful application for review would result in funding delays that would affect all grants under the programme, delaying the delivery of arts and cultural projects and collaborations in Australia and internationally, which in many cases are time sensitive.</w:t>
      </w:r>
    </w:p>
    <w:p w:rsidR="002A5150" w:rsidRDefault="002A5150" w:rsidP="002A5150">
      <w:pPr>
        <w:pStyle w:val="Quote"/>
      </w:pPr>
      <w:r>
        <w:t xml:space="preserve">This approach is consistent with other grants programmes administered by the Ministry which are also assessed in accordance with the </w:t>
      </w:r>
      <w:r w:rsidRPr="00A150C8">
        <w:rPr>
          <w:i/>
        </w:rPr>
        <w:t>Public Governance, Performance and Accountability Act 2013</w:t>
      </w:r>
      <w:r>
        <w:t xml:space="preserve"> and the Commonwealth Grants Rules and Guidelines and have no merits review mechanism.</w:t>
      </w:r>
    </w:p>
    <w:p w:rsidR="002A5150" w:rsidRDefault="002A5150" w:rsidP="002A5150">
      <w:r>
        <w:t>In relation to the Matched Funding Programme, to be administered by Creative Partnerships Australia, the minister advised:</w:t>
      </w:r>
    </w:p>
    <w:p w:rsidR="002A5150" w:rsidRDefault="002A5150" w:rsidP="002A5150">
      <w:pPr>
        <w:pStyle w:val="Quote"/>
      </w:pPr>
      <w:r>
        <w:t>New table item 89 establishes legislative authority for the Commonwealth to provide funding to Creative Partnerships Australia (CPA), a Commonwealth company, for CPA to deliver matched funding initiatives for the arts and cultural sector. As the spending authorised by this provision is a Budget decision of a policy nature and is made to a single recipient under a grant agreement with the Attorney-General's Department (which, among other things, specifies the objectives of the matched funding initiatives), this programme is not considered suitable for merits review.</w:t>
      </w:r>
    </w:p>
    <w:p w:rsidR="002A5150" w:rsidRDefault="002A5150" w:rsidP="002A5150">
      <w:pPr>
        <w:pStyle w:val="Quote"/>
      </w:pPr>
      <w:r>
        <w:t xml:space="preserve">In delivering its matched funding initiatives using the funding provided by the Commonwealth, CPA will assess the merits of individual applications for support against criteria set out in guidelines available online at www.creativepartnershipsaustralia.org.au/how-we-can-help/programs/. </w:t>
      </w:r>
      <w:r>
        <w:lastRenderedPageBreak/>
        <w:t>CPA's matched funding initiatives are unsuitable for merits review as they have limited funds available and only a proportion of applications can be met. A successful application for review would result in delays affecting all successful applicants for matched funding, potentially preventing them from successfully raising funds from the private sector that are to be "matched" by CPA.</w:t>
      </w:r>
    </w:p>
    <w:p w:rsidR="002A5150" w:rsidRDefault="002A5150" w:rsidP="002A5150">
      <w:pPr>
        <w:rPr>
          <w:b/>
        </w:rPr>
      </w:pPr>
      <w:r w:rsidRPr="00FC2AAD">
        <w:rPr>
          <w:b/>
        </w:rPr>
        <w:t xml:space="preserve">The committee thanks the </w:t>
      </w:r>
      <w:r>
        <w:rPr>
          <w:b/>
        </w:rPr>
        <w:t xml:space="preserve">minister for his </w:t>
      </w:r>
      <w:r w:rsidRPr="00FC2AAD">
        <w:rPr>
          <w:b/>
        </w:rPr>
        <w:t>response and has concluded its examination of the instrument.</w:t>
      </w:r>
    </w:p>
    <w:p w:rsidR="002A5150" w:rsidRDefault="002A5150" w:rsidP="002A5150"/>
    <w:tbl>
      <w:tblPr>
        <w:tblW w:w="0" w:type="auto"/>
        <w:tblInd w:w="108" w:type="dxa"/>
        <w:tblLook w:val="04A0" w:firstRow="1" w:lastRow="0" w:firstColumn="1" w:lastColumn="0" w:noHBand="0" w:noVBand="1"/>
      </w:tblPr>
      <w:tblGrid>
        <w:gridCol w:w="2694"/>
        <w:gridCol w:w="6378"/>
      </w:tblGrid>
      <w:tr w:rsidR="002A5150" w:rsidRPr="00AC7632" w:rsidTr="004923B3">
        <w:tc>
          <w:tcPr>
            <w:tcW w:w="2694" w:type="dxa"/>
            <w:tcBorders>
              <w:top w:val="single" w:sz="12" w:space="0" w:color="auto"/>
              <w:right w:val="single" w:sz="12" w:space="0" w:color="auto"/>
            </w:tcBorders>
          </w:tcPr>
          <w:p w:rsidR="002A5150" w:rsidRPr="00AC7632" w:rsidRDefault="002A5150" w:rsidP="004923B3">
            <w:pPr>
              <w:rPr>
                <w:b/>
                <w:sz w:val="24"/>
                <w:szCs w:val="24"/>
              </w:rPr>
            </w:pPr>
            <w:r w:rsidRPr="00AC7632">
              <w:rPr>
                <w:b/>
                <w:sz w:val="24"/>
                <w:szCs w:val="24"/>
              </w:rPr>
              <w:t>Instrument</w:t>
            </w:r>
          </w:p>
        </w:tc>
        <w:tc>
          <w:tcPr>
            <w:tcW w:w="6378" w:type="dxa"/>
            <w:tcBorders>
              <w:top w:val="single" w:sz="12" w:space="0" w:color="auto"/>
              <w:left w:val="single" w:sz="12" w:space="0" w:color="auto"/>
            </w:tcBorders>
          </w:tcPr>
          <w:p w:rsidR="002A5150" w:rsidRPr="00AC7632" w:rsidRDefault="002A5150" w:rsidP="004923B3">
            <w:pPr>
              <w:pStyle w:val="Heading3"/>
              <w:rPr>
                <w:sz w:val="24"/>
                <w:szCs w:val="24"/>
              </w:rPr>
            </w:pPr>
            <w:r w:rsidRPr="00AC7632">
              <w:rPr>
                <w:noProof/>
                <w:sz w:val="24"/>
                <w:szCs w:val="24"/>
              </w:rPr>
              <w:t>Migration Legislation Amendment (2015 Measures No. 2) Regulation 2015 [F2015L00972]</w:t>
            </w:r>
          </w:p>
        </w:tc>
      </w:tr>
      <w:tr w:rsidR="002A5150" w:rsidRPr="00AC7632" w:rsidTr="004923B3">
        <w:tc>
          <w:tcPr>
            <w:tcW w:w="2694" w:type="dxa"/>
            <w:tcBorders>
              <w:right w:val="single" w:sz="12" w:space="0" w:color="auto"/>
            </w:tcBorders>
          </w:tcPr>
          <w:p w:rsidR="002A5150" w:rsidRPr="00AC7632" w:rsidRDefault="002A5150" w:rsidP="004923B3">
            <w:pPr>
              <w:rPr>
                <w:b/>
                <w:sz w:val="24"/>
                <w:szCs w:val="24"/>
              </w:rPr>
            </w:pPr>
            <w:r w:rsidRPr="00AC7632">
              <w:rPr>
                <w:b/>
                <w:sz w:val="24"/>
                <w:szCs w:val="24"/>
              </w:rPr>
              <w:t>Purpose</w:t>
            </w:r>
          </w:p>
        </w:tc>
        <w:tc>
          <w:tcPr>
            <w:tcW w:w="6378" w:type="dxa"/>
            <w:tcBorders>
              <w:left w:val="single" w:sz="12" w:space="0" w:color="auto"/>
            </w:tcBorders>
          </w:tcPr>
          <w:p w:rsidR="002A5150" w:rsidRPr="00AC7632" w:rsidRDefault="002A5150" w:rsidP="004923B3">
            <w:pPr>
              <w:rPr>
                <w:sz w:val="24"/>
                <w:szCs w:val="24"/>
              </w:rPr>
            </w:pPr>
            <w:r w:rsidRPr="00AC7632">
              <w:rPr>
                <w:noProof/>
                <w:sz w:val="24"/>
                <w:szCs w:val="24"/>
              </w:rPr>
              <w:t>Amends the Migration Regulations 1994, Australian Citizenship Regulations 2007, Migration Agents Regulations 1998, and Customs Regulations 2015 to update immigration, citizenship and customs policy</w:t>
            </w:r>
          </w:p>
        </w:tc>
      </w:tr>
      <w:tr w:rsidR="002A5150" w:rsidRPr="00AC7632" w:rsidTr="004923B3">
        <w:tc>
          <w:tcPr>
            <w:tcW w:w="2694" w:type="dxa"/>
            <w:tcBorders>
              <w:right w:val="single" w:sz="12" w:space="0" w:color="auto"/>
            </w:tcBorders>
          </w:tcPr>
          <w:p w:rsidR="002A5150" w:rsidRPr="00AC7632" w:rsidRDefault="002A5150" w:rsidP="004923B3">
            <w:pPr>
              <w:rPr>
                <w:b/>
                <w:sz w:val="24"/>
                <w:szCs w:val="24"/>
              </w:rPr>
            </w:pPr>
            <w:r w:rsidRPr="00AC7632">
              <w:rPr>
                <w:b/>
                <w:sz w:val="24"/>
                <w:szCs w:val="24"/>
              </w:rPr>
              <w:t>Last day to disallow</w:t>
            </w:r>
          </w:p>
        </w:tc>
        <w:tc>
          <w:tcPr>
            <w:tcW w:w="6378" w:type="dxa"/>
            <w:tcBorders>
              <w:left w:val="single" w:sz="12" w:space="0" w:color="auto"/>
            </w:tcBorders>
          </w:tcPr>
          <w:p w:rsidR="002A5150" w:rsidRPr="00AC7632" w:rsidRDefault="002A5150" w:rsidP="004923B3">
            <w:pPr>
              <w:rPr>
                <w:sz w:val="24"/>
                <w:szCs w:val="24"/>
              </w:rPr>
            </w:pPr>
            <w:r>
              <w:rPr>
                <w:noProof/>
                <w:sz w:val="24"/>
                <w:szCs w:val="24"/>
              </w:rPr>
              <w:t>17 September 2015</w:t>
            </w:r>
          </w:p>
        </w:tc>
      </w:tr>
      <w:tr w:rsidR="002A5150" w:rsidRPr="00AC7632" w:rsidTr="004923B3">
        <w:tc>
          <w:tcPr>
            <w:tcW w:w="2694" w:type="dxa"/>
            <w:tcBorders>
              <w:right w:val="single" w:sz="12" w:space="0" w:color="auto"/>
            </w:tcBorders>
          </w:tcPr>
          <w:p w:rsidR="002A5150" w:rsidRPr="00AC7632" w:rsidRDefault="002A5150" w:rsidP="004923B3">
            <w:pPr>
              <w:rPr>
                <w:b/>
                <w:sz w:val="24"/>
                <w:szCs w:val="24"/>
              </w:rPr>
            </w:pPr>
            <w:r w:rsidRPr="00AC7632">
              <w:rPr>
                <w:b/>
                <w:sz w:val="24"/>
                <w:szCs w:val="24"/>
              </w:rPr>
              <w:t>Authorising legislation</w:t>
            </w:r>
          </w:p>
        </w:tc>
        <w:tc>
          <w:tcPr>
            <w:tcW w:w="6378" w:type="dxa"/>
            <w:tcBorders>
              <w:left w:val="single" w:sz="12" w:space="0" w:color="auto"/>
            </w:tcBorders>
          </w:tcPr>
          <w:p w:rsidR="002A5150" w:rsidRPr="00AC7632" w:rsidRDefault="002A5150" w:rsidP="004923B3">
            <w:pPr>
              <w:rPr>
                <w:i/>
                <w:sz w:val="24"/>
                <w:szCs w:val="24"/>
              </w:rPr>
            </w:pPr>
            <w:r w:rsidRPr="00AC7632">
              <w:rPr>
                <w:i/>
                <w:noProof/>
                <w:sz w:val="24"/>
                <w:szCs w:val="24"/>
              </w:rPr>
              <w:t>Migration Act 1958</w:t>
            </w:r>
            <w:r>
              <w:rPr>
                <w:noProof/>
                <w:sz w:val="24"/>
                <w:szCs w:val="24"/>
              </w:rPr>
              <w:t xml:space="preserve">; </w:t>
            </w:r>
            <w:r w:rsidRPr="00AC7632">
              <w:rPr>
                <w:i/>
                <w:noProof/>
                <w:sz w:val="24"/>
                <w:szCs w:val="24"/>
              </w:rPr>
              <w:t>Australian Citizenship Act 2007</w:t>
            </w:r>
            <w:r>
              <w:rPr>
                <w:noProof/>
                <w:sz w:val="24"/>
                <w:szCs w:val="24"/>
              </w:rPr>
              <w:t xml:space="preserve">; </w:t>
            </w:r>
            <w:r w:rsidRPr="00AC7632">
              <w:rPr>
                <w:i/>
                <w:noProof/>
                <w:sz w:val="24"/>
                <w:szCs w:val="24"/>
              </w:rPr>
              <w:t>Customs Act 1901</w:t>
            </w:r>
          </w:p>
        </w:tc>
      </w:tr>
      <w:tr w:rsidR="002A5150" w:rsidRPr="00AC7632" w:rsidTr="004923B3">
        <w:tc>
          <w:tcPr>
            <w:tcW w:w="2694" w:type="dxa"/>
            <w:tcBorders>
              <w:right w:val="single" w:sz="12" w:space="0" w:color="auto"/>
            </w:tcBorders>
          </w:tcPr>
          <w:p w:rsidR="002A5150" w:rsidRPr="00AC7632" w:rsidRDefault="002A5150" w:rsidP="004923B3">
            <w:pPr>
              <w:rPr>
                <w:b/>
                <w:sz w:val="24"/>
                <w:szCs w:val="24"/>
              </w:rPr>
            </w:pPr>
            <w:r w:rsidRPr="00AC7632">
              <w:rPr>
                <w:b/>
                <w:sz w:val="24"/>
                <w:szCs w:val="24"/>
              </w:rPr>
              <w:t>Department</w:t>
            </w:r>
          </w:p>
        </w:tc>
        <w:tc>
          <w:tcPr>
            <w:tcW w:w="6378" w:type="dxa"/>
            <w:tcBorders>
              <w:left w:val="single" w:sz="12" w:space="0" w:color="auto"/>
            </w:tcBorders>
          </w:tcPr>
          <w:p w:rsidR="002A5150" w:rsidRPr="00AC7632" w:rsidRDefault="002A5150" w:rsidP="004923B3">
            <w:pPr>
              <w:rPr>
                <w:sz w:val="24"/>
                <w:szCs w:val="24"/>
              </w:rPr>
            </w:pPr>
            <w:r w:rsidRPr="00AC7632">
              <w:rPr>
                <w:noProof/>
                <w:sz w:val="24"/>
                <w:szCs w:val="24"/>
              </w:rPr>
              <w:t>Immigration and Border Protection</w:t>
            </w:r>
          </w:p>
        </w:tc>
      </w:tr>
      <w:tr w:rsidR="002A5150" w:rsidRPr="00AC7632" w:rsidTr="004923B3">
        <w:tc>
          <w:tcPr>
            <w:tcW w:w="2694" w:type="dxa"/>
            <w:tcBorders>
              <w:right w:val="single" w:sz="12" w:space="0" w:color="auto"/>
            </w:tcBorders>
          </w:tcPr>
          <w:p w:rsidR="002A5150" w:rsidRPr="00AC7632" w:rsidRDefault="002A5150" w:rsidP="004923B3">
            <w:pPr>
              <w:rPr>
                <w:b/>
                <w:sz w:val="24"/>
                <w:szCs w:val="24"/>
              </w:rPr>
            </w:pPr>
            <w:r w:rsidRPr="00AC7632">
              <w:rPr>
                <w:b/>
                <w:sz w:val="24"/>
                <w:szCs w:val="24"/>
              </w:rPr>
              <w:t>Scrutiny principle</w:t>
            </w:r>
          </w:p>
        </w:tc>
        <w:tc>
          <w:tcPr>
            <w:tcW w:w="6378" w:type="dxa"/>
            <w:tcBorders>
              <w:left w:val="single" w:sz="12" w:space="0" w:color="auto"/>
            </w:tcBorders>
          </w:tcPr>
          <w:p w:rsidR="002A5150" w:rsidRPr="00AC7632" w:rsidRDefault="002A5150" w:rsidP="004923B3">
            <w:pPr>
              <w:rPr>
                <w:sz w:val="24"/>
                <w:szCs w:val="24"/>
              </w:rPr>
            </w:pPr>
            <w:r>
              <w:rPr>
                <w:sz w:val="24"/>
                <w:szCs w:val="24"/>
              </w:rPr>
              <w:t>Standing Order 23(3)(b)</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8</w:t>
            </w:r>
            <w:r w:rsidRPr="003C6D44">
              <w:rPr>
                <w:noProof/>
                <w:sz w:val="24"/>
                <w:szCs w:val="24"/>
              </w:rPr>
              <w:t xml:space="preserve"> of 2015</w:t>
            </w:r>
          </w:p>
        </w:tc>
      </w:tr>
    </w:tbl>
    <w:p w:rsidR="002A5150" w:rsidRDefault="002A5150" w:rsidP="002A5150"/>
    <w:p w:rsidR="002A5150" w:rsidRPr="00AC7632" w:rsidRDefault="002A5150" w:rsidP="002A5150">
      <w:pPr>
        <w:rPr>
          <w:b/>
        </w:rPr>
      </w:pPr>
      <w:r w:rsidRPr="00AC7632">
        <w:rPr>
          <w:b/>
        </w:rPr>
        <w:t>Unclear basis for determining fees</w:t>
      </w:r>
    </w:p>
    <w:p w:rsidR="002A5150" w:rsidRDefault="002A5150" w:rsidP="002A5150">
      <w:r>
        <w:rPr>
          <w:noProof/>
        </w:rPr>
        <w:t xml:space="preserve">The committee commented as follows: </w:t>
      </w:r>
      <w:r>
        <w:t>Schedule 7 of this instrument increases various visa application charges.</w:t>
      </w:r>
    </w:p>
    <w:p w:rsidR="002A5150" w:rsidRDefault="002A5150" w:rsidP="002A5150">
      <w:r>
        <w:t>The committee notes that, while the ES identifies the basis for increases to certain application charges as being in line with the Consumer Price Index (2.3 percent), the basis for other increases is unclear—specifically, the increased application charges for economic related visas (by five per cent), family related visas (by 10 per cent) and significant investor visas (by 50 per cent).</w:t>
      </w:r>
    </w:p>
    <w:p w:rsidR="002A5150" w:rsidRDefault="002A5150" w:rsidP="002A5150">
      <w:r>
        <w:t>In this regard, the ES provides only general information that these changes are made in lieu of indexation of all VACs (visa application charges) for 2015 and that the measure:</w:t>
      </w:r>
    </w:p>
    <w:p w:rsidR="002A5150" w:rsidRDefault="002A5150" w:rsidP="002A5150">
      <w:pPr>
        <w:pStyle w:val="Quote"/>
      </w:pPr>
      <w:r>
        <w:t>…</w:t>
      </w:r>
      <w:r w:rsidRPr="00AC7632">
        <w:t>harmonises VACs for some visa categories by creating a uniform price point for onshore and offshore visa applications and supports a 2015-16 Budget measure</w:t>
      </w:r>
      <w:r>
        <w:t>.</w:t>
      </w:r>
    </w:p>
    <w:p w:rsidR="002A5150" w:rsidRDefault="002A5150" w:rsidP="002A5150">
      <w:r>
        <w:lastRenderedPageBreak/>
        <w:t>Th</w:t>
      </w:r>
      <w:r w:rsidRPr="00AC7632">
        <w:t>e committee's usual expectation in cases where an instrument of delegated legislation carries financial impli</w:t>
      </w:r>
      <w:r>
        <w:t>cations via the imposition of a</w:t>
      </w:r>
      <w:r w:rsidRPr="00AC7632">
        <w:t xml:space="preserve"> change to a charge, fee, levy, scale or rate of costs or payment is that the relevant ES makes clear the </w:t>
      </w:r>
      <w:r>
        <w:t xml:space="preserve">specific </w:t>
      </w:r>
      <w:r w:rsidRPr="00AC7632">
        <w:t xml:space="preserve">basis on which </w:t>
      </w:r>
      <w:r>
        <w:t xml:space="preserve">an individual </w:t>
      </w:r>
      <w:r w:rsidRPr="00AC7632">
        <w:t>imposition or change has been calculated.</w:t>
      </w:r>
    </w:p>
    <w:p w:rsidR="002A5150" w:rsidRPr="00506D86" w:rsidRDefault="002A5150" w:rsidP="002A5150">
      <w:pPr>
        <w:spacing w:after="360"/>
        <w:rPr>
          <w:b/>
          <w:i/>
        </w:rPr>
      </w:pPr>
      <w:r w:rsidRPr="00506D86">
        <w:rPr>
          <w:b/>
          <w:i/>
        </w:rPr>
        <w:t>The committee request</w:t>
      </w:r>
      <w:r>
        <w:rPr>
          <w:b/>
          <w:i/>
        </w:rPr>
        <w:t>ed</w:t>
      </w:r>
      <w:r w:rsidRPr="00506D86">
        <w:rPr>
          <w:b/>
          <w:i/>
        </w:rPr>
        <w:t xml:space="preserve"> the advice of the minister in relation to this matter.</w:t>
      </w:r>
    </w:p>
    <w:p w:rsidR="002A5150" w:rsidRDefault="002A5150" w:rsidP="002A5150">
      <w:pPr>
        <w:spacing w:after="0"/>
        <w:jc w:val="left"/>
        <w:rPr>
          <w:b/>
        </w:rPr>
      </w:pPr>
      <w:r>
        <w:rPr>
          <w:b/>
        </w:rPr>
        <w:br w:type="page"/>
      </w:r>
    </w:p>
    <w:p w:rsidR="002A5150" w:rsidRDefault="002A5150" w:rsidP="002A5150">
      <w:pPr>
        <w:rPr>
          <w:b/>
        </w:rPr>
      </w:pPr>
      <w:r w:rsidRPr="00035C4F">
        <w:rPr>
          <w:b/>
        </w:rPr>
        <w:lastRenderedPageBreak/>
        <w:t>Minister's response</w:t>
      </w:r>
    </w:p>
    <w:p w:rsidR="002A5150" w:rsidRDefault="002A5150" w:rsidP="002A5150">
      <w:r>
        <w:t>The Minister for Immigration and Border Protection advised:</w:t>
      </w:r>
      <w:r>
        <w:rPr>
          <w:rStyle w:val="FootnoteReference"/>
        </w:rPr>
        <w:footnoteReference w:id="7"/>
      </w:r>
    </w:p>
    <w:p w:rsidR="002A5150" w:rsidRDefault="002A5150" w:rsidP="002A5150">
      <w:pPr>
        <w:pStyle w:val="Quote"/>
      </w:pPr>
      <w:r>
        <w:t>In 2014, the Government commissioned the former Australian Customs and Border Protection Service, the Department of Immigration and Border Protection and the Department of Agriculture to conduct a joint review of charges, fees and taxes prior to the 2015-16 Budget.</w:t>
      </w:r>
    </w:p>
    <w:p w:rsidR="002A5150" w:rsidRDefault="002A5150" w:rsidP="002A5150">
      <w:pPr>
        <w:pStyle w:val="Quote"/>
      </w:pPr>
      <w:r>
        <w:t>The review was commissioned to identify and recommend to the Government how charging arrangements in these portfolios could be revised to better support future border operations and industry and government outcomes.</w:t>
      </w:r>
    </w:p>
    <w:p w:rsidR="002A5150" w:rsidRDefault="002A5150" w:rsidP="002A5150">
      <w:pPr>
        <w:pStyle w:val="Quote"/>
      </w:pPr>
      <w:r>
        <w:t>Significant analysis and benchmarking was undertaken to ensure Australia's competitiveness as a destination would not be hampered by any individual change.</w:t>
      </w:r>
    </w:p>
    <w:p w:rsidR="002A5150" w:rsidRDefault="002A5150" w:rsidP="002A5150">
      <w:pPr>
        <w:pStyle w:val="Quote"/>
      </w:pPr>
      <w:r>
        <w:t>Historical price and demand analysis was also conducted to ensure suggested changes to prices would not negatively impact demand.</w:t>
      </w:r>
    </w:p>
    <w:p w:rsidR="002A5150" w:rsidRDefault="002A5150" w:rsidP="002A5150">
      <w:pPr>
        <w:pStyle w:val="Quote"/>
      </w:pPr>
      <w:r>
        <w:t>As a result of the review, the Government decided to make the amendments in this instrument.</w:t>
      </w:r>
    </w:p>
    <w:p w:rsidR="002A5150" w:rsidRPr="00506D86" w:rsidRDefault="002A5150" w:rsidP="002A5150">
      <w:pPr>
        <w:rPr>
          <w:b/>
        </w:rPr>
      </w:pPr>
      <w:r w:rsidRPr="00506D86">
        <w:rPr>
          <w:b/>
        </w:rPr>
        <w:t>Committee's response</w:t>
      </w:r>
    </w:p>
    <w:p w:rsidR="002A5150" w:rsidRDefault="002A5150" w:rsidP="002A5150">
      <w:pPr>
        <w:pStyle w:val="Level1"/>
        <w:numPr>
          <w:ilvl w:val="0"/>
          <w:numId w:val="0"/>
        </w:numPr>
        <w:spacing w:after="0"/>
      </w:pPr>
      <w:r w:rsidRPr="003826D7">
        <w:rPr>
          <w:b/>
        </w:rPr>
        <w:t xml:space="preserve">The committee thanks the </w:t>
      </w:r>
      <w:r>
        <w:rPr>
          <w:b/>
        </w:rPr>
        <w:t xml:space="preserve">minister </w:t>
      </w:r>
      <w:r w:rsidRPr="003826D7">
        <w:rPr>
          <w:b/>
        </w:rPr>
        <w:t>for his response and has concluded its examination of th</w:t>
      </w:r>
      <w:r>
        <w:rPr>
          <w:b/>
        </w:rPr>
        <w:t>e</w:t>
      </w:r>
      <w:r w:rsidRPr="003826D7">
        <w:rPr>
          <w:b/>
        </w:rPr>
        <w:t xml:space="preserve"> instrument.</w:t>
      </w:r>
    </w:p>
    <w:p w:rsidR="002A5150" w:rsidRPr="00FC2AAD" w:rsidRDefault="002A5150" w:rsidP="002A5150"/>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rPr>
                <w:sz w:val="24"/>
                <w:szCs w:val="24"/>
              </w:rPr>
            </w:pPr>
            <w:r w:rsidRPr="00ED520D">
              <w:rPr>
                <w:noProof/>
                <w:sz w:val="24"/>
                <w:szCs w:val="24"/>
              </w:rPr>
              <w:t>Radiocommunications (Overseas Amateurs Visiting Australia) Class Licence 2015 [F2015L01114]</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Revokes the Radiocommunications (Overseas Amateurs Visiting Australia) Class Licence 2008 to limit amateur access to the relevant frequency ranges</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17 September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rPr>
                <w:i/>
                <w:sz w:val="24"/>
                <w:szCs w:val="24"/>
              </w:rPr>
            </w:pPr>
            <w:r w:rsidRPr="00ED520D">
              <w:rPr>
                <w:i/>
                <w:noProof/>
                <w:sz w:val="24"/>
                <w:szCs w:val="24"/>
              </w:rPr>
              <w:t>Radiocommunications Act 1992</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ED520D">
              <w:rPr>
                <w:noProof/>
                <w:sz w:val="24"/>
                <w:szCs w:val="24"/>
              </w:rPr>
              <w:t>Communications</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sz w:val="24"/>
                <w:szCs w:val="24"/>
              </w:rPr>
              <w:t>Standing Order 23(3)</w:t>
            </w:r>
            <w:r w:rsidRPr="00ED520D">
              <w:rPr>
                <w:noProof/>
                <w:sz w:val="24"/>
                <w:szCs w:val="24"/>
              </w:rPr>
              <w:t>(a)</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lastRenderedPageBreak/>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9</w:t>
            </w:r>
            <w:r w:rsidRPr="003C6D44">
              <w:rPr>
                <w:noProof/>
                <w:sz w:val="24"/>
                <w:szCs w:val="24"/>
              </w:rPr>
              <w:t xml:space="preserve"> of 2015</w:t>
            </w:r>
          </w:p>
        </w:tc>
      </w:tr>
    </w:tbl>
    <w:p w:rsidR="002A5150" w:rsidRDefault="002A5150" w:rsidP="002A5150">
      <w:pPr>
        <w:spacing w:after="0"/>
      </w:pPr>
    </w:p>
    <w:p w:rsidR="002A5150" w:rsidRDefault="002A5150" w:rsidP="002A5150">
      <w:pPr>
        <w:rPr>
          <w:b/>
          <w:noProof/>
        </w:rPr>
      </w:pPr>
      <w:r w:rsidRPr="00ED520D">
        <w:rPr>
          <w:b/>
          <w:noProof/>
        </w:rPr>
        <w:t xml:space="preserve">Incorporation </w:t>
      </w:r>
      <w:r>
        <w:rPr>
          <w:b/>
          <w:noProof/>
        </w:rPr>
        <w:t>of extrinsic material</w:t>
      </w:r>
    </w:p>
    <w:p w:rsidR="002A5150" w:rsidRDefault="002A5150" w:rsidP="002A5150">
      <w:pPr>
        <w:rPr>
          <w:noProof/>
          <w:szCs w:val="26"/>
        </w:rPr>
      </w:pPr>
      <w:r>
        <w:rPr>
          <w:noProof/>
        </w:rPr>
        <w:t xml:space="preserve">The committee commented as follows: </w:t>
      </w:r>
      <w:r>
        <w:rPr>
          <w:noProof/>
          <w:szCs w:val="26"/>
        </w:rPr>
        <w:t xml:space="preserve">Section 14 of </w:t>
      </w:r>
      <w:r w:rsidRPr="00294771">
        <w:rPr>
          <w:noProof/>
          <w:szCs w:val="26"/>
        </w:rPr>
        <w:t xml:space="preserve">the </w:t>
      </w:r>
      <w:r w:rsidRPr="00C87E7E">
        <w:rPr>
          <w:i/>
          <w:noProof/>
          <w:szCs w:val="26"/>
        </w:rPr>
        <w:t>Legislative Instruments Act 2003</w:t>
      </w:r>
      <w:r w:rsidRPr="00294771">
        <w:rPr>
          <w:noProof/>
          <w:szCs w:val="26"/>
        </w:rPr>
        <w:t xml:space="preserve"> allows for</w:t>
      </w:r>
      <w:r>
        <w:rPr>
          <w:noProof/>
          <w:szCs w:val="26"/>
        </w:rPr>
        <w:t xml:space="preserve"> the incorporation of both legislative and non-legislative </w:t>
      </w:r>
      <w:r w:rsidRPr="00294771">
        <w:rPr>
          <w:noProof/>
          <w:szCs w:val="26"/>
        </w:rPr>
        <w:t>extrinsic material into instruments</w:t>
      </w:r>
      <w:r>
        <w:rPr>
          <w:noProof/>
          <w:szCs w:val="26"/>
        </w:rPr>
        <w:t xml:space="preserve"> either as, respectively, in force from time to time or as in force at a particular date (subject to any provisions in the authorising legislation which may alter the operation of section 14).</w:t>
      </w:r>
    </w:p>
    <w:p w:rsidR="002A5150" w:rsidRDefault="002A5150" w:rsidP="002A5150">
      <w:pPr>
        <w:rPr>
          <w:noProof/>
        </w:rPr>
      </w:pPr>
      <w:r>
        <w:rPr>
          <w:noProof/>
        </w:rPr>
        <w:t xml:space="preserve">The instrument incorporates or refers to a number of documents, which, in line with the committee's expectation that an ES explain the purpose and operation of the instrument, are listed in the ES as in force from time to time (as permitted by section 314A of the </w:t>
      </w:r>
      <w:r>
        <w:rPr>
          <w:i/>
          <w:noProof/>
        </w:rPr>
        <w:t>Radiocommunications Act 1992</w:t>
      </w:r>
      <w:r>
        <w:rPr>
          <w:noProof/>
        </w:rPr>
        <w:t xml:space="preserve">) or as in existence from time to time. </w:t>
      </w:r>
    </w:p>
    <w:p w:rsidR="002A5150" w:rsidRDefault="002A5150" w:rsidP="002A5150">
      <w:pPr>
        <w:rPr>
          <w:noProof/>
        </w:rPr>
      </w:pPr>
      <w:r>
        <w:rPr>
          <w:noProof/>
        </w:rPr>
        <w:t xml:space="preserve">However, the committee notes that Australian Geodetic Datum (AGD66) is referenced at </w:t>
      </w:r>
      <w:r w:rsidRPr="0079600E">
        <w:rPr>
          <w:noProof/>
        </w:rPr>
        <w:t>section 3(3) of the instrument</w:t>
      </w:r>
      <w:r>
        <w:rPr>
          <w:noProof/>
        </w:rPr>
        <w:t xml:space="preserve"> as gazetted </w:t>
      </w:r>
      <w:r w:rsidRPr="0079600E">
        <w:rPr>
          <w:noProof/>
        </w:rPr>
        <w:t>on 6 October 1966</w:t>
      </w:r>
      <w:r>
        <w:rPr>
          <w:noProof/>
        </w:rPr>
        <w:t xml:space="preserve">, but </w:t>
      </w:r>
      <w:r w:rsidRPr="0079600E">
        <w:rPr>
          <w:noProof/>
        </w:rPr>
        <w:t>in the ES ‘as in</w:t>
      </w:r>
      <w:r>
        <w:rPr>
          <w:noProof/>
        </w:rPr>
        <w:t xml:space="preserve"> </w:t>
      </w:r>
      <w:r w:rsidRPr="0079600E">
        <w:rPr>
          <w:noProof/>
        </w:rPr>
        <w:t>existence from time to time’ followed by the statem</w:t>
      </w:r>
      <w:r>
        <w:rPr>
          <w:noProof/>
        </w:rPr>
        <w:t xml:space="preserve">ent </w:t>
      </w:r>
      <w:r w:rsidRPr="0079600E">
        <w:rPr>
          <w:noProof/>
        </w:rPr>
        <w:t>‘AGD66 was gazetted</w:t>
      </w:r>
      <w:r>
        <w:rPr>
          <w:noProof/>
        </w:rPr>
        <w:t>…</w:t>
      </w:r>
      <w:r w:rsidRPr="0079600E">
        <w:rPr>
          <w:noProof/>
        </w:rPr>
        <w:t>on 6</w:t>
      </w:r>
      <w:r>
        <w:rPr>
          <w:noProof/>
        </w:rPr>
        <w:t> </w:t>
      </w:r>
      <w:r w:rsidRPr="0079600E">
        <w:rPr>
          <w:noProof/>
        </w:rPr>
        <w:t>October 1966; more information about it is available from the Geoscience Australia we</w:t>
      </w:r>
      <w:r>
        <w:rPr>
          <w:noProof/>
        </w:rPr>
        <w:t>bsite at http://www.ga.gov.au</w:t>
      </w:r>
      <w:r w:rsidRPr="0079600E">
        <w:rPr>
          <w:noProof/>
        </w:rPr>
        <w:t>’</w:t>
      </w:r>
      <w:r>
        <w:rPr>
          <w:noProof/>
        </w:rPr>
        <w:t>.</w:t>
      </w:r>
      <w:r w:rsidRPr="0079600E">
        <w:rPr>
          <w:noProof/>
        </w:rPr>
        <w:t xml:space="preserve"> </w:t>
      </w:r>
      <w:r>
        <w:rPr>
          <w:noProof/>
        </w:rPr>
        <w:t xml:space="preserve">However, that website suggests that there exists a </w:t>
      </w:r>
      <w:r w:rsidRPr="0079600E">
        <w:rPr>
          <w:noProof/>
        </w:rPr>
        <w:t>1984 version</w:t>
      </w:r>
      <w:r>
        <w:rPr>
          <w:noProof/>
        </w:rPr>
        <w:t xml:space="preserve"> of AGD66,</w:t>
      </w:r>
      <w:r w:rsidRPr="0079600E">
        <w:rPr>
          <w:noProof/>
        </w:rPr>
        <w:t xml:space="preserve"> </w:t>
      </w:r>
      <w:r>
        <w:rPr>
          <w:noProof/>
        </w:rPr>
        <w:t>which</w:t>
      </w:r>
      <w:r w:rsidRPr="0079600E">
        <w:rPr>
          <w:noProof/>
        </w:rPr>
        <w:t xml:space="preserve"> </w:t>
      </w:r>
      <w:r>
        <w:rPr>
          <w:noProof/>
        </w:rPr>
        <w:t>w</w:t>
      </w:r>
      <w:r w:rsidRPr="0079600E">
        <w:rPr>
          <w:noProof/>
        </w:rPr>
        <w:t>a</w:t>
      </w:r>
      <w:r>
        <w:rPr>
          <w:noProof/>
        </w:rPr>
        <w:t>s</w:t>
      </w:r>
      <w:r w:rsidRPr="0079600E">
        <w:rPr>
          <w:noProof/>
        </w:rPr>
        <w:t xml:space="preserve"> </w:t>
      </w:r>
      <w:r>
        <w:rPr>
          <w:noProof/>
        </w:rPr>
        <w:t xml:space="preserve">subsequently </w:t>
      </w:r>
      <w:r w:rsidRPr="0079600E">
        <w:rPr>
          <w:noProof/>
        </w:rPr>
        <w:t>replaced by Geocentric Datum of Australia (GDA94)</w:t>
      </w:r>
      <w:r>
        <w:rPr>
          <w:noProof/>
        </w:rPr>
        <w:t>. It is therefore unclear to the committee on a reading of the instrument and the ES what the intention of the rule-maker was in relation to the incorporation of the document.</w:t>
      </w:r>
    </w:p>
    <w:p w:rsidR="002A5150" w:rsidRPr="00E90FDE" w:rsidRDefault="002A5150" w:rsidP="002A5150">
      <w:pPr>
        <w:rPr>
          <w:i/>
          <w:noProof/>
        </w:rPr>
      </w:pPr>
      <w:r w:rsidRPr="00E90FDE">
        <w:rPr>
          <w:b/>
          <w:i/>
          <w:noProof/>
        </w:rPr>
        <w:t>The committee request</w:t>
      </w:r>
      <w:r>
        <w:rPr>
          <w:b/>
          <w:i/>
          <w:noProof/>
        </w:rPr>
        <w:t>ed</w:t>
      </w:r>
      <w:r w:rsidRPr="00E90FDE">
        <w:rPr>
          <w:b/>
          <w:i/>
          <w:noProof/>
        </w:rPr>
        <w:t xml:space="preserve"> the advice of the minister in relation to this matter.</w:t>
      </w:r>
    </w:p>
    <w:p w:rsidR="002A5150" w:rsidRDefault="002A5150" w:rsidP="002A5150">
      <w:pPr>
        <w:rPr>
          <w:b/>
        </w:rPr>
      </w:pPr>
      <w:r w:rsidRPr="00035C4F">
        <w:rPr>
          <w:b/>
        </w:rPr>
        <w:t>Minister's response</w:t>
      </w:r>
    </w:p>
    <w:p w:rsidR="002A5150" w:rsidRPr="00FC2AAD" w:rsidRDefault="002A5150" w:rsidP="002A5150">
      <w:r w:rsidRPr="00FC2AAD">
        <w:t>The Minister for Communications advised:</w:t>
      </w:r>
    </w:p>
    <w:p w:rsidR="002A5150" w:rsidRDefault="002A5150" w:rsidP="002A5150">
      <w:pPr>
        <w:pStyle w:val="Quote"/>
      </w:pPr>
      <w:r>
        <w:t>The instrument correctly refers to AGD66 at section 3(3). The ACMA has advised that its intention in preparing the ES is to refer only to AGD66, as gazetted on 6 October 1966. The statement referring to AGD66 'as in existence from time to time' is not intended to indicate that AGD66 should be replaced by the newer coordinate systems in this instance.</w:t>
      </w:r>
    </w:p>
    <w:p w:rsidR="002A5150" w:rsidRDefault="002A5150" w:rsidP="002A5150">
      <w:pPr>
        <w:pStyle w:val="Quote"/>
      </w:pPr>
      <w:r>
        <w:t>A geodetic or geocentric datum is a coordinate system which provides a standard for describing geographic locations. There are three such systems in use in Australia:</w:t>
      </w:r>
    </w:p>
    <w:p w:rsidR="002A5150" w:rsidRDefault="002A5150" w:rsidP="002A5150">
      <w:pPr>
        <w:pStyle w:val="Quote"/>
      </w:pPr>
      <w:r>
        <w:t>• Australian Geodetic Datum (AGD66), gazetted in 1966</w:t>
      </w:r>
    </w:p>
    <w:p w:rsidR="002A5150" w:rsidRDefault="002A5150" w:rsidP="002A5150">
      <w:pPr>
        <w:pStyle w:val="Quote"/>
      </w:pPr>
      <w:r>
        <w:t>• Australian Geodetic Datum 1984 (AGD84)</w:t>
      </w:r>
    </w:p>
    <w:p w:rsidR="002A5150" w:rsidRDefault="002A5150" w:rsidP="002A5150">
      <w:pPr>
        <w:pStyle w:val="Quote"/>
      </w:pPr>
      <w:r>
        <w:t>• Geocentric Datum of Australia (GDA94).</w:t>
      </w:r>
    </w:p>
    <w:p w:rsidR="002A5150" w:rsidRDefault="002A5150" w:rsidP="002A5150">
      <w:pPr>
        <w:pStyle w:val="Quote"/>
      </w:pPr>
      <w:r>
        <w:t xml:space="preserve">The ACMA's legacy information technology systems for radiocommunications licensing rely on the AGD66 coordinates. </w:t>
      </w:r>
      <w:r>
        <w:lastRenderedPageBreak/>
        <w:t>Accordingly, AGD66 is currently the preferred geodetic datum for the expression of coordinates that relate to radiocommunications licences.</w:t>
      </w:r>
    </w:p>
    <w:p w:rsidR="002A5150" w:rsidRDefault="002A5150" w:rsidP="002A5150">
      <w:pPr>
        <w:pStyle w:val="Quote"/>
      </w:pPr>
      <w:r>
        <w:t>The ACMA is in the process of upgrading its information technology systems in relation to radiocommunications licensing, and may be in a position later this year to consider amending the instrument and ES with references to GDA94.</w:t>
      </w:r>
    </w:p>
    <w:p w:rsidR="002A5150" w:rsidRDefault="002A5150" w:rsidP="002A5150">
      <w:pPr>
        <w:rPr>
          <w:b/>
        </w:rPr>
      </w:pPr>
      <w:r w:rsidRPr="00FC2AAD">
        <w:rPr>
          <w:b/>
        </w:rPr>
        <w:t xml:space="preserve">The committee thanks the </w:t>
      </w:r>
      <w:r>
        <w:rPr>
          <w:b/>
        </w:rPr>
        <w:t xml:space="preserve">minister for his </w:t>
      </w:r>
      <w:r w:rsidRPr="00FC2AAD">
        <w:rPr>
          <w:b/>
        </w:rPr>
        <w:t>response and has concluded its examination of the instrument.</w:t>
      </w:r>
    </w:p>
    <w:p w:rsidR="002A5150" w:rsidRDefault="002A5150" w:rsidP="002A5150">
      <w:pPr>
        <w:spacing w:after="0"/>
      </w:pPr>
    </w:p>
    <w:tbl>
      <w:tblPr>
        <w:tblW w:w="0" w:type="auto"/>
        <w:tblInd w:w="108" w:type="dxa"/>
        <w:tblLook w:val="04A0" w:firstRow="1" w:lastRow="0" w:firstColumn="1" w:lastColumn="0" w:noHBand="0" w:noVBand="1"/>
      </w:tblPr>
      <w:tblGrid>
        <w:gridCol w:w="2694"/>
        <w:gridCol w:w="6378"/>
      </w:tblGrid>
      <w:tr w:rsidR="002A5150" w:rsidRPr="00164622" w:rsidTr="004923B3">
        <w:tc>
          <w:tcPr>
            <w:tcW w:w="2694" w:type="dxa"/>
            <w:tcBorders>
              <w:top w:val="single" w:sz="12" w:space="0" w:color="auto"/>
              <w:right w:val="single" w:sz="12" w:space="0" w:color="auto"/>
            </w:tcBorders>
          </w:tcPr>
          <w:p w:rsidR="002A5150" w:rsidRPr="00A77228" w:rsidRDefault="002A5150" w:rsidP="004923B3">
            <w:pPr>
              <w:rPr>
                <w:b/>
                <w:sz w:val="24"/>
                <w:szCs w:val="24"/>
              </w:rPr>
            </w:pPr>
            <w:r>
              <w:rPr>
                <w:b/>
                <w:sz w:val="24"/>
                <w:szCs w:val="24"/>
              </w:rPr>
              <w:t>Instrument</w:t>
            </w:r>
          </w:p>
        </w:tc>
        <w:tc>
          <w:tcPr>
            <w:tcW w:w="6378" w:type="dxa"/>
            <w:tcBorders>
              <w:top w:val="single" w:sz="12" w:space="0" w:color="auto"/>
              <w:left w:val="single" w:sz="12" w:space="0" w:color="auto"/>
            </w:tcBorders>
          </w:tcPr>
          <w:p w:rsidR="002A5150" w:rsidRPr="00BA36F8" w:rsidRDefault="002A5150" w:rsidP="004923B3">
            <w:pPr>
              <w:pStyle w:val="Heading3"/>
              <w:rPr>
                <w:sz w:val="24"/>
                <w:szCs w:val="24"/>
              </w:rPr>
            </w:pPr>
            <w:r w:rsidRPr="00E73D2B">
              <w:rPr>
                <w:noProof/>
                <w:sz w:val="24"/>
                <w:szCs w:val="24"/>
              </w:rPr>
              <w:t>Social Security (Administration) (Income Management - Crediting of Accounts) Rules 2015 [F2015L00781]</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Purpose</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 xml:space="preserve">Provide particular circumstances in which the Income Management Record (established by section 123VA of the </w:t>
            </w:r>
            <w:r w:rsidRPr="004F7DA5">
              <w:rPr>
                <w:i/>
                <w:noProof/>
                <w:sz w:val="24"/>
                <w:szCs w:val="24"/>
              </w:rPr>
              <w:t>Social Security (Administration) Act 1999</w:t>
            </w:r>
            <w:r w:rsidRPr="00E73D2B">
              <w:rPr>
                <w:noProof/>
                <w:sz w:val="24"/>
                <w:szCs w:val="24"/>
              </w:rPr>
              <w:t xml:space="preserve">) and a person’s income management account can be credited with an amount that is ascertained in accordance with the </w:t>
            </w:r>
            <w:r>
              <w:rPr>
                <w:noProof/>
                <w:sz w:val="24"/>
                <w:szCs w:val="24"/>
              </w:rPr>
              <w:t>r</w:t>
            </w:r>
            <w:r w:rsidRPr="00E73D2B">
              <w:rPr>
                <w:noProof/>
                <w:sz w:val="24"/>
                <w:szCs w:val="24"/>
              </w:rPr>
              <w:t>ules</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Last day to disallow</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20 August 2015</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Authorising legislation</w:t>
            </w:r>
          </w:p>
        </w:tc>
        <w:tc>
          <w:tcPr>
            <w:tcW w:w="6378" w:type="dxa"/>
            <w:tcBorders>
              <w:left w:val="single" w:sz="12" w:space="0" w:color="auto"/>
            </w:tcBorders>
          </w:tcPr>
          <w:p w:rsidR="002A5150" w:rsidRPr="00932D1C" w:rsidRDefault="002A5150" w:rsidP="004923B3">
            <w:pPr>
              <w:rPr>
                <w:i/>
                <w:sz w:val="24"/>
                <w:szCs w:val="24"/>
              </w:rPr>
            </w:pPr>
            <w:r w:rsidRPr="00E73D2B">
              <w:rPr>
                <w:i/>
                <w:noProof/>
                <w:sz w:val="24"/>
                <w:szCs w:val="24"/>
              </w:rPr>
              <w:t>Social Security (Administration) Act 1999</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sidRPr="00A77228">
              <w:rPr>
                <w:b/>
                <w:sz w:val="24"/>
                <w:szCs w:val="24"/>
              </w:rPr>
              <w:t>Department</w:t>
            </w:r>
          </w:p>
        </w:tc>
        <w:tc>
          <w:tcPr>
            <w:tcW w:w="6378" w:type="dxa"/>
            <w:tcBorders>
              <w:left w:val="single" w:sz="12" w:space="0" w:color="auto"/>
            </w:tcBorders>
          </w:tcPr>
          <w:p w:rsidR="002A5150" w:rsidRPr="00A77228" w:rsidRDefault="002A5150" w:rsidP="004923B3">
            <w:pPr>
              <w:rPr>
                <w:sz w:val="24"/>
                <w:szCs w:val="24"/>
              </w:rPr>
            </w:pPr>
            <w:r w:rsidRPr="00E73D2B">
              <w:rPr>
                <w:noProof/>
                <w:sz w:val="24"/>
                <w:szCs w:val="24"/>
              </w:rPr>
              <w:t>Social Services</w:t>
            </w:r>
          </w:p>
        </w:tc>
      </w:tr>
      <w:tr w:rsidR="002A5150" w:rsidRPr="00164622" w:rsidTr="004923B3">
        <w:tc>
          <w:tcPr>
            <w:tcW w:w="2694" w:type="dxa"/>
            <w:tcBorders>
              <w:right w:val="single" w:sz="12" w:space="0" w:color="auto"/>
            </w:tcBorders>
          </w:tcPr>
          <w:p w:rsidR="002A5150" w:rsidRPr="00A77228" w:rsidRDefault="002A5150" w:rsidP="004923B3">
            <w:pPr>
              <w:rPr>
                <w:b/>
                <w:sz w:val="24"/>
                <w:szCs w:val="24"/>
              </w:rPr>
            </w:pPr>
            <w:r>
              <w:rPr>
                <w:b/>
                <w:sz w:val="24"/>
                <w:szCs w:val="24"/>
              </w:rPr>
              <w:t>Scrutiny principle</w:t>
            </w:r>
          </w:p>
        </w:tc>
        <w:tc>
          <w:tcPr>
            <w:tcW w:w="6378" w:type="dxa"/>
            <w:tcBorders>
              <w:left w:val="single" w:sz="12" w:space="0" w:color="auto"/>
            </w:tcBorders>
          </w:tcPr>
          <w:p w:rsidR="002A5150" w:rsidRPr="00A77228" w:rsidRDefault="002A5150" w:rsidP="004923B3">
            <w:pPr>
              <w:rPr>
                <w:sz w:val="24"/>
                <w:szCs w:val="24"/>
              </w:rPr>
            </w:pPr>
            <w:r>
              <w:rPr>
                <w:sz w:val="24"/>
                <w:szCs w:val="24"/>
              </w:rPr>
              <w:t>Standing Order 23(3)(a)</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9</w:t>
            </w:r>
            <w:r w:rsidRPr="003C6D44">
              <w:rPr>
                <w:noProof/>
                <w:sz w:val="24"/>
                <w:szCs w:val="24"/>
              </w:rPr>
              <w:t xml:space="preserve"> of 2015</w:t>
            </w:r>
          </w:p>
        </w:tc>
      </w:tr>
    </w:tbl>
    <w:p w:rsidR="002A5150" w:rsidRDefault="002A5150" w:rsidP="002A5150"/>
    <w:p w:rsidR="002A5150" w:rsidRPr="00915B3C" w:rsidRDefault="002A5150" w:rsidP="002A5150">
      <w:pPr>
        <w:rPr>
          <w:b/>
        </w:rPr>
      </w:pPr>
      <w:r>
        <w:rPr>
          <w:b/>
        </w:rPr>
        <w:t>D</w:t>
      </w:r>
      <w:r w:rsidRPr="00915B3C">
        <w:rPr>
          <w:b/>
        </w:rPr>
        <w:t>escription o</w:t>
      </w:r>
      <w:r>
        <w:rPr>
          <w:b/>
        </w:rPr>
        <w:t>f</w:t>
      </w:r>
      <w:r w:rsidRPr="00915B3C">
        <w:rPr>
          <w:b/>
        </w:rPr>
        <w:t xml:space="preserve"> consultation</w:t>
      </w:r>
    </w:p>
    <w:p w:rsidR="002A5150" w:rsidRDefault="002A5150" w:rsidP="002A5150">
      <w:r>
        <w:rPr>
          <w:noProof/>
        </w:rPr>
        <w:t xml:space="preserve">The committee commented as follows: </w:t>
      </w:r>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2A5150" w:rsidRDefault="002A5150" w:rsidP="002A5150">
      <w:pPr>
        <w:pStyle w:val="Quote"/>
      </w:pPr>
      <w:r w:rsidRPr="00915B3C">
        <w:t>Consultation on these Rules was with the Department of Human Services.</w:t>
      </w:r>
    </w:p>
    <w:p w:rsidR="002A5150" w:rsidRDefault="002A5150" w:rsidP="002A5150">
      <w:r>
        <w:t xml:space="preserve">While the committee does not usually interpret section 26 as requiring a highly detailed description of consultation undertaken, it considers that an overly bare or general description is insufficient to satisfy the requirements of the </w:t>
      </w:r>
      <w:r w:rsidRPr="004F7DA5">
        <w:rPr>
          <w:i/>
        </w:rPr>
        <w:t xml:space="preserve">Legislative </w:t>
      </w:r>
      <w:r w:rsidRPr="004F7DA5">
        <w:rPr>
          <w:i/>
        </w:rPr>
        <w:lastRenderedPageBreak/>
        <w:t>Instruments Act 2003</w:t>
      </w:r>
      <w:r>
        <w:t xml:space="preserve">. The committee considers that in this case the information provided does not describe the nature of the consultation undertaken </w:t>
      </w:r>
      <w:r w:rsidRPr="002C4388">
        <w:t>(</w:t>
      </w:r>
      <w:r>
        <w:t xml:space="preserve">such as, </w:t>
      </w:r>
      <w:r w:rsidRPr="002C4388">
        <w:t>for example, the manner, purpose and out</w:t>
      </w:r>
      <w:r>
        <w:t>c</w:t>
      </w:r>
      <w:r w:rsidRPr="002C4388">
        <w:t>ome of the consultation</w:t>
      </w:r>
      <w:r>
        <w:t xml:space="preserve"> with the Department of Human Services</w:t>
      </w:r>
      <w:r w:rsidRPr="002C4388">
        <w:t>)</w:t>
      </w:r>
      <w:r>
        <w:t>.</w:t>
      </w:r>
    </w:p>
    <w:p w:rsidR="002A5150" w:rsidRDefault="002A5150" w:rsidP="002A5150">
      <w:r>
        <w:t>The committee's expectations in this regard are set out in the guideline on consultation contained in Appendix 2.</w:t>
      </w:r>
    </w:p>
    <w:p w:rsidR="002A5150" w:rsidRPr="00E90FDE" w:rsidRDefault="002A5150" w:rsidP="002A5150">
      <w:pPr>
        <w:rPr>
          <w:i/>
        </w:rPr>
      </w:pPr>
      <w:r w:rsidRPr="00E90FDE">
        <w:rPr>
          <w:b/>
          <w:i/>
        </w:rPr>
        <w:t>The committee request</w:t>
      </w:r>
      <w:r>
        <w:rPr>
          <w:b/>
          <w:i/>
        </w:rPr>
        <w:t>ed</w:t>
      </w:r>
      <w:r w:rsidRPr="00E90FDE">
        <w:rPr>
          <w:b/>
          <w:i/>
        </w:rPr>
        <w:t xml:space="preserve"> the advice of the minister in relation to this matter; and request</w:t>
      </w:r>
      <w:r>
        <w:rPr>
          <w:b/>
          <w:i/>
        </w:rPr>
        <w:t>ed</w:t>
      </w:r>
      <w:r w:rsidRPr="00E90FDE">
        <w:rPr>
          <w:b/>
          <w:i/>
        </w:rPr>
        <w:t xml:space="preserve"> that the ES be updated in accordance with the requirements of the Legislative Instruments Act</w:t>
      </w:r>
      <w:r w:rsidRPr="00E90FDE">
        <w:rPr>
          <w:i/>
        </w:rPr>
        <w:t xml:space="preserve"> </w:t>
      </w:r>
      <w:r w:rsidRPr="00E90FDE">
        <w:rPr>
          <w:b/>
          <w:i/>
        </w:rPr>
        <w:t>2003</w:t>
      </w:r>
      <w:r w:rsidRPr="00E90FDE">
        <w:rPr>
          <w:i/>
        </w:rPr>
        <w:t>.</w:t>
      </w:r>
    </w:p>
    <w:p w:rsidR="002A5150" w:rsidRDefault="002A5150" w:rsidP="002A5150">
      <w:pPr>
        <w:spacing w:after="0"/>
        <w:jc w:val="left"/>
        <w:rPr>
          <w:b/>
        </w:rPr>
      </w:pPr>
      <w:r>
        <w:rPr>
          <w:b/>
        </w:rPr>
        <w:br w:type="page"/>
      </w:r>
    </w:p>
    <w:p w:rsidR="002A5150" w:rsidRDefault="002A5150" w:rsidP="002A5150">
      <w:pPr>
        <w:rPr>
          <w:b/>
        </w:rPr>
      </w:pPr>
      <w:r w:rsidRPr="00035C4F">
        <w:rPr>
          <w:b/>
        </w:rPr>
        <w:lastRenderedPageBreak/>
        <w:t>Minister's response</w:t>
      </w:r>
    </w:p>
    <w:p w:rsidR="002A5150" w:rsidRDefault="002A5150" w:rsidP="002A5150">
      <w:r>
        <w:t>The Minister for Social Services advised:</w:t>
      </w:r>
    </w:p>
    <w:p w:rsidR="002A5150" w:rsidRDefault="002A5150" w:rsidP="002A5150">
      <w:pPr>
        <w:pStyle w:val="Quote"/>
      </w:pPr>
      <w:r>
        <w:t>This instrument is a simple, technical amendment which explicitly allows the transfer of funds from an individual's BasicsCard to their Income Management Record (IMR), a fundamental process to the successful operation of the programme. Without this instrument in place, a customer would not have the flexibility to transfer their money from their BasicsCard back to their IMR, potentially disadvantaging individuals who may need to access their funds via an alternate payment mechanism.</w:t>
      </w:r>
    </w:p>
    <w:p w:rsidR="002A5150" w:rsidRDefault="002A5150" w:rsidP="002A5150">
      <w:pPr>
        <w:pStyle w:val="Quote"/>
      </w:pPr>
      <w:r>
        <w:t>A consultation was undertaken by the Department of Social Services (DSS) regarding the proposal to update the Rules to clarify the circumstances in which a person's income management account can be credited with an amount, in accordance with the Rules. However, the consultation was not outlined in the Explanatory Statement. The proposed Rules would explicitly enable the Department of Human Services (OHS) to credit income management accounts in particular situations, to the benefit of the income management customers.</w:t>
      </w:r>
    </w:p>
    <w:p w:rsidR="002A5150" w:rsidRDefault="002A5150" w:rsidP="002A5150">
      <w:pPr>
        <w:pStyle w:val="Quote"/>
      </w:pPr>
      <w:r>
        <w:t>DSS consulted with OHS, as the service delivery agency, regarding the crediting of income management accounts.</w:t>
      </w:r>
    </w:p>
    <w:p w:rsidR="002A5150" w:rsidRDefault="002A5150" w:rsidP="002A5150">
      <w:pPr>
        <w:pStyle w:val="Quote"/>
      </w:pPr>
      <w:r>
        <w:t>The purpose of consulting with OHS was to determine whether this process is necessary. Through the consultations, DSS found the customers would be unfairly disadvantaged if OHS were not able to credit the accounts. The proposed amendments address these issues, removing any ambiguity regarding the situations in which OHS can credit a customer's account, allowing DHS to credit such accounts where appropriate.</w:t>
      </w:r>
    </w:p>
    <w:p w:rsidR="002A5150" w:rsidRDefault="002A5150" w:rsidP="002A5150">
      <w:pPr>
        <w:rPr>
          <w:b/>
        </w:rPr>
      </w:pPr>
      <w:r w:rsidRPr="00FC2AAD">
        <w:rPr>
          <w:b/>
        </w:rPr>
        <w:t xml:space="preserve">The committee thanks the </w:t>
      </w:r>
      <w:r>
        <w:rPr>
          <w:b/>
        </w:rPr>
        <w:t xml:space="preserve">minister for his </w:t>
      </w:r>
      <w:r w:rsidRPr="00FC2AAD">
        <w:rPr>
          <w:b/>
        </w:rPr>
        <w:t>response and has concluded its examination of the instrument.</w:t>
      </w:r>
    </w:p>
    <w:p w:rsidR="002A5150" w:rsidRDefault="002A5150" w:rsidP="002A5150"/>
    <w:tbl>
      <w:tblPr>
        <w:tblW w:w="0" w:type="auto"/>
        <w:tblInd w:w="108" w:type="dxa"/>
        <w:tblLook w:val="04A0" w:firstRow="1" w:lastRow="0" w:firstColumn="1" w:lastColumn="0" w:noHBand="0" w:noVBand="1"/>
      </w:tblPr>
      <w:tblGrid>
        <w:gridCol w:w="2694"/>
        <w:gridCol w:w="6378"/>
      </w:tblGrid>
      <w:tr w:rsidR="002A5150" w:rsidRPr="008D0C55" w:rsidTr="004923B3">
        <w:tc>
          <w:tcPr>
            <w:tcW w:w="2694" w:type="dxa"/>
            <w:tcBorders>
              <w:top w:val="single" w:sz="12" w:space="0" w:color="auto"/>
              <w:right w:val="single" w:sz="12" w:space="0" w:color="auto"/>
            </w:tcBorders>
          </w:tcPr>
          <w:p w:rsidR="002A5150" w:rsidRPr="00777C32" w:rsidRDefault="002A5150" w:rsidP="004923B3">
            <w:pPr>
              <w:rPr>
                <w:b/>
                <w:sz w:val="24"/>
                <w:szCs w:val="24"/>
              </w:rPr>
            </w:pPr>
            <w:r w:rsidRPr="00777C32">
              <w:rPr>
                <w:b/>
                <w:sz w:val="24"/>
                <w:szCs w:val="24"/>
              </w:rPr>
              <w:t>Instrument</w:t>
            </w:r>
          </w:p>
        </w:tc>
        <w:tc>
          <w:tcPr>
            <w:tcW w:w="6378" w:type="dxa"/>
            <w:tcBorders>
              <w:top w:val="single" w:sz="12" w:space="0" w:color="auto"/>
              <w:left w:val="single" w:sz="12" w:space="0" w:color="auto"/>
            </w:tcBorders>
          </w:tcPr>
          <w:p w:rsidR="002A5150" w:rsidRPr="00777C32" w:rsidRDefault="002A5150" w:rsidP="004923B3">
            <w:pPr>
              <w:pStyle w:val="Heading3"/>
              <w:rPr>
                <w:sz w:val="24"/>
                <w:szCs w:val="24"/>
              </w:rPr>
            </w:pPr>
            <w:r w:rsidRPr="00777C32">
              <w:rPr>
                <w:noProof/>
                <w:sz w:val="24"/>
                <w:szCs w:val="24"/>
              </w:rPr>
              <w:t>Work Health and Safety Amendment Regulation 2015 (No.</w:t>
            </w:r>
            <w:r>
              <w:rPr>
                <w:noProof/>
                <w:sz w:val="24"/>
                <w:szCs w:val="24"/>
              </w:rPr>
              <w:t> </w:t>
            </w:r>
            <w:r w:rsidRPr="00777C32">
              <w:rPr>
                <w:noProof/>
                <w:sz w:val="24"/>
                <w:szCs w:val="24"/>
              </w:rPr>
              <w:t>1) [F2015L00951]</w:t>
            </w:r>
          </w:p>
        </w:tc>
      </w:tr>
      <w:tr w:rsidR="002A5150" w:rsidRPr="008D0C55" w:rsidTr="004923B3">
        <w:tc>
          <w:tcPr>
            <w:tcW w:w="2694" w:type="dxa"/>
            <w:tcBorders>
              <w:right w:val="single" w:sz="12" w:space="0" w:color="auto"/>
            </w:tcBorders>
          </w:tcPr>
          <w:p w:rsidR="002A5150" w:rsidRPr="00777C32" w:rsidRDefault="002A5150" w:rsidP="004923B3">
            <w:pPr>
              <w:rPr>
                <w:b/>
                <w:sz w:val="24"/>
                <w:szCs w:val="24"/>
              </w:rPr>
            </w:pPr>
            <w:r w:rsidRPr="00777C32">
              <w:rPr>
                <w:b/>
                <w:sz w:val="24"/>
                <w:szCs w:val="24"/>
              </w:rPr>
              <w:t>Purpose</w:t>
            </w:r>
          </w:p>
        </w:tc>
        <w:tc>
          <w:tcPr>
            <w:tcW w:w="6378" w:type="dxa"/>
            <w:tcBorders>
              <w:left w:val="single" w:sz="12" w:space="0" w:color="auto"/>
            </w:tcBorders>
          </w:tcPr>
          <w:p w:rsidR="002A5150" w:rsidRPr="00777C32" w:rsidRDefault="002A5150" w:rsidP="004923B3">
            <w:pPr>
              <w:rPr>
                <w:sz w:val="24"/>
                <w:szCs w:val="24"/>
              </w:rPr>
            </w:pPr>
            <w:r w:rsidRPr="00777C32">
              <w:rPr>
                <w:noProof/>
                <w:sz w:val="24"/>
                <w:szCs w:val="24"/>
              </w:rPr>
              <w:t>Amends the Work Health and Safety Regulations 2011 to make technical amendments agreed by the Select Council on Workplace Relations</w:t>
            </w:r>
          </w:p>
        </w:tc>
      </w:tr>
      <w:tr w:rsidR="002A5150" w:rsidRPr="008D0C55" w:rsidTr="004923B3">
        <w:tc>
          <w:tcPr>
            <w:tcW w:w="2694" w:type="dxa"/>
            <w:tcBorders>
              <w:right w:val="single" w:sz="12" w:space="0" w:color="auto"/>
            </w:tcBorders>
          </w:tcPr>
          <w:p w:rsidR="002A5150" w:rsidRPr="00777C32" w:rsidRDefault="002A5150" w:rsidP="004923B3">
            <w:pPr>
              <w:rPr>
                <w:b/>
                <w:sz w:val="24"/>
                <w:szCs w:val="24"/>
              </w:rPr>
            </w:pPr>
            <w:r w:rsidRPr="00777C32">
              <w:rPr>
                <w:b/>
                <w:sz w:val="24"/>
                <w:szCs w:val="24"/>
              </w:rPr>
              <w:t>Last day to disallow</w:t>
            </w:r>
          </w:p>
        </w:tc>
        <w:tc>
          <w:tcPr>
            <w:tcW w:w="6378" w:type="dxa"/>
            <w:tcBorders>
              <w:left w:val="single" w:sz="12" w:space="0" w:color="auto"/>
            </w:tcBorders>
          </w:tcPr>
          <w:p w:rsidR="002A5150" w:rsidRPr="00777C32" w:rsidRDefault="002A5150" w:rsidP="004923B3">
            <w:pPr>
              <w:rPr>
                <w:sz w:val="24"/>
                <w:szCs w:val="24"/>
              </w:rPr>
            </w:pPr>
            <w:r>
              <w:rPr>
                <w:noProof/>
                <w:sz w:val="24"/>
                <w:szCs w:val="24"/>
              </w:rPr>
              <w:t>17 September 2015</w:t>
            </w:r>
          </w:p>
        </w:tc>
      </w:tr>
      <w:tr w:rsidR="002A5150" w:rsidRPr="008D0C55" w:rsidTr="004923B3">
        <w:tc>
          <w:tcPr>
            <w:tcW w:w="2694" w:type="dxa"/>
            <w:tcBorders>
              <w:right w:val="single" w:sz="12" w:space="0" w:color="auto"/>
            </w:tcBorders>
          </w:tcPr>
          <w:p w:rsidR="002A5150" w:rsidRPr="00777C32" w:rsidRDefault="002A5150" w:rsidP="004923B3">
            <w:pPr>
              <w:rPr>
                <w:b/>
                <w:sz w:val="24"/>
                <w:szCs w:val="24"/>
              </w:rPr>
            </w:pPr>
            <w:r w:rsidRPr="00777C32">
              <w:rPr>
                <w:b/>
                <w:sz w:val="24"/>
                <w:szCs w:val="24"/>
              </w:rPr>
              <w:t>Authorising legislation</w:t>
            </w:r>
          </w:p>
        </w:tc>
        <w:tc>
          <w:tcPr>
            <w:tcW w:w="6378" w:type="dxa"/>
            <w:tcBorders>
              <w:left w:val="single" w:sz="12" w:space="0" w:color="auto"/>
            </w:tcBorders>
          </w:tcPr>
          <w:p w:rsidR="002A5150" w:rsidRPr="00777C32" w:rsidRDefault="002A5150" w:rsidP="004923B3">
            <w:pPr>
              <w:rPr>
                <w:i/>
                <w:sz w:val="24"/>
                <w:szCs w:val="24"/>
              </w:rPr>
            </w:pPr>
            <w:r w:rsidRPr="00777C32">
              <w:rPr>
                <w:i/>
                <w:noProof/>
                <w:sz w:val="24"/>
                <w:szCs w:val="24"/>
              </w:rPr>
              <w:t>Work Health and Safety Act 2011</w:t>
            </w:r>
          </w:p>
        </w:tc>
      </w:tr>
      <w:tr w:rsidR="002A5150" w:rsidRPr="008D0C55" w:rsidTr="004923B3">
        <w:tc>
          <w:tcPr>
            <w:tcW w:w="2694" w:type="dxa"/>
            <w:tcBorders>
              <w:right w:val="single" w:sz="12" w:space="0" w:color="auto"/>
            </w:tcBorders>
          </w:tcPr>
          <w:p w:rsidR="002A5150" w:rsidRPr="00777C32" w:rsidRDefault="002A5150" w:rsidP="004923B3">
            <w:pPr>
              <w:rPr>
                <w:b/>
                <w:sz w:val="24"/>
                <w:szCs w:val="24"/>
              </w:rPr>
            </w:pPr>
            <w:r w:rsidRPr="00777C32">
              <w:rPr>
                <w:b/>
                <w:sz w:val="24"/>
                <w:szCs w:val="24"/>
              </w:rPr>
              <w:t>Department</w:t>
            </w:r>
          </w:p>
        </w:tc>
        <w:tc>
          <w:tcPr>
            <w:tcW w:w="6378" w:type="dxa"/>
            <w:tcBorders>
              <w:left w:val="single" w:sz="12" w:space="0" w:color="auto"/>
            </w:tcBorders>
          </w:tcPr>
          <w:p w:rsidR="002A5150" w:rsidRPr="00777C32" w:rsidRDefault="002A5150" w:rsidP="004923B3">
            <w:pPr>
              <w:rPr>
                <w:sz w:val="24"/>
                <w:szCs w:val="24"/>
              </w:rPr>
            </w:pPr>
            <w:r w:rsidRPr="00777C32">
              <w:rPr>
                <w:noProof/>
                <w:sz w:val="24"/>
                <w:szCs w:val="24"/>
              </w:rPr>
              <w:t>Employment</w:t>
            </w:r>
          </w:p>
        </w:tc>
      </w:tr>
      <w:tr w:rsidR="002A5150" w:rsidRPr="008D0C55" w:rsidTr="004923B3">
        <w:tc>
          <w:tcPr>
            <w:tcW w:w="2694" w:type="dxa"/>
            <w:tcBorders>
              <w:right w:val="single" w:sz="12" w:space="0" w:color="auto"/>
            </w:tcBorders>
          </w:tcPr>
          <w:p w:rsidR="002A5150" w:rsidRPr="00777C32" w:rsidRDefault="002A5150" w:rsidP="004923B3">
            <w:pPr>
              <w:rPr>
                <w:b/>
                <w:sz w:val="24"/>
                <w:szCs w:val="24"/>
              </w:rPr>
            </w:pPr>
            <w:r w:rsidRPr="00777C32">
              <w:rPr>
                <w:b/>
                <w:sz w:val="24"/>
                <w:szCs w:val="24"/>
              </w:rPr>
              <w:t>Scrutiny principle</w:t>
            </w:r>
          </w:p>
        </w:tc>
        <w:tc>
          <w:tcPr>
            <w:tcW w:w="6378" w:type="dxa"/>
            <w:tcBorders>
              <w:left w:val="single" w:sz="12" w:space="0" w:color="auto"/>
            </w:tcBorders>
          </w:tcPr>
          <w:p w:rsidR="002A5150" w:rsidRPr="00777C32" w:rsidRDefault="002A5150" w:rsidP="004923B3">
            <w:pPr>
              <w:rPr>
                <w:sz w:val="24"/>
                <w:szCs w:val="24"/>
              </w:rPr>
            </w:pPr>
            <w:r w:rsidRPr="00777C32">
              <w:rPr>
                <w:sz w:val="24"/>
                <w:szCs w:val="24"/>
              </w:rPr>
              <w:t>S</w:t>
            </w:r>
            <w:r>
              <w:rPr>
                <w:sz w:val="24"/>
                <w:szCs w:val="24"/>
              </w:rPr>
              <w:t xml:space="preserve">tanding </w:t>
            </w:r>
            <w:r w:rsidRPr="00777C32">
              <w:rPr>
                <w:sz w:val="24"/>
                <w:szCs w:val="24"/>
              </w:rPr>
              <w:t>O</w:t>
            </w:r>
            <w:r>
              <w:rPr>
                <w:sz w:val="24"/>
                <w:szCs w:val="24"/>
              </w:rPr>
              <w:t>rder</w:t>
            </w:r>
            <w:r w:rsidRPr="00777C32">
              <w:rPr>
                <w:sz w:val="24"/>
                <w:szCs w:val="24"/>
              </w:rPr>
              <w:t xml:space="preserve"> </w:t>
            </w:r>
            <w:r>
              <w:rPr>
                <w:sz w:val="24"/>
                <w:szCs w:val="24"/>
              </w:rPr>
              <w:t>23(3)(b)</w:t>
            </w:r>
          </w:p>
        </w:tc>
      </w:tr>
      <w:tr w:rsidR="002A5150" w:rsidRPr="00164622" w:rsidTr="004923B3">
        <w:tc>
          <w:tcPr>
            <w:tcW w:w="2694" w:type="dxa"/>
            <w:tcBorders>
              <w:bottom w:val="single" w:sz="12" w:space="0" w:color="auto"/>
              <w:right w:val="single" w:sz="12" w:space="0" w:color="auto"/>
            </w:tcBorders>
          </w:tcPr>
          <w:p w:rsidR="002A5150" w:rsidRDefault="002A5150" w:rsidP="004923B3">
            <w:pPr>
              <w:rPr>
                <w:b/>
                <w:sz w:val="24"/>
                <w:szCs w:val="24"/>
              </w:rPr>
            </w:pPr>
            <w:r>
              <w:rPr>
                <w:b/>
                <w:sz w:val="24"/>
                <w:szCs w:val="24"/>
              </w:rPr>
              <w:lastRenderedPageBreak/>
              <w:t>Previously reported in</w:t>
            </w:r>
          </w:p>
        </w:tc>
        <w:tc>
          <w:tcPr>
            <w:tcW w:w="6378" w:type="dxa"/>
            <w:tcBorders>
              <w:left w:val="single" w:sz="12" w:space="0" w:color="auto"/>
              <w:bottom w:val="single" w:sz="12" w:space="0" w:color="auto"/>
            </w:tcBorders>
          </w:tcPr>
          <w:p w:rsidR="002A5150" w:rsidRDefault="002A5150" w:rsidP="004923B3">
            <w:pPr>
              <w:rPr>
                <w:sz w:val="24"/>
                <w:szCs w:val="24"/>
              </w:rPr>
            </w:pPr>
            <w:r>
              <w:rPr>
                <w:i/>
                <w:noProof/>
                <w:sz w:val="24"/>
                <w:szCs w:val="24"/>
              </w:rPr>
              <w:t xml:space="preserve">Delegated legislation monitor </w:t>
            </w:r>
            <w:r>
              <w:rPr>
                <w:noProof/>
                <w:sz w:val="24"/>
                <w:szCs w:val="24"/>
              </w:rPr>
              <w:t>No. 8</w:t>
            </w:r>
            <w:r w:rsidRPr="003C6D44">
              <w:rPr>
                <w:noProof/>
                <w:sz w:val="24"/>
                <w:szCs w:val="24"/>
              </w:rPr>
              <w:t xml:space="preserve"> of 2015</w:t>
            </w:r>
          </w:p>
        </w:tc>
      </w:tr>
    </w:tbl>
    <w:p w:rsidR="002A5150" w:rsidRDefault="002A5150" w:rsidP="002A5150">
      <w:pPr>
        <w:spacing w:after="0"/>
      </w:pPr>
    </w:p>
    <w:p w:rsidR="002A5150" w:rsidRDefault="002A5150" w:rsidP="002A5150">
      <w:pPr>
        <w:rPr>
          <w:b/>
        </w:rPr>
      </w:pPr>
      <w:r>
        <w:rPr>
          <w:b/>
        </w:rPr>
        <w:t>Insufficient information regarding strict liability offences</w:t>
      </w:r>
    </w:p>
    <w:p w:rsidR="002A5150" w:rsidRDefault="002A5150" w:rsidP="002A5150">
      <w:r>
        <w:rPr>
          <w:noProof/>
        </w:rPr>
        <w:t xml:space="preserve">The committee commented as follows: </w:t>
      </w:r>
      <w:r>
        <w:t>This instrument amends the Work Health and Safety Regulations 2011 to implement changes to the model of work health and safety laws agreed to by Safe Work Australia. The instrument creates a number of strict liability offences for various work health and safety offences.</w:t>
      </w:r>
    </w:p>
    <w:p w:rsidR="002A5150" w:rsidRDefault="002A5150" w:rsidP="002A5150">
      <w:r w:rsidRPr="00777C32">
        <w:t>Given the limiting nature and potential consequences for individuals of strict and vicarious liability offence provisions,</w:t>
      </w:r>
      <w:r>
        <w:t xml:space="preserve"> </w:t>
      </w:r>
      <w:r w:rsidRPr="00777C32">
        <w:t xml:space="preserve">the committee generally requires a detailed justification for the inclusion of any such offences </w:t>
      </w:r>
      <w:r>
        <w:t xml:space="preserve">(particularly strict liability offences) </w:t>
      </w:r>
      <w:r w:rsidRPr="00777C32">
        <w:t>in delegated legislation.</w:t>
      </w:r>
      <w:r>
        <w:t xml:space="preserve"> The committee notes that in this case the ES provides no explanation of or justification for the framing of the offences.</w:t>
      </w:r>
    </w:p>
    <w:p w:rsidR="002A5150" w:rsidRPr="00564E2C" w:rsidRDefault="002A5150" w:rsidP="002A5150">
      <w:pPr>
        <w:rPr>
          <w:b/>
          <w:i/>
        </w:rPr>
      </w:pPr>
      <w:r w:rsidRPr="00564E2C">
        <w:rPr>
          <w:b/>
          <w:i/>
        </w:rPr>
        <w:t>The committee request</w:t>
      </w:r>
      <w:r>
        <w:rPr>
          <w:b/>
          <w:i/>
        </w:rPr>
        <w:t>ed</w:t>
      </w:r>
      <w:r w:rsidRPr="00564E2C">
        <w:rPr>
          <w:b/>
          <w:i/>
        </w:rPr>
        <w:t xml:space="preserve"> the advice of the minister in relation to this matter.</w:t>
      </w:r>
    </w:p>
    <w:p w:rsidR="002A5150" w:rsidRDefault="002A5150" w:rsidP="002A5150">
      <w:pPr>
        <w:rPr>
          <w:b/>
        </w:rPr>
      </w:pPr>
      <w:r w:rsidRPr="00035C4F">
        <w:rPr>
          <w:b/>
        </w:rPr>
        <w:t>Minister's response</w:t>
      </w:r>
    </w:p>
    <w:p w:rsidR="002A5150" w:rsidRDefault="002A5150" w:rsidP="002A5150">
      <w:r>
        <w:t>The Minister for Employment provided an informative response, which offered the following advice:</w:t>
      </w:r>
    </w:p>
    <w:p w:rsidR="002A5150" w:rsidRDefault="002A5150" w:rsidP="002A5150">
      <w:pPr>
        <w:pStyle w:val="Quote"/>
      </w:pPr>
      <w:r>
        <w:t xml:space="preserve">As was noted in the explanatory statement for the </w:t>
      </w:r>
      <w:r w:rsidRPr="00544C84">
        <w:rPr>
          <w:i/>
        </w:rPr>
        <w:t>Work Health and Safety Regulations 2011</w:t>
      </w:r>
      <w:r>
        <w:t xml:space="preserve"> (the Principal Regulations), the use of strict liability offences was agreed by Commonwealth state and territory workplace relations ministers during the development of the model work health and safety laws and was carefully considered during the drafting of the Principal Regulations. The use was considered justified because of the regulatory context where, because of the importance of the safety of workers and the general public, the sanction of criminal penalties is justified.</w:t>
      </w:r>
    </w:p>
    <w:p w:rsidR="002A5150" w:rsidRDefault="002A5150" w:rsidP="002A5150">
      <w:pPr>
        <w:pStyle w:val="Quote"/>
      </w:pPr>
      <w:r>
        <w:t>Offences under the Principal Regulations are predominately targeted at specific high risk industries or workplaces where defendants can reasonably be expected, because of their professional involvement, to know the requirements of the law. Subsequently, the mental or fault element can justifiably be excluded. Further, most offences under the Principal Regulations are subject to qualifiers such as reasonable practicability, due diligence or reasonable care.</w:t>
      </w:r>
    </w:p>
    <w:p w:rsidR="002A5150" w:rsidRDefault="002A5150" w:rsidP="002A5150">
      <w:pPr>
        <w:pStyle w:val="Quote"/>
      </w:pPr>
      <w:r>
        <w:t>The amending Regulation was principally technical in nature. As a result, the majority of offences inserted by the amending Regulation were re-enactments of existing offences with minor changes to wording, structure or application. For example, item 59 re-enacts a set of obligations in relation to amusement devices, with the only change being the extension of these obligations to passenger ropeways. The offences contained in these provisions were not new offences—these were existing offences repealed and re-inserted with minor modifications.</w:t>
      </w:r>
    </w:p>
    <w:p w:rsidR="002A5150" w:rsidRDefault="002A5150" w:rsidP="002A5150">
      <w:pPr>
        <w:pStyle w:val="Quote"/>
      </w:pPr>
      <w:r>
        <w:lastRenderedPageBreak/>
        <w:t>The amending Regulation inserted three substantively new offences. These were consistent with the existing Principal Regulations, and so were considered justified on the same basis as existing strict liability offences. New regulation 85(2A) creates an offence for directing or permitting an unlicensed worker to carry out high risk work without seeing written evidence that an exemption applies. This is consistent with the other offences in regulation 85. New regulation 288D creates an offence for failure to return a registration document. This is consistent with equivalent provisions requiring the return of other licensing or registration documents on the request of the regulator—for example, see regulations 111 and 607. The insertion of penalty provisions in subregulation 343(2) created an offence for failing to label containers containing hazardous chemicals, which is consistent with other provisions concerning labelling of hazardous chemicals.</w:t>
      </w:r>
    </w:p>
    <w:p w:rsidR="002A5150" w:rsidRDefault="002A5150" w:rsidP="002A5150">
      <w:pPr>
        <w:pStyle w:val="Quote"/>
      </w:pPr>
      <w:r>
        <w:t>Finally, the amending Regulation moved and inserted penalty provisions in regulation 418. This did not create a substantive new offence. Instead, it clarified the structure of an existing offence by moving the penalty provisions to the subsections containing the obligations in the regulation.</w:t>
      </w:r>
    </w:p>
    <w:p w:rsidR="002A5150" w:rsidRDefault="002A5150" w:rsidP="002A5150">
      <w:pPr>
        <w:pStyle w:val="Quote"/>
      </w:pPr>
      <w:r>
        <w:t>The strict liability offences inserted by the amending Regulation are either the re-enactment of existing offences with minor changes, or are new offences that are consistent with existing offences in the Principal Regulations. As such, these strict liability offences are considered justified on the same basis as those previously contained in the Principal Regulations.</w:t>
      </w:r>
    </w:p>
    <w:p w:rsidR="002A5150" w:rsidRPr="001B7D19" w:rsidRDefault="002A5150" w:rsidP="002A5150">
      <w:pPr>
        <w:rPr>
          <w:szCs w:val="26"/>
        </w:rPr>
      </w:pPr>
      <w:r w:rsidRPr="00FC2AAD">
        <w:rPr>
          <w:b/>
        </w:rPr>
        <w:t xml:space="preserve">The committee thanks the </w:t>
      </w:r>
      <w:r>
        <w:rPr>
          <w:b/>
        </w:rPr>
        <w:t xml:space="preserve">minister for his </w:t>
      </w:r>
      <w:r w:rsidRPr="00FC2AAD">
        <w:rPr>
          <w:b/>
        </w:rPr>
        <w:t>response and has concluded its examination of the instrument.</w:t>
      </w:r>
    </w:p>
    <w:p w:rsidR="00520991" w:rsidRDefault="00520991"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 w:rsidR="002A5150" w:rsidRDefault="002A5150" w:rsidP="00325264">
      <w:pPr>
        <w:sectPr w:rsidR="002A5150" w:rsidSect="00152F58">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9"/>
          <w:cols w:space="708"/>
          <w:titlePg/>
          <w:docGrid w:linePitch="360"/>
        </w:sectPr>
      </w:pPr>
    </w:p>
    <w:p w:rsidR="002A5150" w:rsidRDefault="002A5150" w:rsidP="002A5150">
      <w:pPr>
        <w:pStyle w:val="Heading1"/>
      </w:pPr>
      <w:r>
        <w:lastRenderedPageBreak/>
        <w:t>Appendix 1</w:t>
      </w:r>
    </w:p>
    <w:p w:rsidR="002A5150" w:rsidRPr="00520991" w:rsidRDefault="002A5150" w:rsidP="002A5150">
      <w:pPr>
        <w:pStyle w:val="Heading2"/>
      </w:pPr>
      <w:r>
        <w:t>Correspondence</w:t>
      </w:r>
    </w:p>
    <w:p w:rsidR="002A5150" w:rsidRDefault="002A5150" w:rsidP="00325264">
      <w:pPr>
        <w:sectPr w:rsidR="002A5150" w:rsidSect="00DE6E97">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pgNumType w:start="25"/>
          <w:cols w:space="720"/>
          <w:titlePg/>
        </w:sectPr>
      </w:pPr>
    </w:p>
    <w:p w:rsidR="002A5150" w:rsidRDefault="002A5150" w:rsidP="00325264">
      <w:pPr>
        <w:sectPr w:rsidR="002A5150" w:rsidSect="00DE6E97">
          <w:headerReference w:type="first" r:id="rId52"/>
          <w:footerReference w:type="first" r:id="rId53"/>
          <w:pgSz w:w="11906" w:h="16838" w:code="9"/>
          <w:pgMar w:top="1440" w:right="1440" w:bottom="1202" w:left="1440" w:header="1134" w:footer="720" w:gutter="0"/>
          <w:pgNumType w:start="25"/>
          <w:cols w:space="720"/>
          <w:titlePg/>
        </w:sectPr>
      </w:pPr>
    </w:p>
    <w:p w:rsidR="002A5150" w:rsidRDefault="002A5150" w:rsidP="002A5150">
      <w:pPr>
        <w:pStyle w:val="Heading1"/>
      </w:pPr>
      <w:r>
        <w:lastRenderedPageBreak/>
        <w:t>Appendix 2</w:t>
      </w:r>
    </w:p>
    <w:p w:rsidR="002A5150" w:rsidRDefault="002A5150" w:rsidP="002A5150">
      <w:pPr>
        <w:pStyle w:val="Heading2"/>
      </w:pPr>
      <w:r>
        <w:t>Guideline on consultation</w:t>
      </w:r>
    </w:p>
    <w:p w:rsidR="002A5150" w:rsidRPr="00C22E53" w:rsidRDefault="002A5150" w:rsidP="002A5150">
      <w:pPr>
        <w:pStyle w:val="Heading3"/>
      </w:pPr>
      <w:r>
        <w:t>Purpose</w:t>
      </w:r>
    </w:p>
    <w:p w:rsidR="002A5150" w:rsidRPr="00C22E53" w:rsidRDefault="002A5150" w:rsidP="002A5150">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2A5150" w:rsidRPr="00C22E53" w:rsidRDefault="002A5150" w:rsidP="002A5150">
      <w:pPr>
        <w:rPr>
          <w:szCs w:val="24"/>
        </w:rPr>
      </w:pPr>
      <w:r w:rsidRPr="00C22E53">
        <w:rPr>
          <w:szCs w:val="24"/>
        </w:rPr>
        <w:t xml:space="preserve">The committee scrutinises instruments to ensure, inter alia, that they meet the technical requirements of the </w:t>
      </w:r>
      <w:hyperlink r:id="rId54"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2A5150" w:rsidRPr="00241303" w:rsidRDefault="002A5150" w:rsidP="002A5150">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5" w:history="1">
        <w:r w:rsidRPr="00241303">
          <w:rPr>
            <w:rStyle w:val="Hyperlink"/>
            <w:color w:val="auto"/>
            <w:szCs w:val="24"/>
            <w:u w:val="none"/>
          </w:rPr>
          <w:t>disallowance</w:t>
        </w:r>
      </w:hyperlink>
      <w:r w:rsidRPr="00241303">
        <w:rPr>
          <w:szCs w:val="24"/>
        </w:rPr>
        <w:t>.</w:t>
      </w:r>
    </w:p>
    <w:p w:rsidR="002A5150" w:rsidRPr="00C22E53" w:rsidRDefault="002A5150" w:rsidP="002A5150">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2A5150" w:rsidRDefault="002A5150" w:rsidP="002A5150">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2A5150" w:rsidRPr="00C22E53" w:rsidRDefault="002A5150" w:rsidP="002A5150">
      <w:pPr>
        <w:pStyle w:val="Heading3"/>
      </w:pPr>
      <w:r w:rsidRPr="00241303">
        <w:t xml:space="preserve">Requirements of the </w:t>
      </w:r>
      <w:r w:rsidRPr="00241303">
        <w:rPr>
          <w:i/>
        </w:rPr>
        <w:t>Legislative Instruments Act 2003</w:t>
      </w:r>
    </w:p>
    <w:p w:rsidR="002A5150" w:rsidRPr="00C22E53" w:rsidRDefault="002A5150" w:rsidP="002A5150">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2A5150" w:rsidRPr="00C22E53" w:rsidRDefault="002A5150" w:rsidP="002A5150">
      <w:pPr>
        <w:rPr>
          <w:szCs w:val="24"/>
        </w:rPr>
      </w:pPr>
      <w:r w:rsidRPr="00C22E53">
        <w:rPr>
          <w:szCs w:val="24"/>
        </w:rPr>
        <w:t>Section 18 of the Act, however, provides that in some circumstances such consultation may be 'unnecessary or inappropriate'.</w:t>
      </w:r>
    </w:p>
    <w:p w:rsidR="002A5150" w:rsidRPr="00241303" w:rsidRDefault="002A5150" w:rsidP="002A5150">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2A5150" w:rsidRPr="00241303" w:rsidRDefault="002A5150" w:rsidP="002A5150">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2A5150" w:rsidRPr="00C22E53" w:rsidRDefault="002A5150" w:rsidP="002A5150">
      <w:pPr>
        <w:rPr>
          <w:szCs w:val="24"/>
        </w:rPr>
      </w:pPr>
      <w:r w:rsidRPr="00C22E53">
        <w:rPr>
          <w:szCs w:val="24"/>
        </w:rPr>
        <w:t>If a RIS or similar assessment has been prepared, it should be provided to the committee along with the ES.</w:t>
      </w:r>
    </w:p>
    <w:p w:rsidR="002A5150" w:rsidRPr="00C22E53" w:rsidRDefault="002A5150" w:rsidP="002A5150">
      <w:pPr>
        <w:pStyle w:val="Heading3"/>
      </w:pPr>
      <w:r w:rsidRPr="00C22E53">
        <w:t>Describing the nature of consultation</w:t>
      </w:r>
    </w:p>
    <w:p w:rsidR="002A5150" w:rsidRPr="00C22E53" w:rsidRDefault="002A5150" w:rsidP="002A5150">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2A5150" w:rsidRDefault="002A5150" w:rsidP="002A5150">
      <w:pPr>
        <w:rPr>
          <w:szCs w:val="24"/>
        </w:rPr>
      </w:pPr>
      <w:r w:rsidRPr="00C22E53">
        <w:rPr>
          <w:szCs w:val="24"/>
        </w:rPr>
        <w:t>Where consultation has taken place, the ES to an instrument should set out the following information:</w:t>
      </w:r>
    </w:p>
    <w:p w:rsidR="002A5150" w:rsidRDefault="002A5150" w:rsidP="002A5150">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2A5150" w:rsidRDefault="002A5150" w:rsidP="002A5150">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2A5150" w:rsidRPr="00241303" w:rsidRDefault="002A5150" w:rsidP="002A5150">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2A5150" w:rsidRPr="00C22E53" w:rsidRDefault="002A5150" w:rsidP="002A5150">
      <w:pPr>
        <w:pStyle w:val="Heading3"/>
      </w:pPr>
      <w:r w:rsidRPr="00C22E53">
        <w:t>Explaining why consultation has not been undertaken</w:t>
      </w:r>
    </w:p>
    <w:p w:rsidR="002A5150" w:rsidRPr="00C22E53" w:rsidRDefault="002A5150" w:rsidP="002A5150">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2A5150" w:rsidRDefault="002A5150" w:rsidP="002A5150">
      <w:pPr>
        <w:spacing w:after="0"/>
        <w:jc w:val="left"/>
        <w:rPr>
          <w:szCs w:val="24"/>
        </w:rPr>
      </w:pPr>
      <w:r>
        <w:rPr>
          <w:szCs w:val="24"/>
        </w:rPr>
        <w:br w:type="page"/>
      </w:r>
    </w:p>
    <w:p w:rsidR="002A5150" w:rsidRPr="00C22E53" w:rsidRDefault="002A5150" w:rsidP="002A5150">
      <w:pPr>
        <w:rPr>
          <w:szCs w:val="24"/>
        </w:rPr>
      </w:pPr>
      <w:r w:rsidRPr="00C22E53">
        <w:rPr>
          <w:szCs w:val="24"/>
        </w:rPr>
        <w:lastRenderedPageBreak/>
        <w:t>In explaining why no consultation has taken place, it is important to note the following considerations:</w:t>
      </w:r>
    </w:p>
    <w:p w:rsidR="002A5150" w:rsidRPr="00241303" w:rsidRDefault="002A5150" w:rsidP="002A5150">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2A5150" w:rsidRPr="00C22E53" w:rsidRDefault="002A5150" w:rsidP="002A5150">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2A5150" w:rsidRDefault="002A5150" w:rsidP="002A5150">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2A5150" w:rsidRPr="00C22E53" w:rsidRDefault="002A5150" w:rsidP="002A5150">
      <w:pPr>
        <w:pStyle w:val="Heading3"/>
      </w:pPr>
      <w:r w:rsidRPr="00C22E53">
        <w:t>Seeking further advice or information</w:t>
      </w:r>
    </w:p>
    <w:p w:rsidR="002A5150" w:rsidRDefault="002A5150" w:rsidP="002A5150">
      <w:pPr>
        <w:rPr>
          <w:szCs w:val="24"/>
        </w:rPr>
      </w:pPr>
      <w:r w:rsidRPr="00C22E53">
        <w:rPr>
          <w:szCs w:val="24"/>
        </w:rPr>
        <w:t xml:space="preserve">Further information is available through the committee's website at </w:t>
      </w:r>
      <w:hyperlink r:id="rId56"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2A5150" w:rsidRDefault="002A5150" w:rsidP="002A5150">
      <w:pPr>
        <w:spacing w:after="0"/>
        <w:ind w:left="720"/>
        <w:rPr>
          <w:szCs w:val="24"/>
        </w:rPr>
      </w:pPr>
      <w:r w:rsidRPr="00C22E53">
        <w:rPr>
          <w:szCs w:val="24"/>
        </w:rPr>
        <w:t>Committee Secretary</w:t>
      </w:r>
    </w:p>
    <w:p w:rsidR="002A5150" w:rsidRPr="00C22E53" w:rsidRDefault="002A5150" w:rsidP="002A5150">
      <w:pPr>
        <w:spacing w:after="0"/>
        <w:ind w:left="720"/>
        <w:rPr>
          <w:szCs w:val="24"/>
        </w:rPr>
      </w:pPr>
      <w:r w:rsidRPr="00C22E53">
        <w:rPr>
          <w:szCs w:val="24"/>
        </w:rPr>
        <w:t>Senate Regulations and Ordinances Committee</w:t>
      </w:r>
    </w:p>
    <w:p w:rsidR="002A5150" w:rsidRPr="00C22E53" w:rsidRDefault="002A5150" w:rsidP="002A5150">
      <w:pPr>
        <w:spacing w:after="0"/>
        <w:ind w:left="720"/>
        <w:rPr>
          <w:szCs w:val="24"/>
        </w:rPr>
      </w:pPr>
      <w:r w:rsidRPr="00C22E53">
        <w:rPr>
          <w:szCs w:val="24"/>
        </w:rPr>
        <w:t>PO Box 6100</w:t>
      </w:r>
    </w:p>
    <w:p w:rsidR="002A5150" w:rsidRPr="00C22E53" w:rsidRDefault="002A5150" w:rsidP="002A5150">
      <w:pPr>
        <w:spacing w:after="0"/>
        <w:ind w:left="720"/>
        <w:rPr>
          <w:szCs w:val="24"/>
        </w:rPr>
      </w:pPr>
      <w:r w:rsidRPr="00C22E53">
        <w:rPr>
          <w:szCs w:val="24"/>
        </w:rPr>
        <w:t>Parliament House</w:t>
      </w:r>
    </w:p>
    <w:p w:rsidR="002A5150" w:rsidRDefault="002A5150" w:rsidP="002A5150">
      <w:pPr>
        <w:spacing w:after="0"/>
        <w:ind w:left="720"/>
        <w:rPr>
          <w:szCs w:val="24"/>
        </w:rPr>
      </w:pPr>
      <w:r w:rsidRPr="00C22E53">
        <w:rPr>
          <w:szCs w:val="24"/>
        </w:rPr>
        <w:t>Canberra ACT 2600</w:t>
      </w:r>
    </w:p>
    <w:p w:rsidR="002A5150" w:rsidRDefault="002A5150" w:rsidP="002A5150">
      <w:pPr>
        <w:spacing w:after="0"/>
        <w:ind w:left="720"/>
        <w:rPr>
          <w:szCs w:val="24"/>
        </w:rPr>
      </w:pPr>
      <w:r w:rsidRPr="00C22E53">
        <w:rPr>
          <w:szCs w:val="24"/>
        </w:rPr>
        <w:t>Australia</w:t>
      </w:r>
    </w:p>
    <w:p w:rsidR="002A5150" w:rsidRPr="00C22E53" w:rsidRDefault="002A5150" w:rsidP="002A5150">
      <w:pPr>
        <w:spacing w:after="60"/>
        <w:ind w:left="720"/>
        <w:rPr>
          <w:szCs w:val="24"/>
        </w:rPr>
      </w:pPr>
    </w:p>
    <w:p w:rsidR="002A5150" w:rsidRPr="00C22E53" w:rsidRDefault="002A5150" w:rsidP="002A5150">
      <w:pPr>
        <w:spacing w:after="0"/>
        <w:ind w:left="720"/>
        <w:rPr>
          <w:szCs w:val="24"/>
        </w:rPr>
      </w:pPr>
      <w:r w:rsidRPr="00C22E53">
        <w:rPr>
          <w:szCs w:val="24"/>
        </w:rPr>
        <w:t xml:space="preserve">Phone: +61 2 6277 3066 </w:t>
      </w:r>
    </w:p>
    <w:p w:rsidR="002A5150" w:rsidRPr="00C22E53" w:rsidRDefault="002A5150" w:rsidP="002A5150">
      <w:pPr>
        <w:spacing w:after="0"/>
        <w:ind w:left="720"/>
        <w:rPr>
          <w:szCs w:val="24"/>
        </w:rPr>
      </w:pPr>
      <w:r w:rsidRPr="00C22E53">
        <w:rPr>
          <w:szCs w:val="24"/>
        </w:rPr>
        <w:t xml:space="preserve">Fax: +61 2 6277 5881 </w:t>
      </w:r>
    </w:p>
    <w:p w:rsidR="002A5150" w:rsidRPr="00C22E53" w:rsidRDefault="002A5150" w:rsidP="002A5150">
      <w:pPr>
        <w:spacing w:after="0"/>
        <w:ind w:left="720"/>
        <w:rPr>
          <w:szCs w:val="24"/>
        </w:rPr>
      </w:pPr>
      <w:r w:rsidRPr="00C22E53">
        <w:rPr>
          <w:szCs w:val="24"/>
        </w:rPr>
        <w:t xml:space="preserve">Email: </w:t>
      </w:r>
      <w:hyperlink r:id="rId57" w:history="1">
        <w:r w:rsidRPr="00C22E53">
          <w:rPr>
            <w:rStyle w:val="Hyperlink"/>
            <w:szCs w:val="24"/>
          </w:rPr>
          <w:t>RegOrds.Sen@aph.gov.au</w:t>
        </w:r>
      </w:hyperlink>
    </w:p>
    <w:p w:rsidR="002A5150" w:rsidRPr="00520991" w:rsidRDefault="002A5150" w:rsidP="00325264"/>
    <w:sectPr w:rsidR="002A5150" w:rsidRPr="00520991" w:rsidSect="00C630EF">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202" w:left="1440" w:header="1134" w:footer="720" w:gutter="0"/>
      <w:pgNumType w:start="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2A5150">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2A5150">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A5150">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2A515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A5150">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A5150">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A5150">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A5150">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A5150">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A5150">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Footer"/>
      <w:tabs>
        <w:tab w:val="clear" w:pos="4153"/>
        <w:tab w:val="clear" w:pos="8306"/>
        <w:tab w:val="right" w:pos="9000"/>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2A5150">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2A5150">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2A5150" w:rsidRDefault="002A5150">
        <w:pPr>
          <w:pStyle w:val="Footer"/>
          <w:jc w:val="center"/>
        </w:pPr>
        <w:r>
          <w:fldChar w:fldCharType="begin"/>
        </w:r>
        <w:r>
          <w:instrText xml:space="preserve"> PAGE   \* MERGEFORMAT </w:instrText>
        </w:r>
        <w:r>
          <w:fldChar w:fldCharType="separate"/>
        </w:r>
        <w:r>
          <w:rPr>
            <w:noProof/>
          </w:rPr>
          <w:t>v</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2A5150" w:rsidRPr="00ED4CC3" w:rsidRDefault="002A5150" w:rsidP="002A5150">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2A5150" w:rsidRPr="00DB17B5" w:rsidRDefault="002A5150" w:rsidP="002A5150">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2A5150" w:rsidRPr="000E553A" w:rsidRDefault="002A5150" w:rsidP="002A5150">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2A5150" w:rsidRPr="00194B2F" w:rsidRDefault="002A5150" w:rsidP="002A5150">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2A5150" w:rsidRPr="000274A0" w:rsidRDefault="002A5150" w:rsidP="002A5150">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2A5150" w:rsidRPr="00E35D4F" w:rsidRDefault="002A5150" w:rsidP="002A5150">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7">
    <w:p w:rsidR="002A5150" w:rsidRPr="00EB1365" w:rsidRDefault="002A5150" w:rsidP="002A5150">
      <w:pPr>
        <w:pStyle w:val="FootnoteText"/>
        <w:spacing w:after="120"/>
      </w:pPr>
      <w:r w:rsidRPr="00EB1365">
        <w:rPr>
          <w:rStyle w:val="FootnoteReference"/>
          <w:vertAlign w:val="baseline"/>
        </w:rPr>
        <w:footnoteRef/>
      </w:r>
      <w:r w:rsidRPr="00EB1365">
        <w:t xml:space="preserve"> </w:t>
      </w:r>
      <w:r>
        <w:tab/>
        <w:t xml:space="preserve">The minister's response is contained in Attachment A of the minister's response on the </w:t>
      </w:r>
      <w:r w:rsidRPr="00EB1365">
        <w:t>Comptroller-General of Customs (Places of Detention) Directions 2015 [F2015L00891]</w:t>
      </w:r>
      <w:r>
        <w:t xml:space="preserve"> (</w:t>
      </w:r>
      <w:r w:rsidRPr="00EB1365">
        <w:t>Correspondence relating to these ma</w:t>
      </w:r>
      <w:r>
        <w:t>tters is included at Appendix 1 to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2A5150" w:rsidP="007E6842">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A515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A5150">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2A5150">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w:t>
    </w:r>
    <w:r>
      <w:rPr>
        <w:noProof/>
      </w:rPr>
      <w:fldChar w:fldCharType="end"/>
    </w:r>
    <w:r w:rsidRPr="007E5241">
      <w:rPr>
        <w:color w:val="FF0000"/>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A515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A5150">
    <w:pPr>
      <w:pStyle w:val="Heade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Header"/>
      <w:tabs>
        <w:tab w:val="clear" w:pos="8306"/>
        <w:tab w:val="right" w:pos="9000"/>
      </w:tabs>
    </w:pP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2A5150">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20</w:t>
    </w:r>
    <w:r>
      <w:rPr>
        <w:noProof/>
      </w:rPr>
      <w:fldChar w:fldCharType="end"/>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A515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19</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A5150">
    <w:pPr>
      <w:pStyle w:val="Header"/>
      <w:tabs>
        <w:tab w:val="clear" w:pos="8306"/>
        <w:tab w:val="right" w:pos="9000"/>
      </w:tabs>
    </w:pPr>
    <w:r>
      <w:tab/>
    </w:r>
    <w:r>
      <w:fldChar w:fldCharType="begin"/>
    </w:r>
    <w:r>
      <w:instrText xml:space="preserve"> PAGE </w:instrText>
    </w:r>
    <w:r>
      <w:fldChar w:fldCharType="separate"/>
    </w:r>
    <w:r>
      <w:rPr>
        <w:noProof/>
      </w:rPr>
      <w:t>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2A5150">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A5150">
      <w:fldChar w:fldCharType="begin"/>
    </w:r>
    <w:r w:rsidR="002A5150">
      <w:instrText xml:space="preserve"> PAGE </w:instrText>
    </w:r>
    <w:r w:rsidR="002A5150">
      <w:fldChar w:fldCharType="separate"/>
    </w:r>
    <w:r>
      <w:rPr>
        <w:noProof/>
      </w:rPr>
      <w:t>3</w:t>
    </w:r>
    <w:r w:rsidR="002A5150">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2A5150">
      <w:t>2</w:t>
    </w:r>
    <w:r w:rsidR="002A5150">
      <w:t>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Header"/>
      <w:tabs>
        <w:tab w:val="clear" w:pos="8306"/>
        <w:tab w:val="right" w:pos="9000"/>
      </w:tabs>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2A5150">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52</w:t>
    </w:r>
    <w:r>
      <w:rPr>
        <w:noProof/>
      </w:rPr>
      <w:fldChar w:fldCharType="end"/>
    </w:r>
    <w:r w:rsidR="00C77954">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2A5150">
      <w:t>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A5150">
      <w:fldChar w:fldCharType="begin"/>
    </w:r>
    <w:r w:rsidR="002A5150">
      <w:instrText xml:space="preserve"> PAGE </w:instrText>
    </w:r>
    <w:r w:rsidR="002A5150">
      <w:fldChar w:fldCharType="separate"/>
    </w:r>
    <w:r w:rsidR="002A5150">
      <w:rPr>
        <w:noProof/>
      </w:rPr>
      <w:t>v</w:t>
    </w:r>
    <w:r w:rsidR="002A5150">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Pr="002A5150" w:rsidRDefault="002A5150" w:rsidP="002A515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rsidP="003B7B6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50" w:rsidRDefault="002A5150">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16E261DC"/>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AA5C403C"/>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63D2471F"/>
    <w:multiLevelType w:val="multilevel"/>
    <w:tmpl w:val="723E503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13"/>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2A5150"/>
    <w:rsid w:val="002F48B0"/>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C7A3A"/>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A5150"/>
    <w:pPr>
      <w:keepNext/>
      <w:numPr>
        <w:ilvl w:val="3"/>
        <w:numId w:val="32"/>
      </w:numPr>
      <w:outlineLvl w:val="3"/>
    </w:pPr>
    <w:rPr>
      <w:b/>
      <w:i/>
    </w:rPr>
  </w:style>
  <w:style w:type="paragraph" w:styleId="Heading5">
    <w:name w:val="heading 5"/>
    <w:basedOn w:val="Normal"/>
    <w:next w:val="Normal"/>
    <w:qFormat/>
    <w:rsid w:val="002A5150"/>
    <w:pPr>
      <w:keepNext/>
      <w:numPr>
        <w:ilvl w:val="4"/>
        <w:numId w:val="32"/>
      </w:numPr>
      <w:jc w:val="left"/>
      <w:outlineLvl w:val="4"/>
    </w:pPr>
    <w:rPr>
      <w:i/>
    </w:rPr>
  </w:style>
  <w:style w:type="paragraph" w:styleId="Heading6">
    <w:name w:val="heading 6"/>
    <w:basedOn w:val="Normal"/>
    <w:next w:val="Normal"/>
    <w:qFormat/>
    <w:locked/>
    <w:rsid w:val="002A5150"/>
    <w:pPr>
      <w:numPr>
        <w:ilvl w:val="5"/>
        <w:numId w:val="32"/>
      </w:numPr>
      <w:spacing w:before="240" w:after="60"/>
      <w:outlineLvl w:val="5"/>
    </w:pPr>
    <w:rPr>
      <w:i/>
      <w:sz w:val="22"/>
    </w:rPr>
  </w:style>
  <w:style w:type="paragraph" w:styleId="Heading7">
    <w:name w:val="heading 7"/>
    <w:basedOn w:val="Normal"/>
    <w:next w:val="Normal"/>
    <w:qFormat/>
    <w:locked/>
    <w:rsid w:val="002A5150"/>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A5150"/>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A5150"/>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A5150"/>
    <w:pPr>
      <w:numPr>
        <w:numId w:val="32"/>
      </w:numPr>
    </w:pPr>
  </w:style>
  <w:style w:type="paragraph" w:customStyle="1" w:styleId="Level2">
    <w:name w:val="Level2"/>
    <w:basedOn w:val="Normal"/>
    <w:rsid w:val="002A5150"/>
    <w:pPr>
      <w:numPr>
        <w:ilvl w:val="1"/>
        <w:numId w:val="32"/>
      </w:numPr>
    </w:pPr>
  </w:style>
  <w:style w:type="paragraph" w:customStyle="1" w:styleId="Level3">
    <w:name w:val="Level3"/>
    <w:basedOn w:val="Normal"/>
    <w:link w:val="Level3Char"/>
    <w:rsid w:val="002A5150"/>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A5150"/>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2A5150"/>
    <w:rPr>
      <w:rFonts w:ascii="Times New Roman" w:hAnsi="Times New Roman"/>
      <w:b/>
      <w:kern w:val="28"/>
      <w:sz w:val="40"/>
      <w:lang w:eastAsia="en-US"/>
    </w:rPr>
  </w:style>
  <w:style w:type="character" w:customStyle="1" w:styleId="HeaderChar">
    <w:name w:val="Header Char"/>
    <w:basedOn w:val="DefaultParagraphFont"/>
    <w:link w:val="Header"/>
    <w:semiHidden/>
    <w:rsid w:val="002A5150"/>
    <w:rPr>
      <w:rFonts w:ascii="Times New Roman" w:hAnsi="Times New Roman"/>
      <w:sz w:val="22"/>
      <w:lang w:eastAsia="en-US"/>
    </w:rPr>
  </w:style>
  <w:style w:type="paragraph" w:customStyle="1" w:styleId="JNP2">
    <w:name w:val="JNP2"/>
    <w:basedOn w:val="Normal"/>
    <w:rsid w:val="002A5150"/>
    <w:pPr>
      <w:spacing w:after="0"/>
      <w:ind w:left="2268"/>
    </w:pPr>
    <w:rPr>
      <w:lang w:val="en-US"/>
    </w:rPr>
  </w:style>
  <w:style w:type="character" w:customStyle="1" w:styleId="FootnoteTextChar">
    <w:name w:val="Footnote Text Char"/>
    <w:basedOn w:val="DefaultParagraphFont"/>
    <w:link w:val="FootnoteText"/>
    <w:rsid w:val="002A5150"/>
    <w:rPr>
      <w:sz w:val="22"/>
      <w:lang w:eastAsia="en-US"/>
    </w:rPr>
  </w:style>
  <w:style w:type="character" w:customStyle="1" w:styleId="QuoteChar">
    <w:name w:val="Quote Char"/>
    <w:basedOn w:val="DefaultParagraphFont"/>
    <w:link w:val="Quote"/>
    <w:rsid w:val="002A5150"/>
    <w:rPr>
      <w:rFonts w:ascii="Times New Roman" w:hAnsi="Times New Roman"/>
      <w:sz w:val="24"/>
      <w:lang w:eastAsia="en-US"/>
    </w:rPr>
  </w:style>
  <w:style w:type="character" w:customStyle="1" w:styleId="Heading2Char">
    <w:name w:val="Heading 2 Char"/>
    <w:basedOn w:val="DefaultParagraphFont"/>
    <w:link w:val="Heading2"/>
    <w:rsid w:val="002A5150"/>
    <w:rPr>
      <w:rFonts w:ascii="Times New Roman" w:hAnsi="Times New Roman"/>
      <w:b/>
      <w:sz w:val="36"/>
      <w:lang w:eastAsia="en-US"/>
    </w:rPr>
  </w:style>
  <w:style w:type="character" w:customStyle="1" w:styleId="Heading3Char">
    <w:name w:val="Heading 3 Char"/>
    <w:basedOn w:val="DefaultParagraphFont"/>
    <w:link w:val="Heading3"/>
    <w:rsid w:val="002A5150"/>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A5150"/>
    <w:pPr>
      <w:keepNext/>
      <w:numPr>
        <w:ilvl w:val="3"/>
        <w:numId w:val="32"/>
      </w:numPr>
      <w:outlineLvl w:val="3"/>
    </w:pPr>
    <w:rPr>
      <w:b/>
      <w:i/>
    </w:rPr>
  </w:style>
  <w:style w:type="paragraph" w:styleId="Heading5">
    <w:name w:val="heading 5"/>
    <w:basedOn w:val="Normal"/>
    <w:next w:val="Normal"/>
    <w:qFormat/>
    <w:rsid w:val="002A5150"/>
    <w:pPr>
      <w:keepNext/>
      <w:numPr>
        <w:ilvl w:val="4"/>
        <w:numId w:val="32"/>
      </w:numPr>
      <w:jc w:val="left"/>
      <w:outlineLvl w:val="4"/>
    </w:pPr>
    <w:rPr>
      <w:i/>
    </w:rPr>
  </w:style>
  <w:style w:type="paragraph" w:styleId="Heading6">
    <w:name w:val="heading 6"/>
    <w:basedOn w:val="Normal"/>
    <w:next w:val="Normal"/>
    <w:qFormat/>
    <w:locked/>
    <w:rsid w:val="002A5150"/>
    <w:pPr>
      <w:numPr>
        <w:ilvl w:val="5"/>
        <w:numId w:val="32"/>
      </w:numPr>
      <w:spacing w:before="240" w:after="60"/>
      <w:outlineLvl w:val="5"/>
    </w:pPr>
    <w:rPr>
      <w:i/>
      <w:sz w:val="22"/>
    </w:rPr>
  </w:style>
  <w:style w:type="paragraph" w:styleId="Heading7">
    <w:name w:val="heading 7"/>
    <w:basedOn w:val="Normal"/>
    <w:next w:val="Normal"/>
    <w:qFormat/>
    <w:locked/>
    <w:rsid w:val="002A5150"/>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A5150"/>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A5150"/>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A5150"/>
    <w:pPr>
      <w:numPr>
        <w:numId w:val="32"/>
      </w:numPr>
    </w:pPr>
  </w:style>
  <w:style w:type="paragraph" w:customStyle="1" w:styleId="Level2">
    <w:name w:val="Level2"/>
    <w:basedOn w:val="Normal"/>
    <w:rsid w:val="002A5150"/>
    <w:pPr>
      <w:numPr>
        <w:ilvl w:val="1"/>
        <w:numId w:val="32"/>
      </w:numPr>
    </w:pPr>
  </w:style>
  <w:style w:type="paragraph" w:customStyle="1" w:styleId="Level3">
    <w:name w:val="Level3"/>
    <w:basedOn w:val="Normal"/>
    <w:link w:val="Level3Char"/>
    <w:rsid w:val="002A5150"/>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A5150"/>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2A5150"/>
    <w:rPr>
      <w:rFonts w:ascii="Times New Roman" w:hAnsi="Times New Roman"/>
      <w:b/>
      <w:kern w:val="28"/>
      <w:sz w:val="40"/>
      <w:lang w:eastAsia="en-US"/>
    </w:rPr>
  </w:style>
  <w:style w:type="character" w:customStyle="1" w:styleId="HeaderChar">
    <w:name w:val="Header Char"/>
    <w:basedOn w:val="DefaultParagraphFont"/>
    <w:link w:val="Header"/>
    <w:semiHidden/>
    <w:rsid w:val="002A5150"/>
    <w:rPr>
      <w:rFonts w:ascii="Times New Roman" w:hAnsi="Times New Roman"/>
      <w:sz w:val="22"/>
      <w:lang w:eastAsia="en-US"/>
    </w:rPr>
  </w:style>
  <w:style w:type="paragraph" w:customStyle="1" w:styleId="JNP2">
    <w:name w:val="JNP2"/>
    <w:basedOn w:val="Normal"/>
    <w:rsid w:val="002A5150"/>
    <w:pPr>
      <w:spacing w:after="0"/>
      <w:ind w:left="2268"/>
    </w:pPr>
    <w:rPr>
      <w:lang w:val="en-US"/>
    </w:rPr>
  </w:style>
  <w:style w:type="character" w:customStyle="1" w:styleId="FootnoteTextChar">
    <w:name w:val="Footnote Text Char"/>
    <w:basedOn w:val="DefaultParagraphFont"/>
    <w:link w:val="FootnoteText"/>
    <w:rsid w:val="002A5150"/>
    <w:rPr>
      <w:sz w:val="22"/>
      <w:lang w:eastAsia="en-US"/>
    </w:rPr>
  </w:style>
  <w:style w:type="character" w:customStyle="1" w:styleId="QuoteChar">
    <w:name w:val="Quote Char"/>
    <w:basedOn w:val="DefaultParagraphFont"/>
    <w:link w:val="Quote"/>
    <w:rsid w:val="002A5150"/>
    <w:rPr>
      <w:rFonts w:ascii="Times New Roman" w:hAnsi="Times New Roman"/>
      <w:sz w:val="24"/>
      <w:lang w:eastAsia="en-US"/>
    </w:rPr>
  </w:style>
  <w:style w:type="character" w:customStyle="1" w:styleId="Heading2Char">
    <w:name w:val="Heading 2 Char"/>
    <w:basedOn w:val="DefaultParagraphFont"/>
    <w:link w:val="Heading2"/>
    <w:rsid w:val="002A5150"/>
    <w:rPr>
      <w:rFonts w:ascii="Times New Roman" w:hAnsi="Times New Roman"/>
      <w:b/>
      <w:sz w:val="36"/>
      <w:lang w:eastAsia="en-US"/>
    </w:rPr>
  </w:style>
  <w:style w:type="character" w:customStyle="1" w:styleId="Heading3Char">
    <w:name w:val="Heading 3 Char"/>
    <w:basedOn w:val="DefaultParagraphFont"/>
    <w:link w:val="Heading3"/>
    <w:rsid w:val="002A5150"/>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hyperlink" Target="http://www.aph.gov.au/Parliamentary_Business/Committees/Senate_Committees?url=regord_ctte/alert2012.htm" TargetMode="External"/><Relationship Id="rId63" Type="http://schemas.openxmlformats.org/officeDocument/2006/relationships/footer" Target="footer26.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8.xml"/><Relationship Id="rId54" Type="http://schemas.openxmlformats.org/officeDocument/2006/relationships/hyperlink" Target="http://www.comlaw.gov.au/Details/C2012C00041" TargetMode="External"/><Relationship Id="rId62" Type="http://schemas.openxmlformats.org/officeDocument/2006/relationships/header" Target="header2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yperlink" Target="mailto:RegOrds.Sen@aph.gov.au" TargetMode="Externa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yperlink" Target="http://www.aph.gov.au/Parliamentary_Business/Committees/Senate/Regulations_and_Ordinances%20"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5.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45</Pages>
  <Words>9532</Words>
  <Characters>55890</Characters>
  <Application>Microsoft Office Word</Application>
  <DocSecurity>0</DocSecurity>
  <Lines>1215</Lines>
  <Paragraphs>549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2015-09-17T02:08:00Z</dcterms:created>
  <dcterms:modified xsi:type="dcterms:W3CDTF">2015-09-17T02:08:00Z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