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9A4604">
        <w:rPr>
          <w:sz w:val="24"/>
          <w:szCs w:val="24"/>
        </w:rPr>
        <w:t>1</w:t>
      </w:r>
      <w:r w:rsidR="00785962">
        <w:rPr>
          <w:sz w:val="24"/>
          <w:szCs w:val="24"/>
        </w:rPr>
        <w:t>0</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3E63DF">
        <w:rPr>
          <w:sz w:val="28"/>
        </w:rPr>
        <w:t>10</w:t>
      </w:r>
      <w:r w:rsidR="00785962">
        <w:rPr>
          <w:sz w:val="28"/>
        </w:rPr>
        <w:t xml:space="preserve"> September</w:t>
      </w:r>
      <w:r w:rsidR="00AB1147">
        <w:rPr>
          <w:sz w:val="28"/>
        </w:rPr>
        <w:t xml:space="preserve"> </w:t>
      </w:r>
      <w:r w:rsidRPr="00BF4D76">
        <w:rPr>
          <w:rFonts w:ascii="Frutiger 55 roman" w:hAnsi="Frutiger 55 roman" w:cs="Calibri"/>
          <w:sz w:val="28"/>
        </w:rPr>
        <w:t>201</w:t>
      </w:r>
      <w:r w:rsidR="00FD3747">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FD3747">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1946B4" w:rsidRDefault="001946B4" w:rsidP="00325264">
      <w:pPr>
        <w:sectPr w:rsidR="001946B4"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1946B4" w:rsidRDefault="001946B4" w:rsidP="001946B4">
      <w:pPr>
        <w:pStyle w:val="Heading1"/>
      </w:pPr>
      <w:bookmarkStart w:id="0" w:name="_Toc340231481"/>
      <w:r>
        <w:lastRenderedPageBreak/>
        <w:t>Membership of the committee</w:t>
      </w:r>
      <w:bookmarkEnd w:id="0"/>
    </w:p>
    <w:p w:rsidR="001946B4" w:rsidRDefault="001946B4" w:rsidP="001946B4">
      <w:pPr>
        <w:spacing w:after="0"/>
      </w:pPr>
    </w:p>
    <w:p w:rsidR="001946B4" w:rsidRDefault="001946B4" w:rsidP="001946B4">
      <w:pPr>
        <w:spacing w:after="0"/>
      </w:pPr>
    </w:p>
    <w:p w:rsidR="001946B4" w:rsidRDefault="001946B4" w:rsidP="001946B4">
      <w:pPr>
        <w:spacing w:after="0"/>
      </w:pPr>
    </w:p>
    <w:p w:rsidR="001946B4" w:rsidRDefault="001946B4" w:rsidP="001946B4">
      <w:pPr>
        <w:spacing w:after="0"/>
      </w:pPr>
    </w:p>
    <w:p w:rsidR="001946B4" w:rsidRDefault="001946B4" w:rsidP="001946B4">
      <w:pPr>
        <w:spacing w:after="0"/>
      </w:pPr>
    </w:p>
    <w:p w:rsidR="001946B4" w:rsidRPr="008A46B0" w:rsidRDefault="001946B4" w:rsidP="001946B4">
      <w:pPr>
        <w:tabs>
          <w:tab w:val="left" w:pos="4536"/>
        </w:tabs>
        <w:outlineLvl w:val="0"/>
        <w:rPr>
          <w:b/>
        </w:rPr>
      </w:pPr>
      <w:bookmarkStart w:id="1" w:name="_Toc340231482"/>
      <w:r>
        <w:rPr>
          <w:b/>
        </w:rPr>
        <w:t>Current m</w:t>
      </w:r>
      <w:r w:rsidRPr="008A46B0">
        <w:rPr>
          <w:b/>
        </w:rPr>
        <w:t>embers</w:t>
      </w:r>
      <w:bookmarkEnd w:id="1"/>
    </w:p>
    <w:p w:rsidR="001946B4" w:rsidRPr="001F6A19" w:rsidRDefault="001946B4" w:rsidP="001946B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1946B4" w:rsidRPr="001F6A19" w:rsidRDefault="001946B4" w:rsidP="001946B4">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1946B4" w:rsidRPr="001F6A19" w:rsidRDefault="001946B4" w:rsidP="001946B4">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1946B4" w:rsidRPr="001F6A19" w:rsidRDefault="001946B4" w:rsidP="001946B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1946B4" w:rsidRDefault="001946B4" w:rsidP="001946B4">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1946B4" w:rsidRDefault="001946B4" w:rsidP="001946B4">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1946B4" w:rsidRDefault="001946B4" w:rsidP="001946B4">
      <w:pPr>
        <w:spacing w:after="0"/>
        <w:rPr>
          <w:sz w:val="24"/>
          <w:szCs w:val="24"/>
        </w:rPr>
      </w:pPr>
    </w:p>
    <w:p w:rsidR="001946B4" w:rsidRDefault="001946B4" w:rsidP="001946B4">
      <w:pPr>
        <w:spacing w:after="0"/>
        <w:rPr>
          <w:sz w:val="24"/>
          <w:szCs w:val="24"/>
        </w:rPr>
      </w:pPr>
    </w:p>
    <w:p w:rsidR="001946B4" w:rsidRDefault="001946B4" w:rsidP="001946B4">
      <w:pPr>
        <w:spacing w:after="0"/>
        <w:rPr>
          <w:sz w:val="24"/>
          <w:szCs w:val="24"/>
        </w:rPr>
      </w:pPr>
    </w:p>
    <w:p w:rsidR="001946B4" w:rsidRDefault="001946B4" w:rsidP="001946B4">
      <w:pPr>
        <w:spacing w:after="0"/>
        <w:rPr>
          <w:sz w:val="24"/>
          <w:szCs w:val="24"/>
        </w:rPr>
      </w:pPr>
    </w:p>
    <w:p w:rsidR="001946B4" w:rsidRDefault="001946B4" w:rsidP="001946B4">
      <w:pPr>
        <w:spacing w:after="0"/>
        <w:rPr>
          <w:sz w:val="24"/>
          <w:szCs w:val="24"/>
        </w:rPr>
      </w:pPr>
    </w:p>
    <w:p w:rsidR="001946B4" w:rsidRPr="00BE73BD" w:rsidRDefault="001946B4" w:rsidP="001946B4">
      <w:pPr>
        <w:rPr>
          <w:b/>
        </w:rPr>
      </w:pPr>
      <w:bookmarkStart w:id="2" w:name="_Toc340231484"/>
      <w:r w:rsidRPr="00BE73BD">
        <w:rPr>
          <w:b/>
        </w:rPr>
        <w:t>Secretariat</w:t>
      </w:r>
      <w:bookmarkEnd w:id="2"/>
    </w:p>
    <w:p w:rsidR="001946B4" w:rsidRPr="00BE73BD" w:rsidRDefault="001946B4" w:rsidP="001946B4">
      <w:pPr>
        <w:spacing w:after="0"/>
        <w:rPr>
          <w:sz w:val="24"/>
          <w:szCs w:val="24"/>
        </w:rPr>
      </w:pPr>
      <w:bookmarkStart w:id="3" w:name="_Toc340231485"/>
      <w:r w:rsidRPr="00BE73BD">
        <w:rPr>
          <w:sz w:val="24"/>
          <w:szCs w:val="24"/>
        </w:rPr>
        <w:t>Mr Ivan Powell, Secretary</w:t>
      </w:r>
      <w:bookmarkEnd w:id="3"/>
    </w:p>
    <w:p w:rsidR="001946B4" w:rsidRPr="00BE73BD" w:rsidRDefault="001946B4" w:rsidP="001946B4">
      <w:pPr>
        <w:spacing w:after="0"/>
        <w:rPr>
          <w:sz w:val="24"/>
          <w:szCs w:val="24"/>
        </w:rPr>
      </w:pPr>
      <w:r>
        <w:rPr>
          <w:sz w:val="24"/>
          <w:szCs w:val="24"/>
        </w:rPr>
        <w:t>Ms Jessica Strout</w:t>
      </w:r>
      <w:r w:rsidRPr="00BE73BD">
        <w:rPr>
          <w:sz w:val="24"/>
          <w:szCs w:val="24"/>
        </w:rPr>
        <w:t xml:space="preserve">, </w:t>
      </w:r>
      <w:r>
        <w:rPr>
          <w:sz w:val="24"/>
          <w:szCs w:val="24"/>
        </w:rPr>
        <w:t xml:space="preserve">Acting </w:t>
      </w:r>
      <w:r w:rsidRPr="00BE73BD">
        <w:rPr>
          <w:sz w:val="24"/>
          <w:szCs w:val="24"/>
        </w:rPr>
        <w:t>Senior Research Officer</w:t>
      </w:r>
    </w:p>
    <w:p w:rsidR="001946B4" w:rsidRDefault="001946B4" w:rsidP="001946B4">
      <w:pPr>
        <w:spacing w:after="0"/>
        <w:rPr>
          <w:sz w:val="24"/>
          <w:szCs w:val="24"/>
        </w:rPr>
      </w:pPr>
    </w:p>
    <w:p w:rsidR="001946B4" w:rsidRDefault="001946B4" w:rsidP="001946B4">
      <w:pPr>
        <w:spacing w:after="0"/>
        <w:rPr>
          <w:sz w:val="24"/>
          <w:szCs w:val="24"/>
        </w:rPr>
      </w:pPr>
    </w:p>
    <w:p w:rsidR="001946B4" w:rsidRDefault="001946B4" w:rsidP="001946B4">
      <w:pPr>
        <w:spacing w:after="0"/>
        <w:rPr>
          <w:sz w:val="24"/>
          <w:szCs w:val="24"/>
        </w:rPr>
      </w:pPr>
    </w:p>
    <w:p w:rsidR="001946B4" w:rsidRPr="007A6AAA" w:rsidRDefault="001946B4" w:rsidP="001946B4">
      <w:pPr>
        <w:spacing w:after="0"/>
        <w:rPr>
          <w:sz w:val="24"/>
          <w:szCs w:val="24"/>
        </w:rPr>
      </w:pPr>
    </w:p>
    <w:p w:rsidR="001946B4" w:rsidRPr="00BE73BD" w:rsidRDefault="001946B4" w:rsidP="001946B4">
      <w:pPr>
        <w:rPr>
          <w:b/>
        </w:rPr>
      </w:pPr>
      <w:bookmarkStart w:id="4" w:name="_Toc340231486"/>
      <w:r w:rsidRPr="00BE73BD">
        <w:rPr>
          <w:b/>
        </w:rPr>
        <w:t>Committee legal adviser</w:t>
      </w:r>
      <w:bookmarkEnd w:id="4"/>
    </w:p>
    <w:p w:rsidR="001946B4" w:rsidRPr="00BE73BD" w:rsidRDefault="001946B4" w:rsidP="001946B4">
      <w:pPr>
        <w:rPr>
          <w:sz w:val="24"/>
          <w:szCs w:val="24"/>
        </w:rPr>
      </w:pPr>
      <w:r w:rsidRPr="00BE73BD">
        <w:rPr>
          <w:sz w:val="24"/>
          <w:szCs w:val="24"/>
        </w:rPr>
        <w:t>Mr Stephen Argument</w:t>
      </w:r>
    </w:p>
    <w:p w:rsidR="001946B4" w:rsidRDefault="001946B4" w:rsidP="001946B4">
      <w:pPr>
        <w:spacing w:after="0"/>
        <w:rPr>
          <w:sz w:val="24"/>
          <w:szCs w:val="24"/>
        </w:rPr>
      </w:pPr>
    </w:p>
    <w:p w:rsidR="001946B4" w:rsidRDefault="001946B4" w:rsidP="001946B4">
      <w:pPr>
        <w:spacing w:after="0"/>
        <w:rPr>
          <w:sz w:val="24"/>
          <w:szCs w:val="24"/>
        </w:rPr>
      </w:pPr>
    </w:p>
    <w:p w:rsidR="001946B4" w:rsidRPr="001B64F3" w:rsidRDefault="001946B4" w:rsidP="001946B4">
      <w:pPr>
        <w:spacing w:after="0"/>
        <w:rPr>
          <w:sz w:val="24"/>
          <w:szCs w:val="24"/>
        </w:rPr>
      </w:pPr>
    </w:p>
    <w:p w:rsidR="001946B4" w:rsidRPr="001B64F3" w:rsidRDefault="001946B4" w:rsidP="001946B4">
      <w:pPr>
        <w:spacing w:after="0"/>
        <w:rPr>
          <w:sz w:val="24"/>
          <w:szCs w:val="24"/>
        </w:rPr>
      </w:pPr>
    </w:p>
    <w:p w:rsidR="001946B4" w:rsidRPr="00BE73BD" w:rsidRDefault="001946B4" w:rsidP="001946B4">
      <w:pPr>
        <w:rPr>
          <w:b/>
        </w:rPr>
      </w:pPr>
      <w:bookmarkStart w:id="5" w:name="_Toc340231487"/>
      <w:r w:rsidRPr="00BE73BD">
        <w:rPr>
          <w:b/>
        </w:rPr>
        <w:t>Committee contacts</w:t>
      </w:r>
      <w:bookmarkEnd w:id="5"/>
    </w:p>
    <w:p w:rsidR="001946B4" w:rsidRPr="00BE73BD" w:rsidRDefault="001946B4" w:rsidP="001946B4">
      <w:pPr>
        <w:spacing w:after="0"/>
        <w:rPr>
          <w:sz w:val="24"/>
          <w:szCs w:val="24"/>
        </w:rPr>
      </w:pPr>
      <w:bookmarkStart w:id="6" w:name="_Toc340231488"/>
      <w:r w:rsidRPr="00BE73BD">
        <w:rPr>
          <w:sz w:val="24"/>
          <w:szCs w:val="24"/>
        </w:rPr>
        <w:t>PO Box 6100</w:t>
      </w:r>
      <w:bookmarkEnd w:id="6"/>
    </w:p>
    <w:p w:rsidR="001946B4" w:rsidRPr="00BE73BD" w:rsidRDefault="001946B4" w:rsidP="001946B4">
      <w:pPr>
        <w:spacing w:after="0"/>
        <w:rPr>
          <w:sz w:val="24"/>
          <w:szCs w:val="24"/>
        </w:rPr>
      </w:pPr>
      <w:r w:rsidRPr="00BE73BD">
        <w:rPr>
          <w:sz w:val="24"/>
          <w:szCs w:val="24"/>
        </w:rPr>
        <w:t>Parliament House</w:t>
      </w:r>
    </w:p>
    <w:p w:rsidR="001946B4" w:rsidRPr="00BE73BD" w:rsidRDefault="001946B4" w:rsidP="001946B4">
      <w:pPr>
        <w:spacing w:after="0"/>
        <w:rPr>
          <w:sz w:val="24"/>
          <w:szCs w:val="24"/>
        </w:rPr>
      </w:pPr>
      <w:r w:rsidRPr="00BE73BD">
        <w:rPr>
          <w:sz w:val="24"/>
          <w:szCs w:val="24"/>
        </w:rPr>
        <w:t>Canberra ACT 2600</w:t>
      </w:r>
    </w:p>
    <w:p w:rsidR="001946B4" w:rsidRPr="00BE73BD" w:rsidRDefault="001946B4" w:rsidP="001946B4">
      <w:pPr>
        <w:spacing w:after="0"/>
        <w:rPr>
          <w:sz w:val="24"/>
          <w:szCs w:val="24"/>
        </w:rPr>
      </w:pPr>
      <w:r w:rsidRPr="00BE73BD">
        <w:rPr>
          <w:sz w:val="24"/>
          <w:szCs w:val="24"/>
        </w:rPr>
        <w:t>Ph: 02 6277 3066</w:t>
      </w:r>
    </w:p>
    <w:p w:rsidR="001946B4" w:rsidRPr="00BE73BD" w:rsidRDefault="001946B4" w:rsidP="001946B4">
      <w:pPr>
        <w:spacing w:after="0"/>
        <w:rPr>
          <w:sz w:val="24"/>
          <w:szCs w:val="24"/>
        </w:rPr>
      </w:pPr>
      <w:r w:rsidRPr="00BE73BD">
        <w:rPr>
          <w:sz w:val="24"/>
          <w:szCs w:val="24"/>
        </w:rPr>
        <w:t>Email: regords.sen@aph.gov.au</w:t>
      </w:r>
    </w:p>
    <w:p w:rsidR="001946B4" w:rsidRPr="00F72A71" w:rsidRDefault="001946B4" w:rsidP="001946B4">
      <w:pPr>
        <w:rPr>
          <w:color w:val="000000"/>
          <w:sz w:val="24"/>
          <w:szCs w:val="24"/>
        </w:rPr>
      </w:pPr>
      <w:bookmarkStart w:id="7" w:name="_Toc340231489"/>
      <w:r w:rsidRPr="00BE73BD">
        <w:rPr>
          <w:sz w:val="24"/>
          <w:szCs w:val="24"/>
        </w:rPr>
        <w:t xml:space="preserve">Website: </w:t>
      </w:r>
      <w:bookmarkEnd w:id="7"/>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1946B4" w:rsidRPr="007E04A9" w:rsidRDefault="001946B4" w:rsidP="001946B4">
      <w:pPr>
        <w:spacing w:after="0"/>
      </w:pPr>
    </w:p>
    <w:p w:rsidR="001946B4" w:rsidRDefault="001946B4" w:rsidP="001946B4">
      <w:r>
        <w:br w:type="page"/>
      </w:r>
    </w:p>
    <w:p w:rsidR="001946B4" w:rsidRPr="00520991" w:rsidRDefault="001946B4" w:rsidP="001946B4"/>
    <w:p w:rsidR="001946B4" w:rsidRDefault="001946B4" w:rsidP="001946B4">
      <w:pPr>
        <w:tabs>
          <w:tab w:val="left" w:pos="1155"/>
        </w:tabs>
        <w:sectPr w:rsidR="001946B4" w:rsidSect="001946B4">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1946B4" w:rsidRDefault="001946B4" w:rsidP="001946B4">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405368283"/>
      <w:bookmarkStart w:id="18" w:name="_Toc424218689"/>
      <w:bookmarkStart w:id="19" w:name="_Toc424219070"/>
      <w:bookmarkStart w:id="20" w:name="_Toc424219205"/>
      <w:bookmarkStart w:id="21" w:name="_Toc429398385"/>
      <w:bookmarkStart w:id="22" w:name="_Toc429398438"/>
      <w:bookmarkStart w:id="23" w:name="_Toc429560168"/>
      <w:bookmarkStart w:id="24" w:name="_Toc429563518"/>
      <w:r>
        <w:lastRenderedPageBreak/>
        <w:t>Contents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946B4" w:rsidRPr="00635538" w:rsidRDefault="001946B4" w:rsidP="001946B4">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1946B4" w:rsidRPr="004228CC" w:rsidRDefault="001946B4" w:rsidP="001946B4">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1946B4" w:rsidRDefault="001946B4" w:rsidP="001946B4">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1946B4" w:rsidRDefault="001946B4" w:rsidP="001946B4">
      <w:pPr>
        <w:pStyle w:val="TOC2"/>
        <w:tabs>
          <w:tab w:val="right" w:leader="dot" w:pos="9016"/>
        </w:tabs>
        <w:rPr>
          <w:rFonts w:asciiTheme="minorHAnsi" w:eastAsiaTheme="minorEastAsia" w:hAnsiTheme="minorHAnsi" w:cstheme="minorBidi"/>
          <w:b w:val="0"/>
          <w:noProof/>
          <w:sz w:val="22"/>
          <w:szCs w:val="22"/>
          <w:lang w:eastAsia="en-AU"/>
        </w:rPr>
      </w:pPr>
      <w:r>
        <w:rPr>
          <w:noProof/>
        </w:rPr>
        <w:t>Response required</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sidRPr="00E8717E">
        <w:rPr>
          <w:rFonts w:ascii="Times New (W1)" w:hAnsi="Times New (W1)"/>
          <w:noProof/>
        </w:rPr>
        <w:t>Corporations Amendment (Financial Services Information Lodgement Periods) Regulation 2015 [F2015L01270]</w:t>
      </w:r>
      <w:r>
        <w:rPr>
          <w:noProof/>
        </w:rPr>
        <w:tab/>
        <w:t>1</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sidRPr="00E8717E">
        <w:rPr>
          <w:rFonts w:ascii="Times New (W1)" w:hAnsi="Times New (W1)"/>
          <w:noProof/>
        </w:rPr>
        <w:t>Family Law (Fees) Amendment (2015 Measures No. 1) Regulation 2015 [F2015L01138]</w:t>
      </w:r>
      <w:r>
        <w:rPr>
          <w:noProof/>
        </w:rPr>
        <w:tab/>
        <w:t>2</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sidRPr="00E8717E">
        <w:rPr>
          <w:rFonts w:ascii="Times New (W1)" w:hAnsi="Times New (W1)"/>
          <w:noProof/>
        </w:rPr>
        <w:t>Migration Amendment (Visa Labels) Regulation 2015 [F2015L01304]</w:t>
      </w:r>
      <w:r>
        <w:rPr>
          <w:noProof/>
        </w:rPr>
        <w:tab/>
        <w:t>5</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sidRPr="00E8717E">
        <w:rPr>
          <w:rFonts w:ascii="Times New (W1)" w:hAnsi="Times New (W1)"/>
          <w:noProof/>
        </w:rPr>
        <w:t>Military Rehabilitation and Compensation Act Education and Training</w:t>
      </w:r>
      <w:r>
        <w:rPr>
          <w:rFonts w:ascii="Times New (W1)" w:hAnsi="Times New (W1)"/>
          <w:noProof/>
        </w:rPr>
        <w:br/>
      </w:r>
      <w:r w:rsidRPr="00E8717E">
        <w:rPr>
          <w:rFonts w:ascii="Times New (W1)" w:hAnsi="Times New (W1)"/>
          <w:noProof/>
        </w:rPr>
        <w:t>Scheme 2004 [F2015L01281]</w:t>
      </w:r>
      <w:r>
        <w:rPr>
          <w:noProof/>
        </w:rPr>
        <w:tab/>
        <w:t>6</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sidRPr="00E8717E">
        <w:rPr>
          <w:rFonts w:ascii="Times New (W1)" w:hAnsi="Times New (W1)"/>
          <w:noProof/>
        </w:rPr>
        <w:t>Veterans' Children Education Scheme [F2015L01280]</w:t>
      </w:r>
      <w:r>
        <w:rPr>
          <w:noProof/>
        </w:rPr>
        <w:tab/>
        <w:t>7</w:t>
      </w:r>
    </w:p>
    <w:p w:rsidR="001946B4" w:rsidRDefault="001946B4" w:rsidP="001946B4">
      <w:pPr>
        <w:pStyle w:val="TOC2"/>
        <w:tabs>
          <w:tab w:val="right" w:leader="dot" w:pos="9016"/>
        </w:tabs>
        <w:rPr>
          <w:rFonts w:asciiTheme="minorHAnsi" w:eastAsiaTheme="minorEastAsia" w:hAnsiTheme="minorHAnsi" w:cstheme="minorBidi"/>
          <w:b w:val="0"/>
          <w:noProof/>
          <w:sz w:val="22"/>
          <w:szCs w:val="22"/>
          <w:lang w:eastAsia="en-AU"/>
        </w:rPr>
      </w:pPr>
      <w:r>
        <w:rPr>
          <w:noProof/>
        </w:rPr>
        <w:t>Further response required</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(2015 Measures</w:t>
      </w:r>
      <w:r>
        <w:rPr>
          <w:noProof/>
        </w:rPr>
        <w:br/>
        <w:t>No. 3) Regulation 2015 [F2015L00572]</w:t>
      </w:r>
      <w:r>
        <w:rPr>
          <w:noProof/>
        </w:rPr>
        <w:tab/>
        <w:t>8</w:t>
      </w:r>
    </w:p>
    <w:p w:rsidR="001946B4" w:rsidRDefault="001946B4" w:rsidP="001946B4">
      <w:pPr>
        <w:pStyle w:val="TOC2"/>
        <w:tabs>
          <w:tab w:val="right" w:leader="dot" w:pos="9016"/>
        </w:tabs>
        <w:rPr>
          <w:rFonts w:asciiTheme="minorHAnsi" w:eastAsiaTheme="minorEastAsia" w:hAnsiTheme="minorHAnsi" w:cstheme="minorBidi"/>
          <w:b w:val="0"/>
          <w:noProof/>
          <w:sz w:val="22"/>
          <w:szCs w:val="22"/>
          <w:lang w:eastAsia="en-AU"/>
        </w:rPr>
      </w:pPr>
      <w:r>
        <w:rPr>
          <w:noProof/>
        </w:rPr>
        <w:t>Advice only</w:t>
      </w:r>
    </w:p>
    <w:p w:rsidR="001946B4" w:rsidRDefault="001946B4" w:rsidP="001946B4">
      <w:pPr>
        <w:pStyle w:val="TOC3"/>
        <w:tabs>
          <w:tab w:val="right" w:leader="dot" w:pos="9016"/>
        </w:tabs>
        <w:rPr>
          <w:rFonts w:asciiTheme="minorHAnsi" w:eastAsiaTheme="minorEastAsia" w:hAnsiTheme="minorHAnsi" w:cstheme="minorBidi"/>
          <w:noProof/>
          <w:sz w:val="22"/>
          <w:szCs w:val="22"/>
          <w:lang w:eastAsia="en-AU"/>
        </w:rPr>
      </w:pPr>
      <w:r w:rsidRPr="00E8717E">
        <w:rPr>
          <w:rFonts w:ascii="Times New (W1)" w:hAnsi="Times New (W1)"/>
          <w:noProof/>
        </w:rPr>
        <w:t>Veterans' Children Education Scheme [F2015L01280]</w:t>
      </w:r>
      <w:r>
        <w:rPr>
          <w:noProof/>
        </w:rPr>
        <w:tab/>
        <w:t>14</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sidRPr="00E8717E">
        <w:rPr>
          <w:rFonts w:ascii="Times New (W1)" w:hAnsi="Times New (W1)"/>
          <w:noProof/>
        </w:rPr>
        <w:t>Military Rehabilitation and Compensation Act Education and Training</w:t>
      </w:r>
      <w:r>
        <w:rPr>
          <w:rFonts w:ascii="Times New (W1)" w:hAnsi="Times New (W1)"/>
          <w:noProof/>
        </w:rPr>
        <w:br/>
      </w:r>
      <w:r w:rsidRPr="00E8717E">
        <w:rPr>
          <w:rFonts w:ascii="Times New (W1)" w:hAnsi="Times New (W1)"/>
          <w:noProof/>
        </w:rPr>
        <w:t>Scheme 2004 [F2015L01281]</w:t>
      </w:r>
      <w:r>
        <w:rPr>
          <w:noProof/>
        </w:rPr>
        <w:tab/>
        <w:t>14</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E8717E">
        <w:rPr>
          <w:i/>
          <w:noProof/>
        </w:rPr>
        <w:t>Acts Interpretation Act 1901</w:t>
      </w:r>
      <w:r>
        <w:rPr>
          <w:noProof/>
        </w:rPr>
        <w:tab/>
        <w:t>15</w:t>
      </w:r>
    </w:p>
    <w:p w:rsidR="001946B4" w:rsidRDefault="001946B4" w:rsidP="001946B4">
      <w:pPr>
        <w:pStyle w:val="TOC1"/>
        <w:tabs>
          <w:tab w:val="right" w:leader="dot" w:pos="9016"/>
        </w:tabs>
        <w:rPr>
          <w:b w:val="0"/>
          <w:noProof/>
          <w:sz w:val="26"/>
          <w:szCs w:val="26"/>
        </w:rPr>
      </w:pPr>
      <w:r>
        <w:rPr>
          <w:noProof/>
        </w:rPr>
        <w:t>Chapter 2 – Concluded matters</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Pr>
          <w:noProof/>
        </w:rPr>
        <w:t>Administrative Decisions (Judicial Review) Amendment (Enactments) Regulation 2015 [F2015L00870]</w:t>
      </w:r>
      <w:r>
        <w:rPr>
          <w:noProof/>
        </w:rPr>
        <w:tab/>
        <w:t>17</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Pr>
          <w:noProof/>
        </w:rPr>
        <w:t>Aged Care (Subsidy, Fees and Payments) Amendment (Indexation, Pre-Entry Leave and Other Measures) Determination 2015 [F2015L00996]</w:t>
      </w:r>
      <w:r>
        <w:rPr>
          <w:noProof/>
        </w:rPr>
        <w:tab/>
        <w:t>19</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Pr>
          <w:noProof/>
        </w:rPr>
        <w:t>Aged Care (Transitional Provisions) (Subsidy and Other Measures)</w:t>
      </w:r>
      <w:r>
        <w:rPr>
          <w:noProof/>
        </w:rPr>
        <w:br/>
        <w:t>Amendment (Indexation, Pre-Entry Leave and Other Measures)</w:t>
      </w:r>
      <w:r>
        <w:rPr>
          <w:noProof/>
        </w:rPr>
        <w:br/>
        <w:t>Determination 2015 [F2015L01019]</w:t>
      </w:r>
      <w:r>
        <w:rPr>
          <w:noProof/>
        </w:rPr>
        <w:tab/>
        <w:t>19</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Pr>
          <w:noProof/>
        </w:rPr>
        <w:t>Carbon Credits (Carbon Farming Initiative—Commercial and Public</w:t>
      </w:r>
      <w:r>
        <w:rPr>
          <w:noProof/>
        </w:rPr>
        <w:br/>
        <w:t>Lighting) Methodology Determination 2015 [F2015L00980]</w:t>
      </w:r>
      <w:r>
        <w:rPr>
          <w:noProof/>
        </w:rPr>
        <w:tab/>
        <w:t>21</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Pr>
          <w:noProof/>
        </w:rPr>
        <w:t>Finance Minister’s Orders (Financial Statements for reporting periods ending</w:t>
      </w:r>
      <w:r>
        <w:rPr>
          <w:noProof/>
        </w:rPr>
        <w:br/>
        <w:t>on or after 1 July 2011) Repeal Instrument 2015 [F2015L00889]</w:t>
      </w:r>
      <w:r>
        <w:rPr>
          <w:noProof/>
        </w:rPr>
        <w:tab/>
        <w:t>23</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Jervis Bay Territory Emergency Management Ordinance 2015</w:t>
      </w:r>
      <w:r>
        <w:rPr>
          <w:noProof/>
        </w:rPr>
        <w:br/>
        <w:t>[F2015L00774]</w:t>
      </w:r>
      <w:r>
        <w:rPr>
          <w:noProof/>
        </w:rPr>
        <w:tab/>
        <w:t>24</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Pr>
          <w:noProof/>
        </w:rPr>
        <w:t>Parliamentary Entitlements Amendment (Office Budget) Regulation 2015 [F2015L00949]</w:t>
      </w:r>
      <w:r>
        <w:rPr>
          <w:noProof/>
        </w:rPr>
        <w:tab/>
        <w:t>26</w:t>
      </w:r>
    </w:p>
    <w:p w:rsidR="001946B4" w:rsidRDefault="001946B4" w:rsidP="001946B4">
      <w:pPr>
        <w:pStyle w:val="TOC3"/>
        <w:tabs>
          <w:tab w:val="right" w:leader="dot" w:pos="9016"/>
        </w:tabs>
        <w:jc w:val="left"/>
        <w:rPr>
          <w:rFonts w:asciiTheme="minorHAnsi" w:eastAsiaTheme="minorEastAsia" w:hAnsiTheme="minorHAnsi" w:cstheme="minorBidi"/>
          <w:noProof/>
          <w:sz w:val="22"/>
          <w:szCs w:val="22"/>
          <w:lang w:eastAsia="en-AU"/>
        </w:rPr>
      </w:pPr>
      <w:r>
        <w:rPr>
          <w:noProof/>
        </w:rPr>
        <w:t>Private Health Insurance (Registration) Amendment Rules 2015 (No. 1) [F2015L00765]</w:t>
      </w:r>
      <w:r>
        <w:rPr>
          <w:noProof/>
        </w:rPr>
        <w:tab/>
        <w:t>28</w:t>
      </w:r>
    </w:p>
    <w:p w:rsidR="001946B4" w:rsidRPr="00DC68F9" w:rsidRDefault="001946B4" w:rsidP="001946B4">
      <w:pPr>
        <w:pStyle w:val="TOC3"/>
        <w:tabs>
          <w:tab w:val="right" w:leader="dot" w:pos="9016"/>
        </w:tabs>
        <w:jc w:val="left"/>
        <w:rPr>
          <w:noProof/>
        </w:rPr>
      </w:pPr>
      <w:r>
        <w:rPr>
          <w:noProof/>
        </w:rPr>
        <w:t>Social Security (Satisfaction of the Activity Test – Classes of Persons)</w:t>
      </w:r>
      <w:r>
        <w:rPr>
          <w:noProof/>
        </w:rPr>
        <w:br/>
        <w:t xml:space="preserve">(DEEWR and FaHCSIA) Specifications 2009 (No. 1) – Instrument of </w:t>
      </w:r>
      <w:r>
        <w:rPr>
          <w:noProof/>
        </w:rPr>
        <w:br/>
        <w:t>Revocation 2015 [F2015L00865]</w:t>
      </w:r>
      <w:r>
        <w:rPr>
          <w:noProof/>
        </w:rPr>
        <w:tab/>
        <w:t>30</w:t>
      </w:r>
    </w:p>
    <w:p w:rsidR="001946B4" w:rsidRDefault="001946B4" w:rsidP="001946B4">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33</w:t>
      </w:r>
    </w:p>
    <w:p w:rsidR="001946B4" w:rsidRDefault="001946B4" w:rsidP="001946B4">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67</w:t>
      </w:r>
    </w:p>
    <w:p w:rsidR="001946B4" w:rsidRDefault="001946B4" w:rsidP="001946B4">
      <w:pPr>
        <w:pStyle w:val="TOC1"/>
        <w:tabs>
          <w:tab w:val="right" w:leader="dot" w:pos="9016"/>
        </w:tabs>
        <w:rPr>
          <w:noProof/>
        </w:rPr>
      </w:pPr>
    </w:p>
    <w:p w:rsidR="001946B4" w:rsidRDefault="001946B4" w:rsidP="001946B4">
      <w:pPr>
        <w:tabs>
          <w:tab w:val="left" w:pos="1170"/>
        </w:tabs>
        <w:jc w:val="left"/>
        <w:rPr>
          <w:sz w:val="16"/>
          <w:szCs w:val="16"/>
        </w:rPr>
      </w:pPr>
    </w:p>
    <w:p w:rsidR="001946B4" w:rsidRDefault="001946B4" w:rsidP="001946B4">
      <w:pPr>
        <w:tabs>
          <w:tab w:val="left" w:pos="1170"/>
        </w:tabs>
        <w:jc w:val="left"/>
        <w:rPr>
          <w:sz w:val="16"/>
          <w:szCs w:val="16"/>
        </w:rPr>
      </w:pPr>
    </w:p>
    <w:p w:rsidR="001946B4" w:rsidRPr="00635538" w:rsidRDefault="001946B4" w:rsidP="001946B4">
      <w:pPr>
        <w:tabs>
          <w:tab w:val="left" w:pos="1170"/>
        </w:tabs>
        <w:jc w:val="left"/>
        <w:rPr>
          <w:sz w:val="16"/>
          <w:szCs w:val="16"/>
        </w:rPr>
      </w:pPr>
      <w:r w:rsidRPr="00635538">
        <w:rPr>
          <w:sz w:val="16"/>
          <w:szCs w:val="16"/>
        </w:rPr>
        <w:fldChar w:fldCharType="begin"/>
      </w:r>
      <w:r w:rsidRPr="00635538">
        <w:rPr>
          <w:sz w:val="16"/>
          <w:szCs w:val="16"/>
        </w:rPr>
        <w:instrText xml:space="preserve"> RD  "\\\\home2\\SEN-LegislativeScrutinyUnit\\Regs &amp; Ords\\</w:instrText>
      </w:r>
      <w:r w:rsidRPr="00230D2F">
        <w:rPr>
          <w:sz w:val="16"/>
          <w:szCs w:val="16"/>
        </w:rPr>
        <w:instrText xml:space="preserve"> </w:instrText>
      </w:r>
      <w:r>
        <w:rPr>
          <w:sz w:val="16"/>
          <w:szCs w:val="16"/>
        </w:rPr>
        <w:instrText>MONITOR</w:instrText>
      </w:r>
      <w:r w:rsidRPr="00635538">
        <w:rPr>
          <w:sz w:val="16"/>
          <w:szCs w:val="16"/>
        </w:rPr>
        <w:instrText>\\</w:instrText>
      </w:r>
      <w:r>
        <w:rPr>
          <w:sz w:val="16"/>
          <w:szCs w:val="16"/>
        </w:rPr>
        <w:instrText>2015\\Monitor 10 of 2015\\MONITOR AA\</w:instrText>
      </w:r>
      <w:r w:rsidRPr="00635538">
        <w:rPr>
          <w:sz w:val="16"/>
          <w:szCs w:val="16"/>
        </w:rPr>
        <w:instrText xml:space="preserve">\02 members.docx" </w:instrText>
      </w:r>
      <w:r w:rsidRPr="00635538">
        <w:rPr>
          <w:sz w:val="16"/>
          <w:szCs w:val="16"/>
        </w:rPr>
        <w:fldChar w:fldCharType="end"/>
      </w:r>
    </w:p>
    <w:p w:rsidR="001946B4" w:rsidRPr="00635538" w:rsidRDefault="001946B4" w:rsidP="001946B4">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tiveScrutinyUnit\\Regs &amp; Ords\\MONITOR</w:instrText>
      </w:r>
      <w:r w:rsidRPr="00635538">
        <w:rPr>
          <w:sz w:val="16"/>
          <w:szCs w:val="16"/>
        </w:rPr>
        <w:instrText>\\</w:instrText>
      </w:r>
      <w:r>
        <w:rPr>
          <w:sz w:val="16"/>
          <w:szCs w:val="16"/>
        </w:rPr>
        <w:instrText>2015\\Monitor 10 of 2015</w:instrText>
      </w:r>
      <w:r w:rsidRPr="00635538">
        <w:rPr>
          <w:sz w:val="16"/>
          <w:szCs w:val="16"/>
        </w:rPr>
        <w:instrText>\\</w:instrText>
      </w:r>
      <w:r>
        <w:rPr>
          <w:sz w:val="16"/>
          <w:szCs w:val="16"/>
        </w:rPr>
        <w:instrText>MONITOR AA\\</w:instrText>
      </w:r>
      <w:r w:rsidRPr="00635538">
        <w:rPr>
          <w:sz w:val="16"/>
          <w:szCs w:val="16"/>
        </w:rPr>
        <w:instrText xml:space="preserve">04 intro.docx" </w:instrText>
      </w:r>
      <w:r w:rsidRPr="00635538">
        <w:rPr>
          <w:sz w:val="16"/>
          <w:szCs w:val="16"/>
        </w:rPr>
        <w:fldChar w:fldCharType="end"/>
      </w:r>
    </w:p>
    <w:p w:rsidR="001946B4" w:rsidRPr="00635538" w:rsidRDefault="001946B4" w:rsidP="001946B4">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tiveScrutinyUnit\\Regs &amp; Ords\\MONITOR</w:instrText>
      </w:r>
      <w:r w:rsidRPr="00635538">
        <w:rPr>
          <w:sz w:val="16"/>
          <w:szCs w:val="16"/>
        </w:rPr>
        <w:instrText>\\</w:instrText>
      </w:r>
      <w:r>
        <w:rPr>
          <w:sz w:val="16"/>
          <w:szCs w:val="16"/>
        </w:rPr>
        <w:instrText>2015\\Monitor 10 of 2015\\MONITOR AA\\05</w:instrText>
      </w:r>
      <w:r w:rsidRPr="00635538">
        <w:rPr>
          <w:sz w:val="16"/>
          <w:szCs w:val="16"/>
        </w:rPr>
        <w:instrText xml:space="preserve"> </w:instrText>
      </w:r>
      <w:r>
        <w:rPr>
          <w:sz w:val="16"/>
          <w:szCs w:val="16"/>
        </w:rPr>
        <w:instrText>new</w:instrText>
      </w:r>
      <w:r w:rsidRPr="00635538">
        <w:rPr>
          <w:sz w:val="16"/>
          <w:szCs w:val="16"/>
        </w:rPr>
        <w:instrText xml:space="preserve">.docx" </w:instrText>
      </w:r>
      <w:r w:rsidRPr="00635538">
        <w:rPr>
          <w:sz w:val="16"/>
          <w:szCs w:val="16"/>
        </w:rPr>
        <w:fldChar w:fldCharType="end"/>
      </w:r>
    </w:p>
    <w:p w:rsidR="001946B4" w:rsidRPr="00635538" w:rsidRDefault="001946B4" w:rsidP="001946B4">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tiveScrutinyUnit\\Regs &amp; Ords\\MONITOR</w:instrText>
      </w:r>
      <w:r w:rsidRPr="00635538">
        <w:rPr>
          <w:sz w:val="16"/>
          <w:szCs w:val="16"/>
        </w:rPr>
        <w:instrText>\\</w:instrText>
      </w:r>
      <w:r>
        <w:rPr>
          <w:sz w:val="16"/>
          <w:szCs w:val="16"/>
        </w:rPr>
        <w:instrText>2015\\Monitor 10 of 2015\\MONITOR AA\\06</w:instrText>
      </w:r>
      <w:r w:rsidRPr="00635538">
        <w:rPr>
          <w:sz w:val="16"/>
          <w:szCs w:val="16"/>
        </w:rPr>
        <w:instrText xml:space="preserve"> </w:instrText>
      </w:r>
      <w:r>
        <w:rPr>
          <w:sz w:val="16"/>
          <w:szCs w:val="16"/>
        </w:rPr>
        <w:instrText>concluded.</w:instrText>
      </w:r>
      <w:r w:rsidRPr="00635538">
        <w:rPr>
          <w:sz w:val="16"/>
          <w:szCs w:val="16"/>
        </w:rPr>
        <w:instrText xml:space="preserve">docx" </w:instrText>
      </w:r>
      <w:r w:rsidRPr="00635538">
        <w:rPr>
          <w:sz w:val="16"/>
          <w:szCs w:val="16"/>
        </w:rPr>
        <w:fldChar w:fldCharType="end"/>
      </w:r>
    </w:p>
    <w:p w:rsidR="001946B4" w:rsidRPr="00635538" w:rsidRDefault="001946B4" w:rsidP="001946B4">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tiveScrutinyUnit\\Regs &amp; Ords\\MONITOR</w:instrText>
      </w:r>
      <w:r w:rsidRPr="00635538">
        <w:rPr>
          <w:sz w:val="16"/>
          <w:szCs w:val="16"/>
        </w:rPr>
        <w:instrText>\\</w:instrText>
      </w:r>
      <w:r>
        <w:rPr>
          <w:sz w:val="16"/>
          <w:szCs w:val="16"/>
        </w:rPr>
        <w:instrText>2015\\Monitor 10 of 2015\\MONITOR AA\\07</w:instrText>
      </w:r>
      <w:r w:rsidRPr="00635538">
        <w:rPr>
          <w:sz w:val="16"/>
          <w:szCs w:val="16"/>
        </w:rPr>
        <w:instrText xml:space="preserve"> </w:instrText>
      </w:r>
      <w:r>
        <w:rPr>
          <w:sz w:val="16"/>
          <w:szCs w:val="16"/>
        </w:rPr>
        <w:instrText>A1 title page</w:instrText>
      </w:r>
      <w:r w:rsidRPr="00635538">
        <w:rPr>
          <w:sz w:val="16"/>
          <w:szCs w:val="16"/>
        </w:rPr>
        <w:instrText xml:space="preserve">.docx" </w:instrText>
      </w:r>
      <w:r w:rsidRPr="00635538">
        <w:rPr>
          <w:sz w:val="16"/>
          <w:szCs w:val="16"/>
        </w:rPr>
        <w:fldChar w:fldCharType="end"/>
      </w:r>
    </w:p>
    <w:p w:rsidR="001946B4" w:rsidRPr="00635538" w:rsidRDefault="001946B4" w:rsidP="001946B4">
      <w:pPr>
        <w:rPr>
          <w:sz w:val="16"/>
          <w:szCs w:val="16"/>
        </w:rPr>
      </w:pPr>
      <w:r w:rsidRPr="00635538">
        <w:rPr>
          <w:sz w:val="16"/>
          <w:szCs w:val="16"/>
        </w:rPr>
        <w:fldChar w:fldCharType="begin"/>
      </w:r>
      <w:r w:rsidRPr="00635538">
        <w:rPr>
          <w:sz w:val="16"/>
          <w:szCs w:val="16"/>
        </w:rPr>
        <w:instrText xml:space="preserve"> RD  "\\\\home2\\SEN-Legisla</w:instrText>
      </w:r>
      <w:r>
        <w:rPr>
          <w:sz w:val="16"/>
          <w:szCs w:val="16"/>
        </w:rPr>
        <w:instrText>tiveScrutinyUnit\\Regs &amp; Ords\\MONITOR</w:instrText>
      </w:r>
      <w:r w:rsidRPr="00635538">
        <w:rPr>
          <w:sz w:val="16"/>
          <w:szCs w:val="16"/>
        </w:rPr>
        <w:instrText>\\</w:instrText>
      </w:r>
      <w:r>
        <w:rPr>
          <w:sz w:val="16"/>
          <w:szCs w:val="16"/>
        </w:rPr>
        <w:instrText>2015\\Monitor 10 of 2015\\MONITOR AA\\08</w:instrText>
      </w:r>
      <w:r w:rsidRPr="00635538">
        <w:rPr>
          <w:sz w:val="16"/>
          <w:szCs w:val="16"/>
        </w:rPr>
        <w:instrText xml:space="preserve"> </w:instrText>
      </w:r>
      <w:r>
        <w:rPr>
          <w:sz w:val="16"/>
          <w:szCs w:val="16"/>
        </w:rPr>
        <w:instrText>A2 guideline</w:instrText>
      </w:r>
      <w:r w:rsidRPr="00635538">
        <w:rPr>
          <w:sz w:val="16"/>
          <w:szCs w:val="16"/>
        </w:rPr>
        <w:instrText xml:space="preserve">.docx" </w:instrText>
      </w:r>
      <w:r w:rsidRPr="00635538">
        <w:rPr>
          <w:sz w:val="16"/>
          <w:szCs w:val="16"/>
        </w:rPr>
        <w:fldChar w:fldCharType="end"/>
      </w:r>
    </w:p>
    <w:p w:rsidR="001946B4" w:rsidRDefault="001946B4" w:rsidP="001946B4">
      <w:pPr>
        <w:tabs>
          <w:tab w:val="left" w:pos="1170"/>
        </w:tabs>
        <w:jc w:val="left"/>
        <w:rPr>
          <w:sz w:val="16"/>
          <w:szCs w:val="16"/>
        </w:rPr>
      </w:pPr>
    </w:p>
    <w:p w:rsidR="001946B4" w:rsidRDefault="001946B4" w:rsidP="001946B4">
      <w:pPr>
        <w:sectPr w:rsidR="001946B4" w:rsidSect="001946B4">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1946B4" w:rsidRPr="004B17F0" w:rsidRDefault="001946B4" w:rsidP="001946B4">
      <w:pPr>
        <w:pStyle w:val="Heading1"/>
      </w:pPr>
      <w:r>
        <w:lastRenderedPageBreak/>
        <w:t>Introduction</w:t>
      </w:r>
    </w:p>
    <w:p w:rsidR="001946B4" w:rsidRDefault="001946B4" w:rsidP="001946B4">
      <w:pPr>
        <w:pStyle w:val="Heading3"/>
        <w:spacing w:after="120"/>
      </w:pPr>
      <w:r>
        <w:t>Terms of reference</w:t>
      </w:r>
    </w:p>
    <w:p w:rsidR="001946B4" w:rsidRDefault="001946B4" w:rsidP="001946B4">
      <w:pPr>
        <w:pStyle w:val="Level1"/>
        <w:numPr>
          <w:ilvl w:val="0"/>
          <w:numId w:val="0"/>
        </w:numPr>
        <w:spacing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1946B4" w:rsidRDefault="001946B4" w:rsidP="001946B4">
      <w:pPr>
        <w:pStyle w:val="Level1"/>
        <w:numPr>
          <w:ilvl w:val="0"/>
          <w:numId w:val="0"/>
        </w:numPr>
      </w:pPr>
      <w:r>
        <w:t>Senate Standing Order 23(3) requires the committee to scrutinise each instrument referred to it to ensure:</w:t>
      </w:r>
    </w:p>
    <w:p w:rsidR="001946B4" w:rsidRPr="00BF47FD" w:rsidRDefault="001946B4" w:rsidP="001946B4">
      <w:pPr>
        <w:pStyle w:val="Quote"/>
        <w:tabs>
          <w:tab w:val="left" w:pos="1418"/>
        </w:tabs>
        <w:ind w:left="1418" w:hanging="709"/>
      </w:pPr>
      <w:r>
        <w:t>(a)</w:t>
      </w:r>
      <w:r>
        <w:tab/>
      </w:r>
      <w:r w:rsidRPr="00BF47FD">
        <w:t>that it is in accordance with the statute;</w:t>
      </w:r>
    </w:p>
    <w:p w:rsidR="001946B4" w:rsidRPr="00BF47FD" w:rsidRDefault="001946B4" w:rsidP="001946B4">
      <w:pPr>
        <w:pStyle w:val="Quote"/>
        <w:tabs>
          <w:tab w:val="left" w:pos="1418"/>
        </w:tabs>
        <w:ind w:left="1418" w:hanging="709"/>
      </w:pPr>
      <w:r>
        <w:t>(b)</w:t>
      </w:r>
      <w:r>
        <w:tab/>
      </w:r>
      <w:r w:rsidRPr="00BF47FD">
        <w:t>that it does not trespass unduly on personal rights and liberties;</w:t>
      </w:r>
    </w:p>
    <w:p w:rsidR="001946B4" w:rsidRPr="00BF47FD" w:rsidRDefault="001946B4" w:rsidP="001946B4">
      <w:pPr>
        <w:pStyle w:val="Quote"/>
        <w:tabs>
          <w:tab w:val="left" w:pos="1418"/>
        </w:tabs>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1946B4" w:rsidRDefault="001946B4" w:rsidP="001946B4">
      <w:pPr>
        <w:pStyle w:val="Quote"/>
        <w:tabs>
          <w:tab w:val="left" w:pos="1418"/>
        </w:tabs>
        <w:spacing w:after="120"/>
        <w:ind w:left="1418" w:hanging="709"/>
      </w:pPr>
      <w:r>
        <w:t>(d)</w:t>
      </w:r>
      <w:r>
        <w:tab/>
      </w:r>
      <w:r w:rsidRPr="00BF47FD">
        <w:t>that it does not contain matter more appropriate for parliamentary enactment.</w:t>
      </w:r>
    </w:p>
    <w:p w:rsidR="001946B4" w:rsidRDefault="001946B4" w:rsidP="001946B4">
      <w:pPr>
        <w:pStyle w:val="Heading3"/>
        <w:spacing w:after="120"/>
      </w:pPr>
      <w:r>
        <w:t>Nature of the committee's scrutiny</w:t>
      </w:r>
    </w:p>
    <w:p w:rsidR="001946B4" w:rsidRDefault="001946B4" w:rsidP="001946B4">
      <w:pPr>
        <w:pStyle w:val="Level1"/>
        <w:numPr>
          <w:ilvl w:val="0"/>
          <w:numId w:val="0"/>
        </w:numPr>
        <w:spacing w:after="120"/>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1946B4" w:rsidRDefault="001946B4" w:rsidP="001946B4">
      <w:pPr>
        <w:pStyle w:val="Level1"/>
        <w:numPr>
          <w:ilvl w:val="0"/>
          <w:numId w:val="0"/>
        </w:numPr>
        <w:spacing w:after="120"/>
      </w:pPr>
      <w:r>
        <w:t xml:space="preserve">The committee's work is supported by processes for the registration, tabling and disallowance of legislative instruments under the </w:t>
      </w:r>
      <w:r>
        <w:rPr>
          <w:i/>
        </w:rPr>
        <w:t>Legislative Instruments Act 2003</w:t>
      </w:r>
      <w:r>
        <w:t>.</w:t>
      </w:r>
      <w:r>
        <w:rPr>
          <w:rStyle w:val="FootnoteReference"/>
        </w:rPr>
        <w:footnoteReference w:id="1"/>
      </w:r>
    </w:p>
    <w:p w:rsidR="001946B4" w:rsidRDefault="001946B4" w:rsidP="001946B4">
      <w:pPr>
        <w:pStyle w:val="Heading3"/>
        <w:spacing w:after="120"/>
      </w:pPr>
      <w:r>
        <w:t>Publications</w:t>
      </w:r>
    </w:p>
    <w:p w:rsidR="001946B4" w:rsidRDefault="001946B4" w:rsidP="001946B4">
      <w:pPr>
        <w:pStyle w:val="Level1"/>
        <w:numPr>
          <w:ilvl w:val="0"/>
          <w:numId w:val="0"/>
        </w:numPr>
        <w:spacing w:after="12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1946B4" w:rsidRPr="008B16ED" w:rsidRDefault="001946B4" w:rsidP="001946B4">
      <w:pPr>
        <w:pStyle w:val="Heading3"/>
        <w:spacing w:after="120"/>
      </w:pPr>
      <w:r>
        <w:lastRenderedPageBreak/>
        <w:t>Structure of the monitor</w:t>
      </w:r>
    </w:p>
    <w:p w:rsidR="001946B4" w:rsidRDefault="001946B4" w:rsidP="001946B4">
      <w:pPr>
        <w:pStyle w:val="Level1"/>
        <w:numPr>
          <w:ilvl w:val="0"/>
          <w:numId w:val="0"/>
        </w:numPr>
      </w:pPr>
      <w:r>
        <w:t>The monitor is comprised of the following parts:</w:t>
      </w:r>
    </w:p>
    <w:p w:rsidR="001946B4" w:rsidRDefault="001946B4" w:rsidP="001946B4">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1946B4" w:rsidRDefault="001946B4" w:rsidP="001946B4">
      <w:pPr>
        <w:pStyle w:val="Bullet1"/>
        <w:numPr>
          <w:ilvl w:val="0"/>
          <w:numId w:val="35"/>
        </w:numPr>
        <w:tabs>
          <w:tab w:val="clear" w:pos="851"/>
          <w:tab w:val="left" w:pos="567"/>
        </w:tabs>
        <w:spacing w:after="120"/>
        <w:ind w:left="1134" w:hanging="567"/>
      </w:pPr>
      <w:r>
        <w:t xml:space="preserve">seeking an explanation/information; or </w:t>
      </w:r>
    </w:p>
    <w:p w:rsidR="001946B4" w:rsidRDefault="001946B4" w:rsidP="001946B4">
      <w:pPr>
        <w:pStyle w:val="Bullet1"/>
        <w:numPr>
          <w:ilvl w:val="0"/>
          <w:numId w:val="35"/>
        </w:numPr>
        <w:tabs>
          <w:tab w:val="clear" w:pos="851"/>
          <w:tab w:val="left" w:pos="567"/>
        </w:tabs>
        <w:spacing w:after="120"/>
        <w:ind w:left="1134" w:hanging="567"/>
      </w:pPr>
      <w:r>
        <w:t>seeking further explanation/information subsequent to a response; or</w:t>
      </w:r>
    </w:p>
    <w:p w:rsidR="001946B4" w:rsidRDefault="001946B4" w:rsidP="001946B4">
      <w:pPr>
        <w:pStyle w:val="Bullet1"/>
        <w:numPr>
          <w:ilvl w:val="0"/>
          <w:numId w:val="35"/>
        </w:numPr>
        <w:tabs>
          <w:tab w:val="clear" w:pos="851"/>
          <w:tab w:val="left" w:pos="567"/>
        </w:tabs>
        <w:spacing w:after="120"/>
        <w:ind w:left="1134" w:hanging="567"/>
      </w:pPr>
      <w:r>
        <w:t>on an advice only basis.</w:t>
      </w:r>
    </w:p>
    <w:p w:rsidR="001946B4" w:rsidRDefault="001946B4" w:rsidP="001946B4">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1946B4" w:rsidRDefault="001946B4" w:rsidP="001946B4">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1946B4" w:rsidRDefault="001946B4" w:rsidP="001946B4">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Legislative Instruments Act 2003</w:t>
      </w:r>
      <w:r>
        <w:t>.</w:t>
      </w:r>
    </w:p>
    <w:p w:rsidR="001946B4" w:rsidRDefault="001946B4" w:rsidP="001946B4">
      <w:pPr>
        <w:pStyle w:val="Heading3"/>
        <w:spacing w:after="120"/>
      </w:pPr>
      <w:r>
        <w:t>Acknowledgement</w:t>
      </w:r>
    </w:p>
    <w:p w:rsidR="001946B4" w:rsidRDefault="001946B4" w:rsidP="001946B4">
      <w:pPr>
        <w:pStyle w:val="Level1"/>
        <w:numPr>
          <w:ilvl w:val="0"/>
          <w:numId w:val="0"/>
        </w:numPr>
        <w:spacing w:after="120"/>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1946B4" w:rsidRDefault="001946B4" w:rsidP="001946B4">
      <w:pPr>
        <w:pStyle w:val="Heading3"/>
        <w:spacing w:after="120"/>
      </w:pPr>
      <w:r>
        <w:t>General information</w:t>
      </w:r>
    </w:p>
    <w:p w:rsidR="001946B4" w:rsidRDefault="001946B4" w:rsidP="001946B4">
      <w:pPr>
        <w:pStyle w:val="Level1"/>
        <w:numPr>
          <w:ilvl w:val="0"/>
          <w:numId w:val="0"/>
        </w:numPr>
      </w:pPr>
      <w:r w:rsidRPr="00C75374">
        <w:t>The Federal Register of Legislative Instruments (FRLI)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3"/>
      </w:r>
      <w:r w:rsidRPr="00C75374">
        <w:t xml:space="preserve"> </w:t>
      </w:r>
    </w:p>
    <w:p w:rsidR="001946B4" w:rsidRDefault="001946B4" w:rsidP="001946B4">
      <w:pPr>
        <w:pStyle w:val="Level1"/>
        <w:numPr>
          <w:ilvl w:val="0"/>
          <w:numId w:val="0"/>
        </w:numPr>
      </w:pPr>
      <w:r>
        <w:t>The Senate Disallowable Instruments List provides an informal listing of tabled instruments for which disallowance motions may be moved in the Senate.</w:t>
      </w:r>
      <w:r>
        <w:rPr>
          <w:rStyle w:val="FootnoteReference"/>
        </w:rPr>
        <w:footnoteReference w:id="4"/>
      </w:r>
      <w:r>
        <w:t xml:space="preserve"> </w:t>
      </w:r>
    </w:p>
    <w:p w:rsidR="001946B4" w:rsidRDefault="001946B4" w:rsidP="001946B4">
      <w:pPr>
        <w:pStyle w:val="Level1"/>
        <w:numPr>
          <w:ilvl w:val="0"/>
          <w:numId w:val="0"/>
        </w:numPr>
        <w:rPr>
          <w:b/>
        </w:rPr>
      </w:pPr>
      <w:r>
        <w:t>The Disallowance Alert records all notices of motion for the disallowance of instruments in the Senate, and their progress and eventual outcome.</w:t>
      </w:r>
      <w:r>
        <w:rPr>
          <w:rStyle w:val="FootnoteReference"/>
        </w:rPr>
        <w:footnoteReference w:id="5"/>
      </w:r>
      <w:r>
        <w:t xml:space="preserve"> </w:t>
      </w:r>
    </w:p>
    <w:p w:rsidR="001946B4" w:rsidRDefault="001946B4" w:rsidP="001946B4">
      <w:pPr>
        <w:pStyle w:val="Bullet1"/>
        <w:numPr>
          <w:ilvl w:val="0"/>
          <w:numId w:val="0"/>
        </w:numPr>
        <w:spacing w:after="0"/>
        <w:ind w:left="851" w:hanging="851"/>
        <w:rPr>
          <w:b/>
          <w:sz w:val="24"/>
          <w:szCs w:val="24"/>
        </w:rPr>
      </w:pPr>
    </w:p>
    <w:p w:rsidR="001946B4" w:rsidRDefault="001946B4" w:rsidP="001946B4">
      <w:pPr>
        <w:pStyle w:val="Bullet1"/>
        <w:numPr>
          <w:ilvl w:val="0"/>
          <w:numId w:val="0"/>
        </w:numPr>
        <w:spacing w:after="0"/>
        <w:ind w:left="851" w:hanging="851"/>
        <w:rPr>
          <w:b/>
          <w:sz w:val="24"/>
          <w:szCs w:val="24"/>
        </w:rPr>
      </w:pPr>
    </w:p>
    <w:p w:rsidR="001946B4" w:rsidRPr="0061320E" w:rsidRDefault="001946B4" w:rsidP="001946B4">
      <w:pPr>
        <w:pStyle w:val="Bullet1"/>
        <w:numPr>
          <w:ilvl w:val="0"/>
          <w:numId w:val="0"/>
        </w:numPr>
        <w:spacing w:after="0"/>
        <w:ind w:left="851" w:hanging="851"/>
        <w:rPr>
          <w:b/>
          <w:sz w:val="24"/>
          <w:szCs w:val="24"/>
        </w:rPr>
      </w:pPr>
    </w:p>
    <w:p w:rsidR="001946B4" w:rsidRPr="00364316" w:rsidRDefault="001946B4" w:rsidP="001946B4">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1946B4" w:rsidRDefault="001946B4" w:rsidP="001946B4">
      <w:pPr>
        <w:tabs>
          <w:tab w:val="left" w:pos="1155"/>
        </w:tabs>
        <w:sectPr w:rsidR="001946B4" w:rsidSect="001946B4">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202" w:left="1440" w:header="1134" w:footer="720" w:gutter="0"/>
          <w:pgNumType w:fmt="lowerRoman" w:start="7"/>
          <w:cols w:space="720"/>
          <w:titlePg/>
        </w:sectPr>
      </w:pPr>
    </w:p>
    <w:p w:rsidR="001946B4" w:rsidRPr="001F4E38" w:rsidRDefault="001946B4" w:rsidP="001946B4">
      <w:pPr>
        <w:pStyle w:val="Heading1"/>
      </w:pPr>
      <w:r w:rsidRPr="001F4E38">
        <w:lastRenderedPageBreak/>
        <w:t>Chapter 1</w:t>
      </w:r>
    </w:p>
    <w:p w:rsidR="001946B4" w:rsidRPr="001F4E38" w:rsidRDefault="001946B4" w:rsidP="001946B4">
      <w:pPr>
        <w:pStyle w:val="Heading2"/>
      </w:pPr>
      <w:r w:rsidRPr="001F4E38">
        <w:t xml:space="preserve">New </w:t>
      </w:r>
      <w:r>
        <w:t xml:space="preserve">and continuing </w:t>
      </w:r>
      <w:r w:rsidRPr="001F4E38">
        <w:t>matters</w:t>
      </w:r>
    </w:p>
    <w:p w:rsidR="001946B4" w:rsidRDefault="001946B4" w:rsidP="001946B4">
      <w:pPr>
        <w:pStyle w:val="Level1"/>
        <w:numPr>
          <w:ilvl w:val="0"/>
          <w:numId w:val="0"/>
        </w:numPr>
      </w:pPr>
      <w:r>
        <w:t>This chapter details concerns in relation to disallowable instruments of delegated legislation received by the Senate Standing Committee on Regulations and Ordinances (the committee) between 7 August 2015 and 27 August 2015 (new matters); and matters previously raised in relation to which the committee seeks further information (continuing matters).</w:t>
      </w:r>
    </w:p>
    <w:p w:rsidR="001946B4" w:rsidRPr="00E8612C" w:rsidRDefault="001946B4" w:rsidP="001946B4">
      <w:pPr>
        <w:pStyle w:val="Heading2"/>
        <w:spacing w:before="240"/>
        <w:rPr>
          <w:sz w:val="32"/>
          <w:szCs w:val="32"/>
        </w:rPr>
      </w:pPr>
      <w:r w:rsidRPr="00E8612C">
        <w:rPr>
          <w:sz w:val="32"/>
          <w:szCs w:val="32"/>
        </w:rPr>
        <w:t>Response required</w:t>
      </w:r>
    </w:p>
    <w:p w:rsidR="001946B4" w:rsidRDefault="001946B4" w:rsidP="001946B4">
      <w:pPr>
        <w:pStyle w:val="Level1"/>
        <w:numPr>
          <w:ilvl w:val="0"/>
          <w:numId w:val="0"/>
        </w:num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1946B4" w:rsidRDefault="001946B4" w:rsidP="001946B4">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946B4" w:rsidRPr="00BA36F8" w:rsidRDefault="001946B4" w:rsidP="001946B4">
            <w:pPr>
              <w:pStyle w:val="Heading3"/>
              <w:rPr>
                <w:sz w:val="24"/>
                <w:szCs w:val="24"/>
              </w:rPr>
            </w:pPr>
            <w:r w:rsidRPr="00741739">
              <w:rPr>
                <w:rFonts w:ascii="Times New (W1)" w:hAnsi="Times New (W1)"/>
                <w:noProof/>
                <w:sz w:val="24"/>
                <w:szCs w:val="24"/>
              </w:rPr>
              <w:t>Corporations Amendment (Financial Services Information Lodgement Periods) Regulation 2015 [F2015L01270]</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 xml:space="preserve">Amends the Corporations Regulations 2001 to align information lodgement periods </w:t>
            </w:r>
            <w:r>
              <w:rPr>
                <w:noProof/>
                <w:sz w:val="24"/>
                <w:szCs w:val="24"/>
              </w:rPr>
              <w:t xml:space="preserve">for </w:t>
            </w:r>
            <w:r w:rsidRPr="00741739">
              <w:rPr>
                <w:noProof/>
                <w:sz w:val="24"/>
                <w:szCs w:val="24"/>
              </w:rPr>
              <w:t xml:space="preserve">information required to be notified to the Australian Securities and Investments Commission in relation to the Authorised Representatives Register with the information lodgement periods </w:t>
            </w:r>
            <w:r>
              <w:rPr>
                <w:noProof/>
                <w:sz w:val="24"/>
                <w:szCs w:val="24"/>
              </w:rPr>
              <w:t xml:space="preserve">for </w:t>
            </w:r>
            <w:r w:rsidRPr="00741739">
              <w:rPr>
                <w:noProof/>
                <w:sz w:val="24"/>
                <w:szCs w:val="24"/>
              </w:rPr>
              <w:t>the Register of Financial Advisers</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15 October 2015</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spacing w:before="120" w:after="120"/>
              <w:rPr>
                <w:i/>
                <w:sz w:val="24"/>
                <w:szCs w:val="24"/>
              </w:rPr>
            </w:pPr>
            <w:r w:rsidRPr="00741739">
              <w:rPr>
                <w:i/>
                <w:noProof/>
                <w:sz w:val="24"/>
                <w:szCs w:val="24"/>
              </w:rPr>
              <w:t xml:space="preserve">Corporations Act 2001 </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Treasury</w:t>
            </w:r>
          </w:p>
        </w:tc>
      </w:tr>
      <w:tr w:rsidR="001946B4" w:rsidRPr="00164622" w:rsidTr="001946B4">
        <w:tc>
          <w:tcPr>
            <w:tcW w:w="2694" w:type="dxa"/>
            <w:tcBorders>
              <w:bottom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946B4" w:rsidRPr="00A77228" w:rsidRDefault="001946B4" w:rsidP="001946B4">
            <w:pPr>
              <w:spacing w:before="120" w:after="120"/>
              <w:rPr>
                <w:sz w:val="24"/>
                <w:szCs w:val="24"/>
              </w:rPr>
            </w:pPr>
            <w:r>
              <w:rPr>
                <w:sz w:val="24"/>
                <w:szCs w:val="24"/>
              </w:rPr>
              <w:t>Standing Order 23(3)</w:t>
            </w:r>
            <w:r w:rsidRPr="00741739">
              <w:rPr>
                <w:noProof/>
                <w:sz w:val="24"/>
                <w:szCs w:val="24"/>
              </w:rPr>
              <w:t>(a)</w:t>
            </w:r>
          </w:p>
        </w:tc>
      </w:tr>
    </w:tbl>
    <w:p w:rsidR="001946B4" w:rsidRDefault="001946B4" w:rsidP="001946B4">
      <w:pPr>
        <w:spacing w:after="120"/>
      </w:pPr>
    </w:p>
    <w:p w:rsidR="001946B4" w:rsidRDefault="001946B4" w:rsidP="001946B4">
      <w:pPr>
        <w:rPr>
          <w:b/>
          <w:noProof/>
        </w:rPr>
      </w:pPr>
      <w:r>
        <w:rPr>
          <w:b/>
          <w:noProof/>
        </w:rPr>
        <w:t>Description of c</w:t>
      </w:r>
      <w:r w:rsidRPr="00741739">
        <w:rPr>
          <w:b/>
          <w:noProof/>
        </w:rPr>
        <w:t>onsultation</w:t>
      </w:r>
    </w:p>
    <w:p w:rsidR="001946B4" w:rsidRDefault="001946B4" w:rsidP="001946B4">
      <w:r>
        <w:t xml:space="preserve">Section 17 of the </w:t>
      </w:r>
      <w:r w:rsidRPr="00915B3C">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1946B4" w:rsidRDefault="001946B4" w:rsidP="001946B4">
      <w:pPr>
        <w:pStyle w:val="Quote"/>
        <w:rPr>
          <w:noProof/>
        </w:rPr>
      </w:pPr>
      <w:r>
        <w:rPr>
          <w:noProof/>
        </w:rPr>
        <w:lastRenderedPageBreak/>
        <w:t>Targeted consultation was conducted on the substance of the porposed Regulation in March 2015 and on an exposure draft of the proposed Regulation in June 2015. Stakeholders did not raise any concerns with the proposed Regulation.</w:t>
      </w:r>
    </w:p>
    <w:p w:rsidR="001946B4" w:rsidRDefault="001946B4" w:rsidP="001946B4">
      <w:r>
        <w:t xml:space="preserve">While the committee does not usually interpret section 26 as requiring a highly detailed description of consultation undertaken, it considers that an overly bare or general description is insufficient to satisfy the requirements of the </w:t>
      </w:r>
      <w:r w:rsidRPr="004F7DA5">
        <w:rPr>
          <w:i/>
        </w:rPr>
        <w:t>Legislative Instruments Act 2003</w:t>
      </w:r>
      <w:r>
        <w:t xml:space="preserve">. The committee considers that in this case the information provided does not describe the nature of the consultation undertaken </w:t>
      </w:r>
      <w:r w:rsidRPr="002C4388">
        <w:t>(</w:t>
      </w:r>
      <w:r>
        <w:t xml:space="preserve">such as, </w:t>
      </w:r>
      <w:r w:rsidRPr="002C4388">
        <w:t>for example, the</w:t>
      </w:r>
      <w:r>
        <w:t xml:space="preserve"> actual names of departments, bodies, agencies, groups et cetera that were consulted</w:t>
      </w:r>
      <w:r w:rsidRPr="002C4388">
        <w:t>)</w:t>
      </w:r>
      <w:r>
        <w:t>.</w:t>
      </w:r>
    </w:p>
    <w:p w:rsidR="001946B4" w:rsidRDefault="001946B4" w:rsidP="001946B4">
      <w:r>
        <w:t>The committee's expectations in this regard are set out in the guideline on consultation contained in Appendix 2.</w:t>
      </w:r>
    </w:p>
    <w:p w:rsidR="001946B4" w:rsidRDefault="001946B4" w:rsidP="001946B4">
      <w:r w:rsidRPr="00636938">
        <w:rPr>
          <w:b/>
        </w:rPr>
        <w:t xml:space="preserve">The committee requests </w:t>
      </w:r>
      <w:r>
        <w:rPr>
          <w:b/>
        </w:rPr>
        <w:t xml:space="preserve">the advice of </w:t>
      </w:r>
      <w:r w:rsidRPr="00636938">
        <w:rPr>
          <w:b/>
        </w:rPr>
        <w:t xml:space="preserve">the </w:t>
      </w:r>
      <w:r>
        <w:rPr>
          <w:b/>
        </w:rPr>
        <w:t>minister in relation to this</w:t>
      </w:r>
      <w:r w:rsidRPr="00915B3C">
        <w:rPr>
          <w:b/>
        </w:rPr>
        <w:t xml:space="preserve"> matter; and requests that the ES be updated in accordance with the requirements of the </w:t>
      </w:r>
      <w:r w:rsidRPr="004F7DA5">
        <w:rPr>
          <w:b/>
          <w:i/>
        </w:rPr>
        <w:t>Legislative Instruments Act</w:t>
      </w:r>
      <w:r w:rsidRPr="004F7DA5">
        <w:rPr>
          <w:i/>
        </w:rPr>
        <w:t xml:space="preserve"> </w:t>
      </w:r>
      <w:r w:rsidRPr="004F7DA5">
        <w:rPr>
          <w:b/>
          <w:i/>
        </w:rPr>
        <w:t>2003</w:t>
      </w:r>
      <w:r>
        <w:t>.</w:t>
      </w:r>
    </w:p>
    <w:p w:rsidR="001946B4" w:rsidRDefault="001946B4" w:rsidP="001946B4"/>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946B4" w:rsidRPr="00BA36F8" w:rsidRDefault="001946B4" w:rsidP="001946B4">
            <w:pPr>
              <w:pStyle w:val="Heading3"/>
              <w:rPr>
                <w:sz w:val="24"/>
                <w:szCs w:val="24"/>
              </w:rPr>
            </w:pPr>
            <w:r w:rsidRPr="00EF08C8">
              <w:rPr>
                <w:rFonts w:ascii="Times New (W1)" w:hAnsi="Times New (W1)"/>
                <w:noProof/>
                <w:sz w:val="24"/>
                <w:szCs w:val="24"/>
              </w:rPr>
              <w:t>Family Law (Fees) Amendment (2015 Measures No. 1) Regulation 2015 [F2015L01138]</w:t>
            </w:r>
            <w:r>
              <w:rPr>
                <w:rStyle w:val="FootnoteReference"/>
                <w:rFonts w:ascii="Times New (W1)" w:hAnsi="Times New (W1)"/>
                <w:noProof/>
                <w:sz w:val="24"/>
                <w:szCs w:val="24"/>
              </w:rPr>
              <w:footnoteReference w:id="6"/>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spacing w:before="120" w:after="120"/>
              <w:rPr>
                <w:sz w:val="24"/>
                <w:szCs w:val="24"/>
              </w:rPr>
            </w:pPr>
            <w:r w:rsidRPr="00EF08C8">
              <w:rPr>
                <w:noProof/>
                <w:sz w:val="24"/>
                <w:szCs w:val="24"/>
              </w:rPr>
              <w:t>Amends the Family Law (Fees) Regulation 2012 to update fees in the Family Court of Australia and the Fed</w:t>
            </w:r>
            <w:r>
              <w:rPr>
                <w:noProof/>
                <w:sz w:val="24"/>
                <w:szCs w:val="24"/>
              </w:rPr>
              <w:t>eral Circuit Court of Australia</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spacing w:before="120" w:after="120"/>
              <w:rPr>
                <w:sz w:val="24"/>
                <w:szCs w:val="24"/>
              </w:rPr>
            </w:pPr>
            <w:r w:rsidRPr="00EF08C8">
              <w:rPr>
                <w:noProof/>
                <w:sz w:val="24"/>
                <w:szCs w:val="24"/>
              </w:rPr>
              <w:t>Disallowed on 11 August 2015</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spacing w:before="120" w:after="120"/>
              <w:rPr>
                <w:i/>
                <w:sz w:val="24"/>
                <w:szCs w:val="24"/>
              </w:rPr>
            </w:pPr>
            <w:r w:rsidRPr="00EF08C8">
              <w:rPr>
                <w:i/>
                <w:noProof/>
                <w:sz w:val="24"/>
                <w:szCs w:val="24"/>
              </w:rPr>
              <w:t>Family Law Act 1975; Federal Circuit Court of Australia Act</w:t>
            </w:r>
            <w:r>
              <w:rPr>
                <w:i/>
                <w:noProof/>
                <w:sz w:val="24"/>
                <w:szCs w:val="24"/>
              </w:rPr>
              <w:t> </w:t>
            </w:r>
            <w:r w:rsidRPr="00EF08C8">
              <w:rPr>
                <w:i/>
                <w:noProof/>
                <w:sz w:val="24"/>
                <w:szCs w:val="24"/>
              </w:rPr>
              <w:t>1999</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spacing w:before="120" w:after="120"/>
              <w:rPr>
                <w:sz w:val="24"/>
                <w:szCs w:val="24"/>
              </w:rPr>
            </w:pPr>
            <w:r w:rsidRPr="00EF08C8">
              <w:rPr>
                <w:noProof/>
                <w:sz w:val="24"/>
                <w:szCs w:val="24"/>
              </w:rPr>
              <w:t>Attorney-General's</w:t>
            </w:r>
          </w:p>
        </w:tc>
      </w:tr>
      <w:tr w:rsidR="001946B4" w:rsidRPr="00164622" w:rsidTr="001946B4">
        <w:tc>
          <w:tcPr>
            <w:tcW w:w="2694" w:type="dxa"/>
            <w:tcBorders>
              <w:bottom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946B4" w:rsidRPr="00A77228" w:rsidRDefault="001946B4" w:rsidP="001946B4">
            <w:pPr>
              <w:spacing w:before="120" w:after="120"/>
              <w:rPr>
                <w:sz w:val="24"/>
                <w:szCs w:val="24"/>
              </w:rPr>
            </w:pPr>
            <w:r>
              <w:rPr>
                <w:sz w:val="24"/>
                <w:szCs w:val="24"/>
              </w:rPr>
              <w:t>Standing Order 23(3)</w:t>
            </w:r>
            <w:r w:rsidRPr="00EF08C8">
              <w:rPr>
                <w:noProof/>
                <w:sz w:val="24"/>
                <w:szCs w:val="24"/>
              </w:rPr>
              <w:t>(a)</w:t>
            </w:r>
          </w:p>
        </w:tc>
      </w:tr>
    </w:tbl>
    <w:p w:rsidR="001946B4" w:rsidRDefault="001946B4" w:rsidP="001946B4">
      <w:pPr>
        <w:spacing w:after="120"/>
      </w:pPr>
    </w:p>
    <w:p w:rsidR="001946B4" w:rsidRDefault="001946B4" w:rsidP="001946B4">
      <w:pPr>
        <w:rPr>
          <w:b/>
          <w:noProof/>
        </w:rPr>
      </w:pPr>
      <w:r w:rsidRPr="00EF08C8">
        <w:rPr>
          <w:b/>
          <w:noProof/>
        </w:rPr>
        <w:t>Whether the instrument is the same in substance as disallowed instrument</w:t>
      </w:r>
    </w:p>
    <w:p w:rsidR="001946B4" w:rsidRDefault="001946B4" w:rsidP="001946B4">
      <w:r>
        <w:t>Schedule 2 of the Federal Courts Legislation Amendment (Fees) Regulation 2015 [F2015L00780] (the first instrument), which was disallowed by the Senate on 25 June 2015, sought to increase family law fees from 1 July 2015, as follows:</w:t>
      </w:r>
    </w:p>
    <w:p w:rsidR="001946B4" w:rsidRDefault="001946B4" w:rsidP="001946B4">
      <w:pPr>
        <w:pStyle w:val="Bullet1"/>
      </w:pPr>
      <w:r w:rsidRPr="004C363E">
        <w:lastRenderedPageBreak/>
        <w:t>the full divorce fee in the Federal Circuit Court</w:t>
      </w:r>
      <w:r>
        <w:t xml:space="preserve"> would have increased from $845 to $1</w:t>
      </w:r>
      <w:r w:rsidRPr="004C363E">
        <w:t>195 ($350 increase)</w:t>
      </w:r>
      <w:r>
        <w:t>;</w:t>
      </w:r>
    </w:p>
    <w:p w:rsidR="001946B4" w:rsidRDefault="001946B4" w:rsidP="001946B4">
      <w:pPr>
        <w:pStyle w:val="Bullet1"/>
      </w:pPr>
      <w:r w:rsidRPr="004C363E">
        <w:t>the fee for consent orders</w:t>
      </w:r>
      <w:r>
        <w:t xml:space="preserve"> would have increased</w:t>
      </w:r>
      <w:r w:rsidRPr="004C363E">
        <w:t xml:space="preserve"> f</w:t>
      </w:r>
      <w:r>
        <w:t>rom $155 to $235 ($80 increase);</w:t>
      </w:r>
    </w:p>
    <w:p w:rsidR="001946B4" w:rsidRDefault="001946B4" w:rsidP="001946B4">
      <w:pPr>
        <w:pStyle w:val="Bullet1"/>
      </w:pPr>
      <w:r>
        <w:t>the fee for</w:t>
      </w:r>
      <w:r w:rsidRPr="004C363E">
        <w:t xml:space="preserve"> issuing subpoenas </w:t>
      </w:r>
      <w:r>
        <w:t xml:space="preserve">would have increased </w:t>
      </w:r>
      <w:r w:rsidRPr="004C363E">
        <w:t>from $55 to $120 ($65</w:t>
      </w:r>
      <w:r>
        <w:t> </w:t>
      </w:r>
      <w:r w:rsidRPr="004C363E">
        <w:t>increase)</w:t>
      </w:r>
      <w:r>
        <w:t>;</w:t>
      </w:r>
    </w:p>
    <w:p w:rsidR="001946B4" w:rsidRDefault="001946B4" w:rsidP="001946B4">
      <w:pPr>
        <w:pStyle w:val="Bullet1"/>
      </w:pPr>
      <w:r>
        <w:t>all other</w:t>
      </w:r>
      <w:r w:rsidRPr="004C363E">
        <w:t xml:space="preserve"> existing family law fee categories (</w:t>
      </w:r>
      <w:r>
        <w:t>except for the reduced divorce fee) would have increase by an average of 10 per cent;</w:t>
      </w:r>
      <w:r w:rsidRPr="004C363E">
        <w:t xml:space="preserve"> and</w:t>
      </w:r>
    </w:p>
    <w:p w:rsidR="001946B4" w:rsidRDefault="001946B4" w:rsidP="001946B4">
      <w:pPr>
        <w:pStyle w:val="Bullet1"/>
      </w:pPr>
      <w:r w:rsidRPr="004C363E">
        <w:t xml:space="preserve">a new fee </w:t>
      </w:r>
      <w:r>
        <w:t xml:space="preserve">of $120 would have been established </w:t>
      </w:r>
      <w:r w:rsidRPr="004C363E">
        <w:t>for the filing of amended applicat</w:t>
      </w:r>
      <w:r>
        <w:t>ions.</w:t>
      </w:r>
    </w:p>
    <w:p w:rsidR="001946B4" w:rsidRPr="00BB3154" w:rsidRDefault="001946B4" w:rsidP="001946B4">
      <w:pPr>
        <w:rPr>
          <w:noProof/>
        </w:rPr>
      </w:pPr>
      <w:r w:rsidRPr="00BB3154">
        <w:rPr>
          <w:noProof/>
        </w:rPr>
        <w:t xml:space="preserve">Subsequently, </w:t>
      </w:r>
      <w:r w:rsidRPr="0018274B">
        <w:rPr>
          <w:noProof/>
        </w:rPr>
        <w:t>on 13 July</w:t>
      </w:r>
      <w:r>
        <w:rPr>
          <w:noProof/>
        </w:rPr>
        <w:t xml:space="preserve"> 2015,</w:t>
      </w:r>
      <w:r w:rsidRPr="0018274B">
        <w:rPr>
          <w:noProof/>
        </w:rPr>
        <w:t xml:space="preserve"> </w:t>
      </w:r>
      <w:r w:rsidRPr="00BB3154">
        <w:rPr>
          <w:noProof/>
        </w:rPr>
        <w:t xml:space="preserve">the </w:t>
      </w:r>
      <w:r w:rsidRPr="002B28EF">
        <w:rPr>
          <w:noProof/>
        </w:rPr>
        <w:t xml:space="preserve">Family Law (Fees) Amendment (2015 Measures No. 1) Regulation 2015 [F2015L01138] (the second instrument) </w:t>
      </w:r>
      <w:r w:rsidRPr="00BB3154">
        <w:rPr>
          <w:noProof/>
        </w:rPr>
        <w:t>increased family law fees as follows:</w:t>
      </w:r>
    </w:p>
    <w:p w:rsidR="001946B4" w:rsidRDefault="001946B4" w:rsidP="001946B4">
      <w:pPr>
        <w:pStyle w:val="Bullet1"/>
        <w:rPr>
          <w:noProof/>
        </w:rPr>
      </w:pPr>
      <w:r>
        <w:rPr>
          <w:noProof/>
        </w:rPr>
        <w:t xml:space="preserve">the </w:t>
      </w:r>
      <w:r w:rsidRPr="001205A4">
        <w:rPr>
          <w:noProof/>
        </w:rPr>
        <w:t>full divorce fee in the Federal Circuit Court of Australia</w:t>
      </w:r>
      <w:r>
        <w:rPr>
          <w:noProof/>
        </w:rPr>
        <w:t xml:space="preserve"> increased </w:t>
      </w:r>
      <w:r w:rsidRPr="001205A4">
        <w:rPr>
          <w:noProof/>
        </w:rPr>
        <w:t>from $845 to</w:t>
      </w:r>
      <w:r>
        <w:rPr>
          <w:noProof/>
        </w:rPr>
        <w:t xml:space="preserve"> </w:t>
      </w:r>
      <w:r w:rsidRPr="001205A4">
        <w:rPr>
          <w:noProof/>
        </w:rPr>
        <w:t>$1200 ($355 increase</w:t>
      </w:r>
      <w:r>
        <w:rPr>
          <w:noProof/>
        </w:rPr>
        <w:t>) and</w:t>
      </w:r>
      <w:r w:rsidRPr="001205A4">
        <w:rPr>
          <w:noProof/>
        </w:rPr>
        <w:t xml:space="preserve"> in the Family Court of Australia from</w:t>
      </w:r>
      <w:r>
        <w:rPr>
          <w:noProof/>
        </w:rPr>
        <w:t xml:space="preserve"> </w:t>
      </w:r>
      <w:r w:rsidRPr="001205A4">
        <w:rPr>
          <w:noProof/>
        </w:rPr>
        <w:t>$1195 to $1200 ($5 increase)</w:t>
      </w:r>
      <w:r>
        <w:rPr>
          <w:noProof/>
        </w:rPr>
        <w:t>;</w:t>
      </w:r>
    </w:p>
    <w:p w:rsidR="001946B4" w:rsidRDefault="001946B4" w:rsidP="001946B4">
      <w:pPr>
        <w:pStyle w:val="Bullet1"/>
        <w:rPr>
          <w:noProof/>
        </w:rPr>
      </w:pPr>
      <w:r>
        <w:rPr>
          <w:noProof/>
        </w:rPr>
        <w:t xml:space="preserve">the fee for a consent order increased </w:t>
      </w:r>
      <w:r w:rsidRPr="001205A4">
        <w:rPr>
          <w:noProof/>
        </w:rPr>
        <w:t>from $155 to $240 ($85 increase)</w:t>
      </w:r>
      <w:r>
        <w:rPr>
          <w:noProof/>
        </w:rPr>
        <w:t>;</w:t>
      </w:r>
    </w:p>
    <w:p w:rsidR="001946B4" w:rsidRDefault="001946B4" w:rsidP="001946B4">
      <w:pPr>
        <w:pStyle w:val="Bullet1"/>
        <w:rPr>
          <w:noProof/>
        </w:rPr>
      </w:pPr>
      <w:r>
        <w:rPr>
          <w:noProof/>
        </w:rPr>
        <w:t>the fee for issuing subpoenas</w:t>
      </w:r>
      <w:r w:rsidRPr="001205A4">
        <w:rPr>
          <w:noProof/>
        </w:rPr>
        <w:t xml:space="preserve"> </w:t>
      </w:r>
      <w:r>
        <w:rPr>
          <w:noProof/>
        </w:rPr>
        <w:t xml:space="preserve">increased </w:t>
      </w:r>
      <w:r w:rsidRPr="001205A4">
        <w:rPr>
          <w:noProof/>
        </w:rPr>
        <w:t>from $55 to $125 ($70 increase)</w:t>
      </w:r>
      <w:r>
        <w:rPr>
          <w:noProof/>
        </w:rPr>
        <w:t>;</w:t>
      </w:r>
    </w:p>
    <w:p w:rsidR="001946B4" w:rsidRDefault="001946B4" w:rsidP="001946B4">
      <w:pPr>
        <w:pStyle w:val="Bullet1"/>
        <w:rPr>
          <w:noProof/>
        </w:rPr>
      </w:pPr>
      <w:r>
        <w:rPr>
          <w:noProof/>
        </w:rPr>
        <w:t>a</w:t>
      </w:r>
      <w:r w:rsidRPr="001205A4">
        <w:rPr>
          <w:noProof/>
        </w:rPr>
        <w:t>ll other existing family law fee categories</w:t>
      </w:r>
      <w:r>
        <w:rPr>
          <w:noProof/>
        </w:rPr>
        <w:t xml:space="preserve"> (except for the reduced divorce fee) increased by an average of 11 per cent; and</w:t>
      </w:r>
    </w:p>
    <w:p w:rsidR="001946B4" w:rsidRDefault="001946B4" w:rsidP="001946B4">
      <w:pPr>
        <w:pStyle w:val="Bullet1"/>
        <w:rPr>
          <w:noProof/>
        </w:rPr>
      </w:pPr>
      <w:r>
        <w:rPr>
          <w:noProof/>
        </w:rPr>
        <w:t xml:space="preserve">a new fee of $125 was established for the filing of amended applications. </w:t>
      </w:r>
    </w:p>
    <w:p w:rsidR="001946B4" w:rsidRDefault="001946B4" w:rsidP="001946B4">
      <w:pPr>
        <w:rPr>
          <w:noProof/>
        </w:rPr>
      </w:pPr>
      <w:r>
        <w:rPr>
          <w:noProof/>
        </w:rPr>
        <w:t>The ES states:</w:t>
      </w:r>
    </w:p>
    <w:p w:rsidR="001946B4" w:rsidRDefault="001946B4" w:rsidP="001946B4">
      <w:pPr>
        <w:pStyle w:val="Quote"/>
        <w:rPr>
          <w:noProof/>
        </w:rPr>
      </w:pPr>
      <w:r w:rsidRPr="00FA2145">
        <w:rPr>
          <w:noProof/>
        </w:rPr>
        <w:t>Family law fee increases that were intended to commence on 1 July 2015 under Schedule 2 of th</w:t>
      </w:r>
      <w:r w:rsidRPr="00FA2145">
        <w:rPr>
          <w:i/>
          <w:noProof/>
        </w:rPr>
        <w:t xml:space="preserve">e Federal Courts Legislation Amendment (Fees) Regulation 2015 </w:t>
      </w:r>
      <w:r w:rsidRPr="00FA2145">
        <w:rPr>
          <w:noProof/>
        </w:rPr>
        <w:t>were disallowed by the Senate on 25 June 2015. The Government will reintroduce those family law fee increases under the Regulation with an additional $5 increase.</w:t>
      </w:r>
    </w:p>
    <w:p w:rsidR="001946B4" w:rsidRDefault="001946B4" w:rsidP="001946B4">
      <w:r>
        <w:t>The second instrument was disallowed by the Senate on 11 August 2015.</w:t>
      </w:r>
    </w:p>
    <w:p w:rsidR="001946B4" w:rsidRDefault="001946B4" w:rsidP="001946B4">
      <w:r w:rsidRPr="001205A4">
        <w:t>Section 48 of the</w:t>
      </w:r>
      <w:r w:rsidRPr="001205A4">
        <w:rPr>
          <w:i/>
        </w:rPr>
        <w:t xml:space="preserve"> Legislative Instruments Act 2003</w:t>
      </w:r>
      <w:r w:rsidRPr="001205A4">
        <w:t xml:space="preserve"> places limitations on the remaking of instruments after disallowance, including that an instrument that is 'the same in substance' as a disallowed instrument may not be remade within six months after that</w:t>
      </w:r>
      <w:r>
        <w:t xml:space="preserve"> d</w:t>
      </w:r>
      <w:r w:rsidRPr="001205A4">
        <w:t>isallowance (unless the House that disallowed the instrument approved the making of the second instrument</w:t>
      </w:r>
      <w:r>
        <w:t>)</w:t>
      </w:r>
      <w:r w:rsidRPr="001205A4">
        <w:t>.</w:t>
      </w:r>
    </w:p>
    <w:p w:rsidR="001946B4" w:rsidRDefault="001946B4" w:rsidP="001946B4">
      <w:r>
        <w:t xml:space="preserve">The committee notes that an action was brought in the Federal Court to challenge the second instrument on the basis that it was the same in substance as the first </w:t>
      </w:r>
      <w:r>
        <w:lastRenderedPageBreak/>
        <w:t xml:space="preserve">(disallowed) instrument and had been re-made within six months of its disallowance, contrary to section 48 of the </w:t>
      </w:r>
      <w:r w:rsidRPr="00964780">
        <w:rPr>
          <w:i/>
        </w:rPr>
        <w:t>Legislative Instruments Act 2003</w:t>
      </w:r>
      <w:r>
        <w:t>. In a decision given on 13 August 2015, Dowsett J dismissed the application, finding that section 48 'should be construed as requiring that, in order that a legislative instrument be invalid, it be, in substance or legal effect, identical to the previously disallowed measure'.</w:t>
      </w:r>
      <w:r>
        <w:rPr>
          <w:rStyle w:val="FootnoteReference"/>
        </w:rPr>
        <w:footnoteReference w:id="7"/>
      </w:r>
    </w:p>
    <w:p w:rsidR="001946B4" w:rsidRDefault="001946B4" w:rsidP="001946B4">
      <w:r>
        <w:t>The committee notes that, in a number of material respects, the Federal Court's interpretation of the</w:t>
      </w:r>
      <w:r w:rsidRPr="001205A4">
        <w:t xml:space="preserve"> concept of 'the same in substance' </w:t>
      </w:r>
      <w:r>
        <w:t xml:space="preserve">may be regarded as in conflict with the decision of </w:t>
      </w:r>
      <w:r w:rsidRPr="001205A4">
        <w:t xml:space="preserve">the High Court in </w:t>
      </w:r>
      <w:bookmarkStart w:id="25" w:name="OLE_LINK1"/>
      <w:r w:rsidRPr="001205A4">
        <w:rPr>
          <w:i/>
        </w:rPr>
        <w:t xml:space="preserve">Victorian Chamber of Manufactures v Commonwealth (Women's Employment Regulations) </w:t>
      </w:r>
      <w:r w:rsidRPr="001205A4">
        <w:t>[1943] HCA 21; (1943) 67 CLR 347</w:t>
      </w:r>
      <w:bookmarkEnd w:id="25"/>
      <w:r w:rsidRPr="001205A4">
        <w:t xml:space="preserve">. In that decision, Chief Justice Latham stated that the question of whether an instrument is the same in substance as a disallowed instrument must be </w:t>
      </w:r>
      <w:r>
        <w:t xml:space="preserve">determined </w:t>
      </w:r>
      <w:r w:rsidRPr="001205A4">
        <w:t>by applying such tests as the court may think proper, and by seeking 'to determine in each case whether such differences as exist between the disallowed regulation and the new regulation are differences in substance'.</w:t>
      </w:r>
      <w:r>
        <w:rPr>
          <w:rStyle w:val="FootnoteReference"/>
        </w:rPr>
        <w:footnoteReference w:id="8"/>
      </w:r>
      <w:r>
        <w:t xml:space="preserve"> Notably, C</w:t>
      </w:r>
      <w:r w:rsidRPr="001205A4">
        <w:t>hief Justice Latham concluded that an equivalent pro</w:t>
      </w:r>
      <w:r>
        <w:t xml:space="preserve">vision to section 48 of the </w:t>
      </w:r>
      <w:r>
        <w:rPr>
          <w:i/>
        </w:rPr>
        <w:t>Legislative Instruments Act 2003</w:t>
      </w:r>
      <w:r w:rsidRPr="001205A4">
        <w:t xml:space="preserve"> prevented </w:t>
      </w:r>
      <w:r>
        <w:t>the re-enactment '</w:t>
      </w:r>
      <w:r w:rsidRPr="001205A4">
        <w:t xml:space="preserve">within six months of disallowance, of any regulation which is substantially the same as the disallowed regulation </w:t>
      </w:r>
      <w:r w:rsidRPr="002B28EF">
        <w:rPr>
          <w:i/>
        </w:rPr>
        <w:t>in the sense that it produces substantially, that is, in large measure, though not in all details, the same effect as the disallowed regulation</w:t>
      </w:r>
      <w:r w:rsidRPr="00DE40B5">
        <w:t>'</w:t>
      </w:r>
      <w:r>
        <w:t xml:space="preserve"> [emphasis added]</w:t>
      </w:r>
      <w:r w:rsidRPr="001205A4">
        <w:t>.</w:t>
      </w:r>
      <w:r>
        <w:rPr>
          <w:rStyle w:val="FootnoteReference"/>
        </w:rPr>
        <w:footnoteReference w:id="9"/>
      </w:r>
      <w:r>
        <w:t xml:space="preserve"> The Chief Justice went on to state that this approach '</w:t>
      </w:r>
      <w:r w:rsidRPr="00865871">
        <w:t xml:space="preserve">prevents the result that a variation in the new regulation which is real, but quite immaterial in relation to the substantial object of the legislation, would exclude the application of </w:t>
      </w:r>
      <w:r>
        <w:t xml:space="preserve">[the equivalent provision to section 48(b) of the </w:t>
      </w:r>
      <w:r>
        <w:rPr>
          <w:i/>
        </w:rPr>
        <w:t>Legislative Instruments Act 2003</w:t>
      </w:r>
      <w:r>
        <w:t>]'</w:t>
      </w:r>
      <w:r w:rsidRPr="00865871">
        <w:t>.</w:t>
      </w:r>
      <w:r>
        <w:rPr>
          <w:rStyle w:val="FootnoteReference"/>
        </w:rPr>
        <w:footnoteReference w:id="10"/>
      </w:r>
    </w:p>
    <w:p w:rsidR="001946B4" w:rsidRDefault="001946B4" w:rsidP="001946B4">
      <w:r>
        <w:t>The committee notes that the decision of the Federal Court in relation to the second instrument therefore raises issues central to the committee's function of ensuring that instruments of delegated legislation are made in accordance with statute.</w:t>
      </w:r>
    </w:p>
    <w:p w:rsidR="001946B4" w:rsidRPr="002B28EF" w:rsidRDefault="001946B4" w:rsidP="001946B4">
      <w:pPr>
        <w:rPr>
          <w:b/>
        </w:rPr>
      </w:pPr>
      <w:r w:rsidRPr="002B28EF">
        <w:rPr>
          <w:b/>
        </w:rPr>
        <w:t xml:space="preserve">The committee therefore seeks the Attorney-General's advice as to whether he regards the second instrument as being the same in substance as the first instrument for the purposes of section 48 of the </w:t>
      </w:r>
      <w:r w:rsidRPr="002B28EF">
        <w:rPr>
          <w:b/>
          <w:i/>
        </w:rPr>
        <w:t>Legislative Instruments Act 2003</w:t>
      </w:r>
      <w:r w:rsidRPr="002B28EF">
        <w:rPr>
          <w:b/>
        </w:rPr>
        <w:t>.</w:t>
      </w:r>
    </w:p>
    <w:p w:rsidR="001946B4" w:rsidRPr="002B28EF" w:rsidRDefault="001946B4" w:rsidP="001946B4">
      <w:pPr>
        <w:rPr>
          <w:b/>
        </w:rPr>
      </w:pPr>
      <w:r w:rsidRPr="002B28EF">
        <w:rPr>
          <w:b/>
        </w:rPr>
        <w:t xml:space="preserve">Further, the committee seeks the Attorney-General's advice as to whether legal advice was provided </w:t>
      </w:r>
      <w:r>
        <w:rPr>
          <w:b/>
        </w:rPr>
        <w:t xml:space="preserve">in relation to the making of the second instrument </w:t>
      </w:r>
      <w:r>
        <w:rPr>
          <w:b/>
        </w:rPr>
        <w:lastRenderedPageBreak/>
        <w:t>regarding</w:t>
      </w:r>
      <w:r w:rsidRPr="002B28EF">
        <w:rPr>
          <w:b/>
        </w:rPr>
        <w:t xml:space="preserve"> the question of whether </w:t>
      </w:r>
      <w:r>
        <w:rPr>
          <w:b/>
        </w:rPr>
        <w:t>it</w:t>
      </w:r>
      <w:r w:rsidRPr="002B28EF">
        <w:rPr>
          <w:b/>
        </w:rPr>
        <w:t xml:space="preserve"> is the same in substance as the first instrument for the purposes of section 48 of the </w:t>
      </w:r>
      <w:r w:rsidRPr="002B28EF">
        <w:rPr>
          <w:b/>
          <w:i/>
        </w:rPr>
        <w:t>Legislative Instruments Act 2003</w:t>
      </w:r>
      <w:r w:rsidRPr="002B28EF">
        <w:rPr>
          <w:b/>
        </w:rPr>
        <w:t>.</w:t>
      </w:r>
    </w:p>
    <w:p w:rsidR="001946B4" w:rsidRDefault="001946B4" w:rsidP="001946B4">
      <w:r w:rsidRPr="002B28EF">
        <w:rPr>
          <w:b/>
        </w:rPr>
        <w:t>In the event that the Attorney-General confirms that legal advice was provided in relation to this question, the committee requests, in accordance with its usual practice, that the Attorney-General provide the committee with a copy of that advice.</w:t>
      </w:r>
    </w:p>
    <w:p w:rsidR="001946B4" w:rsidRDefault="001946B4" w:rsidP="001946B4"/>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946B4" w:rsidRPr="00BA36F8" w:rsidRDefault="001946B4" w:rsidP="001946B4">
            <w:pPr>
              <w:pStyle w:val="Heading3"/>
              <w:rPr>
                <w:sz w:val="24"/>
                <w:szCs w:val="24"/>
              </w:rPr>
            </w:pPr>
            <w:r w:rsidRPr="00B77A45">
              <w:rPr>
                <w:rFonts w:ascii="Times New (W1)" w:hAnsi="Times New (W1)"/>
                <w:noProof/>
                <w:sz w:val="24"/>
                <w:szCs w:val="24"/>
              </w:rPr>
              <w:t>Migration Amendment (Visa Labels) Regulation 2015 [F2015L01304]</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spacing w:before="120" w:after="120"/>
              <w:rPr>
                <w:sz w:val="24"/>
                <w:szCs w:val="24"/>
              </w:rPr>
            </w:pPr>
            <w:r w:rsidRPr="00B77A45">
              <w:rPr>
                <w:noProof/>
                <w:sz w:val="24"/>
                <w:szCs w:val="24"/>
              </w:rPr>
              <w:t>Amends the Migration Regulations 1994 to remove prescribed forms of evidence of a visa</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spacing w:before="120" w:after="120"/>
              <w:rPr>
                <w:sz w:val="24"/>
                <w:szCs w:val="24"/>
              </w:rPr>
            </w:pPr>
            <w:r w:rsidRPr="007D700B">
              <w:rPr>
                <w:noProof/>
                <w:sz w:val="24"/>
                <w:szCs w:val="24"/>
              </w:rPr>
              <w:t>12 November 2015</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spacing w:before="120" w:after="120"/>
              <w:rPr>
                <w:i/>
                <w:sz w:val="24"/>
                <w:szCs w:val="24"/>
              </w:rPr>
            </w:pPr>
            <w:r>
              <w:rPr>
                <w:i/>
                <w:noProof/>
                <w:sz w:val="24"/>
                <w:szCs w:val="24"/>
              </w:rPr>
              <w:t>Migration Act 1958</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spacing w:before="120" w:after="120"/>
              <w:rPr>
                <w:sz w:val="24"/>
                <w:szCs w:val="24"/>
              </w:rPr>
            </w:pPr>
            <w:r w:rsidRPr="00B77A45">
              <w:rPr>
                <w:noProof/>
                <w:sz w:val="24"/>
                <w:szCs w:val="24"/>
              </w:rPr>
              <w:t>Immigration and Border Protection</w:t>
            </w:r>
          </w:p>
        </w:tc>
      </w:tr>
      <w:tr w:rsidR="001946B4" w:rsidRPr="00164622" w:rsidTr="001946B4">
        <w:tc>
          <w:tcPr>
            <w:tcW w:w="2694" w:type="dxa"/>
            <w:tcBorders>
              <w:bottom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946B4" w:rsidRPr="00A77228" w:rsidRDefault="001946B4" w:rsidP="001946B4">
            <w:pPr>
              <w:spacing w:before="120" w:after="120"/>
              <w:rPr>
                <w:sz w:val="24"/>
                <w:szCs w:val="24"/>
              </w:rPr>
            </w:pPr>
            <w:r>
              <w:rPr>
                <w:sz w:val="24"/>
                <w:szCs w:val="24"/>
              </w:rPr>
              <w:t>Standing Order 23(3)</w:t>
            </w:r>
            <w:r w:rsidRPr="00B77A45">
              <w:rPr>
                <w:noProof/>
                <w:sz w:val="24"/>
                <w:szCs w:val="24"/>
              </w:rPr>
              <w:t>(a)</w:t>
            </w:r>
          </w:p>
        </w:tc>
      </w:tr>
    </w:tbl>
    <w:p w:rsidR="001946B4" w:rsidRDefault="001946B4" w:rsidP="001946B4">
      <w:pPr>
        <w:spacing w:after="120"/>
      </w:pPr>
    </w:p>
    <w:p w:rsidR="001946B4" w:rsidRDefault="001946B4" w:rsidP="001946B4">
      <w:pPr>
        <w:rPr>
          <w:b/>
          <w:noProof/>
        </w:rPr>
      </w:pPr>
      <w:r w:rsidRPr="00B77A45">
        <w:rPr>
          <w:b/>
          <w:noProof/>
        </w:rPr>
        <w:t>Consultation</w:t>
      </w:r>
    </w:p>
    <w:p w:rsidR="001946B4" w:rsidRDefault="001946B4" w:rsidP="001946B4">
      <w:r>
        <w:t xml:space="preserve">Section 17 of the </w:t>
      </w:r>
      <w:r w:rsidRPr="00915B3C">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1946B4" w:rsidRDefault="001946B4" w:rsidP="001946B4">
      <w:pPr>
        <w:pStyle w:val="Quote"/>
      </w:pPr>
      <w:r w:rsidRPr="003E17EC">
        <w:t>The Office of Best Practice Regulation (the OBPR) has been consulted in relation to the amendments made by the Regulation. The OBPR advises that the changes do not have a regulatory impact on business or the not-for-profit sector. The OBPR consultation reference is 18021.</w:t>
      </w:r>
    </w:p>
    <w:p w:rsidR="001946B4" w:rsidRDefault="001946B4" w:rsidP="001946B4">
      <w:r>
        <w:t xml:space="preserve">The committee's guideline on the requirement to address the question of consultation under the </w:t>
      </w:r>
      <w:r>
        <w:rPr>
          <w:i/>
        </w:rPr>
        <w:t>Legislative Instruments Act 2003</w:t>
      </w:r>
      <w:r>
        <w:t xml:space="preserve"> states:</w:t>
      </w:r>
    </w:p>
    <w:p w:rsidR="001946B4" w:rsidRDefault="001946B4" w:rsidP="001946B4">
      <w:pPr>
        <w:pStyle w:val="Quote"/>
      </w:pPr>
      <w:r>
        <w:rPr>
          <w:lang w:val="en"/>
        </w:rPr>
        <w:t>It is also important to note that requirements regarding the preparation of a Regulation Impact Statement (RIS) are separate to the requirements of the [</w:t>
      </w:r>
      <w:r>
        <w:rPr>
          <w:i/>
          <w:lang w:val="en"/>
        </w:rPr>
        <w:t>Legislative Instruments Act 2003</w:t>
      </w:r>
      <w:r>
        <w:rPr>
          <w:lang w:val="en"/>
        </w:rPr>
        <w:t xml:space="preserve">]…in relation to consultation. This means that, although a RIS may not be required in relation to a certain instrument, </w:t>
      </w:r>
      <w:r>
        <w:rPr>
          <w:lang w:val="en"/>
        </w:rPr>
        <w:lastRenderedPageBreak/>
        <w:t>the requirements of the Act regarding a description of the nature of consultation undertaken, or an explanation of why consultation has not occurred, must still be met.</w:t>
      </w:r>
    </w:p>
    <w:p w:rsidR="001946B4" w:rsidRPr="004F7DA5" w:rsidRDefault="001946B4" w:rsidP="001946B4">
      <w:r>
        <w:t xml:space="preserve">The committee notes that the ES for the instrument provides no information regarding consultation for the purposes of the </w:t>
      </w:r>
      <w:r>
        <w:rPr>
          <w:i/>
        </w:rPr>
        <w:t>Legislative Instruments</w:t>
      </w:r>
      <w:r>
        <w:rPr>
          <w:i/>
        </w:rPr>
        <w:br/>
        <w:t>Act 2003</w:t>
      </w:r>
      <w:r>
        <w:t>.</w:t>
      </w:r>
    </w:p>
    <w:p w:rsidR="001946B4" w:rsidRDefault="001946B4" w:rsidP="001946B4">
      <w:r>
        <w:t>The committee's expectations in this regard are set out in the guideline on consultation contained in Appendix 2.</w:t>
      </w:r>
    </w:p>
    <w:p w:rsidR="001946B4" w:rsidRDefault="001946B4" w:rsidP="001946B4">
      <w:r w:rsidRPr="00636938">
        <w:rPr>
          <w:b/>
        </w:rPr>
        <w:t xml:space="preserve">The committee requests </w:t>
      </w:r>
      <w:r>
        <w:rPr>
          <w:b/>
        </w:rPr>
        <w:t xml:space="preserve">the advice of </w:t>
      </w:r>
      <w:r w:rsidRPr="00636938">
        <w:rPr>
          <w:b/>
        </w:rPr>
        <w:t xml:space="preserve">the </w:t>
      </w:r>
      <w:r>
        <w:rPr>
          <w:b/>
        </w:rPr>
        <w:t>minister in relation to this</w:t>
      </w:r>
      <w:r w:rsidRPr="00915B3C">
        <w:rPr>
          <w:b/>
        </w:rPr>
        <w:t xml:space="preserve"> matter; and requests that the ES be updated in accordance with the requirements of the </w:t>
      </w:r>
      <w:r w:rsidRPr="004F7DA5">
        <w:rPr>
          <w:b/>
          <w:i/>
        </w:rPr>
        <w:t>Legislative Instruments Act</w:t>
      </w:r>
      <w:r w:rsidRPr="004F7DA5">
        <w:rPr>
          <w:i/>
        </w:rPr>
        <w:t xml:space="preserve"> </w:t>
      </w:r>
      <w:r w:rsidRPr="004F7DA5">
        <w:rPr>
          <w:b/>
          <w:i/>
        </w:rPr>
        <w:t>2003</w:t>
      </w:r>
      <w:r>
        <w:t>.</w:t>
      </w:r>
    </w:p>
    <w:p w:rsidR="001946B4" w:rsidRPr="00CA45BD" w:rsidRDefault="001946B4" w:rsidP="001946B4"/>
    <w:tbl>
      <w:tblPr>
        <w:tblW w:w="0" w:type="auto"/>
        <w:tblInd w:w="108" w:type="dxa"/>
        <w:tblLook w:val="04A0" w:firstRow="1" w:lastRow="0" w:firstColumn="1" w:lastColumn="0" w:noHBand="0" w:noVBand="1"/>
      </w:tblPr>
      <w:tblGrid>
        <w:gridCol w:w="2694"/>
        <w:gridCol w:w="6378"/>
      </w:tblGrid>
      <w:tr w:rsidR="001946B4" w:rsidRPr="008300FD" w:rsidTr="001946B4">
        <w:tc>
          <w:tcPr>
            <w:tcW w:w="2694" w:type="dxa"/>
            <w:tcBorders>
              <w:top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946B4" w:rsidRPr="008300FD" w:rsidRDefault="001946B4" w:rsidP="001946B4">
            <w:pPr>
              <w:pStyle w:val="Heading3"/>
              <w:spacing w:before="120" w:after="120"/>
              <w:rPr>
                <w:rFonts w:ascii="Times New (W1)" w:hAnsi="Times New (W1)"/>
                <w:noProof/>
                <w:sz w:val="24"/>
                <w:szCs w:val="24"/>
              </w:rPr>
            </w:pPr>
            <w:r>
              <w:rPr>
                <w:rFonts w:ascii="Times New (W1)" w:hAnsi="Times New (W1)"/>
                <w:noProof/>
                <w:sz w:val="24"/>
                <w:szCs w:val="24"/>
              </w:rPr>
              <w:t>Mili</w:t>
            </w:r>
            <w:r w:rsidRPr="00741739">
              <w:rPr>
                <w:rFonts w:ascii="Times New (W1)" w:hAnsi="Times New (W1)"/>
                <w:noProof/>
                <w:sz w:val="24"/>
                <w:szCs w:val="24"/>
              </w:rPr>
              <w:t>tary Rehabilitation and Compensation Act Education and Training Scheme 2004 [F2015L01281]</w:t>
            </w:r>
          </w:p>
        </w:tc>
      </w:tr>
      <w:tr w:rsidR="001946B4" w:rsidRPr="00A77228"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Sets out the education allowances and other related benefits availab</w:t>
            </w:r>
            <w:r>
              <w:rPr>
                <w:noProof/>
                <w:sz w:val="24"/>
                <w:szCs w:val="24"/>
              </w:rPr>
              <w:t>le to the children of specified</w:t>
            </w:r>
            <w:r w:rsidRPr="00741739">
              <w:rPr>
                <w:noProof/>
                <w:sz w:val="24"/>
                <w:szCs w:val="24"/>
              </w:rPr>
              <w:t xml:space="preserve"> members of the Defence</w:t>
            </w:r>
            <w:r>
              <w:rPr>
                <w:noProof/>
                <w:sz w:val="24"/>
                <w:szCs w:val="24"/>
              </w:rPr>
              <w:t> </w:t>
            </w:r>
            <w:r w:rsidRPr="00741739">
              <w:rPr>
                <w:noProof/>
                <w:sz w:val="24"/>
                <w:szCs w:val="24"/>
              </w:rPr>
              <w:t xml:space="preserve"> Force</w:t>
            </w:r>
          </w:p>
        </w:tc>
      </w:tr>
      <w:tr w:rsidR="001946B4" w:rsidRPr="00A77228"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9 November 2015</w:t>
            </w:r>
          </w:p>
        </w:tc>
      </w:tr>
      <w:tr w:rsidR="001946B4" w:rsidRPr="00932D1C"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spacing w:before="120" w:after="120"/>
              <w:rPr>
                <w:i/>
                <w:sz w:val="24"/>
                <w:szCs w:val="24"/>
              </w:rPr>
            </w:pPr>
            <w:r w:rsidRPr="00741739">
              <w:rPr>
                <w:i/>
                <w:noProof/>
                <w:sz w:val="24"/>
                <w:szCs w:val="24"/>
              </w:rPr>
              <w:t>Military Rehabilitation and Compensation Act 2004</w:t>
            </w:r>
          </w:p>
        </w:tc>
      </w:tr>
      <w:tr w:rsidR="001946B4" w:rsidRPr="00A77228"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Veterans' Affairs</w:t>
            </w:r>
          </w:p>
        </w:tc>
      </w:tr>
      <w:tr w:rsidR="001946B4" w:rsidRPr="00A77228" w:rsidTr="001946B4">
        <w:tc>
          <w:tcPr>
            <w:tcW w:w="2694" w:type="dxa"/>
            <w:tcBorders>
              <w:bottom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946B4" w:rsidRPr="00A77228" w:rsidRDefault="001946B4" w:rsidP="001946B4">
            <w:pPr>
              <w:spacing w:before="120" w:after="120"/>
              <w:rPr>
                <w:sz w:val="24"/>
                <w:szCs w:val="24"/>
              </w:rPr>
            </w:pPr>
            <w:r>
              <w:rPr>
                <w:sz w:val="24"/>
                <w:szCs w:val="24"/>
              </w:rPr>
              <w:t>Standing Order 23(3)</w:t>
            </w:r>
            <w:r w:rsidRPr="00741739">
              <w:rPr>
                <w:noProof/>
                <w:sz w:val="24"/>
                <w:szCs w:val="24"/>
              </w:rPr>
              <w:t>(a)</w:t>
            </w:r>
          </w:p>
        </w:tc>
      </w:tr>
    </w:tbl>
    <w:p w:rsidR="001946B4" w:rsidRDefault="001946B4" w:rsidP="001946B4">
      <w:pPr>
        <w:rPr>
          <w:b/>
          <w:noProof/>
        </w:rPr>
      </w:pPr>
    </w:p>
    <w:p w:rsidR="001946B4" w:rsidRDefault="001946B4" w:rsidP="001946B4">
      <w:r w:rsidRPr="00741739">
        <w:rPr>
          <w:b/>
          <w:noProof/>
        </w:rPr>
        <w:t>Sub-delegation</w:t>
      </w:r>
    </w:p>
    <w:p w:rsidR="001946B4" w:rsidRDefault="001946B4" w:rsidP="001946B4">
      <w:r>
        <w:t xml:space="preserve">Section 8.1.2 of this instrument provides that the </w:t>
      </w:r>
      <w:r w:rsidRPr="000147A8">
        <w:t>Military Rehabilitation and Compensation Commission</w:t>
      </w:r>
      <w:r>
        <w:t xml:space="preserve"> may delegate any of its powers under the </w:t>
      </w:r>
      <w:r w:rsidRPr="000147A8">
        <w:t xml:space="preserve">Military Rehabilitation and Compensation Act Education and Training Scheme </w:t>
      </w:r>
      <w:r>
        <w:t>(the scheme) to an employee of the Department of Veterans' Affairs.</w:t>
      </w:r>
    </w:p>
    <w:p w:rsidR="001946B4" w:rsidRDefault="001946B4" w:rsidP="001946B4">
      <w: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1946B4" w:rsidRDefault="001946B4" w:rsidP="001946B4">
      <w:r w:rsidRPr="00DF5F75">
        <w:lastRenderedPageBreak/>
        <w:t xml:space="preserve">In this respect, the ES for the instrument provides no justification for the broad delegation of powers under the </w:t>
      </w:r>
      <w:r>
        <w:t>s</w:t>
      </w:r>
      <w:r w:rsidRPr="00DF5F75">
        <w:t>cheme to any employee o</w:t>
      </w:r>
      <w:r>
        <w:t>f that department</w:t>
      </w:r>
      <w:r w:rsidRPr="00DF5F75">
        <w:t>.</w:t>
      </w:r>
      <w:r>
        <w:t xml:space="preserve"> </w:t>
      </w:r>
    </w:p>
    <w:p w:rsidR="001946B4" w:rsidRDefault="001946B4" w:rsidP="001946B4">
      <w:pPr>
        <w:rPr>
          <w:b/>
        </w:rPr>
      </w:pPr>
      <w:r w:rsidRPr="00636938">
        <w:rPr>
          <w:b/>
        </w:rPr>
        <w:t xml:space="preserve">The committee requests </w:t>
      </w:r>
      <w:r>
        <w:rPr>
          <w:b/>
        </w:rPr>
        <w:t xml:space="preserve">the advice of </w:t>
      </w:r>
      <w:r w:rsidRPr="00636938">
        <w:rPr>
          <w:b/>
        </w:rPr>
        <w:t xml:space="preserve">the </w:t>
      </w:r>
      <w:r w:rsidRPr="00915B3C">
        <w:rPr>
          <w:b/>
        </w:rPr>
        <w:t>minister</w:t>
      </w:r>
      <w:r>
        <w:rPr>
          <w:b/>
        </w:rPr>
        <w:t xml:space="preserve"> in relation to this matter.</w:t>
      </w:r>
    </w:p>
    <w:p w:rsidR="001946B4" w:rsidRDefault="001946B4" w:rsidP="001946B4">
      <w:pPr>
        <w:rPr>
          <w:b/>
        </w:rPr>
      </w:pPr>
    </w:p>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946B4" w:rsidRPr="008300FD" w:rsidRDefault="001946B4" w:rsidP="001946B4">
            <w:pPr>
              <w:pStyle w:val="Heading3"/>
              <w:spacing w:before="120" w:after="120"/>
              <w:rPr>
                <w:rFonts w:ascii="Times New (W1)" w:hAnsi="Times New (W1)"/>
                <w:noProof/>
                <w:sz w:val="24"/>
                <w:szCs w:val="24"/>
              </w:rPr>
            </w:pPr>
            <w:r w:rsidRPr="00741739">
              <w:rPr>
                <w:rFonts w:ascii="Times New (W1)" w:hAnsi="Times New (W1)"/>
                <w:noProof/>
                <w:sz w:val="24"/>
                <w:szCs w:val="24"/>
              </w:rPr>
              <w:t>Veterans' Children Education Scheme [F2015L01280]</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Sets out the education allowances and other related benefits available to the children of specified veterans</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9 November 2015</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spacing w:before="120" w:after="120"/>
              <w:rPr>
                <w:i/>
                <w:sz w:val="24"/>
                <w:szCs w:val="24"/>
              </w:rPr>
            </w:pPr>
            <w:r w:rsidRPr="00741739">
              <w:rPr>
                <w:i/>
                <w:noProof/>
                <w:sz w:val="24"/>
                <w:szCs w:val="24"/>
              </w:rPr>
              <w:t>Ve</w:t>
            </w:r>
            <w:r>
              <w:rPr>
                <w:i/>
                <w:noProof/>
                <w:sz w:val="24"/>
                <w:szCs w:val="24"/>
              </w:rPr>
              <w:t>terans' Entitlements Act 1986</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Veterans' Affairs</w:t>
            </w:r>
          </w:p>
        </w:tc>
      </w:tr>
      <w:tr w:rsidR="001946B4" w:rsidRPr="00164622" w:rsidTr="001946B4">
        <w:tc>
          <w:tcPr>
            <w:tcW w:w="2694" w:type="dxa"/>
            <w:tcBorders>
              <w:bottom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946B4" w:rsidRPr="00A77228" w:rsidRDefault="001946B4" w:rsidP="001946B4">
            <w:pPr>
              <w:spacing w:before="120" w:after="120"/>
              <w:rPr>
                <w:sz w:val="24"/>
                <w:szCs w:val="24"/>
              </w:rPr>
            </w:pPr>
            <w:r>
              <w:rPr>
                <w:sz w:val="24"/>
                <w:szCs w:val="24"/>
              </w:rPr>
              <w:t>Standing Order 23(3)</w:t>
            </w:r>
            <w:r w:rsidRPr="00741739">
              <w:rPr>
                <w:noProof/>
                <w:sz w:val="24"/>
                <w:szCs w:val="24"/>
              </w:rPr>
              <w:t>(a)</w:t>
            </w:r>
          </w:p>
        </w:tc>
      </w:tr>
    </w:tbl>
    <w:p w:rsidR="001946B4" w:rsidRDefault="001946B4" w:rsidP="001946B4">
      <w:pPr>
        <w:spacing w:after="120"/>
      </w:pPr>
    </w:p>
    <w:p w:rsidR="001946B4" w:rsidRDefault="001946B4" w:rsidP="001946B4">
      <w:r w:rsidRPr="00741739">
        <w:rPr>
          <w:b/>
          <w:noProof/>
        </w:rPr>
        <w:t>Sub-delegation</w:t>
      </w:r>
    </w:p>
    <w:p w:rsidR="001946B4" w:rsidRDefault="001946B4" w:rsidP="001946B4">
      <w:r>
        <w:t xml:space="preserve">Section 8.1.2 of this instrument provides that the Repatriation Commission may delegate any of its powers under the Veterans' Children Education Scheme to an employee or officer of the Australian Public Service. </w:t>
      </w:r>
    </w:p>
    <w:p w:rsidR="001946B4" w:rsidRDefault="001946B4" w:rsidP="001946B4">
      <w: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1946B4" w:rsidRDefault="001946B4" w:rsidP="001946B4">
      <w:r>
        <w:t xml:space="preserve">In this respect, the ES for the instrument provides no justification for the broad delegation of the Commission's powers under the Scheme to any employee or officer of the Australian Public Service. </w:t>
      </w:r>
    </w:p>
    <w:p w:rsidR="001946B4" w:rsidRDefault="001946B4" w:rsidP="001946B4">
      <w:pPr>
        <w:rPr>
          <w:b/>
        </w:rPr>
      </w:pPr>
      <w:r w:rsidRPr="00636938">
        <w:rPr>
          <w:b/>
        </w:rPr>
        <w:t xml:space="preserve">The committee requests </w:t>
      </w:r>
      <w:r>
        <w:rPr>
          <w:b/>
        </w:rPr>
        <w:t xml:space="preserve">the advice of </w:t>
      </w:r>
      <w:r w:rsidRPr="00636938">
        <w:rPr>
          <w:b/>
        </w:rPr>
        <w:t xml:space="preserve">the </w:t>
      </w:r>
      <w:r w:rsidRPr="00915B3C">
        <w:rPr>
          <w:b/>
        </w:rPr>
        <w:t>minister</w:t>
      </w:r>
      <w:r>
        <w:rPr>
          <w:b/>
        </w:rPr>
        <w:t xml:space="preserve"> in relation to this matter.</w:t>
      </w:r>
    </w:p>
    <w:p w:rsidR="001946B4" w:rsidRDefault="001946B4" w:rsidP="001946B4">
      <w:pPr>
        <w:spacing w:after="0"/>
        <w:jc w:val="left"/>
        <w:rPr>
          <w:noProof/>
        </w:rPr>
      </w:pPr>
      <w:r>
        <w:rPr>
          <w:noProof/>
        </w:rPr>
        <w:br w:type="page"/>
      </w:r>
    </w:p>
    <w:p w:rsidR="001946B4" w:rsidRPr="002718CE" w:rsidRDefault="001946B4" w:rsidP="001946B4">
      <w:pPr>
        <w:pStyle w:val="Heading2"/>
        <w:spacing w:before="240"/>
        <w:rPr>
          <w:sz w:val="32"/>
          <w:szCs w:val="32"/>
        </w:rPr>
      </w:pPr>
      <w:r w:rsidRPr="002718CE">
        <w:rPr>
          <w:sz w:val="32"/>
          <w:szCs w:val="32"/>
        </w:rPr>
        <w:lastRenderedPageBreak/>
        <w:t>Further response required</w:t>
      </w:r>
    </w:p>
    <w:p w:rsidR="001946B4" w:rsidRPr="002718CE" w:rsidRDefault="001946B4" w:rsidP="001946B4">
      <w:r w:rsidRPr="002718CE">
        <w:t>The committee requests further explanation or information from relevant ministers or instrument-makers with respect to the following concerns.</w:t>
      </w:r>
    </w:p>
    <w:p w:rsidR="001946B4" w:rsidRPr="002718CE" w:rsidRDefault="001946B4" w:rsidP="001946B4">
      <w:r w:rsidRPr="002718CE">
        <w:t>Correspondence relating to these matters is included at Appendix 1.</w:t>
      </w:r>
    </w:p>
    <w:tbl>
      <w:tblPr>
        <w:tblW w:w="0" w:type="auto"/>
        <w:tblInd w:w="108" w:type="dxa"/>
        <w:tblLook w:val="04A0" w:firstRow="1" w:lastRow="0" w:firstColumn="1" w:lastColumn="0" w:noHBand="0" w:noVBand="1"/>
      </w:tblPr>
      <w:tblGrid>
        <w:gridCol w:w="2694"/>
        <w:gridCol w:w="6378"/>
      </w:tblGrid>
      <w:tr w:rsidR="001946B4" w:rsidRPr="002718CE" w:rsidTr="001946B4">
        <w:tc>
          <w:tcPr>
            <w:tcW w:w="2694" w:type="dxa"/>
            <w:tcBorders>
              <w:top w:val="single" w:sz="12" w:space="0" w:color="auto"/>
              <w:right w:val="single" w:sz="12" w:space="0" w:color="auto"/>
            </w:tcBorders>
          </w:tcPr>
          <w:p w:rsidR="001946B4" w:rsidRPr="002718CE" w:rsidRDefault="001946B4" w:rsidP="001946B4">
            <w:pPr>
              <w:rPr>
                <w:b/>
                <w:sz w:val="24"/>
                <w:szCs w:val="24"/>
              </w:rPr>
            </w:pPr>
            <w:r w:rsidRPr="002718CE">
              <w:rPr>
                <w:b/>
                <w:sz w:val="24"/>
                <w:szCs w:val="24"/>
              </w:rPr>
              <w:t>Instrument</w:t>
            </w:r>
          </w:p>
        </w:tc>
        <w:tc>
          <w:tcPr>
            <w:tcW w:w="6378" w:type="dxa"/>
            <w:tcBorders>
              <w:top w:val="single" w:sz="12" w:space="0" w:color="auto"/>
              <w:left w:val="single" w:sz="12" w:space="0" w:color="auto"/>
            </w:tcBorders>
          </w:tcPr>
          <w:p w:rsidR="001946B4" w:rsidRPr="002718CE" w:rsidRDefault="001946B4" w:rsidP="001946B4">
            <w:pPr>
              <w:pStyle w:val="Heading3"/>
              <w:rPr>
                <w:sz w:val="24"/>
                <w:szCs w:val="24"/>
              </w:rPr>
            </w:pPr>
            <w:r w:rsidRPr="002718CE">
              <w:rPr>
                <w:noProof/>
                <w:sz w:val="24"/>
                <w:szCs w:val="24"/>
              </w:rPr>
              <w:t>Financial Framework (Supplementary Powers) Amendment (2015 Measures No. 3) Regulation 2015 [F2015L00572]</w:t>
            </w:r>
          </w:p>
        </w:tc>
      </w:tr>
      <w:tr w:rsidR="001946B4" w:rsidRPr="002718CE" w:rsidTr="001946B4">
        <w:tc>
          <w:tcPr>
            <w:tcW w:w="2694" w:type="dxa"/>
            <w:tcBorders>
              <w:right w:val="single" w:sz="12" w:space="0" w:color="auto"/>
            </w:tcBorders>
          </w:tcPr>
          <w:p w:rsidR="001946B4" w:rsidRPr="002718CE" w:rsidRDefault="001946B4" w:rsidP="001946B4">
            <w:pPr>
              <w:rPr>
                <w:b/>
                <w:sz w:val="24"/>
                <w:szCs w:val="24"/>
              </w:rPr>
            </w:pPr>
            <w:r w:rsidRPr="002718CE">
              <w:rPr>
                <w:b/>
                <w:sz w:val="24"/>
                <w:szCs w:val="24"/>
              </w:rPr>
              <w:t>Purpose</w:t>
            </w:r>
          </w:p>
        </w:tc>
        <w:tc>
          <w:tcPr>
            <w:tcW w:w="6378" w:type="dxa"/>
            <w:tcBorders>
              <w:left w:val="single" w:sz="12" w:space="0" w:color="auto"/>
            </w:tcBorders>
          </w:tcPr>
          <w:p w:rsidR="001946B4" w:rsidRPr="002718CE" w:rsidRDefault="001946B4" w:rsidP="001946B4">
            <w:pPr>
              <w:rPr>
                <w:sz w:val="24"/>
                <w:szCs w:val="24"/>
              </w:rPr>
            </w:pPr>
            <w:r w:rsidRPr="002718CE">
              <w:rPr>
                <w:noProof/>
                <w:sz w:val="24"/>
                <w:szCs w:val="24"/>
              </w:rPr>
              <w:t>Amends the Financial Framework (Supplementary Powers) Regulations 1997 to establish legislative authority for spending activities administered by the Department of Education and Training and the Department of Social Services</w:t>
            </w:r>
          </w:p>
        </w:tc>
      </w:tr>
      <w:tr w:rsidR="001946B4" w:rsidRPr="002718CE" w:rsidTr="001946B4">
        <w:tc>
          <w:tcPr>
            <w:tcW w:w="2694" w:type="dxa"/>
            <w:tcBorders>
              <w:right w:val="single" w:sz="12" w:space="0" w:color="auto"/>
            </w:tcBorders>
          </w:tcPr>
          <w:p w:rsidR="001946B4" w:rsidRPr="002718CE" w:rsidRDefault="001946B4" w:rsidP="001946B4">
            <w:pPr>
              <w:rPr>
                <w:b/>
                <w:sz w:val="24"/>
                <w:szCs w:val="24"/>
              </w:rPr>
            </w:pPr>
            <w:r w:rsidRPr="002718CE">
              <w:rPr>
                <w:b/>
                <w:sz w:val="24"/>
                <w:szCs w:val="24"/>
              </w:rPr>
              <w:t>Last day to disallow</w:t>
            </w:r>
          </w:p>
        </w:tc>
        <w:tc>
          <w:tcPr>
            <w:tcW w:w="6378" w:type="dxa"/>
            <w:tcBorders>
              <w:left w:val="single" w:sz="12" w:space="0" w:color="auto"/>
            </w:tcBorders>
          </w:tcPr>
          <w:p w:rsidR="001946B4" w:rsidRPr="002718CE" w:rsidRDefault="001946B4" w:rsidP="001946B4">
            <w:pPr>
              <w:rPr>
                <w:sz w:val="24"/>
                <w:szCs w:val="24"/>
              </w:rPr>
            </w:pPr>
            <w:r w:rsidRPr="002718CE">
              <w:rPr>
                <w:noProof/>
                <w:sz w:val="24"/>
                <w:szCs w:val="24"/>
              </w:rPr>
              <w:t>14 October 2015</w:t>
            </w:r>
          </w:p>
        </w:tc>
      </w:tr>
      <w:tr w:rsidR="001946B4" w:rsidRPr="002718CE" w:rsidTr="001946B4">
        <w:tc>
          <w:tcPr>
            <w:tcW w:w="2694" w:type="dxa"/>
            <w:tcBorders>
              <w:right w:val="single" w:sz="12" w:space="0" w:color="auto"/>
            </w:tcBorders>
          </w:tcPr>
          <w:p w:rsidR="001946B4" w:rsidRPr="002718CE" w:rsidRDefault="001946B4" w:rsidP="001946B4">
            <w:pPr>
              <w:rPr>
                <w:b/>
                <w:sz w:val="24"/>
                <w:szCs w:val="24"/>
              </w:rPr>
            </w:pPr>
            <w:r w:rsidRPr="002718CE">
              <w:rPr>
                <w:b/>
                <w:sz w:val="24"/>
                <w:szCs w:val="24"/>
              </w:rPr>
              <w:t>Authorising legislation</w:t>
            </w:r>
          </w:p>
        </w:tc>
        <w:tc>
          <w:tcPr>
            <w:tcW w:w="6378" w:type="dxa"/>
            <w:tcBorders>
              <w:left w:val="single" w:sz="12" w:space="0" w:color="auto"/>
            </w:tcBorders>
          </w:tcPr>
          <w:p w:rsidR="001946B4" w:rsidRPr="002718CE" w:rsidRDefault="001946B4" w:rsidP="001946B4">
            <w:pPr>
              <w:rPr>
                <w:i/>
                <w:sz w:val="24"/>
                <w:szCs w:val="24"/>
              </w:rPr>
            </w:pPr>
            <w:r w:rsidRPr="002718CE">
              <w:rPr>
                <w:i/>
                <w:noProof/>
                <w:sz w:val="24"/>
                <w:szCs w:val="24"/>
              </w:rPr>
              <w:t>Financial Framework (Supplementary Powers) Act 1997</w:t>
            </w:r>
          </w:p>
        </w:tc>
      </w:tr>
      <w:tr w:rsidR="001946B4" w:rsidRPr="002718CE" w:rsidTr="001946B4">
        <w:tc>
          <w:tcPr>
            <w:tcW w:w="2694" w:type="dxa"/>
            <w:tcBorders>
              <w:right w:val="single" w:sz="12" w:space="0" w:color="auto"/>
            </w:tcBorders>
          </w:tcPr>
          <w:p w:rsidR="001946B4" w:rsidRPr="002718CE" w:rsidRDefault="001946B4" w:rsidP="001946B4">
            <w:pPr>
              <w:rPr>
                <w:b/>
                <w:sz w:val="24"/>
                <w:szCs w:val="24"/>
              </w:rPr>
            </w:pPr>
            <w:r w:rsidRPr="002718CE">
              <w:rPr>
                <w:b/>
                <w:sz w:val="24"/>
                <w:szCs w:val="24"/>
              </w:rPr>
              <w:t>Department</w:t>
            </w:r>
          </w:p>
        </w:tc>
        <w:tc>
          <w:tcPr>
            <w:tcW w:w="6378" w:type="dxa"/>
            <w:tcBorders>
              <w:left w:val="single" w:sz="12" w:space="0" w:color="auto"/>
            </w:tcBorders>
          </w:tcPr>
          <w:p w:rsidR="001946B4" w:rsidRPr="002718CE" w:rsidRDefault="001946B4" w:rsidP="001946B4">
            <w:pPr>
              <w:rPr>
                <w:sz w:val="24"/>
                <w:szCs w:val="24"/>
              </w:rPr>
            </w:pPr>
            <w:r w:rsidRPr="002718CE">
              <w:rPr>
                <w:noProof/>
                <w:sz w:val="24"/>
                <w:szCs w:val="24"/>
              </w:rPr>
              <w:t>Finance</w:t>
            </w:r>
          </w:p>
        </w:tc>
      </w:tr>
      <w:tr w:rsidR="001946B4" w:rsidRPr="002718CE" w:rsidTr="001946B4">
        <w:tc>
          <w:tcPr>
            <w:tcW w:w="2694" w:type="dxa"/>
            <w:tcBorders>
              <w:right w:val="single" w:sz="12" w:space="0" w:color="auto"/>
            </w:tcBorders>
          </w:tcPr>
          <w:p w:rsidR="001946B4" w:rsidRPr="002718CE" w:rsidRDefault="001946B4" w:rsidP="001946B4">
            <w:pPr>
              <w:rPr>
                <w:b/>
                <w:sz w:val="24"/>
                <w:szCs w:val="24"/>
              </w:rPr>
            </w:pPr>
            <w:r w:rsidRPr="002718CE">
              <w:rPr>
                <w:b/>
                <w:sz w:val="24"/>
                <w:szCs w:val="24"/>
              </w:rPr>
              <w:t>Scrutiny principle</w:t>
            </w:r>
          </w:p>
        </w:tc>
        <w:tc>
          <w:tcPr>
            <w:tcW w:w="6378" w:type="dxa"/>
            <w:tcBorders>
              <w:left w:val="single" w:sz="12" w:space="0" w:color="auto"/>
            </w:tcBorders>
          </w:tcPr>
          <w:p w:rsidR="001946B4" w:rsidRPr="002718CE" w:rsidRDefault="001946B4" w:rsidP="001946B4">
            <w:pPr>
              <w:rPr>
                <w:sz w:val="24"/>
                <w:szCs w:val="24"/>
              </w:rPr>
            </w:pPr>
            <w:r w:rsidRPr="002718CE">
              <w:rPr>
                <w:sz w:val="24"/>
                <w:szCs w:val="24"/>
              </w:rPr>
              <w:t>Standing Order 23(3)</w:t>
            </w:r>
            <w:r w:rsidRPr="002718CE">
              <w:rPr>
                <w:noProof/>
                <w:sz w:val="24"/>
                <w:szCs w:val="24"/>
              </w:rPr>
              <w:t>(d)</w:t>
            </w:r>
          </w:p>
        </w:tc>
      </w:tr>
      <w:tr w:rsidR="001946B4" w:rsidRPr="002718CE" w:rsidTr="001946B4">
        <w:tc>
          <w:tcPr>
            <w:tcW w:w="2694" w:type="dxa"/>
            <w:tcBorders>
              <w:bottom w:val="single" w:sz="12" w:space="0" w:color="auto"/>
              <w:right w:val="single" w:sz="12" w:space="0" w:color="auto"/>
            </w:tcBorders>
          </w:tcPr>
          <w:p w:rsidR="001946B4" w:rsidRPr="002718CE" w:rsidRDefault="001946B4" w:rsidP="001946B4">
            <w:pPr>
              <w:rPr>
                <w:b/>
                <w:sz w:val="24"/>
                <w:szCs w:val="24"/>
              </w:rPr>
            </w:pPr>
            <w:r w:rsidRPr="002718CE">
              <w:rPr>
                <w:b/>
                <w:sz w:val="24"/>
                <w:szCs w:val="24"/>
              </w:rPr>
              <w:t>Previously reported in</w:t>
            </w:r>
          </w:p>
        </w:tc>
        <w:tc>
          <w:tcPr>
            <w:tcW w:w="6378" w:type="dxa"/>
            <w:tcBorders>
              <w:left w:val="single" w:sz="12" w:space="0" w:color="auto"/>
              <w:bottom w:val="single" w:sz="12" w:space="0" w:color="auto"/>
            </w:tcBorders>
          </w:tcPr>
          <w:p w:rsidR="001946B4" w:rsidRPr="002718CE" w:rsidRDefault="001946B4" w:rsidP="001946B4">
            <w:pPr>
              <w:rPr>
                <w:sz w:val="24"/>
                <w:szCs w:val="24"/>
              </w:rPr>
            </w:pPr>
            <w:r w:rsidRPr="002718CE">
              <w:rPr>
                <w:i/>
                <w:noProof/>
                <w:sz w:val="24"/>
                <w:szCs w:val="24"/>
              </w:rPr>
              <w:t xml:space="preserve">Delegated legislation monitor </w:t>
            </w:r>
            <w:r w:rsidRPr="002718CE">
              <w:rPr>
                <w:noProof/>
                <w:sz w:val="24"/>
                <w:szCs w:val="24"/>
              </w:rPr>
              <w:t>No. 6 and 8</w:t>
            </w:r>
          </w:p>
        </w:tc>
      </w:tr>
    </w:tbl>
    <w:p w:rsidR="001946B4" w:rsidRPr="002718CE" w:rsidRDefault="001946B4" w:rsidP="001946B4"/>
    <w:p w:rsidR="001946B4" w:rsidRPr="002718CE" w:rsidRDefault="001946B4" w:rsidP="001946B4">
      <w:pPr>
        <w:rPr>
          <w:b/>
        </w:rPr>
      </w:pPr>
      <w:r w:rsidRPr="002718CE">
        <w:rPr>
          <w:b/>
          <w:noProof/>
        </w:rPr>
        <w:t>Previously unauthorised expenditure</w:t>
      </w:r>
    </w:p>
    <w:p w:rsidR="001946B4" w:rsidRPr="002718CE" w:rsidRDefault="001946B4" w:rsidP="001946B4">
      <w:pPr>
        <w:rPr>
          <w:noProof/>
          <w:szCs w:val="26"/>
        </w:rPr>
      </w:pPr>
      <w:r w:rsidRPr="002718CE">
        <w:t xml:space="preserve">The committee commented as follows: </w:t>
      </w:r>
      <w:r w:rsidRPr="002718CE">
        <w:rPr>
          <w:noProof/>
          <w:szCs w:val="26"/>
        </w:rPr>
        <w:t>Scrutiny principle 23(3)(a) of the committee's terms of reference requires the committee to ensure that an instrument is made in accordance with statute. This principle is interpreted broadly as a requirement to ensure that instruments are made in accordance with their authorising Act as well as any constitutional or other applicable legal requirements.</w:t>
      </w:r>
    </w:p>
    <w:p w:rsidR="001946B4" w:rsidRPr="002718CE" w:rsidRDefault="001946B4" w:rsidP="001946B4">
      <w:pPr>
        <w:rPr>
          <w:noProof/>
          <w:szCs w:val="26"/>
        </w:rPr>
      </w:pPr>
      <w:r w:rsidRPr="002718CE">
        <w:rPr>
          <w:noProof/>
          <w:szCs w:val="26"/>
        </w:rPr>
        <w:t xml:space="preserve">The committee notes that, in </w:t>
      </w:r>
      <w:r w:rsidRPr="002718CE">
        <w:rPr>
          <w:i/>
          <w:noProof/>
          <w:szCs w:val="26"/>
        </w:rPr>
        <w:t>Williams No. 1</w:t>
      </w:r>
      <w:r w:rsidRPr="002718CE">
        <w:rPr>
          <w:noProof/>
          <w:szCs w:val="26"/>
        </w:rPr>
        <w:t>,</w:t>
      </w:r>
      <w:bookmarkStart w:id="26" w:name="book1"/>
      <w:r w:rsidRPr="002718CE">
        <w:rPr>
          <w:rStyle w:val="FootnoteReference"/>
          <w:noProof/>
          <w:szCs w:val="26"/>
        </w:rPr>
        <w:footnoteReference w:id="11"/>
      </w:r>
      <w:bookmarkEnd w:id="26"/>
      <w:r w:rsidRPr="002718CE">
        <w:rPr>
          <w:noProof/>
          <w:szCs w:val="26"/>
        </w:rPr>
        <w:t xml:space="preserve"> the High Court confirmed that executive authority to spend appropriated monies is not unlimited and therefore generally requires legislative authority. As a result of the subsequent High Court decision in </w:t>
      </w:r>
      <w:r w:rsidRPr="002718CE">
        <w:rPr>
          <w:i/>
          <w:noProof/>
          <w:szCs w:val="26"/>
        </w:rPr>
        <w:t>Williams No. 2</w:t>
      </w:r>
      <w:r w:rsidRPr="002718CE">
        <w:rPr>
          <w:noProof/>
          <w:szCs w:val="26"/>
        </w:rPr>
        <w:t>,</w:t>
      </w:r>
      <w:bookmarkStart w:id="27" w:name="book2"/>
      <w:r w:rsidRPr="002718CE">
        <w:rPr>
          <w:rStyle w:val="FootnoteReference"/>
          <w:noProof/>
          <w:szCs w:val="26"/>
        </w:rPr>
        <w:footnoteReference w:id="12"/>
      </w:r>
      <w:bookmarkEnd w:id="27"/>
      <w:r w:rsidRPr="002718CE">
        <w:rPr>
          <w:noProof/>
          <w:szCs w:val="26"/>
        </w:rPr>
        <w:t xml:space="preserve"> the committee requires that the ES for all instruments specifying programs for the purposes of section 32B of the </w:t>
      </w:r>
      <w:r w:rsidRPr="002718CE">
        <w:rPr>
          <w:i/>
          <w:noProof/>
          <w:szCs w:val="26"/>
        </w:rPr>
        <w:t>Financial Framework (Supplementary Powers) Act 1997</w:t>
      </w:r>
      <w:r w:rsidRPr="002718CE">
        <w:rPr>
          <w:noProof/>
          <w:szCs w:val="26"/>
        </w:rPr>
        <w:t xml:space="preserve"> explicitly state, for each new program, the constitutional authority for the expenditure.</w:t>
      </w:r>
    </w:p>
    <w:p w:rsidR="001946B4" w:rsidRPr="002718CE" w:rsidRDefault="001946B4" w:rsidP="001946B4">
      <w:pPr>
        <w:rPr>
          <w:noProof/>
          <w:szCs w:val="26"/>
        </w:rPr>
      </w:pPr>
      <w:r w:rsidRPr="002718CE">
        <w:rPr>
          <w:noProof/>
          <w:szCs w:val="26"/>
        </w:rPr>
        <w:t>In this regard, the committee notes that the ES states that the objective of the Mathematics by Inquiry program is:</w:t>
      </w:r>
    </w:p>
    <w:p w:rsidR="001946B4" w:rsidRPr="002718CE" w:rsidRDefault="001946B4" w:rsidP="001946B4">
      <w:pPr>
        <w:pStyle w:val="Quote"/>
      </w:pPr>
      <w:r w:rsidRPr="002718CE">
        <w:lastRenderedPageBreak/>
        <w:t>To create and improve mathematics curriculum resources for primary and secondary school students:</w:t>
      </w:r>
    </w:p>
    <w:p w:rsidR="001946B4" w:rsidRPr="002718CE" w:rsidRDefault="001946B4" w:rsidP="001946B4">
      <w:pPr>
        <w:pStyle w:val="Quote"/>
        <w:numPr>
          <w:ilvl w:val="0"/>
          <w:numId w:val="36"/>
        </w:numPr>
        <w:spacing w:after="120"/>
      </w:pPr>
      <w:r w:rsidRPr="002718CE">
        <w:t>to meet Australia’s international obligations under the Convention on the Rights of the Child and the International Covenant on Economic, Social and Cultural Rights; and</w:t>
      </w:r>
    </w:p>
    <w:p w:rsidR="001946B4" w:rsidRPr="002718CE" w:rsidRDefault="001946B4" w:rsidP="001946B4">
      <w:pPr>
        <w:pStyle w:val="Quote"/>
        <w:numPr>
          <w:ilvl w:val="0"/>
          <w:numId w:val="36"/>
        </w:numPr>
        <w:spacing w:after="120"/>
      </w:pPr>
      <w:r w:rsidRPr="002718CE">
        <w:t>as activities that are peculiarly adapted to the government of a nation and cannot otherwise be carried on for the benefit of the nation.</w:t>
      </w:r>
    </w:p>
    <w:p w:rsidR="001946B4" w:rsidRPr="002718CE" w:rsidRDefault="001946B4" w:rsidP="001946B4">
      <w:pPr>
        <w:rPr>
          <w:noProof/>
          <w:szCs w:val="26"/>
        </w:rPr>
      </w:pPr>
      <w:r w:rsidRPr="002718CE">
        <w:rPr>
          <w:noProof/>
          <w:szCs w:val="26"/>
        </w:rPr>
        <w:t>The objective of the Coding Across the Curriculum program is:</w:t>
      </w:r>
    </w:p>
    <w:p w:rsidR="001946B4" w:rsidRPr="002718CE" w:rsidRDefault="001946B4" w:rsidP="001946B4">
      <w:pPr>
        <w:pStyle w:val="Quote"/>
      </w:pPr>
      <w:r w:rsidRPr="002718CE">
        <w:t>To encourage the introduction of computer coding and programming across different year levels in Australian schools:</w:t>
      </w:r>
    </w:p>
    <w:p w:rsidR="001946B4" w:rsidRPr="002718CE" w:rsidRDefault="001946B4" w:rsidP="001946B4">
      <w:pPr>
        <w:pStyle w:val="Quote"/>
        <w:numPr>
          <w:ilvl w:val="0"/>
          <w:numId w:val="37"/>
        </w:numPr>
        <w:spacing w:after="120"/>
      </w:pPr>
      <w:r w:rsidRPr="002718CE">
        <w:t>to meet Australia’s international obligations under the Convention on the Rights of the Child and the International Covenant on Economic, Social and Cultural Rights; and</w:t>
      </w:r>
    </w:p>
    <w:p w:rsidR="001946B4" w:rsidRPr="002718CE" w:rsidRDefault="001946B4" w:rsidP="001946B4">
      <w:pPr>
        <w:pStyle w:val="Quote"/>
        <w:numPr>
          <w:ilvl w:val="0"/>
          <w:numId w:val="37"/>
        </w:numPr>
        <w:spacing w:after="120"/>
      </w:pPr>
      <w:r w:rsidRPr="002718CE">
        <w:t>as an activity that is peculiarly adapted to the government of a nation and cannot otherwise be carried on for the benefit of the nation.</w:t>
      </w:r>
    </w:p>
    <w:p w:rsidR="001946B4" w:rsidRPr="002718CE" w:rsidRDefault="001946B4" w:rsidP="001946B4">
      <w:pPr>
        <w:rPr>
          <w:noProof/>
          <w:szCs w:val="26"/>
        </w:rPr>
      </w:pPr>
      <w:r w:rsidRPr="002718CE">
        <w:rPr>
          <w:noProof/>
          <w:szCs w:val="26"/>
        </w:rPr>
        <w:t>The committee notes that the ES identifies the consititutional basis for expenditure in relation to both the Mathematics by Inquiry and the Coding Across the Curriculum programs as follows:</w:t>
      </w:r>
    </w:p>
    <w:p w:rsidR="001946B4" w:rsidRPr="002718CE" w:rsidRDefault="001946B4" w:rsidP="001946B4">
      <w:pPr>
        <w:pStyle w:val="Quote"/>
      </w:pPr>
      <w:r w:rsidRPr="002718CE">
        <w:t>Noting that it is not a comprehensive statement of relevant constitutional considerations, the objective of the item references the following powers of the Constitution:</w:t>
      </w:r>
    </w:p>
    <w:p w:rsidR="001946B4" w:rsidRPr="002718CE" w:rsidRDefault="001946B4" w:rsidP="001946B4">
      <w:pPr>
        <w:pStyle w:val="Quote"/>
        <w:numPr>
          <w:ilvl w:val="0"/>
          <w:numId w:val="38"/>
        </w:numPr>
        <w:spacing w:after="120"/>
      </w:pPr>
      <w:r w:rsidRPr="002718CE">
        <w:t xml:space="preserve">the external affairs power (section 51(xxix)) </w:t>
      </w:r>
    </w:p>
    <w:p w:rsidR="001946B4" w:rsidRPr="002718CE" w:rsidRDefault="001946B4" w:rsidP="001946B4">
      <w:pPr>
        <w:pStyle w:val="Quote"/>
        <w:numPr>
          <w:ilvl w:val="0"/>
          <w:numId w:val="38"/>
        </w:numPr>
        <w:spacing w:after="120"/>
      </w:pPr>
      <w:r w:rsidRPr="002718CE">
        <w:t>Commonwealth executive power and the express incidental power (sections 61 and 51(xxxix)).</w:t>
      </w:r>
    </w:p>
    <w:p w:rsidR="001946B4" w:rsidRPr="002718CE" w:rsidRDefault="001946B4" w:rsidP="001946B4">
      <w:r w:rsidRPr="002718CE">
        <w:t>Therefore, the instrument appears to rely on the external affairs power and the executive nationhood power (coupled with the express incidental power) as the relevant heads of legislative power to authorise the making of these provisions (and therefore the spending of public money under them).</w:t>
      </w:r>
    </w:p>
    <w:p w:rsidR="001946B4" w:rsidRPr="002718CE" w:rsidRDefault="001946B4" w:rsidP="001946B4">
      <w:r w:rsidRPr="002718CE">
        <w:t xml:space="preserve">However, in relation to the external affairs power, the committee understands that, in order to rely on the power in connection with obligations under international treaties, legislation must be appropriately adapted to implement relatively precise obligations arising under that treaty. </w:t>
      </w:r>
    </w:p>
    <w:p w:rsidR="001946B4" w:rsidRPr="002718CE" w:rsidRDefault="001946B4" w:rsidP="001946B4">
      <w:r w:rsidRPr="002718CE">
        <w:t>In relation to the executive nationhood power and the express incidental power, the committee understands that the nationhood power provides the Commonwealth executive with a capacity to engage in enterprises and activities peculiarly adapted to the government of a nation and which cannot otherwise be carried out for the benefit of the nation.</w:t>
      </w:r>
    </w:p>
    <w:p w:rsidR="001946B4" w:rsidRPr="002718CE" w:rsidRDefault="001946B4" w:rsidP="001946B4">
      <w:pPr>
        <w:rPr>
          <w:b/>
          <w:i/>
        </w:rPr>
      </w:pPr>
      <w:r w:rsidRPr="002718CE">
        <w:rPr>
          <w:b/>
          <w:i/>
        </w:rPr>
        <w:t>The committee therefore sought the minister's advice as to:</w:t>
      </w:r>
    </w:p>
    <w:p w:rsidR="001946B4" w:rsidRPr="002718CE" w:rsidRDefault="001946B4" w:rsidP="001946B4">
      <w:pPr>
        <w:pStyle w:val="Bullet1"/>
        <w:rPr>
          <w:b/>
          <w:i/>
          <w:noProof/>
          <w:szCs w:val="26"/>
        </w:rPr>
      </w:pPr>
      <w:r w:rsidRPr="002718CE">
        <w:rPr>
          <w:b/>
          <w:i/>
        </w:rPr>
        <w:lastRenderedPageBreak/>
        <w:t xml:space="preserve">how the obligations under the Convention on the Rights of the Child and the International Covenant on Economic, Social and Cultural Rights are sufficiently specific to support the </w:t>
      </w:r>
      <w:r w:rsidRPr="002718CE">
        <w:rPr>
          <w:b/>
          <w:i/>
          <w:noProof/>
          <w:szCs w:val="26"/>
        </w:rPr>
        <w:t>Mathematics by Inquiry and the Coding Across the Curriculum programs; and</w:t>
      </w:r>
    </w:p>
    <w:p w:rsidR="001946B4" w:rsidRPr="002718CE" w:rsidRDefault="001946B4" w:rsidP="001946B4">
      <w:pPr>
        <w:pStyle w:val="Bullet1"/>
        <w:rPr>
          <w:b/>
          <w:i/>
        </w:rPr>
      </w:pPr>
      <w:r w:rsidRPr="002718CE">
        <w:rPr>
          <w:b/>
          <w:i/>
        </w:rPr>
        <w:t xml:space="preserve">how the </w:t>
      </w:r>
      <w:r w:rsidRPr="002718CE">
        <w:rPr>
          <w:b/>
          <w:i/>
          <w:noProof/>
          <w:szCs w:val="26"/>
        </w:rPr>
        <w:t xml:space="preserve">Mathematics by Inquiry and the Coding Across the Curriculum programs are supported by the </w:t>
      </w:r>
      <w:r w:rsidRPr="002718CE">
        <w:rPr>
          <w:b/>
          <w:i/>
        </w:rPr>
        <w:t>executive nationhood power and the express incidental power</w:t>
      </w:r>
      <w:r w:rsidRPr="002718CE">
        <w:rPr>
          <w:b/>
          <w:i/>
          <w:noProof/>
          <w:szCs w:val="26"/>
        </w:rPr>
        <w:t xml:space="preserve"> to the extent that they are </w:t>
      </w:r>
      <w:r w:rsidRPr="002718CE">
        <w:rPr>
          <w:b/>
          <w:i/>
        </w:rPr>
        <w:t>enterprises and activities peculiarly adapted to the government of a nation and which cannot otherwise be carried out for the benefit of the nation.</w:t>
      </w:r>
    </w:p>
    <w:p w:rsidR="001946B4" w:rsidRPr="002718CE" w:rsidRDefault="001946B4" w:rsidP="001946B4">
      <w:pPr>
        <w:pStyle w:val="Bullet1"/>
        <w:numPr>
          <w:ilvl w:val="0"/>
          <w:numId w:val="0"/>
        </w:numPr>
        <w:ind w:left="851" w:hanging="851"/>
        <w:rPr>
          <w:b/>
        </w:rPr>
      </w:pPr>
      <w:r w:rsidRPr="002718CE">
        <w:rPr>
          <w:b/>
        </w:rPr>
        <w:t>Minister's first response</w:t>
      </w:r>
    </w:p>
    <w:p w:rsidR="001946B4" w:rsidRPr="002718CE" w:rsidRDefault="001946B4" w:rsidP="001946B4">
      <w:pPr>
        <w:pStyle w:val="Bullet1"/>
        <w:numPr>
          <w:ilvl w:val="0"/>
          <w:numId w:val="0"/>
        </w:numPr>
        <w:ind w:left="851" w:hanging="851"/>
      </w:pPr>
      <w:r w:rsidRPr="002718CE">
        <w:t>The Minister for Finance advised that:</w:t>
      </w:r>
    </w:p>
    <w:p w:rsidR="001946B4" w:rsidRPr="002718CE" w:rsidRDefault="001946B4" w:rsidP="001946B4">
      <w:pPr>
        <w:pStyle w:val="Quote"/>
      </w:pPr>
      <w:r w:rsidRPr="002718CE">
        <w:t>The Committee may be aware that successive governments have been careful to avoid action that might effectively waive legal privilege in advice and thereby potentially prejudice the Commonwealth's legal position. Accordingly, governments have maintained a position of not disclosing the legal advice they rely on except in circumstances where there are special reasons for doing so. The drafting of legislation, including subordinate legislation, is routinely undertaken having regard to a range of constitutional and other legal considerations. In some cases, basic constitutional underpinnings will be evident in provisions that describe the objective scope of legislation.</w:t>
      </w:r>
    </w:p>
    <w:p w:rsidR="001946B4" w:rsidRPr="002718CE" w:rsidRDefault="001946B4" w:rsidP="001946B4">
      <w:pPr>
        <w:pStyle w:val="Quote"/>
      </w:pPr>
      <w:r w:rsidRPr="002718CE">
        <w:t>The items for Mathematics by Inquiry and Coding across the Curriculum in the Regulation are a case in point. As indicated in the explanatory statement accompanying the Regulation, the objective for each of these items references the external affairs power, the Commonwealth executive power and the express incidental power.</w:t>
      </w:r>
    </w:p>
    <w:p w:rsidR="001946B4" w:rsidRPr="002718CE" w:rsidRDefault="001946B4" w:rsidP="001946B4">
      <w:pPr>
        <w:pStyle w:val="Quote"/>
      </w:pPr>
      <w:r w:rsidRPr="002718CE">
        <w:t xml:space="preserve">The Government will continue to draft amendments for legislative authority under the section 32B mechanism in the </w:t>
      </w:r>
      <w:r w:rsidRPr="002718CE">
        <w:rPr>
          <w:i/>
        </w:rPr>
        <w:t xml:space="preserve">Financial Framework (Supplementary Powers) Act 1997 </w:t>
      </w:r>
      <w:r w:rsidRPr="002718CE">
        <w:t xml:space="preserve">having due regard to constitutional limits. Consistent with this approach to law-making more generally, the Government will continue to work on maximising clarity in its approach to drafting. </w:t>
      </w:r>
    </w:p>
    <w:p w:rsidR="001946B4" w:rsidRPr="002718CE" w:rsidRDefault="001946B4" w:rsidP="001946B4">
      <w:pPr>
        <w:pStyle w:val="Bullet1"/>
        <w:numPr>
          <w:ilvl w:val="0"/>
          <w:numId w:val="0"/>
        </w:numPr>
        <w:ind w:left="851" w:hanging="851"/>
        <w:rPr>
          <w:b/>
        </w:rPr>
      </w:pPr>
      <w:r w:rsidRPr="002718CE">
        <w:rPr>
          <w:b/>
        </w:rPr>
        <w:t>Committee's first response</w:t>
      </w:r>
    </w:p>
    <w:p w:rsidR="001946B4" w:rsidRPr="002718CE" w:rsidRDefault="001946B4" w:rsidP="001946B4">
      <w:pPr>
        <w:pStyle w:val="Bullet1"/>
        <w:numPr>
          <w:ilvl w:val="0"/>
          <w:numId w:val="0"/>
        </w:numPr>
        <w:ind w:left="851" w:hanging="851"/>
        <w:rPr>
          <w:b/>
          <w:i/>
        </w:rPr>
      </w:pPr>
      <w:r w:rsidRPr="002718CE">
        <w:rPr>
          <w:b/>
          <w:i/>
        </w:rPr>
        <w:t xml:space="preserve">The committee thanked the minister for his response. </w:t>
      </w:r>
    </w:p>
    <w:p w:rsidR="001946B4" w:rsidRPr="002718CE" w:rsidRDefault="001946B4" w:rsidP="001946B4">
      <w:pPr>
        <w:pStyle w:val="Bullet1"/>
        <w:numPr>
          <w:ilvl w:val="0"/>
          <w:numId w:val="0"/>
        </w:numPr>
        <w:tabs>
          <w:tab w:val="clear" w:pos="851"/>
          <w:tab w:val="left" w:pos="0"/>
        </w:tabs>
      </w:pPr>
      <w:r w:rsidRPr="002718CE">
        <w:t>However, the minister's response has not addressed the specific questions asked by the committee, namely:</w:t>
      </w:r>
    </w:p>
    <w:p w:rsidR="001946B4" w:rsidRPr="002718CE" w:rsidRDefault="001946B4" w:rsidP="001946B4">
      <w:pPr>
        <w:pStyle w:val="Bullet1"/>
        <w:tabs>
          <w:tab w:val="left" w:pos="0"/>
        </w:tabs>
        <w:spacing w:after="120"/>
      </w:pPr>
      <w:r w:rsidRPr="002718CE">
        <w:t>how the obligations under the Convention on the Rights of the Child and the International Covenant on Economic, Social and Cultural Rights are sufficiently specific to support the Mathematics by Inquiry and the Coding Across the Curriculum programs; and</w:t>
      </w:r>
    </w:p>
    <w:p w:rsidR="001946B4" w:rsidRPr="002718CE" w:rsidRDefault="001946B4" w:rsidP="001946B4">
      <w:pPr>
        <w:pStyle w:val="Bullet1"/>
        <w:tabs>
          <w:tab w:val="left" w:pos="0"/>
        </w:tabs>
        <w:spacing w:after="120"/>
        <w:rPr>
          <w:b/>
        </w:rPr>
      </w:pPr>
      <w:r w:rsidRPr="002718CE">
        <w:lastRenderedPageBreak/>
        <w:t>how the Mathematics by Inquiry and the Coding Across the Curriculum programs are supported by the executive nationhood power and the express incidental power to the extent that they are enterprises and activities peculiarly adapted to the government of a nation and which cannot otherwise be carried out for the benefit of the nation.</w:t>
      </w:r>
    </w:p>
    <w:p w:rsidR="001946B4" w:rsidRPr="002718CE" w:rsidRDefault="001946B4" w:rsidP="001946B4">
      <w:pPr>
        <w:pStyle w:val="Bullet1"/>
        <w:numPr>
          <w:ilvl w:val="0"/>
          <w:numId w:val="0"/>
        </w:numPr>
        <w:tabs>
          <w:tab w:val="left" w:pos="0"/>
        </w:tabs>
      </w:pPr>
      <w:r w:rsidRPr="002718CE">
        <w:t>First, the committee notes that these questions are asked of the minister in his capacity as the instrument-maker. In this respect, the committee seeks the minister's advice as to whether he regards the referenced constitutional powers as providing a basis for the making of the instrument.</w:t>
      </w:r>
    </w:p>
    <w:p w:rsidR="001946B4" w:rsidRPr="002718CE" w:rsidRDefault="001946B4" w:rsidP="001946B4">
      <w:pPr>
        <w:pStyle w:val="Bullet1"/>
        <w:numPr>
          <w:ilvl w:val="0"/>
          <w:numId w:val="0"/>
        </w:numPr>
        <w:tabs>
          <w:tab w:val="left" w:pos="0"/>
        </w:tabs>
        <w:rPr>
          <w:b/>
          <w:i/>
        </w:rPr>
      </w:pPr>
      <w:r w:rsidRPr="002718CE">
        <w:rPr>
          <w:b/>
          <w:i/>
        </w:rPr>
        <w:t>The committee therefore sought further advice from the minister in relation to this matter.</w:t>
      </w:r>
    </w:p>
    <w:p w:rsidR="001946B4" w:rsidRPr="002718CE" w:rsidRDefault="001946B4" w:rsidP="001946B4">
      <w:pPr>
        <w:pStyle w:val="Bullet1"/>
        <w:numPr>
          <w:ilvl w:val="0"/>
          <w:numId w:val="0"/>
        </w:numPr>
        <w:tabs>
          <w:tab w:val="clear" w:pos="851"/>
          <w:tab w:val="left" w:pos="0"/>
        </w:tabs>
      </w:pPr>
      <w:r w:rsidRPr="002718CE">
        <w:t>Second, the committee notes that the minister's response suggests that legal advice may have been obtained in relation to the constitutional support for the Mathematics by Inquiry and the Coding Across the Curriculum programs. The minister states:</w:t>
      </w:r>
    </w:p>
    <w:p w:rsidR="001946B4" w:rsidRPr="002718CE" w:rsidRDefault="001946B4" w:rsidP="001946B4">
      <w:pPr>
        <w:pStyle w:val="Quote"/>
      </w:pPr>
      <w:r w:rsidRPr="002718CE">
        <w:t>…successive governments have been careful to avoid action that might effectively waive legal privilege in advice and thereby potentially prejudice the Commonwealth's legal position. Accordingly, governments have maintained a position of not disclosing the legal advice they rely on except in circumstances where there are special reasons for doing so.</w:t>
      </w:r>
    </w:p>
    <w:p w:rsidR="001946B4" w:rsidRPr="002718CE" w:rsidRDefault="001946B4" w:rsidP="001946B4">
      <w:pPr>
        <w:pStyle w:val="Bullet1"/>
        <w:numPr>
          <w:ilvl w:val="0"/>
          <w:numId w:val="0"/>
        </w:numPr>
        <w:tabs>
          <w:tab w:val="clear" w:pos="851"/>
          <w:tab w:val="left" w:pos="0"/>
        </w:tabs>
      </w:pPr>
      <w:r w:rsidRPr="002718CE">
        <w:t>While the Senate has indicated some measure of acceptance of certain public interest immunity grounds for refusals to disclose information (in cases where a particular harm is identified), the committee does not understand the minister's response to be explicitly advancing a public interest immunity claim on a recognised ground in this case.</w:t>
      </w:r>
    </w:p>
    <w:p w:rsidR="001946B4" w:rsidRPr="002718CE" w:rsidRDefault="001946B4" w:rsidP="001946B4">
      <w:pPr>
        <w:pStyle w:val="Bullet1"/>
        <w:numPr>
          <w:ilvl w:val="0"/>
          <w:numId w:val="0"/>
        </w:numPr>
        <w:tabs>
          <w:tab w:val="clear" w:pos="851"/>
          <w:tab w:val="left" w:pos="0"/>
        </w:tabs>
      </w:pPr>
      <w:r w:rsidRPr="002718CE">
        <w:t>In relation to the stated position of governments not to disclose legal advice, the committee has noted previously that it is not aware of any general government policy or practice which prevents ministers or departments from providing information containing legal (or any other) advice to the Senate and its committees (absent a valid public interest immunity claim); and the Senate has consistently rejected refusals made simply on the basis that the requested information would disclose legal or other advice to government or a department.</w:t>
      </w:r>
      <w:r w:rsidRPr="002718CE">
        <w:rPr>
          <w:rStyle w:val="FootnoteReference"/>
        </w:rPr>
        <w:footnoteReference w:id="13"/>
      </w:r>
      <w:r w:rsidRPr="002718CE">
        <w:t xml:space="preserve"> To underline this point, the committee notes that it has been provided with legal advice on a number of occasions.</w:t>
      </w:r>
      <w:r w:rsidRPr="002718CE">
        <w:rPr>
          <w:rStyle w:val="FootnoteReference"/>
        </w:rPr>
        <w:footnoteReference w:id="14"/>
      </w:r>
    </w:p>
    <w:p w:rsidR="001946B4" w:rsidRDefault="001946B4" w:rsidP="001946B4">
      <w:pPr>
        <w:spacing w:after="0"/>
        <w:jc w:val="left"/>
        <w:rPr>
          <w:b/>
          <w:i/>
        </w:rPr>
      </w:pPr>
      <w:r>
        <w:rPr>
          <w:b/>
          <w:i/>
        </w:rPr>
        <w:br w:type="page"/>
      </w:r>
    </w:p>
    <w:p w:rsidR="001946B4" w:rsidRPr="002718CE" w:rsidRDefault="001946B4" w:rsidP="001946B4">
      <w:pPr>
        <w:pStyle w:val="Bullet1"/>
        <w:numPr>
          <w:ilvl w:val="0"/>
          <w:numId w:val="0"/>
        </w:numPr>
        <w:tabs>
          <w:tab w:val="clear" w:pos="851"/>
          <w:tab w:val="left" w:pos="0"/>
        </w:tabs>
        <w:rPr>
          <w:b/>
          <w:i/>
        </w:rPr>
      </w:pPr>
      <w:r w:rsidRPr="002718CE">
        <w:rPr>
          <w:b/>
          <w:i/>
        </w:rPr>
        <w:lastRenderedPageBreak/>
        <w:t>The committee therefore requested from the minister a copy of any legal advice obtained in relation to this matter, and particularly the question of whether the referenced constitutional powers support the inclusion of the programs in question in the regulation.</w:t>
      </w:r>
    </w:p>
    <w:p w:rsidR="001946B4" w:rsidRPr="002718CE" w:rsidRDefault="001946B4" w:rsidP="001946B4">
      <w:pPr>
        <w:rPr>
          <w:b/>
          <w:noProof/>
          <w:szCs w:val="26"/>
        </w:rPr>
      </w:pPr>
      <w:r w:rsidRPr="002718CE">
        <w:rPr>
          <w:b/>
          <w:noProof/>
          <w:szCs w:val="26"/>
        </w:rPr>
        <w:t>Minister's second response</w:t>
      </w:r>
    </w:p>
    <w:p w:rsidR="001946B4" w:rsidRPr="002718CE" w:rsidRDefault="001946B4" w:rsidP="001946B4">
      <w:pPr>
        <w:rPr>
          <w:noProof/>
        </w:rPr>
      </w:pPr>
      <w:r w:rsidRPr="002718CE">
        <w:rPr>
          <w:noProof/>
        </w:rPr>
        <w:t>The Minister for Finance advised that:</w:t>
      </w:r>
    </w:p>
    <w:p w:rsidR="001946B4" w:rsidRPr="002718CE" w:rsidRDefault="001946B4" w:rsidP="001946B4">
      <w:pPr>
        <w:pStyle w:val="Quote"/>
        <w:rPr>
          <w:noProof/>
        </w:rPr>
      </w:pPr>
      <w:r w:rsidRPr="002718CE">
        <w:rPr>
          <w:noProof/>
        </w:rPr>
        <w:t>The Government does not consider it would be appropriate to disclose the content of its legal advice. Disclosure of legal advice must always be carefully considered, including whether there is a risk that disclosure will prejudice the Commonwelalth's legal position.</w:t>
      </w:r>
    </w:p>
    <w:p w:rsidR="001946B4" w:rsidRPr="002718CE" w:rsidRDefault="001946B4" w:rsidP="001946B4">
      <w:pPr>
        <w:pStyle w:val="Quote"/>
        <w:rPr>
          <w:noProof/>
        </w:rPr>
      </w:pPr>
      <w:r w:rsidRPr="002718CE">
        <w:rPr>
          <w:noProof/>
        </w:rPr>
        <w:t>The formulation of programmes and the drafting of legislation often involved complex issues and is routinely undertaken having regard to a range of constitutional and other legal considerations. In relation to the items for the Mathematics by Inquiry and the Coding Across the Currciculum Programmes, legal advice was obtained and carefully considered, including Australia's international obligations under the Convention on the Rights of the Child, particularly Articles 28 and 29, and under the International Covenant on Economic, Social and Cultural Rights, particularly Article 13.</w:t>
      </w:r>
    </w:p>
    <w:p w:rsidR="001946B4" w:rsidRPr="002718CE" w:rsidRDefault="001946B4" w:rsidP="001946B4">
      <w:pPr>
        <w:rPr>
          <w:b/>
          <w:noProof/>
        </w:rPr>
      </w:pPr>
      <w:r w:rsidRPr="002718CE">
        <w:rPr>
          <w:b/>
          <w:noProof/>
        </w:rPr>
        <w:t>Committee's second response</w:t>
      </w:r>
    </w:p>
    <w:p w:rsidR="001946B4" w:rsidRPr="002718CE" w:rsidRDefault="001946B4" w:rsidP="001946B4">
      <w:pPr>
        <w:rPr>
          <w:b/>
          <w:noProof/>
        </w:rPr>
      </w:pPr>
      <w:r w:rsidRPr="002718CE">
        <w:rPr>
          <w:b/>
          <w:noProof/>
        </w:rPr>
        <w:t xml:space="preserve">The committee thanks the minister for his response. </w:t>
      </w:r>
    </w:p>
    <w:p w:rsidR="001946B4" w:rsidRPr="002718CE" w:rsidRDefault="001946B4" w:rsidP="001946B4">
      <w:pPr>
        <w:pStyle w:val="Bullet1"/>
        <w:numPr>
          <w:ilvl w:val="0"/>
          <w:numId w:val="0"/>
        </w:numPr>
        <w:tabs>
          <w:tab w:val="clear" w:pos="851"/>
          <w:tab w:val="left" w:pos="0"/>
        </w:tabs>
      </w:pPr>
      <w:r w:rsidRPr="002718CE">
        <w:t>However, scrutiny principle (a) of the committee's terms of reference requires the committee to ensure that the exercise of the Parliament's delegated legislative powers is done in accordance with the law, including the Constitution of Australia.</w:t>
      </w:r>
    </w:p>
    <w:p w:rsidR="001946B4" w:rsidRPr="002718CE" w:rsidRDefault="001946B4" w:rsidP="001946B4">
      <w:pPr>
        <w:pStyle w:val="Bullet1"/>
        <w:numPr>
          <w:ilvl w:val="0"/>
          <w:numId w:val="0"/>
        </w:numPr>
        <w:tabs>
          <w:tab w:val="clear" w:pos="851"/>
          <w:tab w:val="left" w:pos="0"/>
        </w:tabs>
      </w:pPr>
      <w:r w:rsidRPr="002718CE">
        <w:t>In this regard, the committee's request to the minister effectively sought an explicit and positive assurance that, in exercising the Parliament's delegated powers in the making of the regulation, the minster was satisfied that there was sufficient constitutional authority for the exercise of that power. The committee sought that assurance in the context of specific questions pertaining to the character of the powers referenced in the ES for the regulation, being the external affairs power and the executive nationhood power and the express incidental power.</w:t>
      </w:r>
    </w:p>
    <w:p w:rsidR="001946B4" w:rsidRPr="002718CE" w:rsidRDefault="001946B4" w:rsidP="001946B4">
      <w:pPr>
        <w:pStyle w:val="Bullet1"/>
        <w:numPr>
          <w:ilvl w:val="0"/>
          <w:numId w:val="0"/>
        </w:numPr>
        <w:tabs>
          <w:tab w:val="clear" w:pos="851"/>
          <w:tab w:val="left" w:pos="0"/>
        </w:tabs>
      </w:pPr>
      <w:r w:rsidRPr="002718CE">
        <w:t xml:space="preserve">First, while the minister's response advises that legal advice was obtained in relation to articles 28 and 29 of the </w:t>
      </w:r>
      <w:r w:rsidRPr="002718CE">
        <w:rPr>
          <w:noProof/>
        </w:rPr>
        <w:t xml:space="preserve">Convention on the Rights of the Child and article 13 of the International Covenant on Economic, Social and Cultural Rights, the minister does not address the question of how the articles cited </w:t>
      </w:r>
      <w:r w:rsidRPr="002718CE">
        <w:t>are sufficiently specific to support the Mathematics by Inquiry and the Coding Across the Curriculum programs.</w:t>
      </w:r>
    </w:p>
    <w:p w:rsidR="001946B4" w:rsidRPr="002718CE" w:rsidRDefault="001946B4" w:rsidP="001946B4">
      <w:pPr>
        <w:pStyle w:val="Bullet1"/>
        <w:numPr>
          <w:ilvl w:val="0"/>
          <w:numId w:val="0"/>
        </w:numPr>
        <w:tabs>
          <w:tab w:val="clear" w:pos="851"/>
          <w:tab w:val="left" w:pos="0"/>
        </w:tabs>
      </w:pPr>
      <w:r w:rsidRPr="002718CE">
        <w:t xml:space="preserve">Second, the minster has not addressed the question of how the Mathematics by Inquiry and the Coding Across the Curriculum programs are supported by the executive nationhood power and the express incidental power to the extent that they are </w:t>
      </w:r>
      <w:r w:rsidRPr="002718CE">
        <w:lastRenderedPageBreak/>
        <w:t>enterprises and activities peculiarly adapted to the government of a nation and which cannot otherwise be carried out for the benefit of the nation.</w:t>
      </w:r>
    </w:p>
    <w:p w:rsidR="001946B4" w:rsidRPr="002718CE" w:rsidRDefault="001946B4" w:rsidP="001946B4">
      <w:pPr>
        <w:rPr>
          <w:b/>
        </w:rPr>
      </w:pPr>
      <w:r w:rsidRPr="002718CE">
        <w:rPr>
          <w:b/>
        </w:rPr>
        <w:t>In light of the above comments, the committee therefore seeks the minister's further advice as to:</w:t>
      </w:r>
    </w:p>
    <w:p w:rsidR="001946B4" w:rsidRPr="002718CE" w:rsidRDefault="001946B4" w:rsidP="001946B4">
      <w:pPr>
        <w:pStyle w:val="Bullet1"/>
        <w:tabs>
          <w:tab w:val="left" w:pos="0"/>
        </w:tabs>
        <w:rPr>
          <w:b/>
        </w:rPr>
      </w:pPr>
      <w:r w:rsidRPr="002718CE">
        <w:rPr>
          <w:b/>
        </w:rPr>
        <w:t>how the obligations under the Convention on the Rights of the Child and the International Covenant on Economic, Social and Cultural Rights are sufficiently specific to support the Mathematics by Inquiry and the Coding Across the Curriculum programs; and</w:t>
      </w:r>
    </w:p>
    <w:p w:rsidR="001946B4" w:rsidRPr="002718CE" w:rsidRDefault="001946B4" w:rsidP="001946B4">
      <w:pPr>
        <w:pStyle w:val="Bullet1"/>
        <w:numPr>
          <w:ilvl w:val="0"/>
          <w:numId w:val="0"/>
        </w:numPr>
        <w:tabs>
          <w:tab w:val="left" w:pos="0"/>
        </w:tabs>
        <w:ind w:left="720" w:hanging="720"/>
        <w:rPr>
          <w:b/>
        </w:rPr>
      </w:pPr>
      <w:r w:rsidRPr="002718CE">
        <w:rPr>
          <w:b/>
        </w:rPr>
        <w:t>•</w:t>
      </w:r>
      <w:r w:rsidRPr="002718CE">
        <w:rPr>
          <w:b/>
        </w:rPr>
        <w:tab/>
        <w:t>how the Mathematics by Inquiry and the Coding Across the Curriculum programs are supported by the executive nationhood power and the express incidental power to the extent that they are enterprises and activities peculiarly adapted to the government of a nation and which cannot otherwise be carried out for the benefit of the nation.</w:t>
      </w:r>
    </w:p>
    <w:p w:rsidR="001946B4" w:rsidRPr="002718CE" w:rsidRDefault="001946B4" w:rsidP="001946B4">
      <w:pPr>
        <w:pStyle w:val="Bullet1"/>
        <w:numPr>
          <w:ilvl w:val="0"/>
          <w:numId w:val="0"/>
        </w:numPr>
        <w:tabs>
          <w:tab w:val="clear" w:pos="851"/>
          <w:tab w:val="left" w:pos="0"/>
        </w:tabs>
      </w:pPr>
      <w:r w:rsidRPr="002718CE">
        <w:t>In addition, the committee notes the minister's refusal to provide the committee with the legal advice obtained in relation to the Mathematics by Inquiry and the Coding Across the Curriculum programs:</w:t>
      </w:r>
    </w:p>
    <w:p w:rsidR="001946B4" w:rsidRPr="002718CE" w:rsidRDefault="001946B4" w:rsidP="001946B4">
      <w:pPr>
        <w:pStyle w:val="Quote"/>
      </w:pPr>
      <w:r w:rsidRPr="002718CE">
        <w:t>The Government does not consider it would be appropriate to disclose the content of its legal advice. Disclosure of legal advice must always be carefully considered, including whether there is a risk that disclosure will prejudice the Commonwealth's legal position.</w:t>
      </w:r>
    </w:p>
    <w:p w:rsidR="001946B4" w:rsidRPr="002718CE" w:rsidRDefault="001946B4" w:rsidP="001946B4">
      <w:pPr>
        <w:pStyle w:val="Bullet1"/>
        <w:numPr>
          <w:ilvl w:val="0"/>
          <w:numId w:val="0"/>
        </w:numPr>
        <w:tabs>
          <w:tab w:val="clear" w:pos="851"/>
          <w:tab w:val="left" w:pos="0"/>
        </w:tabs>
      </w:pPr>
      <w:r w:rsidRPr="002718CE">
        <w:t>The committee notes that the Senate has indicated some measure of acceptance of certain public interest immunity grounds for refusals to disclose information (in cases where a particular harm is clearly identified). However, it is important to note that the Senate's requirements and the process for the making of public interest immunity claims (as set out in an Order of the Senate of 13 May 2009 ('Public interest immunity claims'))</w:t>
      </w:r>
      <w:r w:rsidRPr="002718CE">
        <w:rPr>
          <w:rStyle w:val="FootnoteReference"/>
        </w:rPr>
        <w:footnoteReference w:id="15"/>
      </w:r>
      <w:r w:rsidRPr="002718CE">
        <w:t xml:space="preserve"> do not specify recognised grounds for making such claims. This is because whether any of the grounds are justified in a particular case depends on the circumstances of that case.</w:t>
      </w:r>
      <w:r w:rsidRPr="002718CE">
        <w:rPr>
          <w:rStyle w:val="FootnoteReference"/>
        </w:rPr>
        <w:footnoteReference w:id="16"/>
      </w:r>
    </w:p>
    <w:p w:rsidR="001946B4" w:rsidRPr="002718CE" w:rsidRDefault="001946B4" w:rsidP="001946B4">
      <w:r w:rsidRPr="002718CE">
        <w:t>The committee notes that the minister's response does not advance a public interest immunity claim that addresses the requirements of the Order of the Senate of 13 May 2009 ('Public interest immunity claims'), particularly in relation to (a) the need to specify the harm to the public interest that could result from the disclosure of the information or document and (b) the need to indicate whether any specified harm to the public interest from the disclosure of the information or document could result equally or in part from the disclosure of the information or document to the committee as in camera evidence.</w:t>
      </w:r>
    </w:p>
    <w:p w:rsidR="001946B4" w:rsidRPr="002718CE" w:rsidRDefault="001946B4" w:rsidP="001946B4">
      <w:pPr>
        <w:pStyle w:val="Bullet1"/>
        <w:numPr>
          <w:ilvl w:val="0"/>
          <w:numId w:val="0"/>
        </w:numPr>
        <w:tabs>
          <w:tab w:val="left" w:pos="0"/>
        </w:tabs>
      </w:pPr>
      <w:r w:rsidRPr="002718CE">
        <w:rPr>
          <w:b/>
        </w:rPr>
        <w:lastRenderedPageBreak/>
        <w:t xml:space="preserve">The committee therefore </w:t>
      </w:r>
      <w:r>
        <w:rPr>
          <w:b/>
        </w:rPr>
        <w:t xml:space="preserve">reiterates its </w:t>
      </w:r>
      <w:r w:rsidRPr="002718CE">
        <w:rPr>
          <w:b/>
        </w:rPr>
        <w:t xml:space="preserve">request </w:t>
      </w:r>
      <w:r>
        <w:rPr>
          <w:b/>
        </w:rPr>
        <w:t xml:space="preserve">to </w:t>
      </w:r>
      <w:r w:rsidRPr="002718CE">
        <w:rPr>
          <w:b/>
        </w:rPr>
        <w:t xml:space="preserve">the minister </w:t>
      </w:r>
      <w:r>
        <w:rPr>
          <w:b/>
        </w:rPr>
        <w:t xml:space="preserve">for </w:t>
      </w:r>
      <w:r w:rsidRPr="002718CE">
        <w:rPr>
          <w:b/>
        </w:rPr>
        <w:t>a copy of the legal advice obtained in relation to this matter, and particularly the question of whether the referenced constitutional powers support the inclusion of the programs in question in the regulation.</w:t>
      </w:r>
    </w:p>
    <w:p w:rsidR="001946B4" w:rsidRPr="002718CE" w:rsidRDefault="001946B4" w:rsidP="001946B4">
      <w:pPr>
        <w:pStyle w:val="REC"/>
      </w:pPr>
    </w:p>
    <w:p w:rsidR="001946B4" w:rsidRPr="00647493" w:rsidRDefault="001946B4" w:rsidP="001946B4">
      <w:pPr>
        <w:pStyle w:val="Heading2"/>
        <w:spacing w:before="240"/>
        <w:rPr>
          <w:sz w:val="32"/>
          <w:szCs w:val="32"/>
        </w:rPr>
      </w:pPr>
      <w:r>
        <w:rPr>
          <w:sz w:val="32"/>
          <w:szCs w:val="32"/>
        </w:rPr>
        <w:t xml:space="preserve">Advice </w:t>
      </w:r>
      <w:r w:rsidRPr="00647493">
        <w:rPr>
          <w:sz w:val="32"/>
          <w:szCs w:val="32"/>
        </w:rPr>
        <w:t>only</w:t>
      </w:r>
    </w:p>
    <w:p w:rsidR="001946B4" w:rsidRDefault="001946B4" w:rsidP="001946B4">
      <w:pPr>
        <w:pStyle w:val="Level1"/>
        <w:numPr>
          <w:ilvl w:val="0"/>
          <w:numId w:val="0"/>
        </w:num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p w:rsidR="001946B4" w:rsidRDefault="001946B4" w:rsidP="001946B4">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1946B4" w:rsidRPr="00741739" w:rsidRDefault="001946B4" w:rsidP="001946B4">
            <w:pPr>
              <w:pStyle w:val="Heading3"/>
              <w:spacing w:before="120" w:after="120"/>
              <w:rPr>
                <w:rFonts w:ascii="Times New (W1)" w:hAnsi="Times New (W1)"/>
                <w:noProof/>
                <w:sz w:val="24"/>
                <w:szCs w:val="24"/>
              </w:rPr>
            </w:pPr>
            <w:r w:rsidRPr="00741739">
              <w:rPr>
                <w:rFonts w:ascii="Times New (W1)" w:hAnsi="Times New (W1)"/>
                <w:noProof/>
                <w:sz w:val="24"/>
                <w:szCs w:val="24"/>
              </w:rPr>
              <w:t>Veterans' Children Education Scheme [F2015L01280]</w:t>
            </w:r>
          </w:p>
          <w:p w:rsidR="001946B4" w:rsidRPr="00BA36F8" w:rsidRDefault="001946B4" w:rsidP="001946B4">
            <w:pPr>
              <w:pStyle w:val="Heading3"/>
              <w:rPr>
                <w:sz w:val="24"/>
                <w:szCs w:val="24"/>
              </w:rPr>
            </w:pPr>
            <w:r w:rsidRPr="00741739">
              <w:rPr>
                <w:rFonts w:ascii="Times New (W1)" w:hAnsi="Times New (W1)"/>
                <w:noProof/>
                <w:sz w:val="24"/>
                <w:szCs w:val="24"/>
              </w:rPr>
              <w:t>Military Rehabilitation and Compensation Act Education and Training Scheme 2004 [F2015L01281]</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Sets out the education allowances and other related benefits available to the children of specified veterans or members of the Defence Force</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9 November 2015</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spacing w:before="120" w:after="120"/>
              <w:rPr>
                <w:i/>
                <w:sz w:val="24"/>
                <w:szCs w:val="24"/>
              </w:rPr>
            </w:pPr>
            <w:r w:rsidRPr="00741739">
              <w:rPr>
                <w:i/>
                <w:noProof/>
                <w:sz w:val="24"/>
                <w:szCs w:val="24"/>
              </w:rPr>
              <w:t>Veterans' Entitlements Act 1986</w:t>
            </w:r>
            <w:r w:rsidRPr="0023388A">
              <w:rPr>
                <w:noProof/>
                <w:sz w:val="24"/>
                <w:szCs w:val="24"/>
              </w:rPr>
              <w:t>;</w:t>
            </w:r>
            <w:r w:rsidRPr="00741739">
              <w:rPr>
                <w:i/>
                <w:noProof/>
                <w:sz w:val="24"/>
                <w:szCs w:val="24"/>
              </w:rPr>
              <w:t xml:space="preserve"> Military Rehabilitation and Compensation Act 2004</w:t>
            </w:r>
          </w:p>
        </w:tc>
      </w:tr>
      <w:tr w:rsidR="001946B4" w:rsidRPr="00164622" w:rsidTr="001946B4">
        <w:tc>
          <w:tcPr>
            <w:tcW w:w="2694" w:type="dxa"/>
            <w:tcBorders>
              <w:right w:val="single" w:sz="12" w:space="0" w:color="auto"/>
            </w:tcBorders>
          </w:tcPr>
          <w:p w:rsidR="001946B4" w:rsidRPr="00A77228" w:rsidRDefault="001946B4" w:rsidP="001946B4">
            <w:pPr>
              <w:spacing w:before="120" w:after="120"/>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spacing w:before="120" w:after="120"/>
              <w:rPr>
                <w:sz w:val="24"/>
                <w:szCs w:val="24"/>
              </w:rPr>
            </w:pPr>
            <w:r w:rsidRPr="00741739">
              <w:rPr>
                <w:noProof/>
                <w:sz w:val="24"/>
                <w:szCs w:val="24"/>
              </w:rPr>
              <w:t>Veterans' Affairs</w:t>
            </w:r>
          </w:p>
        </w:tc>
      </w:tr>
      <w:tr w:rsidR="001946B4" w:rsidRPr="00164622" w:rsidTr="001946B4">
        <w:tc>
          <w:tcPr>
            <w:tcW w:w="2694" w:type="dxa"/>
            <w:tcBorders>
              <w:bottom w:val="single" w:sz="12" w:space="0" w:color="auto"/>
              <w:right w:val="single" w:sz="12" w:space="0" w:color="auto"/>
            </w:tcBorders>
          </w:tcPr>
          <w:p w:rsidR="001946B4" w:rsidRPr="00A77228" w:rsidRDefault="001946B4" w:rsidP="001946B4">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1946B4" w:rsidRPr="00A77228" w:rsidRDefault="001946B4" w:rsidP="001946B4">
            <w:pPr>
              <w:spacing w:before="120" w:after="120"/>
              <w:rPr>
                <w:sz w:val="24"/>
                <w:szCs w:val="24"/>
              </w:rPr>
            </w:pPr>
            <w:r>
              <w:rPr>
                <w:sz w:val="24"/>
                <w:szCs w:val="24"/>
              </w:rPr>
              <w:t>Standing Order 23(3)</w:t>
            </w:r>
            <w:r w:rsidRPr="00741739">
              <w:rPr>
                <w:noProof/>
                <w:sz w:val="24"/>
                <w:szCs w:val="24"/>
              </w:rPr>
              <w:t>(a)</w:t>
            </w:r>
          </w:p>
        </w:tc>
      </w:tr>
    </w:tbl>
    <w:p w:rsidR="001946B4" w:rsidRDefault="001946B4" w:rsidP="001946B4">
      <w:pPr>
        <w:spacing w:after="120"/>
      </w:pPr>
    </w:p>
    <w:p w:rsidR="001946B4" w:rsidRDefault="001946B4" w:rsidP="001946B4">
      <w:pPr>
        <w:rPr>
          <w:b/>
        </w:rPr>
      </w:pPr>
      <w:r w:rsidRPr="00741739">
        <w:rPr>
          <w:b/>
          <w:noProof/>
        </w:rPr>
        <w:t>Drafting</w:t>
      </w:r>
    </w:p>
    <w:p w:rsidR="001946B4" w:rsidRDefault="001946B4" w:rsidP="001946B4">
      <w:pPr>
        <w:pStyle w:val="Level1"/>
        <w:numPr>
          <w:ilvl w:val="0"/>
          <w:numId w:val="0"/>
        </w:numPr>
      </w:pPr>
      <w:r w:rsidRPr="00C34135">
        <w:t>Sections 7.3.1, 7.4.6, 7.5.6 and 7.5.7 of the</w:t>
      </w:r>
      <w:r>
        <w:t xml:space="preserve"> </w:t>
      </w:r>
      <w:r w:rsidRPr="00C34135">
        <w:t>Veterans' Children Education Scheme [F2015L01280]</w:t>
      </w:r>
      <w:r>
        <w:t xml:space="preserve">; </w:t>
      </w:r>
      <w:r w:rsidRPr="00C34135">
        <w:t xml:space="preserve">and sections 7.2.6, 7.3.6 and 7.3.7 of the </w:t>
      </w:r>
      <w:r w:rsidRPr="00233CA4">
        <w:t>Military Rehabilitation and Compensation Act Education and Training Scheme 2004 [F2015L01281]</w:t>
      </w:r>
      <w:r>
        <w:t xml:space="preserve"> include a note which states:</w:t>
      </w:r>
    </w:p>
    <w:p w:rsidR="001946B4" w:rsidRDefault="001946B4" w:rsidP="001946B4">
      <w:pPr>
        <w:pStyle w:val="Quote"/>
      </w:pPr>
      <w:r>
        <w:t xml:space="preserve">The </w:t>
      </w:r>
      <w:r>
        <w:rPr>
          <w:i/>
        </w:rPr>
        <w:t xml:space="preserve">Acts Interpretation Act 1901 </w:t>
      </w:r>
      <w:r>
        <w:t>defines Calendar year (s.22)</w:t>
      </w:r>
    </w:p>
    <w:p w:rsidR="001946B4" w:rsidRDefault="001946B4" w:rsidP="001946B4">
      <w:pPr>
        <w:pStyle w:val="Level1"/>
        <w:numPr>
          <w:ilvl w:val="0"/>
          <w:numId w:val="0"/>
        </w:numPr>
      </w:pPr>
      <w:r>
        <w:t>The committee notes that the definition of calendar year is contained in section 2B (not section 22) of</w:t>
      </w:r>
      <w:r w:rsidRPr="00C34135">
        <w:t xml:space="preserve"> </w:t>
      </w:r>
      <w:r w:rsidRPr="00233CA4">
        <w:rPr>
          <w:i/>
        </w:rPr>
        <w:t>Acts Interpretation Act 1901</w:t>
      </w:r>
      <w:r w:rsidRPr="00C34135">
        <w:t>.</w:t>
      </w:r>
    </w:p>
    <w:p w:rsidR="001946B4" w:rsidRDefault="001946B4" w:rsidP="001946B4">
      <w:pPr>
        <w:pStyle w:val="Level1"/>
        <w:numPr>
          <w:ilvl w:val="0"/>
          <w:numId w:val="0"/>
        </w:numPr>
        <w:rPr>
          <w:b/>
        </w:rPr>
      </w:pPr>
      <w:r w:rsidRPr="00233CA4">
        <w:rPr>
          <w:b/>
        </w:rPr>
        <w:t>The committee draws this matter to the minister's attention.</w:t>
      </w:r>
    </w:p>
    <w:p w:rsidR="001946B4" w:rsidRDefault="001946B4" w:rsidP="001946B4">
      <w:pPr>
        <w:spacing w:after="0"/>
        <w:jc w:val="left"/>
        <w:rPr>
          <w:b/>
        </w:rPr>
      </w:pPr>
      <w:r>
        <w:rPr>
          <w:b/>
        </w:rPr>
        <w:br w:type="page"/>
      </w:r>
    </w:p>
    <w:p w:rsidR="001946B4" w:rsidRDefault="001946B4" w:rsidP="001946B4">
      <w:pPr>
        <w:pStyle w:val="Heading3"/>
        <w:rPr>
          <w:i/>
        </w:rPr>
      </w:pPr>
      <w:r w:rsidRPr="00075F16">
        <w:lastRenderedPageBreak/>
        <w:t xml:space="preserve">Multiple instruments </w:t>
      </w:r>
      <w:r w:rsidRPr="00E35D4F">
        <w:t xml:space="preserve">that appear to rely on subsection 33(3) of the </w:t>
      </w:r>
      <w:r w:rsidRPr="00D66E0A">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1946B4" w:rsidRPr="002C1F31" w:rsidTr="001946B4">
        <w:tc>
          <w:tcPr>
            <w:tcW w:w="2694" w:type="dxa"/>
            <w:tcBorders>
              <w:top w:val="single" w:sz="12" w:space="0" w:color="auto"/>
              <w:left w:val="nil"/>
              <w:bottom w:val="nil"/>
              <w:right w:val="single" w:sz="12" w:space="0" w:color="auto"/>
            </w:tcBorders>
          </w:tcPr>
          <w:p w:rsidR="001946B4" w:rsidRPr="002C1F31" w:rsidRDefault="001946B4" w:rsidP="001946B4">
            <w:pPr>
              <w:spacing w:before="240" w:after="12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1946B4" w:rsidRPr="002C1F31" w:rsidRDefault="001946B4" w:rsidP="001946B4">
            <w:pPr>
              <w:tabs>
                <w:tab w:val="left" w:pos="1304"/>
              </w:tabs>
              <w:spacing w:before="240" w:after="120"/>
              <w:rPr>
                <w:sz w:val="22"/>
                <w:szCs w:val="22"/>
              </w:rPr>
            </w:pPr>
            <w:r w:rsidRPr="007D3D6D">
              <w:rPr>
                <w:sz w:val="22"/>
                <w:szCs w:val="22"/>
              </w:rPr>
              <w:t>ASIC Corporations (Amendment and Repeal) Instrument 2015/542 [F2015L01309]</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rPr>
                <w:sz w:val="22"/>
                <w:szCs w:val="22"/>
              </w:rPr>
            </w:pPr>
          </w:p>
        </w:tc>
        <w:tc>
          <w:tcPr>
            <w:tcW w:w="6378" w:type="dxa"/>
            <w:tcBorders>
              <w:top w:val="nil"/>
              <w:left w:val="single" w:sz="12" w:space="0" w:color="auto"/>
              <w:bottom w:val="nil"/>
              <w:right w:val="nil"/>
            </w:tcBorders>
          </w:tcPr>
          <w:p w:rsidR="001946B4" w:rsidRPr="00376FB0" w:rsidRDefault="001946B4" w:rsidP="001946B4">
            <w:pPr>
              <w:spacing w:before="240" w:after="120"/>
              <w:rPr>
                <w:sz w:val="22"/>
                <w:szCs w:val="22"/>
              </w:rPr>
            </w:pPr>
            <w:r w:rsidRPr="007D3D6D">
              <w:rPr>
                <w:sz w:val="22"/>
                <w:szCs w:val="22"/>
              </w:rPr>
              <w:t>Asset-test Exempt Income Stream (Lifetime Income Stream Guidelines) Determination 2015 [F2015L01279]</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rPr>
                <w:sz w:val="22"/>
                <w:szCs w:val="22"/>
              </w:rPr>
            </w:pPr>
          </w:p>
        </w:tc>
        <w:tc>
          <w:tcPr>
            <w:tcW w:w="6378" w:type="dxa"/>
            <w:tcBorders>
              <w:top w:val="nil"/>
              <w:left w:val="single" w:sz="12" w:space="0" w:color="auto"/>
              <w:bottom w:val="nil"/>
              <w:right w:val="nil"/>
            </w:tcBorders>
          </w:tcPr>
          <w:p w:rsidR="001946B4" w:rsidRPr="00376FB0" w:rsidRDefault="001946B4" w:rsidP="001946B4">
            <w:pPr>
              <w:spacing w:before="240" w:after="120"/>
              <w:rPr>
                <w:sz w:val="22"/>
                <w:szCs w:val="22"/>
              </w:rPr>
            </w:pPr>
            <w:r w:rsidRPr="007D3D6D">
              <w:rPr>
                <w:sz w:val="22"/>
                <w:szCs w:val="22"/>
              </w:rPr>
              <w:t>Family Assistance (Public Interest Certificate Guidelines) Determination 2015 [F2015L01269]</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after="120"/>
              <w:rPr>
                <w:sz w:val="22"/>
                <w:szCs w:val="22"/>
              </w:rPr>
            </w:pPr>
          </w:p>
        </w:tc>
        <w:tc>
          <w:tcPr>
            <w:tcW w:w="6378" w:type="dxa"/>
            <w:tcBorders>
              <w:top w:val="nil"/>
              <w:left w:val="single" w:sz="12" w:space="0" w:color="auto"/>
              <w:bottom w:val="nil"/>
              <w:right w:val="nil"/>
            </w:tcBorders>
          </w:tcPr>
          <w:p w:rsidR="001946B4" w:rsidRPr="00376FB0" w:rsidRDefault="001946B4" w:rsidP="001946B4">
            <w:pPr>
              <w:spacing w:before="120" w:after="120"/>
              <w:rPr>
                <w:sz w:val="22"/>
                <w:szCs w:val="22"/>
                <w:highlight w:val="yellow"/>
              </w:rPr>
            </w:pPr>
            <w:r w:rsidRPr="00376FB0">
              <w:rPr>
                <w:sz w:val="22"/>
                <w:szCs w:val="22"/>
              </w:rPr>
              <w:t>National Disability Insurance Scheme (Timeframes for Decision Making) Amendment Rules 2015 [F2015L01240]</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after="120"/>
              <w:rPr>
                <w:sz w:val="22"/>
                <w:szCs w:val="22"/>
              </w:rPr>
            </w:pPr>
          </w:p>
        </w:tc>
        <w:tc>
          <w:tcPr>
            <w:tcW w:w="6378" w:type="dxa"/>
            <w:tcBorders>
              <w:top w:val="nil"/>
              <w:left w:val="single" w:sz="12" w:space="0" w:color="auto"/>
              <w:bottom w:val="nil"/>
              <w:right w:val="nil"/>
            </w:tcBorders>
          </w:tcPr>
          <w:p w:rsidR="001946B4" w:rsidRPr="002C1F31" w:rsidRDefault="001946B4" w:rsidP="001946B4">
            <w:pPr>
              <w:spacing w:before="120" w:after="120"/>
              <w:rPr>
                <w:sz w:val="22"/>
                <w:szCs w:val="22"/>
              </w:rPr>
            </w:pPr>
            <w:r w:rsidRPr="00376FB0">
              <w:rPr>
                <w:sz w:val="22"/>
                <w:szCs w:val="22"/>
              </w:rPr>
              <w:t>Paid Parental Leave Amendment Rules 2015 [F2015L01266]</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after="120"/>
              <w:rPr>
                <w:sz w:val="22"/>
                <w:szCs w:val="22"/>
              </w:rPr>
            </w:pPr>
          </w:p>
        </w:tc>
        <w:tc>
          <w:tcPr>
            <w:tcW w:w="6378" w:type="dxa"/>
            <w:tcBorders>
              <w:top w:val="nil"/>
              <w:left w:val="single" w:sz="12" w:space="0" w:color="auto"/>
              <w:bottom w:val="nil"/>
              <w:right w:val="nil"/>
            </w:tcBorders>
          </w:tcPr>
          <w:p w:rsidR="001946B4" w:rsidRPr="00376FB0" w:rsidRDefault="001946B4" w:rsidP="001946B4">
            <w:pPr>
              <w:spacing w:before="120" w:after="120"/>
              <w:rPr>
                <w:sz w:val="22"/>
                <w:szCs w:val="22"/>
              </w:rPr>
            </w:pPr>
            <w:r w:rsidRPr="007D3D6D">
              <w:rPr>
                <w:sz w:val="22"/>
                <w:szCs w:val="22"/>
              </w:rPr>
              <w:t>Private Health Insurance (Prostheses) Rules 2015 (No. 2) [F2015L01310]</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after="120"/>
              <w:rPr>
                <w:sz w:val="22"/>
                <w:szCs w:val="22"/>
              </w:rPr>
            </w:pPr>
          </w:p>
        </w:tc>
        <w:tc>
          <w:tcPr>
            <w:tcW w:w="6378" w:type="dxa"/>
            <w:tcBorders>
              <w:top w:val="nil"/>
              <w:left w:val="single" w:sz="12" w:space="0" w:color="auto"/>
              <w:bottom w:val="nil"/>
              <w:right w:val="nil"/>
            </w:tcBorders>
          </w:tcPr>
          <w:p w:rsidR="001946B4" w:rsidRPr="00376FB0" w:rsidRDefault="001946B4" w:rsidP="001946B4">
            <w:pPr>
              <w:spacing w:before="120" w:after="120"/>
              <w:rPr>
                <w:sz w:val="22"/>
                <w:szCs w:val="22"/>
              </w:rPr>
            </w:pPr>
            <w:r w:rsidRPr="007D3D6D">
              <w:rPr>
                <w:sz w:val="22"/>
                <w:szCs w:val="22"/>
              </w:rPr>
              <w:t>Remuneration Tribunal Determination 2015/11 - Official Travel by Office Holders [F2015L01293]</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after="120"/>
              <w:rPr>
                <w:sz w:val="22"/>
                <w:szCs w:val="22"/>
              </w:rPr>
            </w:pPr>
          </w:p>
        </w:tc>
        <w:tc>
          <w:tcPr>
            <w:tcW w:w="6378" w:type="dxa"/>
            <w:tcBorders>
              <w:top w:val="nil"/>
              <w:left w:val="single" w:sz="12" w:space="0" w:color="auto"/>
              <w:bottom w:val="nil"/>
              <w:right w:val="nil"/>
            </w:tcBorders>
          </w:tcPr>
          <w:p w:rsidR="001946B4" w:rsidRPr="00376FB0" w:rsidRDefault="001946B4" w:rsidP="001946B4">
            <w:pPr>
              <w:spacing w:before="120" w:after="120"/>
              <w:rPr>
                <w:sz w:val="22"/>
                <w:szCs w:val="22"/>
              </w:rPr>
            </w:pPr>
            <w:r w:rsidRPr="007D3D6D">
              <w:rPr>
                <w:sz w:val="22"/>
                <w:szCs w:val="22"/>
              </w:rPr>
              <w:t>Remuneration Tribunal Determination 2015/13 - Remuneration and Allowances for Holders of Public Office and Judicial and Related Offices [F2015L01295]</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after="120"/>
              <w:rPr>
                <w:sz w:val="22"/>
                <w:szCs w:val="22"/>
              </w:rPr>
            </w:pPr>
          </w:p>
        </w:tc>
        <w:tc>
          <w:tcPr>
            <w:tcW w:w="6378" w:type="dxa"/>
            <w:tcBorders>
              <w:top w:val="nil"/>
              <w:left w:val="single" w:sz="12" w:space="0" w:color="auto"/>
              <w:bottom w:val="nil"/>
              <w:right w:val="nil"/>
            </w:tcBorders>
          </w:tcPr>
          <w:p w:rsidR="001946B4" w:rsidRPr="002C1F31" w:rsidRDefault="001946B4" w:rsidP="001946B4">
            <w:pPr>
              <w:spacing w:before="120"/>
              <w:rPr>
                <w:sz w:val="22"/>
                <w:szCs w:val="22"/>
              </w:rPr>
            </w:pPr>
            <w:r w:rsidRPr="00376FB0">
              <w:rPr>
                <w:sz w:val="22"/>
                <w:szCs w:val="22"/>
              </w:rPr>
              <w:t>Social Security (Public Interest Certificate Guidelines) (DSS) Determination 2015 [F2015L01267]</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rPr>
                <w:sz w:val="22"/>
                <w:szCs w:val="22"/>
              </w:rPr>
            </w:pPr>
          </w:p>
        </w:tc>
        <w:tc>
          <w:tcPr>
            <w:tcW w:w="6378" w:type="dxa"/>
            <w:tcBorders>
              <w:top w:val="nil"/>
              <w:left w:val="single" w:sz="12" w:space="0" w:color="auto"/>
              <w:bottom w:val="nil"/>
              <w:right w:val="nil"/>
            </w:tcBorders>
          </w:tcPr>
          <w:p w:rsidR="001946B4" w:rsidRPr="002C1F31" w:rsidRDefault="001946B4" w:rsidP="001946B4">
            <w:pPr>
              <w:spacing w:before="240" w:after="120"/>
              <w:rPr>
                <w:sz w:val="22"/>
                <w:szCs w:val="22"/>
              </w:rPr>
            </w:pPr>
            <w:r w:rsidRPr="00376FB0">
              <w:rPr>
                <w:sz w:val="22"/>
                <w:szCs w:val="22"/>
              </w:rPr>
              <w:t>Student Assistance (Public Interest Certificate Guidelines) Determination 2015 [F2015L01268]</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after="120"/>
              <w:rPr>
                <w:sz w:val="22"/>
                <w:szCs w:val="22"/>
              </w:rPr>
            </w:pPr>
          </w:p>
        </w:tc>
        <w:tc>
          <w:tcPr>
            <w:tcW w:w="6378" w:type="dxa"/>
            <w:tcBorders>
              <w:top w:val="nil"/>
              <w:left w:val="single" w:sz="12" w:space="0" w:color="auto"/>
              <w:bottom w:val="nil"/>
              <w:right w:val="nil"/>
            </w:tcBorders>
          </w:tcPr>
          <w:p w:rsidR="001946B4" w:rsidRPr="00376FB0" w:rsidRDefault="001946B4" w:rsidP="001946B4">
            <w:pPr>
              <w:spacing w:before="120" w:after="120"/>
              <w:rPr>
                <w:sz w:val="22"/>
                <w:szCs w:val="22"/>
                <w:highlight w:val="yellow"/>
              </w:rPr>
            </w:pPr>
            <w:r w:rsidRPr="00714C85">
              <w:rPr>
                <w:sz w:val="22"/>
                <w:szCs w:val="22"/>
              </w:rPr>
              <w:t>Torres Strait Fisheries Logbook Instrument 2015 [F2015L01256]</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after="120"/>
              <w:rPr>
                <w:sz w:val="22"/>
                <w:szCs w:val="22"/>
              </w:rPr>
            </w:pPr>
          </w:p>
        </w:tc>
        <w:tc>
          <w:tcPr>
            <w:tcW w:w="6378" w:type="dxa"/>
            <w:tcBorders>
              <w:top w:val="nil"/>
              <w:left w:val="single" w:sz="12" w:space="0" w:color="auto"/>
              <w:bottom w:val="nil"/>
              <w:right w:val="nil"/>
            </w:tcBorders>
          </w:tcPr>
          <w:p w:rsidR="001946B4" w:rsidRPr="002C1F31" w:rsidRDefault="001946B4" w:rsidP="001946B4">
            <w:pPr>
              <w:spacing w:before="120" w:after="120"/>
              <w:rPr>
                <w:sz w:val="22"/>
                <w:szCs w:val="22"/>
              </w:rPr>
            </w:pPr>
            <w:r w:rsidRPr="00376FB0">
              <w:rPr>
                <w:sz w:val="22"/>
                <w:szCs w:val="22"/>
              </w:rPr>
              <w:t>Veterans' Entitlements (Veterans' Children Education Scheme - Guidance and Counselling Services) Determination 2000 [F2015L01265]</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after="120"/>
              <w:rPr>
                <w:sz w:val="22"/>
                <w:szCs w:val="22"/>
              </w:rPr>
            </w:pPr>
          </w:p>
        </w:tc>
        <w:tc>
          <w:tcPr>
            <w:tcW w:w="6378" w:type="dxa"/>
            <w:tcBorders>
              <w:top w:val="nil"/>
              <w:left w:val="single" w:sz="12" w:space="0" w:color="auto"/>
              <w:bottom w:val="nil"/>
              <w:right w:val="nil"/>
            </w:tcBorders>
          </w:tcPr>
          <w:p w:rsidR="001946B4" w:rsidRPr="002C1F31" w:rsidRDefault="001946B4" w:rsidP="001946B4">
            <w:pPr>
              <w:spacing w:before="120" w:after="120"/>
              <w:rPr>
                <w:sz w:val="22"/>
                <w:szCs w:val="22"/>
              </w:rPr>
            </w:pPr>
            <w:r w:rsidRPr="00376FB0">
              <w:rPr>
                <w:sz w:val="22"/>
                <w:szCs w:val="22"/>
              </w:rPr>
              <w:t>Veterans’ Entitlements (Asset-test Exempt Income Stream (Market-linked) – Payment Factors) Principles 2005 [F2015L01252]</w:t>
            </w:r>
          </w:p>
        </w:tc>
      </w:tr>
      <w:tr w:rsidR="001946B4" w:rsidRPr="002C1F31" w:rsidTr="001946B4">
        <w:tc>
          <w:tcPr>
            <w:tcW w:w="2694" w:type="dxa"/>
            <w:tcBorders>
              <w:top w:val="nil"/>
              <w:left w:val="nil"/>
              <w:bottom w:val="nil"/>
              <w:right w:val="single" w:sz="12" w:space="0" w:color="auto"/>
            </w:tcBorders>
          </w:tcPr>
          <w:p w:rsidR="001946B4" w:rsidRPr="002C1F31" w:rsidRDefault="001946B4" w:rsidP="001946B4">
            <w:pPr>
              <w:spacing w:before="120" w:after="120"/>
              <w:rPr>
                <w:sz w:val="22"/>
                <w:szCs w:val="22"/>
              </w:rPr>
            </w:pPr>
          </w:p>
        </w:tc>
        <w:tc>
          <w:tcPr>
            <w:tcW w:w="6378" w:type="dxa"/>
            <w:tcBorders>
              <w:top w:val="nil"/>
              <w:left w:val="single" w:sz="12" w:space="0" w:color="auto"/>
              <w:bottom w:val="nil"/>
              <w:right w:val="nil"/>
            </w:tcBorders>
          </w:tcPr>
          <w:p w:rsidR="001946B4" w:rsidRPr="002C1F31" w:rsidRDefault="001946B4" w:rsidP="001946B4">
            <w:pPr>
              <w:spacing w:before="120" w:after="120"/>
              <w:rPr>
                <w:sz w:val="22"/>
                <w:szCs w:val="22"/>
              </w:rPr>
            </w:pPr>
            <w:r w:rsidRPr="00376FB0">
              <w:rPr>
                <w:sz w:val="22"/>
                <w:szCs w:val="22"/>
              </w:rPr>
              <w:t>Veterans’ Entitlements (Means Test Treatment of Private Trusts – Excluded Trusts) Declaration 2015 [F2015L01246]</w:t>
            </w:r>
          </w:p>
        </w:tc>
      </w:tr>
      <w:tr w:rsidR="001946B4" w:rsidRPr="002C1F31" w:rsidTr="001946B4">
        <w:tc>
          <w:tcPr>
            <w:tcW w:w="2694" w:type="dxa"/>
            <w:tcBorders>
              <w:top w:val="nil"/>
              <w:left w:val="nil"/>
              <w:bottom w:val="single" w:sz="12" w:space="0" w:color="auto"/>
              <w:right w:val="single" w:sz="12" w:space="0" w:color="auto"/>
            </w:tcBorders>
          </w:tcPr>
          <w:p w:rsidR="001946B4" w:rsidRPr="002C1F31" w:rsidRDefault="001946B4" w:rsidP="001946B4">
            <w:pPr>
              <w:spacing w:before="120"/>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1946B4" w:rsidRPr="002C1F31" w:rsidRDefault="001946B4" w:rsidP="001946B4">
            <w:pPr>
              <w:spacing w:before="120"/>
              <w:rPr>
                <w:sz w:val="22"/>
                <w:szCs w:val="22"/>
              </w:rPr>
            </w:pPr>
            <w:r>
              <w:rPr>
                <w:noProof/>
                <w:sz w:val="24"/>
                <w:szCs w:val="24"/>
              </w:rPr>
              <w:t>Standing Order 23(3)(a)</w:t>
            </w:r>
          </w:p>
        </w:tc>
      </w:tr>
    </w:tbl>
    <w:p w:rsidR="001946B4" w:rsidRDefault="001946B4" w:rsidP="001946B4">
      <w:pPr>
        <w:spacing w:after="0"/>
      </w:pPr>
    </w:p>
    <w:p w:rsidR="001946B4" w:rsidRDefault="001946B4" w:rsidP="001946B4">
      <w:r>
        <w:br w:type="page"/>
      </w:r>
    </w:p>
    <w:p w:rsidR="001946B4" w:rsidRDefault="001946B4" w:rsidP="001946B4">
      <w:pPr>
        <w:spacing w:after="0"/>
      </w:pPr>
    </w:p>
    <w:p w:rsidR="001946B4" w:rsidRPr="006F66FE" w:rsidRDefault="001946B4" w:rsidP="001946B4">
      <w:pPr>
        <w:rPr>
          <w:b/>
          <w:i/>
        </w:rPr>
      </w:pPr>
      <w:r w:rsidRPr="00751A21">
        <w:rPr>
          <w:b/>
        </w:rPr>
        <w:t>Drafting</w:t>
      </w:r>
    </w:p>
    <w:p w:rsidR="001946B4" w:rsidRPr="00E35D4F" w:rsidRDefault="001946B4" w:rsidP="001946B4">
      <w:r>
        <w:t>The</w:t>
      </w:r>
      <w:r w:rsidRPr="00E35D4F">
        <w:t xml:space="preserve"> instruments</w:t>
      </w:r>
      <w:r>
        <w:t xml:space="preserve"> identified above </w:t>
      </w:r>
      <w:r w:rsidRPr="00E35D4F">
        <w:t xml:space="preserve">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1946B4" w:rsidRPr="00117C8E" w:rsidRDefault="001946B4" w:rsidP="001946B4">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17"/>
      </w:r>
    </w:p>
    <w:p w:rsidR="001946B4" w:rsidRDefault="001946B4" w:rsidP="001946B4">
      <w:pPr>
        <w:tabs>
          <w:tab w:val="left" w:pos="1155"/>
        </w:tabs>
        <w:sectPr w:rsidR="001946B4" w:rsidSect="001946B4">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202" w:left="1440" w:header="1134" w:footer="720" w:gutter="0"/>
          <w:pgNumType w:start="1"/>
          <w:cols w:space="720"/>
          <w:titlePg/>
        </w:sectPr>
      </w:pPr>
    </w:p>
    <w:p w:rsidR="001946B4" w:rsidRPr="0076670E" w:rsidRDefault="001946B4" w:rsidP="001946B4">
      <w:pPr>
        <w:pStyle w:val="Heading1"/>
      </w:pPr>
      <w:r w:rsidRPr="0076670E">
        <w:lastRenderedPageBreak/>
        <w:t>Chapter 2</w:t>
      </w:r>
    </w:p>
    <w:p w:rsidR="001946B4" w:rsidRPr="0076670E" w:rsidRDefault="001946B4" w:rsidP="001946B4">
      <w:pPr>
        <w:pStyle w:val="Heading2"/>
      </w:pPr>
      <w:r w:rsidRPr="0076670E">
        <w:t>Concluded matters</w:t>
      </w:r>
    </w:p>
    <w:p w:rsidR="001946B4" w:rsidRPr="0076670E" w:rsidRDefault="001946B4" w:rsidP="001946B4">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1946B4" w:rsidRDefault="001946B4" w:rsidP="001946B4">
      <w:pPr>
        <w:pStyle w:val="Level1"/>
        <w:numPr>
          <w:ilvl w:val="0"/>
          <w:numId w:val="0"/>
        </w:numPr>
      </w:pPr>
      <w:r>
        <w:t>C</w:t>
      </w:r>
      <w:r w:rsidRPr="0076670E">
        <w:t xml:space="preserve">orrespondence relating to these matters is included at Appendix </w:t>
      </w:r>
      <w:r>
        <w:t>1</w:t>
      </w:r>
      <w:r w:rsidRPr="0076670E">
        <w:t>.</w:t>
      </w:r>
    </w:p>
    <w:p w:rsidR="001946B4" w:rsidRDefault="001946B4" w:rsidP="001946B4">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rPr>
                <w:b/>
                <w:sz w:val="24"/>
                <w:szCs w:val="24"/>
              </w:rPr>
            </w:pPr>
            <w:r>
              <w:rPr>
                <w:b/>
                <w:sz w:val="24"/>
                <w:szCs w:val="24"/>
              </w:rPr>
              <w:t>Instrument</w:t>
            </w:r>
          </w:p>
        </w:tc>
        <w:tc>
          <w:tcPr>
            <w:tcW w:w="6378" w:type="dxa"/>
            <w:tcBorders>
              <w:top w:val="single" w:sz="12" w:space="0" w:color="auto"/>
              <w:left w:val="single" w:sz="12" w:space="0" w:color="auto"/>
            </w:tcBorders>
          </w:tcPr>
          <w:p w:rsidR="001946B4" w:rsidRPr="00BA36F8" w:rsidRDefault="001946B4" w:rsidP="001946B4">
            <w:pPr>
              <w:pStyle w:val="Heading3"/>
              <w:rPr>
                <w:sz w:val="24"/>
                <w:szCs w:val="24"/>
              </w:rPr>
            </w:pPr>
            <w:r w:rsidRPr="00E73D2B">
              <w:rPr>
                <w:noProof/>
                <w:sz w:val="24"/>
                <w:szCs w:val="24"/>
              </w:rPr>
              <w:t>Administrative Decisions (Judicial Review) Amendment (Enactments) Regulation 2015 [F2015L00870]</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rPr>
                <w:sz w:val="24"/>
                <w:szCs w:val="24"/>
              </w:rPr>
            </w:pPr>
            <w:r w:rsidRPr="00E73D2B">
              <w:rPr>
                <w:noProof/>
                <w:sz w:val="24"/>
                <w:szCs w:val="24"/>
              </w:rPr>
              <w:t xml:space="preserve">Amends the </w:t>
            </w:r>
            <w:r w:rsidRPr="004F7DA5">
              <w:rPr>
                <w:i/>
                <w:noProof/>
                <w:sz w:val="24"/>
                <w:szCs w:val="24"/>
              </w:rPr>
              <w:t xml:space="preserve">Administrative Decisions (Judicial Review) </w:t>
            </w:r>
            <w:r>
              <w:rPr>
                <w:i/>
                <w:noProof/>
                <w:sz w:val="24"/>
                <w:szCs w:val="24"/>
              </w:rPr>
              <w:br/>
            </w:r>
            <w:r w:rsidRPr="004F7DA5">
              <w:rPr>
                <w:i/>
                <w:noProof/>
                <w:sz w:val="24"/>
                <w:szCs w:val="24"/>
              </w:rPr>
              <w:t>Act 1977</w:t>
            </w:r>
            <w:r w:rsidRPr="00E73D2B">
              <w:rPr>
                <w:noProof/>
                <w:sz w:val="24"/>
                <w:szCs w:val="24"/>
              </w:rPr>
              <w:t xml:space="preserve"> to include three Northern Territory Acts related to the regulation of electricity utilities</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rPr>
                <w:sz w:val="24"/>
                <w:szCs w:val="24"/>
              </w:rPr>
            </w:pPr>
            <w:r>
              <w:rPr>
                <w:noProof/>
                <w:sz w:val="24"/>
                <w:szCs w:val="24"/>
              </w:rPr>
              <w:t>16 September 2015</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rPr>
                <w:i/>
                <w:sz w:val="24"/>
                <w:szCs w:val="24"/>
              </w:rPr>
            </w:pPr>
            <w:r w:rsidRPr="00E73D2B">
              <w:rPr>
                <w:i/>
                <w:noProof/>
                <w:sz w:val="24"/>
                <w:szCs w:val="24"/>
              </w:rPr>
              <w:t>Administrative Decisions (Judicial Review) Act 1977</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rPr>
                <w:sz w:val="24"/>
                <w:szCs w:val="24"/>
              </w:rPr>
            </w:pPr>
            <w:r w:rsidRPr="00E73D2B">
              <w:rPr>
                <w:noProof/>
                <w:sz w:val="24"/>
                <w:szCs w:val="24"/>
              </w:rPr>
              <w:t>Attorney-General's</w:t>
            </w:r>
          </w:p>
        </w:tc>
      </w:tr>
      <w:tr w:rsidR="001946B4" w:rsidRPr="00164622" w:rsidTr="001946B4">
        <w:tc>
          <w:tcPr>
            <w:tcW w:w="2694" w:type="dxa"/>
            <w:tcBorders>
              <w:bottom w:val="single" w:sz="12" w:space="0" w:color="auto"/>
              <w:right w:val="single" w:sz="12" w:space="0" w:color="auto"/>
            </w:tcBorders>
          </w:tcPr>
          <w:p w:rsidR="001946B4" w:rsidRPr="00A77228" w:rsidRDefault="001946B4" w:rsidP="001946B4">
            <w:pPr>
              <w:rPr>
                <w:b/>
                <w:sz w:val="24"/>
                <w:szCs w:val="24"/>
              </w:rPr>
            </w:pPr>
            <w:r>
              <w:rPr>
                <w:b/>
                <w:sz w:val="24"/>
                <w:szCs w:val="24"/>
              </w:rPr>
              <w:t>Scrutiny principle</w:t>
            </w:r>
          </w:p>
        </w:tc>
        <w:tc>
          <w:tcPr>
            <w:tcW w:w="6378" w:type="dxa"/>
            <w:tcBorders>
              <w:left w:val="single" w:sz="12" w:space="0" w:color="auto"/>
              <w:bottom w:val="single" w:sz="12" w:space="0" w:color="auto"/>
            </w:tcBorders>
          </w:tcPr>
          <w:p w:rsidR="001946B4" w:rsidRPr="00A77228" w:rsidRDefault="001946B4" w:rsidP="001946B4">
            <w:pPr>
              <w:rPr>
                <w:sz w:val="24"/>
                <w:szCs w:val="24"/>
              </w:rPr>
            </w:pPr>
            <w:r>
              <w:rPr>
                <w:sz w:val="24"/>
                <w:szCs w:val="24"/>
              </w:rPr>
              <w:t>Standing Order 23(3)(a)</w:t>
            </w:r>
          </w:p>
        </w:tc>
      </w:tr>
    </w:tbl>
    <w:p w:rsidR="001946B4" w:rsidRDefault="001946B4" w:rsidP="001946B4"/>
    <w:p w:rsidR="001946B4" w:rsidRPr="0003055A" w:rsidRDefault="001946B4" w:rsidP="001946B4">
      <w:pPr>
        <w:rPr>
          <w:b/>
        </w:rPr>
      </w:pPr>
      <w:r>
        <w:rPr>
          <w:b/>
        </w:rPr>
        <w:t>No d</w:t>
      </w:r>
      <w:r w:rsidRPr="0003055A">
        <w:rPr>
          <w:b/>
        </w:rPr>
        <w:t>escription of consultation</w:t>
      </w:r>
    </w:p>
    <w:p w:rsidR="001946B4" w:rsidRDefault="001946B4" w:rsidP="001946B4">
      <w:r>
        <w:t xml:space="preserve">The committee commented as follows: Section 17 of the </w:t>
      </w:r>
      <w:r w:rsidRPr="0003055A">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1946B4" w:rsidRDefault="001946B4" w:rsidP="001946B4">
      <w:r>
        <w:t>The committee's expectations in this regard are set out in the guideline on consultation contained in Appendix 2.</w:t>
      </w:r>
    </w:p>
    <w:p w:rsidR="001946B4" w:rsidRPr="00146331" w:rsidRDefault="001946B4" w:rsidP="001946B4">
      <w:pPr>
        <w:rPr>
          <w:b/>
          <w:i/>
        </w:rPr>
      </w:pPr>
      <w:r w:rsidRPr="00146331">
        <w:rPr>
          <w:b/>
          <w:i/>
        </w:rPr>
        <w:t xml:space="preserve">The committee </w:t>
      </w:r>
      <w:r>
        <w:rPr>
          <w:b/>
          <w:i/>
        </w:rPr>
        <w:t xml:space="preserve">therefore </w:t>
      </w:r>
      <w:r w:rsidRPr="00146331">
        <w:rPr>
          <w:b/>
          <w:i/>
        </w:rPr>
        <w:t>reques</w:t>
      </w:r>
      <w:r>
        <w:rPr>
          <w:b/>
          <w:i/>
        </w:rPr>
        <w:t>ted</w:t>
      </w:r>
      <w:r w:rsidRPr="00146331">
        <w:rPr>
          <w:b/>
          <w:i/>
        </w:rPr>
        <w:t xml:space="preserve"> the advice of the </w:t>
      </w:r>
      <w:r>
        <w:rPr>
          <w:b/>
          <w:i/>
        </w:rPr>
        <w:t>Attorney-General</w:t>
      </w:r>
      <w:r w:rsidRPr="00146331">
        <w:rPr>
          <w:b/>
          <w:i/>
        </w:rPr>
        <w:t xml:space="preserve"> in relation to this matter; and request</w:t>
      </w:r>
      <w:r>
        <w:rPr>
          <w:b/>
          <w:i/>
        </w:rPr>
        <w:t>ed</w:t>
      </w:r>
      <w:r w:rsidRPr="00146331">
        <w:rPr>
          <w:b/>
          <w:i/>
        </w:rPr>
        <w:t xml:space="preserve"> that the ES be updated in accordance with the requirements of the Legislative Instruments Act 2003.</w:t>
      </w:r>
    </w:p>
    <w:p w:rsidR="001946B4" w:rsidRDefault="001946B4" w:rsidP="001946B4">
      <w:pPr>
        <w:spacing w:after="0"/>
        <w:jc w:val="left"/>
        <w:rPr>
          <w:b/>
        </w:rPr>
      </w:pPr>
      <w:r>
        <w:rPr>
          <w:b/>
        </w:rPr>
        <w:br w:type="page"/>
      </w:r>
    </w:p>
    <w:p w:rsidR="001946B4" w:rsidRPr="00146331" w:rsidRDefault="001946B4" w:rsidP="001946B4">
      <w:pPr>
        <w:rPr>
          <w:b/>
        </w:rPr>
      </w:pPr>
      <w:r>
        <w:rPr>
          <w:b/>
        </w:rPr>
        <w:lastRenderedPageBreak/>
        <w:t>Attorney-General's</w:t>
      </w:r>
      <w:r w:rsidRPr="00146331">
        <w:rPr>
          <w:b/>
        </w:rPr>
        <w:t xml:space="preserve"> response</w:t>
      </w:r>
    </w:p>
    <w:p w:rsidR="001946B4" w:rsidRDefault="001946B4" w:rsidP="001946B4">
      <w:r>
        <w:t>The Attorney-General advised the committee that he had approved an updated ES which, provided details of the consultation undertaken at both the Commonwealth level and with the Northern Territory Government. The updated ES states:</w:t>
      </w:r>
    </w:p>
    <w:p w:rsidR="001946B4" w:rsidRDefault="001946B4" w:rsidP="001946B4">
      <w:pPr>
        <w:pStyle w:val="Quote"/>
      </w:pPr>
      <w:r>
        <w:t>Before this Regulation was made, the Attorney</w:t>
      </w:r>
      <w:r>
        <w:noBreakHyphen/>
        <w:t xml:space="preserve">General considered the general obligation to consult imposed by section 17 of the LIA.  This included consideration of the consultation conducted by the Department of Industry and the NT Government on the substantive legislative changes involved in transferring the administration and enforcement of the three NT Acts to the AER.  </w:t>
      </w:r>
    </w:p>
    <w:p w:rsidR="001946B4" w:rsidRDefault="001946B4" w:rsidP="001946B4">
      <w:pPr>
        <w:pStyle w:val="Quote"/>
      </w:pPr>
      <w:r>
        <w:t xml:space="preserve">Persons likely to be affected by this regulation had an adequate opportunity to comment on its proposed effect through their inclusion in consultation on the substantive changes described above.  </w:t>
      </w:r>
    </w:p>
    <w:p w:rsidR="001946B4" w:rsidRDefault="001946B4" w:rsidP="001946B4">
      <w:pPr>
        <w:pStyle w:val="Quote"/>
      </w:pPr>
      <w:r>
        <w:t>At the Commonwealth level, the Department of Industry convened an interdepartmental committee comprising representatives of the Departments of the Prime Minister and Cabinet and Finance, the Treasury, and the Attorney</w:t>
      </w:r>
      <w:r>
        <w:noBreakHyphen/>
        <w:t xml:space="preserve">General’s Department. This committee reviewed the draft NT legislation and the need for amendments to Commonwealth legislation (including the Act).  </w:t>
      </w:r>
    </w:p>
    <w:p w:rsidR="001946B4" w:rsidRDefault="001946B4" w:rsidP="001946B4">
      <w:pPr>
        <w:pStyle w:val="Quote"/>
      </w:pPr>
      <w:r>
        <w:t>Other parties affected by the NT Government’s move to apply the NEL were included in consultation conducted by the NT Government itself: in addition to the usual NT Government Cabinet and Parliamentary processes, the NT Department of Treasury and Finance consulted with the Power and Water Corporation (the only network provider in the Northern Territory) and the Utilities Commission throughout the policy consideration process and provided the draft NT legislation for comment prior to being finalised. Further, it consulted with the Australian Energy Regulator and the COAG Energy Council (comprising Ministers responsible for energy in all jurisdictions).</w:t>
      </w:r>
    </w:p>
    <w:p w:rsidR="001946B4" w:rsidRPr="00146331" w:rsidRDefault="001946B4" w:rsidP="001946B4">
      <w:pPr>
        <w:rPr>
          <w:b/>
        </w:rPr>
      </w:pPr>
      <w:r w:rsidRPr="00146331">
        <w:rPr>
          <w:b/>
        </w:rPr>
        <w:t>Committee response</w:t>
      </w:r>
    </w:p>
    <w:p w:rsidR="001946B4" w:rsidRPr="00146331" w:rsidRDefault="001946B4" w:rsidP="001946B4">
      <w:pPr>
        <w:rPr>
          <w:b/>
        </w:rPr>
      </w:pPr>
      <w:r w:rsidRPr="00146331">
        <w:rPr>
          <w:b/>
        </w:rPr>
        <w:t>The committee thanks the Attorney-General for his response and has concluded its examination of the instrument.</w:t>
      </w:r>
    </w:p>
    <w:p w:rsidR="001946B4" w:rsidRDefault="001946B4" w:rsidP="001946B4">
      <w:pPr>
        <w:spacing w:after="0"/>
        <w:jc w:val="left"/>
      </w:pPr>
      <w:r>
        <w:br w:type="page"/>
      </w:r>
    </w:p>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1946B4" w:rsidRPr="00AF305B" w:rsidRDefault="001946B4" w:rsidP="001946B4">
            <w:pPr>
              <w:pStyle w:val="Heading3"/>
              <w:rPr>
                <w:noProof/>
                <w:sz w:val="24"/>
                <w:szCs w:val="24"/>
              </w:rPr>
            </w:pPr>
            <w:r w:rsidRPr="00AF305B">
              <w:rPr>
                <w:noProof/>
                <w:sz w:val="24"/>
                <w:szCs w:val="24"/>
              </w:rPr>
              <w:t>Aged Care (Subsidy, Fees and Payments) Amendment (Indexation, Pre-Entry Leave and Other Measures) Determination 2015 [F2015L00996]</w:t>
            </w:r>
          </w:p>
          <w:p w:rsidR="001946B4" w:rsidRPr="00BA36F8" w:rsidRDefault="001946B4" w:rsidP="001946B4">
            <w:pPr>
              <w:pStyle w:val="Heading3"/>
              <w:rPr>
                <w:sz w:val="24"/>
                <w:szCs w:val="24"/>
              </w:rPr>
            </w:pPr>
            <w:r w:rsidRPr="00AF305B">
              <w:rPr>
                <w:noProof/>
                <w:sz w:val="24"/>
                <w:szCs w:val="24"/>
              </w:rPr>
              <w:t>Aged Care (Transitional Provisions) (Subsidy and Other Measures) Amendment (Indexation, Pre-Entry Leave and Other Measures) Determination 2015 [F2015L01019]</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rPr>
                <w:sz w:val="24"/>
                <w:szCs w:val="24"/>
              </w:rPr>
            </w:pPr>
            <w:r w:rsidRPr="00AF305B">
              <w:rPr>
                <w:noProof/>
                <w:sz w:val="24"/>
                <w:szCs w:val="24"/>
              </w:rPr>
              <w:t xml:space="preserve">These instruments amend the Aged Care (Subsidy, Fees and Payments) Determination 2014 and the Aged Care (Transitional Provisions) (Subsidy and Other Measures) Determination 2014 to increase the amount of subsidies and supplements payable to approved providers of aged care services from 1 July 2015, remove reference to the pre-entry leave subsidy and make consequential changes as a result of the operation of the </w:t>
            </w:r>
            <w:r w:rsidRPr="00F76A7A">
              <w:rPr>
                <w:i/>
                <w:noProof/>
                <w:sz w:val="24"/>
                <w:szCs w:val="24"/>
              </w:rPr>
              <w:t>Aged Care and Other Legislation Amendment Act 2014</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rPr>
                <w:sz w:val="24"/>
                <w:szCs w:val="24"/>
              </w:rPr>
            </w:pPr>
            <w:r w:rsidRPr="00AF305B">
              <w:rPr>
                <w:noProof/>
                <w:sz w:val="24"/>
                <w:szCs w:val="24"/>
              </w:rPr>
              <w:t>17 September 2015</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rPr>
                <w:i/>
                <w:sz w:val="24"/>
                <w:szCs w:val="24"/>
              </w:rPr>
            </w:pPr>
            <w:r w:rsidRPr="00AF305B">
              <w:rPr>
                <w:i/>
                <w:noProof/>
                <w:sz w:val="24"/>
                <w:szCs w:val="24"/>
              </w:rPr>
              <w:t>Aged Care Act 1997; Aged Care (Transitional Provisions) Act</w:t>
            </w:r>
            <w:r>
              <w:rPr>
                <w:i/>
                <w:noProof/>
                <w:sz w:val="24"/>
                <w:szCs w:val="24"/>
              </w:rPr>
              <w:t> </w:t>
            </w:r>
            <w:r w:rsidRPr="00AF305B">
              <w:rPr>
                <w:i/>
                <w:noProof/>
                <w:sz w:val="24"/>
                <w:szCs w:val="24"/>
              </w:rPr>
              <w:t>1997</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rPr>
                <w:sz w:val="24"/>
                <w:szCs w:val="24"/>
              </w:rPr>
            </w:pPr>
            <w:r w:rsidRPr="00AF305B">
              <w:rPr>
                <w:noProof/>
                <w:sz w:val="24"/>
                <w:szCs w:val="24"/>
              </w:rPr>
              <w:t>Social Services</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Pr>
                <w:b/>
                <w:sz w:val="24"/>
                <w:szCs w:val="24"/>
              </w:rPr>
              <w:t>Scrutiny principle</w:t>
            </w:r>
          </w:p>
        </w:tc>
        <w:tc>
          <w:tcPr>
            <w:tcW w:w="6378" w:type="dxa"/>
            <w:tcBorders>
              <w:left w:val="single" w:sz="12" w:space="0" w:color="auto"/>
            </w:tcBorders>
          </w:tcPr>
          <w:p w:rsidR="001946B4" w:rsidRPr="00A77228" w:rsidRDefault="001946B4" w:rsidP="001946B4">
            <w:pPr>
              <w:rPr>
                <w:sz w:val="24"/>
                <w:szCs w:val="24"/>
              </w:rPr>
            </w:pPr>
            <w:r>
              <w:rPr>
                <w:sz w:val="24"/>
                <w:szCs w:val="24"/>
              </w:rPr>
              <w:t>Standing Order 23(3)</w:t>
            </w:r>
            <w:r w:rsidRPr="00AF305B">
              <w:rPr>
                <w:noProof/>
                <w:sz w:val="24"/>
                <w:szCs w:val="24"/>
              </w:rPr>
              <w:t>(d)</w:t>
            </w:r>
          </w:p>
        </w:tc>
      </w:tr>
      <w:tr w:rsidR="001946B4" w:rsidRPr="00164622" w:rsidTr="001946B4">
        <w:tc>
          <w:tcPr>
            <w:tcW w:w="2694" w:type="dxa"/>
            <w:tcBorders>
              <w:bottom w:val="single" w:sz="12" w:space="0" w:color="auto"/>
              <w:right w:val="single" w:sz="12" w:space="0" w:color="auto"/>
            </w:tcBorders>
          </w:tcPr>
          <w:p w:rsidR="001946B4" w:rsidRDefault="001946B4" w:rsidP="001946B4">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946B4" w:rsidRDefault="001946B4" w:rsidP="001946B4">
            <w:pPr>
              <w:rPr>
                <w:sz w:val="24"/>
                <w:szCs w:val="24"/>
              </w:rPr>
            </w:pPr>
            <w:r>
              <w:rPr>
                <w:i/>
                <w:noProof/>
                <w:sz w:val="24"/>
                <w:szCs w:val="24"/>
              </w:rPr>
              <w:t xml:space="preserve">Delegated legislation monitor </w:t>
            </w:r>
            <w:r w:rsidRPr="006E2929">
              <w:rPr>
                <w:noProof/>
                <w:sz w:val="24"/>
                <w:szCs w:val="24"/>
              </w:rPr>
              <w:t>No. 8 of 2015</w:t>
            </w:r>
          </w:p>
        </w:tc>
      </w:tr>
    </w:tbl>
    <w:p w:rsidR="001946B4" w:rsidRDefault="001946B4" w:rsidP="001946B4"/>
    <w:p w:rsidR="001946B4" w:rsidRDefault="001946B4" w:rsidP="001946B4">
      <w:pPr>
        <w:rPr>
          <w:b/>
          <w:noProof/>
        </w:rPr>
      </w:pPr>
      <w:r w:rsidRPr="00AF305B">
        <w:rPr>
          <w:b/>
          <w:noProof/>
        </w:rPr>
        <w:t>Relationship of instruments to Social Services Legislation Amendment (No. 2) Bill 2015</w:t>
      </w:r>
    </w:p>
    <w:p w:rsidR="001946B4" w:rsidRDefault="001946B4" w:rsidP="001946B4">
      <w:r>
        <w:rPr>
          <w:noProof/>
        </w:rPr>
        <w:t xml:space="preserve">The committee commented as follows: </w:t>
      </w:r>
      <w:r>
        <w:t xml:space="preserve">The instruments </w:t>
      </w:r>
      <w:r w:rsidRPr="00C87938">
        <w:t>increase the amount of subsidies and supplements payable to approved providers of aged care services</w:t>
      </w:r>
      <w:r>
        <w:t>; and cease the payment of the residential care subsidy to residential aged care providers for pre-entry leave (which relates to the holding of a place for up to seven days prior to a care recipient entering care) f</w:t>
      </w:r>
      <w:r w:rsidRPr="00C87938">
        <w:t>rom 1</w:t>
      </w:r>
      <w:r>
        <w:t> </w:t>
      </w:r>
      <w:r w:rsidRPr="00C87938">
        <w:t>July 2015.</w:t>
      </w:r>
    </w:p>
    <w:p w:rsidR="001946B4" w:rsidRDefault="001946B4" w:rsidP="001946B4">
      <w:r>
        <w:t xml:space="preserve">The committee notes that key elements of the instruments may be described as 'mirroring' and anticipating amendments in the </w:t>
      </w:r>
      <w:r w:rsidRPr="00EC5724">
        <w:t>Social Services Legislation Amendment (No. 2) Bill 2015</w:t>
      </w:r>
      <w:r>
        <w:t xml:space="preserve"> (the bill). The bill passed the House of Representative on 15 June 2015 but </w:t>
      </w:r>
      <w:r w:rsidRPr="001A3F35">
        <w:t>has yet to pass the Senate,</w:t>
      </w:r>
      <w:r>
        <w:t xml:space="preserve"> where the second reading was moved on 16 June 2015.</w:t>
      </w:r>
    </w:p>
    <w:p w:rsidR="001946B4" w:rsidRDefault="001946B4" w:rsidP="001946B4">
      <w:r>
        <w:t>The committee notes that in each case the explanatory statements (ESs) for the instruments state:</w:t>
      </w:r>
    </w:p>
    <w:p w:rsidR="001946B4" w:rsidRDefault="001946B4" w:rsidP="001946B4">
      <w:pPr>
        <w:pStyle w:val="Quote"/>
      </w:pPr>
      <w:r w:rsidRPr="00582628">
        <w:t xml:space="preserve">The Amending Determination will give effect to the removal of pre-entry leave subsidy from 1 July 2015 in the event that Schedule 2 of the Social </w:t>
      </w:r>
      <w:r w:rsidRPr="00582628">
        <w:lastRenderedPageBreak/>
        <w:t>Services Legislation Amendment (No. 2) Bill 2015 (the Amending Bill), which also contains provisions to remove pre-entry leave subsidy, does not receive Royal Assent by that time. Upon commencement, Schedule 2 of the Social Services Legislation Amendment (No. 2) Bill 2015 (the Amending Bill) will operate to cease the payment of subsidy and supplements during a period of pre-entry leave. If the Amending Bill commences then this Amending Determination will remove unnecessary provisions in the Determination (Schedule 3). If the Amending Bill does not commence by 1 July 2015 then the Amending Determination operates in the alternative to reduce the amount of subsidy paid during pre</w:t>
      </w:r>
      <w:r w:rsidRPr="00582628">
        <w:rPr>
          <w:rFonts w:ascii="MS Mincho" w:eastAsia="MS Mincho" w:hAnsi="MS Mincho" w:cs="MS Mincho" w:hint="eastAsia"/>
        </w:rPr>
        <w:t>‑</w:t>
      </w:r>
      <w:r w:rsidRPr="00582628">
        <w:t>entry leave to nil (Schedule</w:t>
      </w:r>
      <w:r>
        <w:t> </w:t>
      </w:r>
      <w:r w:rsidRPr="00582628">
        <w:t>2).</w:t>
      </w:r>
    </w:p>
    <w:p w:rsidR="001946B4" w:rsidRPr="00582628" w:rsidRDefault="001946B4" w:rsidP="001946B4">
      <w:pPr>
        <w:pStyle w:val="Quote"/>
      </w:pPr>
      <w:r>
        <w:t>…</w:t>
      </w:r>
    </w:p>
    <w:p w:rsidR="001946B4" w:rsidRDefault="001946B4" w:rsidP="001946B4">
      <w:pPr>
        <w:pStyle w:val="Quote"/>
      </w:pPr>
      <w:r>
        <w:t>The commencement of amendments in Schedule 2 and 3 are dependent on the commencement of Schedule 2 of the Amending Bill. Schedule 2 of this determination commences on 1 July 2015 if Schedule 2 of the Amending Bill has not commenced on 1 July 2015. Schedule 3 of this determination commences immediately after Schedule 2 of the Amending Bill has commenced. If Schedule 2 of the Amending Bill never commences then Schedule 3 of this Amending Determination will never commence.</w:t>
      </w:r>
    </w:p>
    <w:p w:rsidR="001946B4" w:rsidRDefault="001946B4" w:rsidP="001946B4">
      <w:r>
        <w:t>However, it is unclear to the committee, on the basis of the information provided, what is the reason for introducing these changes via regulation while the bill is still before the Parliament.</w:t>
      </w:r>
    </w:p>
    <w:p w:rsidR="001946B4" w:rsidRDefault="001946B4" w:rsidP="001946B4">
      <w:pPr>
        <w:rPr>
          <w:b/>
        </w:rPr>
      </w:pPr>
      <w:r w:rsidRPr="00F76A7A">
        <w:rPr>
          <w:b/>
          <w:i/>
        </w:rPr>
        <w:t>The committee s</w:t>
      </w:r>
      <w:r>
        <w:rPr>
          <w:b/>
          <w:i/>
        </w:rPr>
        <w:t>ought</w:t>
      </w:r>
      <w:r w:rsidRPr="00F76A7A">
        <w:rPr>
          <w:b/>
          <w:i/>
        </w:rPr>
        <w:t xml:space="preserve"> the advice of the minister in relation to this matter</w:t>
      </w:r>
      <w:r>
        <w:rPr>
          <w:b/>
        </w:rPr>
        <w:t>.</w:t>
      </w:r>
    </w:p>
    <w:p w:rsidR="001946B4" w:rsidRDefault="001946B4" w:rsidP="001946B4">
      <w:pPr>
        <w:rPr>
          <w:b/>
        </w:rPr>
      </w:pPr>
      <w:r>
        <w:rPr>
          <w:b/>
        </w:rPr>
        <w:t>Minister's response</w:t>
      </w:r>
    </w:p>
    <w:p w:rsidR="001946B4" w:rsidRPr="00F76A7A" w:rsidRDefault="001946B4" w:rsidP="001946B4">
      <w:pPr>
        <w:rPr>
          <w:noProof/>
        </w:rPr>
      </w:pPr>
      <w:r>
        <w:t>The Assistant Minister for Social Services advised:</w:t>
      </w:r>
    </w:p>
    <w:p w:rsidR="001946B4" w:rsidRDefault="001946B4" w:rsidP="001946B4">
      <w:pPr>
        <w:pStyle w:val="Quote"/>
      </w:pPr>
      <w:r w:rsidRPr="00F76A7A">
        <w:t>In December 2014, the Australian Government announced this measure in the Mid-Year Economic and Fiscal Outlook (MYEFO) with a clearly announced commencement date of 1 July 2015. The legislative amendments to the</w:t>
      </w:r>
      <w:r w:rsidRPr="00F76A7A">
        <w:rPr>
          <w:i/>
        </w:rPr>
        <w:t xml:space="preserve"> Aged Care Act 1997</w:t>
      </w:r>
      <w:r w:rsidRPr="00F76A7A">
        <w:t xml:space="preserve"> and the </w:t>
      </w:r>
      <w:r w:rsidRPr="00F76A7A">
        <w:rPr>
          <w:i/>
        </w:rPr>
        <w:t>Aged Care (Transitional Provisions) Act 1997</w:t>
      </w:r>
      <w:r w:rsidRPr="00F76A7A">
        <w:t xml:space="preserve"> to give effect to this measure were originally introduced under the Bill. The Bill also contains consequential amendments to fully implement the measure. </w:t>
      </w:r>
    </w:p>
    <w:p w:rsidR="001946B4" w:rsidRDefault="001946B4" w:rsidP="001946B4">
      <w:pPr>
        <w:pStyle w:val="Quote"/>
      </w:pPr>
      <w:r w:rsidRPr="00F76A7A">
        <w:t>To give effect to the measure by the commencement date announced in MYEFO the Government had two legislatively valid options. The first involved using the existing Determination power provided to the Minister under the Principal Legislation to set the pre-entry leave subsidy to zero and the second involved making amendments to the Principal</w:t>
      </w:r>
      <w:r>
        <w:t xml:space="preserve"> L</w:t>
      </w:r>
      <w:r w:rsidRPr="00F76A7A">
        <w:t xml:space="preserve">egislation. The Government could have given effect to this measure without making any amendments to the Principal Legislation. It was decided to amend the Principal Legislation as that would allow certain unnecessary references in legislation relating to pre-entry leave to be removed. When it became apparent that the Bill may not receive passage before 1 July 2015 the </w:t>
      </w:r>
      <w:r w:rsidRPr="00F76A7A">
        <w:lastRenderedPageBreak/>
        <w:t xml:space="preserve">Government took the decision to utilise the pre-existing and valid Determination power in order to give effect to the already announced commencement date. </w:t>
      </w:r>
    </w:p>
    <w:p w:rsidR="001946B4" w:rsidRDefault="001946B4" w:rsidP="001946B4">
      <w:pPr>
        <w:pStyle w:val="Quote"/>
      </w:pPr>
      <w:r w:rsidRPr="00F76A7A">
        <w:t xml:space="preserve">The Aged Care Act and the Transitional Provisions Act provide that the Minister may determine the amount of subsidy and supplement payable to an approved provider. Schedule 2 of the </w:t>
      </w:r>
      <w:r w:rsidRPr="00F76A7A">
        <w:rPr>
          <w:i/>
        </w:rPr>
        <w:t>Aged Care (Subsidy, Fees and Payments) Amendment (Indexation, Pre-Entry Leave and Other Measures) Determination 2015</w:t>
      </w:r>
      <w:r w:rsidRPr="00F76A7A">
        <w:t xml:space="preserve"> and the </w:t>
      </w:r>
      <w:r w:rsidRPr="00F76A7A">
        <w:rPr>
          <w:i/>
        </w:rPr>
        <w:t>Aged Care (Transitional Provisions)(Subsidy and Other Measures) Amendment (Indexation, Pre-Entry Leave and Other Measures) Determination 2015</w:t>
      </w:r>
      <w:r w:rsidRPr="00F76A7A">
        <w:t xml:space="preserve"> gave effect to the cessation of pre-entry leave subsidy by setting the amount of subsidy to zero on 1 July 2015. </w:t>
      </w:r>
    </w:p>
    <w:p w:rsidR="001946B4" w:rsidRDefault="001946B4" w:rsidP="001946B4">
      <w:pPr>
        <w:pStyle w:val="Quote"/>
      </w:pPr>
      <w:r w:rsidRPr="00F76A7A">
        <w:t>If the Bill receives Royal Assent, approved providers will no longer be eligible for pre-entry leave subsidy. Schedule 3 of the Amending Determinations will then remove references to pre-entry leave in the Determinations as they will be redundant at that time.</w:t>
      </w:r>
    </w:p>
    <w:p w:rsidR="001946B4" w:rsidRDefault="001946B4" w:rsidP="001946B4">
      <w:pPr>
        <w:pStyle w:val="Quote"/>
        <w:ind w:left="0"/>
      </w:pPr>
    </w:p>
    <w:p w:rsidR="001946B4" w:rsidRPr="009A71D9" w:rsidRDefault="001946B4" w:rsidP="001946B4">
      <w:pPr>
        <w:pStyle w:val="Quote"/>
        <w:ind w:left="0"/>
        <w:rPr>
          <w:b/>
          <w:sz w:val="26"/>
          <w:szCs w:val="26"/>
        </w:rPr>
      </w:pPr>
      <w:r w:rsidRPr="009A71D9">
        <w:rPr>
          <w:b/>
          <w:sz w:val="26"/>
          <w:szCs w:val="26"/>
        </w:rPr>
        <w:t>Committee's response</w:t>
      </w:r>
    </w:p>
    <w:p w:rsidR="001946B4" w:rsidRDefault="001946B4" w:rsidP="001946B4">
      <w:pPr>
        <w:pStyle w:val="Quote"/>
        <w:ind w:left="0" w:right="-46"/>
        <w:rPr>
          <w:b/>
          <w:sz w:val="26"/>
          <w:szCs w:val="26"/>
        </w:rPr>
      </w:pPr>
      <w:r w:rsidRPr="009A71D9">
        <w:rPr>
          <w:b/>
          <w:sz w:val="26"/>
          <w:szCs w:val="26"/>
        </w:rPr>
        <w:t xml:space="preserve">The committee thanks the </w:t>
      </w:r>
      <w:r>
        <w:rPr>
          <w:b/>
          <w:sz w:val="26"/>
          <w:szCs w:val="26"/>
        </w:rPr>
        <w:t xml:space="preserve">minister for the response and </w:t>
      </w:r>
      <w:r w:rsidRPr="009A71D9">
        <w:rPr>
          <w:b/>
          <w:sz w:val="26"/>
          <w:szCs w:val="26"/>
        </w:rPr>
        <w:t>has concluded its examination of the instrument.</w:t>
      </w:r>
    </w:p>
    <w:p w:rsidR="001946B4" w:rsidRPr="00197E43" w:rsidRDefault="001946B4" w:rsidP="001946B4">
      <w:pPr>
        <w:pStyle w:val="Quote"/>
        <w:ind w:left="0" w:right="-46"/>
        <w:rPr>
          <w:sz w:val="26"/>
          <w:szCs w:val="26"/>
        </w:rPr>
      </w:pPr>
      <w:r w:rsidRPr="00096833">
        <w:rPr>
          <w:sz w:val="26"/>
          <w:szCs w:val="26"/>
        </w:rPr>
        <w:t xml:space="preserve">However, the committee notes its previously stated concerns as to the use of delegated legislation to anticipate legislative changes sought to be effected via primary legislation, and particularly the establishing of precedents for this approach on the basis that, due to the inherent uncertainty of the Parliament's full legislative processes, it is the most convenient or preferred means to effect </w:t>
      </w:r>
      <w:r>
        <w:rPr>
          <w:sz w:val="26"/>
          <w:szCs w:val="26"/>
        </w:rPr>
        <w:t xml:space="preserve">interim </w:t>
      </w:r>
      <w:r w:rsidRPr="00096833">
        <w:rPr>
          <w:sz w:val="26"/>
          <w:szCs w:val="26"/>
        </w:rPr>
        <w:t>policy change. In particular, this approach allows for raises the significant possibility that a bill may not be passed in a form which contains all the measures effected by an anticipatory instrument, and thereby allow for the continuance of measures contrary to the clearly expressed will of the Parliament (for example, if the bill were passed with an amendment to remove one of the measures in the instrument). This consideration is critical to the assessment of whether the legislative approach offends the committee's scrutiny principle (d). In this case, however, the committee concludes its interest on the basis that the measure does not appear to make fundamental changes to the residential care subsidy scheme.</w:t>
      </w:r>
    </w:p>
    <w:p w:rsidR="001946B4" w:rsidRDefault="001946B4" w:rsidP="001946B4">
      <w:pPr>
        <w:spacing w:after="0"/>
        <w:jc w:val="left"/>
        <w:rPr>
          <w:szCs w:val="26"/>
        </w:rPr>
      </w:pPr>
    </w:p>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rPr>
                <w:b/>
                <w:sz w:val="24"/>
                <w:szCs w:val="24"/>
              </w:rPr>
            </w:pPr>
            <w:r>
              <w:rPr>
                <w:b/>
                <w:sz w:val="24"/>
                <w:szCs w:val="24"/>
              </w:rPr>
              <w:t>Instrument</w:t>
            </w:r>
          </w:p>
        </w:tc>
        <w:tc>
          <w:tcPr>
            <w:tcW w:w="6378" w:type="dxa"/>
            <w:tcBorders>
              <w:top w:val="single" w:sz="12" w:space="0" w:color="auto"/>
              <w:left w:val="single" w:sz="12" w:space="0" w:color="auto"/>
            </w:tcBorders>
          </w:tcPr>
          <w:p w:rsidR="001946B4" w:rsidRPr="00BA36F8" w:rsidRDefault="001946B4" w:rsidP="001946B4">
            <w:pPr>
              <w:pStyle w:val="Heading3"/>
              <w:rPr>
                <w:sz w:val="24"/>
                <w:szCs w:val="24"/>
              </w:rPr>
            </w:pPr>
            <w:r w:rsidRPr="00B77A45">
              <w:rPr>
                <w:noProof/>
                <w:sz w:val="24"/>
                <w:szCs w:val="24"/>
              </w:rPr>
              <w:t>Carbon Credits (Carbon Farming Initiative—Commercial and Public Lighting) Methodology Determination 2015 [F2015L00980]</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rPr>
                <w:sz w:val="24"/>
                <w:szCs w:val="24"/>
              </w:rPr>
            </w:pPr>
            <w:r w:rsidRPr="00B77A45">
              <w:rPr>
                <w:noProof/>
                <w:sz w:val="24"/>
                <w:szCs w:val="24"/>
              </w:rPr>
              <w:t>Provides for crediting emissions reductions from projects that improve the energy performance of lighting systems in commercial and industrial buildings and public areas</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lastRenderedPageBreak/>
              <w:t>Last day to disallow</w:t>
            </w:r>
          </w:p>
        </w:tc>
        <w:tc>
          <w:tcPr>
            <w:tcW w:w="6378" w:type="dxa"/>
            <w:tcBorders>
              <w:left w:val="single" w:sz="12" w:space="0" w:color="auto"/>
            </w:tcBorders>
          </w:tcPr>
          <w:p w:rsidR="001946B4" w:rsidRPr="00A77228" w:rsidRDefault="001946B4" w:rsidP="001946B4">
            <w:pPr>
              <w:rPr>
                <w:sz w:val="24"/>
                <w:szCs w:val="24"/>
              </w:rPr>
            </w:pPr>
            <w:r w:rsidRPr="00B77A45">
              <w:rPr>
                <w:noProof/>
                <w:sz w:val="24"/>
                <w:szCs w:val="24"/>
              </w:rPr>
              <w:t>17 September 2015</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rPr>
                <w:i/>
                <w:sz w:val="24"/>
                <w:szCs w:val="24"/>
              </w:rPr>
            </w:pPr>
            <w:r w:rsidRPr="00B77A45">
              <w:rPr>
                <w:i/>
                <w:noProof/>
                <w:sz w:val="24"/>
                <w:szCs w:val="24"/>
              </w:rPr>
              <w:t>Carbon Credits (Carbon Farming Initiative) Act 2011</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rPr>
                <w:sz w:val="24"/>
                <w:szCs w:val="24"/>
              </w:rPr>
            </w:pPr>
            <w:r w:rsidRPr="00B77A45">
              <w:rPr>
                <w:noProof/>
                <w:sz w:val="24"/>
                <w:szCs w:val="24"/>
              </w:rPr>
              <w:t>Environment</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Pr>
                <w:b/>
                <w:sz w:val="24"/>
                <w:szCs w:val="24"/>
              </w:rPr>
              <w:t>Scrutiny principle</w:t>
            </w:r>
          </w:p>
        </w:tc>
        <w:tc>
          <w:tcPr>
            <w:tcW w:w="6378" w:type="dxa"/>
            <w:tcBorders>
              <w:left w:val="single" w:sz="12" w:space="0" w:color="auto"/>
            </w:tcBorders>
          </w:tcPr>
          <w:p w:rsidR="001946B4" w:rsidRPr="00A77228" w:rsidRDefault="001946B4" w:rsidP="001946B4">
            <w:pPr>
              <w:rPr>
                <w:sz w:val="24"/>
                <w:szCs w:val="24"/>
              </w:rPr>
            </w:pPr>
            <w:r>
              <w:rPr>
                <w:sz w:val="24"/>
                <w:szCs w:val="24"/>
              </w:rPr>
              <w:t>Standing Order 23(3)</w:t>
            </w:r>
            <w:r w:rsidRPr="00B77A45">
              <w:rPr>
                <w:noProof/>
                <w:sz w:val="24"/>
                <w:szCs w:val="24"/>
              </w:rPr>
              <w:t>(a)</w:t>
            </w:r>
          </w:p>
        </w:tc>
      </w:tr>
      <w:tr w:rsidR="001946B4" w:rsidRPr="00164622" w:rsidTr="001946B4">
        <w:tc>
          <w:tcPr>
            <w:tcW w:w="2694" w:type="dxa"/>
            <w:tcBorders>
              <w:bottom w:val="single" w:sz="12" w:space="0" w:color="auto"/>
              <w:right w:val="single" w:sz="12" w:space="0" w:color="auto"/>
            </w:tcBorders>
          </w:tcPr>
          <w:p w:rsidR="001946B4" w:rsidRDefault="001946B4" w:rsidP="001946B4">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946B4" w:rsidRDefault="001946B4" w:rsidP="001946B4">
            <w:pPr>
              <w:rPr>
                <w:sz w:val="24"/>
                <w:szCs w:val="24"/>
              </w:rPr>
            </w:pPr>
            <w:r>
              <w:rPr>
                <w:i/>
                <w:noProof/>
                <w:sz w:val="24"/>
                <w:szCs w:val="24"/>
              </w:rPr>
              <w:t xml:space="preserve">Delegated legislation monitor </w:t>
            </w:r>
            <w:r w:rsidRPr="004D49E3">
              <w:rPr>
                <w:noProof/>
                <w:sz w:val="24"/>
                <w:szCs w:val="24"/>
              </w:rPr>
              <w:t>No. 8 of 2015</w:t>
            </w:r>
          </w:p>
        </w:tc>
      </w:tr>
    </w:tbl>
    <w:p w:rsidR="001946B4" w:rsidRDefault="001946B4" w:rsidP="001946B4">
      <w:pPr>
        <w:rPr>
          <w:b/>
          <w:noProof/>
        </w:rPr>
      </w:pPr>
      <w:r w:rsidRPr="00B77A45">
        <w:rPr>
          <w:b/>
          <w:noProof/>
        </w:rPr>
        <w:t>Incorporation of extrinsic material</w:t>
      </w:r>
    </w:p>
    <w:p w:rsidR="001946B4" w:rsidRDefault="001946B4" w:rsidP="001946B4">
      <w:r>
        <w:rPr>
          <w:szCs w:val="26"/>
        </w:rPr>
        <w:t xml:space="preserve">The committee commented as follows: </w:t>
      </w:r>
      <w:r>
        <w:t>This instrument p</w:t>
      </w:r>
      <w:r w:rsidRPr="00564FD8">
        <w:t>rovides for crediting emissions reductions from projects that improve the energy performance of lighting systems in commercial and industrial buildings and public areas</w:t>
      </w:r>
      <w:r>
        <w:t>.</w:t>
      </w:r>
    </w:p>
    <w:p w:rsidR="001946B4" w:rsidRDefault="001946B4" w:rsidP="001946B4">
      <w:r>
        <w:t xml:space="preserve">Section 14 of the </w:t>
      </w:r>
      <w:r w:rsidRPr="008D0C55">
        <w:rPr>
          <w:i/>
        </w:rPr>
        <w:t xml:space="preserve">Legislative Instruments Act 2003 </w:t>
      </w:r>
      <w:r>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1946B4" w:rsidRPr="00564FD8" w:rsidRDefault="001946B4" w:rsidP="001946B4">
      <w:r>
        <w:t xml:space="preserve">Subsection 106(8) of the authorising legislation for the instrument (the </w:t>
      </w:r>
      <w:r w:rsidRPr="008D0C55">
        <w:rPr>
          <w:i/>
        </w:rPr>
        <w:t>Carbon Credits (Carbon Farming Initiative) Act 2011</w:t>
      </w:r>
      <w:r>
        <w:t xml:space="preserve">) provides that instruments may apply, adopt or incorporate (with or without modifications) matter contained in any other instrument or writing 'as in force or existing at a particular time' or 'as in force or existing from time to time' (thereby altering the effect of section 14 of the </w:t>
      </w:r>
      <w:r w:rsidRPr="008D0C55">
        <w:rPr>
          <w:i/>
        </w:rPr>
        <w:t>Legislative Instruments Act 2003</w:t>
      </w:r>
      <w:r>
        <w:t>).</w:t>
      </w:r>
    </w:p>
    <w:p w:rsidR="001946B4" w:rsidRDefault="001946B4" w:rsidP="001946B4">
      <w:r>
        <w:t>With reference to the above, the committee notes that subsection 5(2) of the instrument incorporates by reference various standards. However, neither the instrument nor the ES expressly state the manner in which the specified documents are incorporated.</w:t>
      </w:r>
    </w:p>
    <w:p w:rsidR="001946B4" w:rsidRDefault="001946B4" w:rsidP="001946B4">
      <w: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1946B4" w:rsidRPr="004D49E3" w:rsidRDefault="001946B4" w:rsidP="001946B4">
      <w:pPr>
        <w:rPr>
          <w:i/>
        </w:rPr>
      </w:pPr>
      <w:r w:rsidRPr="004D49E3">
        <w:rPr>
          <w:b/>
          <w:i/>
        </w:rPr>
        <w:t>The committee request</w:t>
      </w:r>
      <w:r>
        <w:rPr>
          <w:b/>
          <w:i/>
        </w:rPr>
        <w:t>ed</w:t>
      </w:r>
      <w:r w:rsidRPr="004D49E3">
        <w:rPr>
          <w:b/>
          <w:i/>
        </w:rPr>
        <w:t xml:space="preserve"> the advice of the minister in relation to this matter</w:t>
      </w:r>
      <w:r w:rsidRPr="004D49E3">
        <w:rPr>
          <w:i/>
        </w:rPr>
        <w:t>.</w:t>
      </w:r>
    </w:p>
    <w:p w:rsidR="001946B4" w:rsidRDefault="001946B4" w:rsidP="001946B4">
      <w:pPr>
        <w:pStyle w:val="Quote"/>
        <w:ind w:left="0"/>
        <w:rPr>
          <w:b/>
          <w:sz w:val="26"/>
          <w:szCs w:val="26"/>
        </w:rPr>
      </w:pPr>
      <w:r>
        <w:rPr>
          <w:b/>
          <w:sz w:val="26"/>
          <w:szCs w:val="26"/>
        </w:rPr>
        <w:t>Minister's response</w:t>
      </w:r>
    </w:p>
    <w:p w:rsidR="001946B4" w:rsidRDefault="001946B4" w:rsidP="001946B4">
      <w:pPr>
        <w:pStyle w:val="Quote"/>
        <w:ind w:left="0"/>
        <w:rPr>
          <w:sz w:val="26"/>
          <w:szCs w:val="26"/>
        </w:rPr>
      </w:pPr>
      <w:r>
        <w:rPr>
          <w:sz w:val="26"/>
          <w:szCs w:val="26"/>
        </w:rPr>
        <w:t>The Minister for the Environment advised:</w:t>
      </w:r>
    </w:p>
    <w:p w:rsidR="001946B4" w:rsidRDefault="001946B4" w:rsidP="001946B4">
      <w:pPr>
        <w:pStyle w:val="Quote"/>
        <w:rPr>
          <w:i/>
        </w:rPr>
      </w:pPr>
      <w:r>
        <w:t xml:space="preserve">…the manner in which the specified standards are incorporated into the Determination is set out in section 7 of the Determination. The section </w:t>
      </w:r>
      <w:r>
        <w:lastRenderedPageBreak/>
        <w:t xml:space="preserve">prescribes that in applying the definitions in section 5, or a provision of Schedule 1 or 2, to the lighting equipment of a lighting system, a reference in those provisions to a definition in a standard is a reference to the definition in the version of the standard that was inforce on the date the lighting system was commissioned. This prescription of the manner in which the standards are incorporated into the Determination applies to the standards listed in subsection 5(2), which were referred to in the Monitor No. 8. The Explanatory Statement to the Determination explains that: </w:t>
      </w:r>
      <w:r>
        <w:rPr>
          <w:i/>
        </w:rPr>
        <w:t xml:space="preserve">This is intended to ensure that, if any of these standards change over the life of the project, whether the project meets a project requirement is assessed by reference to the definitions standard that applied at the time the lighting upgrade was first commissioned. </w:t>
      </w:r>
    </w:p>
    <w:p w:rsidR="001946B4" w:rsidRPr="00C6121B" w:rsidRDefault="001946B4" w:rsidP="001946B4">
      <w:pPr>
        <w:pStyle w:val="Quote"/>
        <w:ind w:left="0"/>
        <w:rPr>
          <w:sz w:val="26"/>
          <w:szCs w:val="26"/>
        </w:rPr>
      </w:pPr>
      <w:r w:rsidRPr="00C6121B">
        <w:rPr>
          <w:sz w:val="26"/>
          <w:szCs w:val="26"/>
        </w:rPr>
        <w:t>The minister further explained:</w:t>
      </w:r>
    </w:p>
    <w:p w:rsidR="001946B4" w:rsidRDefault="001946B4" w:rsidP="001946B4">
      <w:pPr>
        <w:pStyle w:val="Quote"/>
      </w:pPr>
      <w:r>
        <w:t>…this approach is necessary to ensure that the Determination remains up to date with the latest requirements in Australian and international standards but does not risk invalidating project eligibility if past installations do not comply with a revised standard.</w:t>
      </w:r>
    </w:p>
    <w:p w:rsidR="001946B4" w:rsidRPr="0026505D" w:rsidRDefault="001946B4" w:rsidP="001946B4">
      <w:pPr>
        <w:spacing w:before="240"/>
        <w:rPr>
          <w:b/>
        </w:rPr>
      </w:pPr>
      <w:r w:rsidRPr="0026505D">
        <w:rPr>
          <w:b/>
        </w:rPr>
        <w:t>Committee's response</w:t>
      </w:r>
    </w:p>
    <w:p w:rsidR="001946B4" w:rsidRDefault="001946B4" w:rsidP="001946B4">
      <w:pPr>
        <w:pStyle w:val="Quote"/>
        <w:ind w:left="0"/>
        <w:rPr>
          <w:b/>
          <w:sz w:val="26"/>
          <w:szCs w:val="26"/>
        </w:rPr>
      </w:pPr>
      <w:r w:rsidRPr="009A71D9">
        <w:rPr>
          <w:b/>
          <w:sz w:val="26"/>
          <w:szCs w:val="26"/>
        </w:rPr>
        <w:t xml:space="preserve">The committee thanks the </w:t>
      </w:r>
      <w:r>
        <w:rPr>
          <w:b/>
          <w:sz w:val="26"/>
          <w:szCs w:val="26"/>
        </w:rPr>
        <w:t xml:space="preserve">minister for the response and </w:t>
      </w:r>
      <w:r w:rsidRPr="009A71D9">
        <w:rPr>
          <w:b/>
          <w:sz w:val="26"/>
          <w:szCs w:val="26"/>
        </w:rPr>
        <w:t>has concluded its examination of the instrument.</w:t>
      </w:r>
    </w:p>
    <w:p w:rsidR="001946B4" w:rsidRPr="00C6121B" w:rsidRDefault="001946B4" w:rsidP="001946B4">
      <w:pPr>
        <w:pStyle w:val="Quote"/>
        <w:ind w:left="0"/>
        <w:rPr>
          <w:sz w:val="26"/>
          <w:szCs w:val="26"/>
        </w:rPr>
      </w:pPr>
    </w:p>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rPr>
                <w:b/>
                <w:sz w:val="24"/>
                <w:szCs w:val="24"/>
              </w:rPr>
            </w:pPr>
            <w:r>
              <w:rPr>
                <w:b/>
                <w:sz w:val="24"/>
                <w:szCs w:val="24"/>
              </w:rPr>
              <w:t>Instrument</w:t>
            </w:r>
          </w:p>
        </w:tc>
        <w:tc>
          <w:tcPr>
            <w:tcW w:w="6378" w:type="dxa"/>
            <w:tcBorders>
              <w:top w:val="single" w:sz="12" w:space="0" w:color="auto"/>
              <w:left w:val="single" w:sz="12" w:space="0" w:color="auto"/>
            </w:tcBorders>
          </w:tcPr>
          <w:p w:rsidR="001946B4" w:rsidRPr="00BA36F8" w:rsidRDefault="001946B4" w:rsidP="001946B4">
            <w:pPr>
              <w:pStyle w:val="Heading3"/>
              <w:rPr>
                <w:sz w:val="24"/>
                <w:szCs w:val="24"/>
              </w:rPr>
            </w:pPr>
            <w:r w:rsidRPr="00725B43">
              <w:rPr>
                <w:noProof/>
                <w:sz w:val="24"/>
                <w:szCs w:val="24"/>
              </w:rPr>
              <w:t>Finance Minister’s Orders (Financial Statements for reporting periods ending on or after 1 July 2011) Repeal Instrument 2015 [F2015L00889]</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rPr>
                <w:sz w:val="24"/>
                <w:szCs w:val="24"/>
              </w:rPr>
            </w:pPr>
            <w:r w:rsidRPr="00725B43">
              <w:rPr>
                <w:noProof/>
                <w:sz w:val="24"/>
                <w:szCs w:val="24"/>
              </w:rPr>
              <w:t>Repeals the Finance Minister’s Orders (Financial Statements for reporting periods on or after 1 July 2011)</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rPr>
                <w:sz w:val="24"/>
                <w:szCs w:val="24"/>
              </w:rPr>
            </w:pPr>
            <w:r w:rsidRPr="00725B43">
              <w:rPr>
                <w:noProof/>
                <w:sz w:val="24"/>
                <w:szCs w:val="24"/>
              </w:rPr>
              <w:t>17 September 2015</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rPr>
                <w:i/>
                <w:sz w:val="24"/>
                <w:szCs w:val="24"/>
              </w:rPr>
            </w:pPr>
            <w:r w:rsidRPr="00725B43">
              <w:rPr>
                <w:i/>
                <w:noProof/>
                <w:sz w:val="24"/>
                <w:szCs w:val="24"/>
              </w:rPr>
              <w:t>Aboriginal and Torres Strait Islander Act 2005</w:t>
            </w:r>
            <w:r w:rsidRPr="00096833">
              <w:rPr>
                <w:noProof/>
                <w:sz w:val="24"/>
                <w:szCs w:val="24"/>
              </w:rPr>
              <w:t>;</w:t>
            </w:r>
            <w:r w:rsidRPr="00725B43">
              <w:rPr>
                <w:i/>
                <w:noProof/>
                <w:sz w:val="24"/>
                <w:szCs w:val="24"/>
              </w:rPr>
              <w:t xml:space="preserve"> Defence Service Homes Act 1918</w:t>
            </w:r>
            <w:r w:rsidRPr="00096833">
              <w:rPr>
                <w:noProof/>
                <w:sz w:val="24"/>
                <w:szCs w:val="24"/>
              </w:rPr>
              <w:t>;</w:t>
            </w:r>
            <w:r w:rsidRPr="00725B43">
              <w:rPr>
                <w:i/>
                <w:noProof/>
                <w:sz w:val="24"/>
                <w:szCs w:val="24"/>
              </w:rPr>
              <w:t xml:space="preserve"> High Court of Australia Act 1979</w:t>
            </w:r>
            <w:r w:rsidRPr="00096833">
              <w:rPr>
                <w:noProof/>
                <w:sz w:val="24"/>
                <w:szCs w:val="24"/>
              </w:rPr>
              <w:t>;</w:t>
            </w:r>
            <w:r w:rsidRPr="00725B43">
              <w:rPr>
                <w:i/>
                <w:noProof/>
                <w:sz w:val="24"/>
                <w:szCs w:val="24"/>
              </w:rPr>
              <w:t xml:space="preserve"> Natural Heritage Trust of Australia Act 1997</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rPr>
                <w:sz w:val="24"/>
                <w:szCs w:val="24"/>
              </w:rPr>
            </w:pPr>
            <w:r w:rsidRPr="00725B43">
              <w:rPr>
                <w:noProof/>
                <w:sz w:val="24"/>
                <w:szCs w:val="24"/>
              </w:rPr>
              <w:t>Finance</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Pr>
                <w:b/>
                <w:sz w:val="24"/>
                <w:szCs w:val="24"/>
              </w:rPr>
              <w:t>Scrutiny principle</w:t>
            </w:r>
          </w:p>
        </w:tc>
        <w:tc>
          <w:tcPr>
            <w:tcW w:w="6378" w:type="dxa"/>
            <w:tcBorders>
              <w:left w:val="single" w:sz="12" w:space="0" w:color="auto"/>
            </w:tcBorders>
          </w:tcPr>
          <w:p w:rsidR="001946B4" w:rsidRPr="00A77228" w:rsidRDefault="001946B4" w:rsidP="001946B4">
            <w:pPr>
              <w:rPr>
                <w:sz w:val="24"/>
                <w:szCs w:val="24"/>
              </w:rPr>
            </w:pPr>
            <w:r>
              <w:rPr>
                <w:sz w:val="24"/>
                <w:szCs w:val="24"/>
              </w:rPr>
              <w:t>Standing Order 23(3)</w:t>
            </w:r>
            <w:r w:rsidRPr="00725B43">
              <w:rPr>
                <w:noProof/>
                <w:sz w:val="24"/>
                <w:szCs w:val="24"/>
              </w:rPr>
              <w:t>(b)</w:t>
            </w:r>
          </w:p>
        </w:tc>
      </w:tr>
      <w:tr w:rsidR="001946B4" w:rsidRPr="00164622" w:rsidTr="001946B4">
        <w:tc>
          <w:tcPr>
            <w:tcW w:w="2694" w:type="dxa"/>
            <w:tcBorders>
              <w:bottom w:val="single" w:sz="12" w:space="0" w:color="auto"/>
              <w:right w:val="single" w:sz="12" w:space="0" w:color="auto"/>
            </w:tcBorders>
          </w:tcPr>
          <w:p w:rsidR="001946B4" w:rsidRDefault="001946B4" w:rsidP="001946B4">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946B4" w:rsidRDefault="001946B4" w:rsidP="001946B4">
            <w:pPr>
              <w:rPr>
                <w:sz w:val="24"/>
                <w:szCs w:val="24"/>
              </w:rPr>
            </w:pPr>
            <w:r>
              <w:rPr>
                <w:i/>
                <w:noProof/>
                <w:sz w:val="24"/>
                <w:szCs w:val="24"/>
              </w:rPr>
              <w:t xml:space="preserve">Delegated legislation monitor No. </w:t>
            </w:r>
            <w:r w:rsidRPr="00725B43">
              <w:rPr>
                <w:i/>
                <w:noProof/>
                <w:sz w:val="24"/>
                <w:szCs w:val="24"/>
              </w:rPr>
              <w:t>8 of 2015</w:t>
            </w:r>
          </w:p>
        </w:tc>
      </w:tr>
    </w:tbl>
    <w:p w:rsidR="001946B4" w:rsidRDefault="001946B4" w:rsidP="001946B4"/>
    <w:p w:rsidR="001946B4" w:rsidRDefault="001946B4" w:rsidP="001946B4">
      <w:pPr>
        <w:rPr>
          <w:b/>
          <w:noProof/>
        </w:rPr>
      </w:pPr>
      <w:r w:rsidRPr="00725B43">
        <w:rPr>
          <w:b/>
          <w:noProof/>
        </w:rPr>
        <w:t>Retrospectivity</w:t>
      </w:r>
    </w:p>
    <w:p w:rsidR="001946B4" w:rsidRPr="00F679B2" w:rsidRDefault="001946B4" w:rsidP="001946B4">
      <w:r>
        <w:rPr>
          <w:noProof/>
        </w:rPr>
        <w:lastRenderedPageBreak/>
        <w:t xml:space="preserve">The committee commented as follows: </w:t>
      </w:r>
      <w:r w:rsidRPr="00F679B2">
        <w:t>Th</w:t>
      </w:r>
      <w:r>
        <w:t>is</w:t>
      </w:r>
      <w:r w:rsidRPr="00F679B2">
        <w:t xml:space="preserve"> instrument repeals the Finance Minister’s Orders (Financial Statements for reporting periods on or after 1 July 2011) and commences retrospectively on 1 July 2014.</w:t>
      </w:r>
    </w:p>
    <w:p w:rsidR="001946B4" w:rsidRPr="00F679B2" w:rsidRDefault="001946B4" w:rsidP="001946B4">
      <w:r w:rsidRPr="00F679B2">
        <w:t xml:space="preserve">Subsection 12(2) of the </w:t>
      </w:r>
      <w:r w:rsidRPr="00F679B2">
        <w:rPr>
          <w:i/>
        </w:rPr>
        <w:t>Legislative Instruments Act 2003</w:t>
      </w:r>
      <w:r w:rsidRPr="00F679B2">
        <w:t xml:space="preserve"> provides that an instrument that commences retrospectively is of no effect if it would disadvantage the rights of a person (other than the Commonwealth) or impose a liability on a person (other than the Commonwealth) for an act or omission before the instrument's date of registration. Accordingly, the committee's usual expectation is that ESs explicitly address the question of whether an instrument with retrospective commencement would disadvantage any person other than the Commonwealth. </w:t>
      </w:r>
    </w:p>
    <w:p w:rsidR="001946B4" w:rsidRPr="0026505D" w:rsidRDefault="001946B4" w:rsidP="001946B4">
      <w:pPr>
        <w:rPr>
          <w:b/>
          <w:i/>
        </w:rPr>
      </w:pPr>
      <w:r w:rsidRPr="0026505D">
        <w:rPr>
          <w:b/>
          <w:i/>
        </w:rPr>
        <w:t>The committee requested the advice of the minister in relation to this matter.</w:t>
      </w:r>
    </w:p>
    <w:p w:rsidR="001946B4" w:rsidRDefault="001946B4" w:rsidP="001946B4">
      <w:pPr>
        <w:rPr>
          <w:b/>
          <w:noProof/>
        </w:rPr>
      </w:pPr>
      <w:r>
        <w:rPr>
          <w:b/>
          <w:noProof/>
        </w:rPr>
        <w:t>Minister's response</w:t>
      </w:r>
    </w:p>
    <w:p w:rsidR="001946B4" w:rsidRDefault="001946B4" w:rsidP="001946B4">
      <w:pPr>
        <w:rPr>
          <w:noProof/>
        </w:rPr>
      </w:pPr>
      <w:r>
        <w:rPr>
          <w:noProof/>
        </w:rPr>
        <w:t>The Minister for Finance advised:</w:t>
      </w:r>
    </w:p>
    <w:p w:rsidR="001946B4" w:rsidRDefault="001946B4" w:rsidP="001946B4">
      <w:pPr>
        <w:pStyle w:val="Quote"/>
        <w:rPr>
          <w:noProof/>
        </w:rPr>
      </w:pPr>
      <w:r>
        <w:rPr>
          <w:noProof/>
        </w:rPr>
        <w:t>The purpose of the Instrument is to repeal an instrument that has been superseded and has no operative effect.</w:t>
      </w:r>
    </w:p>
    <w:p w:rsidR="001946B4" w:rsidRDefault="001946B4" w:rsidP="001946B4">
      <w:pPr>
        <w:pStyle w:val="Quote"/>
        <w:rPr>
          <w:i/>
        </w:rPr>
      </w:pPr>
      <w:r>
        <w:rPr>
          <w:noProof/>
        </w:rPr>
        <w:t xml:space="preserve">The Instrument repeales the whole of the </w:t>
      </w:r>
      <w:r>
        <w:rPr>
          <w:i/>
          <w:noProof/>
        </w:rPr>
        <w:t>Finance Minister's Orders (Financial Statements for reporting periods on or after 1 July 2011</w:t>
      </w:r>
      <w:r>
        <w:rPr>
          <w:i/>
        </w:rPr>
        <w:t xml:space="preserve">) </w:t>
      </w:r>
      <w:r>
        <w:t xml:space="preserve">(the Finance Minister's Orders). This was the final step in the process of replacing the Finance Minister's Orders with the </w:t>
      </w:r>
      <w:r>
        <w:rPr>
          <w:i/>
        </w:rPr>
        <w:t>Public Governance, Performance and Accountability (Financial Reporting) Rule 2015.</w:t>
      </w:r>
    </w:p>
    <w:p w:rsidR="001946B4" w:rsidRDefault="001946B4" w:rsidP="001946B4">
      <w:pPr>
        <w:pStyle w:val="Quote"/>
        <w:rPr>
          <w:i/>
        </w:rPr>
      </w:pPr>
      <w:r>
        <w:t xml:space="preserve">The retrospective commencement of the Instrument does not detrimentally affect the rights of any person, nor does it impose additional obligations or liabilities on any person, other than the Commonwealth, in accordance with subsection 12(2) of the </w:t>
      </w:r>
      <w:r>
        <w:rPr>
          <w:i/>
        </w:rPr>
        <w:t>Legislative Instruments Act 2003.</w:t>
      </w:r>
    </w:p>
    <w:p w:rsidR="001946B4" w:rsidRPr="0026505D" w:rsidRDefault="001946B4" w:rsidP="001946B4">
      <w:pPr>
        <w:spacing w:before="240"/>
        <w:rPr>
          <w:b/>
        </w:rPr>
      </w:pPr>
      <w:r w:rsidRPr="0026505D">
        <w:rPr>
          <w:b/>
        </w:rPr>
        <w:t>Committee's response</w:t>
      </w:r>
    </w:p>
    <w:p w:rsidR="001946B4" w:rsidRDefault="001946B4" w:rsidP="001946B4">
      <w:pPr>
        <w:pStyle w:val="Quote"/>
        <w:ind w:left="0" w:right="-46"/>
        <w:rPr>
          <w:b/>
          <w:sz w:val="26"/>
          <w:szCs w:val="26"/>
        </w:rPr>
      </w:pPr>
      <w:r w:rsidRPr="009A71D9">
        <w:rPr>
          <w:b/>
          <w:sz w:val="26"/>
          <w:szCs w:val="26"/>
        </w:rPr>
        <w:t xml:space="preserve">The committee thanks the </w:t>
      </w:r>
      <w:r>
        <w:rPr>
          <w:b/>
          <w:sz w:val="26"/>
          <w:szCs w:val="26"/>
        </w:rPr>
        <w:t xml:space="preserve">minister for the response and </w:t>
      </w:r>
      <w:r w:rsidRPr="009A71D9">
        <w:rPr>
          <w:b/>
          <w:sz w:val="26"/>
          <w:szCs w:val="26"/>
        </w:rPr>
        <w:t>has concluded its examination of the instrument.</w:t>
      </w:r>
    </w:p>
    <w:p w:rsidR="001946B4" w:rsidRDefault="001946B4" w:rsidP="001946B4">
      <w:pPr>
        <w:spacing w:after="0"/>
        <w:jc w:val="left"/>
        <w:rPr>
          <w:b/>
          <w:szCs w:val="26"/>
        </w:rPr>
      </w:pPr>
    </w:p>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rPr>
                <w:b/>
                <w:sz w:val="24"/>
                <w:szCs w:val="24"/>
              </w:rPr>
            </w:pPr>
            <w:r>
              <w:rPr>
                <w:b/>
                <w:sz w:val="24"/>
                <w:szCs w:val="24"/>
              </w:rPr>
              <w:t>Instrument</w:t>
            </w:r>
          </w:p>
        </w:tc>
        <w:tc>
          <w:tcPr>
            <w:tcW w:w="6378" w:type="dxa"/>
            <w:tcBorders>
              <w:top w:val="single" w:sz="12" w:space="0" w:color="auto"/>
              <w:left w:val="single" w:sz="12" w:space="0" w:color="auto"/>
            </w:tcBorders>
          </w:tcPr>
          <w:p w:rsidR="001946B4" w:rsidRPr="00BA36F8" w:rsidRDefault="001946B4" w:rsidP="001946B4">
            <w:pPr>
              <w:pStyle w:val="Heading3"/>
              <w:rPr>
                <w:sz w:val="24"/>
                <w:szCs w:val="24"/>
              </w:rPr>
            </w:pPr>
            <w:r w:rsidRPr="00725B43">
              <w:rPr>
                <w:noProof/>
                <w:sz w:val="24"/>
                <w:szCs w:val="24"/>
              </w:rPr>
              <w:t>Jervis Bay Territory Emergency Management Ordinance 2015 [F2015L00774]</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rPr>
                <w:sz w:val="24"/>
                <w:szCs w:val="24"/>
              </w:rPr>
            </w:pPr>
            <w:r w:rsidRPr="00725B43">
              <w:rPr>
                <w:noProof/>
                <w:sz w:val="24"/>
                <w:szCs w:val="24"/>
              </w:rPr>
              <w:t>Establishes a legislative framework for emergency management in the Jervis Bay Territory</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rPr>
                <w:sz w:val="24"/>
                <w:szCs w:val="24"/>
              </w:rPr>
            </w:pPr>
            <w:r w:rsidRPr="00725B43">
              <w:rPr>
                <w:noProof/>
                <w:sz w:val="24"/>
                <w:szCs w:val="24"/>
              </w:rPr>
              <w:t>11 November 2015</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rPr>
                <w:i/>
                <w:sz w:val="24"/>
                <w:szCs w:val="24"/>
              </w:rPr>
            </w:pPr>
            <w:r w:rsidRPr="00725B43">
              <w:rPr>
                <w:i/>
                <w:noProof/>
                <w:sz w:val="24"/>
                <w:szCs w:val="24"/>
              </w:rPr>
              <w:t>Jervis Bay Territory Acceptance Act 1915</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rPr>
                <w:sz w:val="24"/>
                <w:szCs w:val="24"/>
              </w:rPr>
            </w:pPr>
            <w:r w:rsidRPr="00725B43">
              <w:rPr>
                <w:noProof/>
                <w:sz w:val="24"/>
                <w:szCs w:val="24"/>
              </w:rPr>
              <w:t>Infrastructure and Regional Development</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Pr>
                <w:b/>
                <w:sz w:val="24"/>
                <w:szCs w:val="24"/>
              </w:rPr>
              <w:lastRenderedPageBreak/>
              <w:t>Scrutiny principle</w:t>
            </w:r>
          </w:p>
        </w:tc>
        <w:tc>
          <w:tcPr>
            <w:tcW w:w="6378" w:type="dxa"/>
            <w:tcBorders>
              <w:left w:val="single" w:sz="12" w:space="0" w:color="auto"/>
            </w:tcBorders>
          </w:tcPr>
          <w:p w:rsidR="001946B4" w:rsidRPr="00A77228" w:rsidRDefault="001946B4" w:rsidP="001946B4">
            <w:pPr>
              <w:rPr>
                <w:sz w:val="24"/>
                <w:szCs w:val="24"/>
              </w:rPr>
            </w:pPr>
            <w:r>
              <w:rPr>
                <w:sz w:val="24"/>
                <w:szCs w:val="24"/>
              </w:rPr>
              <w:t>Standing Order 23(3)</w:t>
            </w:r>
            <w:r w:rsidRPr="00725B43">
              <w:rPr>
                <w:noProof/>
                <w:sz w:val="24"/>
                <w:szCs w:val="24"/>
              </w:rPr>
              <w:t>(a)</w:t>
            </w:r>
          </w:p>
        </w:tc>
      </w:tr>
      <w:tr w:rsidR="001946B4" w:rsidRPr="00164622" w:rsidTr="001946B4">
        <w:tc>
          <w:tcPr>
            <w:tcW w:w="2694" w:type="dxa"/>
            <w:tcBorders>
              <w:bottom w:val="single" w:sz="12" w:space="0" w:color="auto"/>
              <w:right w:val="single" w:sz="12" w:space="0" w:color="auto"/>
            </w:tcBorders>
          </w:tcPr>
          <w:p w:rsidR="001946B4" w:rsidRDefault="001946B4" w:rsidP="001946B4">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946B4" w:rsidRDefault="001946B4" w:rsidP="001946B4">
            <w:pPr>
              <w:rPr>
                <w:sz w:val="24"/>
                <w:szCs w:val="24"/>
              </w:rPr>
            </w:pPr>
            <w:r>
              <w:rPr>
                <w:i/>
                <w:noProof/>
                <w:sz w:val="24"/>
                <w:szCs w:val="24"/>
              </w:rPr>
              <w:t xml:space="preserve">Delegated legislation monitor No. </w:t>
            </w:r>
            <w:r w:rsidRPr="00725B43">
              <w:rPr>
                <w:i/>
                <w:noProof/>
                <w:sz w:val="24"/>
                <w:szCs w:val="24"/>
              </w:rPr>
              <w:t>8 of 2015</w:t>
            </w:r>
          </w:p>
        </w:tc>
      </w:tr>
    </w:tbl>
    <w:p w:rsidR="001946B4" w:rsidRDefault="001946B4" w:rsidP="001946B4"/>
    <w:p w:rsidR="001946B4" w:rsidRDefault="001946B4" w:rsidP="001946B4">
      <w:pPr>
        <w:rPr>
          <w:b/>
          <w:noProof/>
        </w:rPr>
      </w:pPr>
      <w:r w:rsidRPr="00725B43">
        <w:rPr>
          <w:b/>
          <w:noProof/>
        </w:rPr>
        <w:t>Sub-delegation</w:t>
      </w:r>
    </w:p>
    <w:p w:rsidR="001946B4" w:rsidRDefault="001946B4" w:rsidP="001946B4">
      <w:r>
        <w:rPr>
          <w:noProof/>
        </w:rPr>
        <w:t xml:space="preserve">The committee commented as follows: </w:t>
      </w:r>
      <w:r>
        <w:t>Section 9 of this Ordinance provides that the minister may, in writing, delegate his or her powers under the Ordinance (other than sections 15 and 48, which respectively empower the minister to declare a state of emergency and to make statutory rules) to 'any person'.</w:t>
      </w:r>
    </w:p>
    <w:p w:rsidR="001946B4" w:rsidRDefault="001946B4" w:rsidP="001946B4">
      <w:r>
        <w:t>With reference to section 9, the ES states:</w:t>
      </w:r>
    </w:p>
    <w:p w:rsidR="001946B4" w:rsidRDefault="001946B4" w:rsidP="001946B4">
      <w:pPr>
        <w:pStyle w:val="Quote"/>
      </w:pPr>
      <w:r>
        <w:t xml:space="preserve">The Minister’s powers and functions under this Ordinance may be delegated to people, for example, to Departmental officers or emergency services officers. The Minister may delegate the majority of his or her powers or functions to any person; however, the Minister cannot delegate the powers to declare a state of emergency, or to make statutory rules under this Ordinance.  </w:t>
      </w:r>
    </w:p>
    <w:p w:rsidR="001946B4" w:rsidRDefault="001946B4" w:rsidP="001946B4">
      <w:pPr>
        <w:pStyle w:val="Quote"/>
      </w:pPr>
      <w:r>
        <w:t>The Minister can delegate powers or functions, including the power to delegate, to a member of the Senior Executive Service (SES) within the Department responsible for Territories. The SES employee may then</w:t>
      </w:r>
      <w:r>
        <w:br/>
        <w:t>sub-delegate the power or function to an emergency services officer, or a member of an emergency services organisation.</w:t>
      </w:r>
    </w:p>
    <w:p w:rsidR="001946B4" w:rsidRDefault="001946B4" w:rsidP="001946B4">
      <w:pPr>
        <w:pStyle w:val="Quote"/>
      </w:pPr>
      <w:r>
        <w:t xml:space="preserve">The section also states that the </w:t>
      </w:r>
      <w:r w:rsidRPr="001A3F35">
        <w:rPr>
          <w:i/>
        </w:rPr>
        <w:t>Acts Interpretation Act 1901</w:t>
      </w:r>
      <w:r>
        <w:t xml:space="preserve"> sections 34AA, 34AB, and 34A apply to the sub-delegation of powers and functions in the same way as they apply to the delegation of powers and functions. This means that powers which have been sub-delegated cannot be delegated further; that sub-delegations may be made to a position and exercised by whoever is in that position at a particular point in time; and that the person exercising the sub-delegated power or function can do so according to their opinion, belief or state of mind, if this is relevant to the exercise of the power, or the performance of the function or duty.</w:t>
      </w:r>
    </w:p>
    <w:p w:rsidR="001946B4" w:rsidRDefault="001946B4" w:rsidP="001946B4">
      <w: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1946B4" w:rsidRDefault="001946B4" w:rsidP="001946B4">
      <w:r>
        <w:t>In this respect, the ES for the instrument provides no justification for the broad delegation of the minister's powers (other than the excluded powers) to 'any person'.</w:t>
      </w:r>
    </w:p>
    <w:p w:rsidR="001946B4" w:rsidRPr="0026505D" w:rsidRDefault="001946B4" w:rsidP="001946B4">
      <w:pPr>
        <w:rPr>
          <w:b/>
          <w:i/>
        </w:rPr>
      </w:pPr>
      <w:r w:rsidRPr="0026505D">
        <w:rPr>
          <w:b/>
          <w:i/>
        </w:rPr>
        <w:lastRenderedPageBreak/>
        <w:t>The committee requested the advice of the minister in relation to this matter.</w:t>
      </w:r>
    </w:p>
    <w:p w:rsidR="001946B4" w:rsidRDefault="001946B4" w:rsidP="001946B4">
      <w:pPr>
        <w:pStyle w:val="Quote"/>
        <w:ind w:left="0"/>
        <w:rPr>
          <w:b/>
          <w:sz w:val="26"/>
          <w:szCs w:val="26"/>
        </w:rPr>
      </w:pPr>
      <w:r>
        <w:rPr>
          <w:b/>
          <w:sz w:val="26"/>
          <w:szCs w:val="26"/>
        </w:rPr>
        <w:t>Minister's response</w:t>
      </w:r>
    </w:p>
    <w:p w:rsidR="001946B4" w:rsidRDefault="001946B4" w:rsidP="001946B4">
      <w:pPr>
        <w:pStyle w:val="Quote"/>
        <w:ind w:left="0"/>
        <w:rPr>
          <w:sz w:val="26"/>
          <w:szCs w:val="26"/>
        </w:rPr>
      </w:pPr>
      <w:r>
        <w:rPr>
          <w:sz w:val="26"/>
          <w:szCs w:val="26"/>
        </w:rPr>
        <w:t>The Minister for Infrastructure and Regional Development advised:</w:t>
      </w:r>
    </w:p>
    <w:p w:rsidR="001946B4" w:rsidRDefault="001946B4" w:rsidP="001946B4">
      <w:pPr>
        <w:pStyle w:val="Quote"/>
      </w:pPr>
      <w:r>
        <w:t>Emergency services in the Jervis Bay Territory (JBT) are provided by a range of organisations, depending on the nature and complexity of the emergency. These organisations include, but are not limited to, the Australian Federal Police, JBT volunteer fire brigades, NSW Rural Fire Service, Fire and Rescue NSW, the NSW State Emergency Service, the NSW Ambulance Service, the Booderee National Park, the Wreck Bay Aboriginal Community Council and the Department of Defence. Agencies work co-operatively across the common JBT-NSW border in response to emergency situations.</w:t>
      </w:r>
    </w:p>
    <w:p w:rsidR="001946B4" w:rsidRDefault="001946B4" w:rsidP="001946B4">
      <w:pPr>
        <w:pStyle w:val="Quote"/>
      </w:pPr>
      <w:r>
        <w:t xml:space="preserve">Given the geographical location of the JBT, one of the key objectives of the Ordinance was consistency with emergency management legislation in NSW, to facilitate the seamless provision of emergency services across the JBT-NSW border. </w:t>
      </w:r>
    </w:p>
    <w:p w:rsidR="001946B4" w:rsidRDefault="001946B4" w:rsidP="001946B4">
      <w:pPr>
        <w:pStyle w:val="Quote"/>
      </w:pPr>
      <w:r>
        <w:t xml:space="preserve">The </w:t>
      </w:r>
      <w:r>
        <w:rPr>
          <w:i/>
        </w:rPr>
        <w:t>State Emergency and Rescue Management Act 1989</w:t>
      </w:r>
      <w:r>
        <w:t xml:space="preserve"> (NSW) has a similarly broad delegation power in subsection 10(4), which enables the NSW Minister responsible for Emergency Services to delegate the majority of his or her functions to 'the State Emergency Operations Controller, State Emergency Recovery Controller or other person'.</w:t>
      </w:r>
    </w:p>
    <w:p w:rsidR="001946B4" w:rsidRDefault="001946B4" w:rsidP="001946B4">
      <w:pPr>
        <w:pStyle w:val="Quote"/>
        <w:ind w:left="0"/>
        <w:rPr>
          <w:sz w:val="26"/>
          <w:szCs w:val="26"/>
        </w:rPr>
      </w:pPr>
      <w:r>
        <w:rPr>
          <w:sz w:val="26"/>
          <w:szCs w:val="26"/>
        </w:rPr>
        <w:t>Further, the minister explained:</w:t>
      </w:r>
    </w:p>
    <w:p w:rsidR="001946B4" w:rsidRDefault="001946B4" w:rsidP="001946B4">
      <w:pPr>
        <w:pStyle w:val="Quote"/>
      </w:pPr>
      <w:r>
        <w:t xml:space="preserve">The delegated power in Section 9 of the Ordinance is intended to give the Minister the ability to delegate powers to the most appropriate person to manage an emergency in the JBT, consistent with NSW Practices. </w:t>
      </w:r>
    </w:p>
    <w:p w:rsidR="001946B4" w:rsidRDefault="001946B4" w:rsidP="001946B4">
      <w:pPr>
        <w:pStyle w:val="Quote"/>
      </w:pPr>
      <w:r>
        <w:t>I have requested that the Department ensure that the Explanatory Statement for the Ordinance is updated, to clarify why a broad delegation of powers is necessary to align with NSW practices and to allow for the management of a variety of emergencies in the JBT.</w:t>
      </w:r>
    </w:p>
    <w:p w:rsidR="001946B4" w:rsidRPr="0026505D" w:rsidRDefault="001946B4" w:rsidP="001946B4">
      <w:pPr>
        <w:spacing w:before="240"/>
        <w:rPr>
          <w:b/>
        </w:rPr>
      </w:pPr>
      <w:r w:rsidRPr="0026505D">
        <w:rPr>
          <w:b/>
        </w:rPr>
        <w:t>Committee's response</w:t>
      </w:r>
    </w:p>
    <w:p w:rsidR="001946B4" w:rsidRDefault="001946B4" w:rsidP="001946B4">
      <w:pPr>
        <w:pStyle w:val="Quote"/>
        <w:ind w:left="0" w:right="-46"/>
        <w:rPr>
          <w:b/>
          <w:sz w:val="26"/>
          <w:szCs w:val="26"/>
        </w:rPr>
      </w:pPr>
      <w:r w:rsidRPr="009A71D9">
        <w:rPr>
          <w:b/>
          <w:sz w:val="26"/>
          <w:szCs w:val="26"/>
        </w:rPr>
        <w:t xml:space="preserve">The committee thanks the </w:t>
      </w:r>
      <w:r>
        <w:rPr>
          <w:b/>
          <w:sz w:val="26"/>
          <w:szCs w:val="26"/>
        </w:rPr>
        <w:t xml:space="preserve">minister for the response and </w:t>
      </w:r>
      <w:r w:rsidRPr="009A71D9">
        <w:rPr>
          <w:b/>
          <w:sz w:val="26"/>
          <w:szCs w:val="26"/>
        </w:rPr>
        <w:t>has concluded its examination of the instrument.</w:t>
      </w:r>
    </w:p>
    <w:p w:rsidR="001946B4" w:rsidRPr="00094A53" w:rsidRDefault="001946B4" w:rsidP="001946B4">
      <w:pPr>
        <w:pStyle w:val="Quote"/>
        <w:ind w:left="0"/>
        <w:rPr>
          <w:sz w:val="26"/>
          <w:szCs w:val="26"/>
        </w:rPr>
      </w:pPr>
    </w:p>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rPr>
                <w:b/>
                <w:sz w:val="24"/>
                <w:szCs w:val="24"/>
              </w:rPr>
            </w:pPr>
            <w:r>
              <w:rPr>
                <w:b/>
                <w:sz w:val="24"/>
                <w:szCs w:val="24"/>
              </w:rPr>
              <w:t>Instrument</w:t>
            </w:r>
          </w:p>
        </w:tc>
        <w:tc>
          <w:tcPr>
            <w:tcW w:w="6378" w:type="dxa"/>
            <w:tcBorders>
              <w:top w:val="single" w:sz="12" w:space="0" w:color="auto"/>
              <w:left w:val="single" w:sz="12" w:space="0" w:color="auto"/>
            </w:tcBorders>
          </w:tcPr>
          <w:p w:rsidR="001946B4" w:rsidRPr="00BA36F8" w:rsidRDefault="001946B4" w:rsidP="001946B4">
            <w:pPr>
              <w:pStyle w:val="Heading3"/>
              <w:rPr>
                <w:sz w:val="24"/>
                <w:szCs w:val="24"/>
              </w:rPr>
            </w:pPr>
            <w:r w:rsidRPr="00075AD7">
              <w:rPr>
                <w:noProof/>
                <w:sz w:val="24"/>
                <w:szCs w:val="24"/>
              </w:rPr>
              <w:t>Parliamentary Entitlements Amendment (Office Budget) Regulation 2015 [F2015L00949]</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rPr>
                <w:sz w:val="24"/>
                <w:szCs w:val="24"/>
              </w:rPr>
            </w:pPr>
            <w:r w:rsidRPr="00075AD7">
              <w:rPr>
                <w:noProof/>
                <w:sz w:val="24"/>
                <w:szCs w:val="24"/>
              </w:rPr>
              <w:t xml:space="preserve">Amends the Parliamentary Entitlements Regulations 1997 to amend some entitlements for </w:t>
            </w:r>
            <w:r>
              <w:rPr>
                <w:noProof/>
                <w:sz w:val="24"/>
                <w:szCs w:val="24"/>
              </w:rPr>
              <w:t>parliamentarians under Schedule </w:t>
            </w:r>
            <w:r w:rsidRPr="00075AD7">
              <w:rPr>
                <w:noProof/>
                <w:sz w:val="24"/>
                <w:szCs w:val="24"/>
              </w:rPr>
              <w:t xml:space="preserve">1 to the </w:t>
            </w:r>
            <w:r w:rsidRPr="006E2929">
              <w:rPr>
                <w:i/>
                <w:noProof/>
                <w:sz w:val="24"/>
                <w:szCs w:val="24"/>
              </w:rPr>
              <w:t>Parliamentary Entitlements Act 1990</w:t>
            </w:r>
            <w:r w:rsidRPr="00075AD7">
              <w:rPr>
                <w:noProof/>
                <w:sz w:val="24"/>
                <w:szCs w:val="24"/>
              </w:rPr>
              <w:t xml:space="preserve"> and the </w:t>
            </w:r>
            <w:r w:rsidRPr="00075AD7">
              <w:rPr>
                <w:noProof/>
                <w:sz w:val="24"/>
                <w:szCs w:val="24"/>
              </w:rPr>
              <w:lastRenderedPageBreak/>
              <w:t>Parliamentary Entitlements Regulations 1997, to create an office budget to be used for certain existing entitlements</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lastRenderedPageBreak/>
              <w:t>Last day to disallow</w:t>
            </w:r>
          </w:p>
        </w:tc>
        <w:tc>
          <w:tcPr>
            <w:tcW w:w="6378" w:type="dxa"/>
            <w:tcBorders>
              <w:left w:val="single" w:sz="12" w:space="0" w:color="auto"/>
            </w:tcBorders>
          </w:tcPr>
          <w:p w:rsidR="001946B4" w:rsidRPr="00A77228" w:rsidRDefault="001946B4" w:rsidP="001946B4">
            <w:pPr>
              <w:rPr>
                <w:sz w:val="24"/>
                <w:szCs w:val="24"/>
              </w:rPr>
            </w:pPr>
            <w:r w:rsidRPr="00075AD7">
              <w:rPr>
                <w:noProof/>
                <w:sz w:val="24"/>
                <w:szCs w:val="24"/>
              </w:rPr>
              <w:t>17 September 2015</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rPr>
                <w:i/>
                <w:sz w:val="24"/>
                <w:szCs w:val="24"/>
              </w:rPr>
            </w:pPr>
            <w:r w:rsidRPr="00075AD7">
              <w:rPr>
                <w:i/>
                <w:noProof/>
                <w:sz w:val="24"/>
                <w:szCs w:val="24"/>
              </w:rPr>
              <w:t>Parliamentary Entitlements Act 1990</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rPr>
                <w:sz w:val="24"/>
                <w:szCs w:val="24"/>
              </w:rPr>
            </w:pPr>
            <w:r w:rsidRPr="00075AD7">
              <w:rPr>
                <w:noProof/>
                <w:sz w:val="24"/>
                <w:szCs w:val="24"/>
              </w:rPr>
              <w:t>Finance</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Pr>
                <w:b/>
                <w:sz w:val="24"/>
                <w:szCs w:val="24"/>
              </w:rPr>
              <w:t>Scrutiny principle</w:t>
            </w:r>
          </w:p>
        </w:tc>
        <w:tc>
          <w:tcPr>
            <w:tcW w:w="6378" w:type="dxa"/>
            <w:tcBorders>
              <w:left w:val="single" w:sz="12" w:space="0" w:color="auto"/>
            </w:tcBorders>
          </w:tcPr>
          <w:p w:rsidR="001946B4" w:rsidRPr="00A77228" w:rsidRDefault="001946B4" w:rsidP="001946B4">
            <w:pPr>
              <w:rPr>
                <w:sz w:val="24"/>
                <w:szCs w:val="24"/>
              </w:rPr>
            </w:pPr>
            <w:r>
              <w:rPr>
                <w:sz w:val="24"/>
                <w:szCs w:val="24"/>
              </w:rPr>
              <w:t>Standing Order 23(3)</w:t>
            </w:r>
            <w:r w:rsidRPr="00075AD7">
              <w:rPr>
                <w:noProof/>
                <w:sz w:val="24"/>
                <w:szCs w:val="24"/>
              </w:rPr>
              <w:t>(a)</w:t>
            </w:r>
          </w:p>
        </w:tc>
      </w:tr>
      <w:tr w:rsidR="001946B4" w:rsidRPr="00164622" w:rsidTr="001946B4">
        <w:tc>
          <w:tcPr>
            <w:tcW w:w="2694" w:type="dxa"/>
            <w:tcBorders>
              <w:bottom w:val="single" w:sz="12" w:space="0" w:color="auto"/>
              <w:right w:val="single" w:sz="12" w:space="0" w:color="auto"/>
            </w:tcBorders>
          </w:tcPr>
          <w:p w:rsidR="001946B4" w:rsidRDefault="001946B4" w:rsidP="001946B4">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946B4" w:rsidRDefault="001946B4" w:rsidP="001946B4">
            <w:pPr>
              <w:rPr>
                <w:sz w:val="24"/>
                <w:szCs w:val="24"/>
              </w:rPr>
            </w:pPr>
            <w:r>
              <w:rPr>
                <w:i/>
                <w:noProof/>
                <w:sz w:val="24"/>
                <w:szCs w:val="24"/>
              </w:rPr>
              <w:t xml:space="preserve">Delegated legislation monitor </w:t>
            </w:r>
            <w:r w:rsidRPr="006E2929">
              <w:rPr>
                <w:noProof/>
                <w:sz w:val="24"/>
                <w:szCs w:val="24"/>
              </w:rPr>
              <w:t>No. 8 of 2015</w:t>
            </w:r>
          </w:p>
        </w:tc>
      </w:tr>
    </w:tbl>
    <w:p w:rsidR="001946B4" w:rsidRDefault="001946B4" w:rsidP="001946B4"/>
    <w:p w:rsidR="001946B4" w:rsidRDefault="001946B4" w:rsidP="001946B4">
      <w:pPr>
        <w:rPr>
          <w:b/>
          <w:noProof/>
        </w:rPr>
      </w:pPr>
      <w:r w:rsidRPr="00075AD7">
        <w:rPr>
          <w:b/>
          <w:noProof/>
        </w:rPr>
        <w:t>Description of consultation</w:t>
      </w:r>
    </w:p>
    <w:p w:rsidR="001946B4" w:rsidRDefault="001946B4" w:rsidP="001946B4">
      <w:r>
        <w:t xml:space="preserve">The committee commented as follows: Section 17 of the </w:t>
      </w:r>
      <w:r w:rsidRPr="00636938">
        <w:rPr>
          <w:i/>
        </w:rPr>
        <w:t xml:space="preserve">Legislative Instruments Act 2003 </w:t>
      </w:r>
      <w:r>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1946B4" w:rsidRDefault="001946B4" w:rsidP="001946B4">
      <w:pPr>
        <w:pStyle w:val="Quote"/>
      </w:pPr>
      <w:r>
        <w:t xml:space="preserve">In relation to section 17 of the </w:t>
      </w:r>
      <w:r w:rsidRPr="004F7DA5">
        <w:rPr>
          <w:i/>
        </w:rPr>
        <w:t>Legislative Instruments Act 2003</w:t>
      </w:r>
      <w:r>
        <w:t xml:space="preserve">, consultation on the provisions in the Regulation has been undertaken and has bipartisan support.  </w:t>
      </w:r>
    </w:p>
    <w:p w:rsidR="001946B4" w:rsidRDefault="001946B4" w:rsidP="001946B4">
      <w:pPr>
        <w:pStyle w:val="Quote"/>
      </w:pPr>
      <w:r>
        <w:t>The Office of Best Practice Regulation (OBPR) has been consulted and agrees that this proposal will have no regulatory impact on businesses, individuals or organisations and therefore the regulatory costs are nil. OBPR ID Number: 16832.</w:t>
      </w:r>
    </w:p>
    <w:p w:rsidR="001946B4" w:rsidRDefault="001946B4" w:rsidP="001946B4">
      <w:r>
        <w:t xml:space="preserve">First, while the committee does not usually interpret section 26 as requiring a highly detailed description of consultation undertaken, it considers that an overly bare or general description is insufficient to satisfy the requirements of the </w:t>
      </w:r>
      <w:r w:rsidRPr="00636938">
        <w:rPr>
          <w:i/>
        </w:rPr>
        <w:t>Legislative Instruments Act 2003</w:t>
      </w:r>
      <w:r>
        <w:t xml:space="preserve">. The committee considers that in this case the information provided regarding bipartisan support does not describe whether formal consultation was undertaken and, if so, the nature of the consultation undertaken </w:t>
      </w:r>
      <w:r w:rsidRPr="002C4388">
        <w:t>(</w:t>
      </w:r>
      <w:r>
        <w:t xml:space="preserve">such as, </w:t>
      </w:r>
      <w:r w:rsidRPr="002C4388">
        <w:t>for example, the manner, purpose and out</w:t>
      </w:r>
      <w:r>
        <w:t>c</w:t>
      </w:r>
      <w:r w:rsidRPr="002C4388">
        <w:t>ome of the consultation)</w:t>
      </w:r>
      <w:r>
        <w:t>.</w:t>
      </w:r>
    </w:p>
    <w:p w:rsidR="001946B4" w:rsidRDefault="001946B4" w:rsidP="001946B4">
      <w:r>
        <w:t xml:space="preserve">Second, the committee does not consider that the process of ascertaining the necessity of a Regulatory Impact Statement for an instrument is strictly relevant to the question of consultation under </w:t>
      </w:r>
      <w:r w:rsidRPr="00636938">
        <w:rPr>
          <w:i/>
        </w:rPr>
        <w:t>the Legislative Instruments Act 2003</w:t>
      </w:r>
      <w:r>
        <w:rPr>
          <w:i/>
        </w:rPr>
        <w:t xml:space="preserve"> </w:t>
      </w:r>
      <w:r>
        <w:t>(see subsection 17(2)).</w:t>
      </w:r>
    </w:p>
    <w:p w:rsidR="001946B4" w:rsidRDefault="001946B4" w:rsidP="001946B4">
      <w:r>
        <w:t>The committee's expectations in this regard are set out in the guideline on consultation contained in Appendix 2.</w:t>
      </w:r>
    </w:p>
    <w:p w:rsidR="001946B4" w:rsidRPr="00096833" w:rsidRDefault="001946B4" w:rsidP="001946B4">
      <w:pPr>
        <w:rPr>
          <w:b/>
          <w:i/>
        </w:rPr>
      </w:pPr>
      <w:r w:rsidRPr="00096833">
        <w:rPr>
          <w:b/>
          <w:i/>
        </w:rPr>
        <w:lastRenderedPageBreak/>
        <w:t xml:space="preserve">The committee requested the advice of the minister in relation to this matter; and requested that the ES be updated in accordance with the requirements of the </w:t>
      </w:r>
      <w:r w:rsidRPr="00C54E2C">
        <w:rPr>
          <w:b/>
          <w:i/>
        </w:rPr>
        <w:t>Legislative Instruments Act 2003</w:t>
      </w:r>
      <w:r w:rsidRPr="00096833">
        <w:rPr>
          <w:b/>
          <w:i/>
        </w:rPr>
        <w:t>.</w:t>
      </w:r>
    </w:p>
    <w:p w:rsidR="001946B4" w:rsidRDefault="001946B4" w:rsidP="001946B4">
      <w:pPr>
        <w:rPr>
          <w:b/>
        </w:rPr>
      </w:pPr>
    </w:p>
    <w:p w:rsidR="001946B4" w:rsidRDefault="001946B4" w:rsidP="001946B4">
      <w:pPr>
        <w:rPr>
          <w:b/>
        </w:rPr>
      </w:pPr>
      <w:r>
        <w:rPr>
          <w:b/>
        </w:rPr>
        <w:t>Minister's response</w:t>
      </w:r>
    </w:p>
    <w:p w:rsidR="001946B4" w:rsidRDefault="001946B4" w:rsidP="001946B4">
      <w:r>
        <w:t>The Minister for Veterans' Affairs advised:</w:t>
      </w:r>
    </w:p>
    <w:p w:rsidR="001946B4" w:rsidRPr="006E2929" w:rsidRDefault="001946B4" w:rsidP="001946B4">
      <w:pPr>
        <w:pStyle w:val="Quote"/>
      </w:pPr>
      <w:r>
        <w:t>…the Government discussed the entitlement changes with the Opposition ahead of the 2015-16 Budget announcement and that during these discussions, bipartisan support for the changes was reached. In addition, a presentation for all Senators and Members detailing the entitlement changes was held at Parliament House on 26 May 2015 and was subsequently published on the Ministerial and Parliamentary Services website for those who could not attend.</w:t>
      </w:r>
      <w:r w:rsidRPr="006E2929">
        <w:t xml:space="preserve"> </w:t>
      </w:r>
    </w:p>
    <w:p w:rsidR="001946B4" w:rsidRDefault="001946B4" w:rsidP="001946B4">
      <w:pPr>
        <w:spacing w:after="0"/>
        <w:rPr>
          <w:i/>
        </w:rPr>
      </w:pPr>
      <w:r>
        <w:rPr>
          <w:szCs w:val="26"/>
        </w:rPr>
        <w:t>The minister also advised that he had approved a revised ES in accordance with the committee's request.</w:t>
      </w:r>
    </w:p>
    <w:p w:rsidR="001946B4" w:rsidRDefault="001946B4" w:rsidP="001946B4">
      <w:pPr>
        <w:pStyle w:val="Quote"/>
        <w:ind w:left="0"/>
        <w:rPr>
          <w:b/>
          <w:sz w:val="26"/>
          <w:szCs w:val="26"/>
        </w:rPr>
      </w:pPr>
    </w:p>
    <w:p w:rsidR="001946B4" w:rsidRPr="009A71D9" w:rsidRDefault="001946B4" w:rsidP="001946B4">
      <w:pPr>
        <w:pStyle w:val="Quote"/>
        <w:ind w:left="0"/>
        <w:rPr>
          <w:b/>
          <w:sz w:val="26"/>
          <w:szCs w:val="26"/>
        </w:rPr>
      </w:pPr>
      <w:r w:rsidRPr="009A71D9">
        <w:rPr>
          <w:b/>
          <w:sz w:val="26"/>
          <w:szCs w:val="26"/>
        </w:rPr>
        <w:t>Committee's response</w:t>
      </w:r>
    </w:p>
    <w:p w:rsidR="001946B4" w:rsidRDefault="001946B4" w:rsidP="001946B4">
      <w:pPr>
        <w:pStyle w:val="Quote"/>
        <w:ind w:left="0" w:right="-46"/>
        <w:rPr>
          <w:b/>
          <w:sz w:val="26"/>
          <w:szCs w:val="26"/>
        </w:rPr>
      </w:pPr>
      <w:r w:rsidRPr="009A71D9">
        <w:rPr>
          <w:b/>
          <w:sz w:val="26"/>
          <w:szCs w:val="26"/>
        </w:rPr>
        <w:t xml:space="preserve">The committee thanks the </w:t>
      </w:r>
      <w:r>
        <w:rPr>
          <w:b/>
          <w:sz w:val="26"/>
          <w:szCs w:val="26"/>
        </w:rPr>
        <w:t>minister</w:t>
      </w:r>
      <w:r w:rsidRPr="009A71D9">
        <w:rPr>
          <w:b/>
          <w:sz w:val="26"/>
          <w:szCs w:val="26"/>
        </w:rPr>
        <w:t xml:space="preserve"> for the response and has concluded its examination of the instrument.</w:t>
      </w:r>
    </w:p>
    <w:p w:rsidR="001946B4" w:rsidRDefault="001946B4" w:rsidP="001946B4">
      <w:pPr>
        <w:spacing w:after="0"/>
        <w:jc w:val="left"/>
        <w:rPr>
          <w:b/>
          <w:szCs w:val="26"/>
        </w:rPr>
      </w:pPr>
      <w:r>
        <w:rPr>
          <w:b/>
          <w:szCs w:val="26"/>
        </w:rPr>
        <w:br w:type="page"/>
      </w:r>
    </w:p>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1946B4" w:rsidRPr="00BA36F8" w:rsidRDefault="001946B4" w:rsidP="001946B4">
            <w:pPr>
              <w:pStyle w:val="Heading3"/>
              <w:rPr>
                <w:sz w:val="24"/>
                <w:szCs w:val="24"/>
              </w:rPr>
            </w:pPr>
            <w:r w:rsidRPr="00333FC5">
              <w:rPr>
                <w:noProof/>
                <w:sz w:val="24"/>
                <w:szCs w:val="24"/>
              </w:rPr>
              <w:t>Private Health Insurance (Registration) Amendment Rules 2015 (No. 1) [F2015L00765]</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rPr>
                <w:sz w:val="24"/>
                <w:szCs w:val="24"/>
              </w:rPr>
            </w:pPr>
            <w:r w:rsidRPr="00333FC5">
              <w:rPr>
                <w:noProof/>
                <w:sz w:val="24"/>
                <w:szCs w:val="24"/>
              </w:rPr>
              <w:t>Amends the Private Health Insurance (Registration) Rules 2009 (No. 2) to remove details of two restricted access groups</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rPr>
                <w:sz w:val="24"/>
                <w:szCs w:val="24"/>
              </w:rPr>
            </w:pPr>
            <w:r w:rsidRPr="00333FC5">
              <w:rPr>
                <w:noProof/>
                <w:sz w:val="24"/>
                <w:szCs w:val="24"/>
              </w:rPr>
              <w:t>11 November 2015</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rPr>
                <w:i/>
                <w:sz w:val="24"/>
                <w:szCs w:val="24"/>
              </w:rPr>
            </w:pPr>
            <w:r w:rsidRPr="00333FC5">
              <w:rPr>
                <w:i/>
                <w:noProof/>
                <w:sz w:val="24"/>
                <w:szCs w:val="24"/>
              </w:rPr>
              <w:t>Private Health Insurance Act 2007</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rPr>
                <w:sz w:val="24"/>
                <w:szCs w:val="24"/>
              </w:rPr>
            </w:pPr>
            <w:r w:rsidRPr="00333FC5">
              <w:rPr>
                <w:noProof/>
                <w:sz w:val="24"/>
                <w:szCs w:val="24"/>
              </w:rPr>
              <w:t>Health</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Pr>
                <w:b/>
                <w:sz w:val="24"/>
                <w:szCs w:val="24"/>
              </w:rPr>
              <w:t>Scrutiny principle</w:t>
            </w:r>
          </w:p>
        </w:tc>
        <w:tc>
          <w:tcPr>
            <w:tcW w:w="6378" w:type="dxa"/>
            <w:tcBorders>
              <w:left w:val="single" w:sz="12" w:space="0" w:color="auto"/>
            </w:tcBorders>
          </w:tcPr>
          <w:p w:rsidR="001946B4" w:rsidRPr="00A77228" w:rsidRDefault="001946B4" w:rsidP="001946B4">
            <w:pPr>
              <w:rPr>
                <w:sz w:val="24"/>
                <w:szCs w:val="24"/>
              </w:rPr>
            </w:pPr>
            <w:r>
              <w:rPr>
                <w:sz w:val="24"/>
                <w:szCs w:val="24"/>
              </w:rPr>
              <w:t>Standing Order 23(3)</w:t>
            </w:r>
            <w:r w:rsidRPr="00333FC5">
              <w:rPr>
                <w:noProof/>
                <w:sz w:val="24"/>
                <w:szCs w:val="24"/>
              </w:rPr>
              <w:t>(a)</w:t>
            </w:r>
          </w:p>
        </w:tc>
      </w:tr>
      <w:tr w:rsidR="001946B4" w:rsidRPr="00164622" w:rsidTr="001946B4">
        <w:tc>
          <w:tcPr>
            <w:tcW w:w="2694" w:type="dxa"/>
            <w:tcBorders>
              <w:bottom w:val="single" w:sz="12" w:space="0" w:color="auto"/>
              <w:right w:val="single" w:sz="12" w:space="0" w:color="auto"/>
            </w:tcBorders>
          </w:tcPr>
          <w:p w:rsidR="001946B4" w:rsidRDefault="001946B4" w:rsidP="001946B4">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946B4" w:rsidRDefault="001946B4" w:rsidP="001946B4">
            <w:pPr>
              <w:rPr>
                <w:sz w:val="24"/>
                <w:szCs w:val="24"/>
              </w:rPr>
            </w:pPr>
            <w:r>
              <w:rPr>
                <w:i/>
                <w:noProof/>
                <w:sz w:val="24"/>
                <w:szCs w:val="24"/>
              </w:rPr>
              <w:t xml:space="preserve">Delegated legislation monitor </w:t>
            </w:r>
            <w:r w:rsidRPr="00A03EC0">
              <w:rPr>
                <w:noProof/>
                <w:sz w:val="24"/>
                <w:szCs w:val="24"/>
              </w:rPr>
              <w:t>No. 8 of 2015</w:t>
            </w:r>
          </w:p>
        </w:tc>
      </w:tr>
    </w:tbl>
    <w:p w:rsidR="001946B4" w:rsidRDefault="001946B4" w:rsidP="001946B4"/>
    <w:p w:rsidR="001946B4" w:rsidRDefault="001946B4" w:rsidP="001946B4">
      <w:pPr>
        <w:rPr>
          <w:b/>
          <w:noProof/>
        </w:rPr>
      </w:pPr>
      <w:r w:rsidRPr="00333FC5">
        <w:rPr>
          <w:b/>
          <w:noProof/>
        </w:rPr>
        <w:t>Description of consultation</w:t>
      </w:r>
    </w:p>
    <w:p w:rsidR="001946B4" w:rsidRDefault="001946B4" w:rsidP="001946B4">
      <w:r>
        <w:t xml:space="preserve">The committee commented as follows: Section 17 of the </w:t>
      </w:r>
      <w:r w:rsidRPr="002755B8">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1946B4" w:rsidRDefault="001946B4" w:rsidP="001946B4">
      <w:pPr>
        <w:pStyle w:val="Quote"/>
      </w:pPr>
      <w:r>
        <w:t>The Office of Best Practice Regulation (OBPR) was consulted. OBPR advised that a Regulation Impact Statement was not required because the amendments are minor.</w:t>
      </w:r>
    </w:p>
    <w:p w:rsidR="001946B4" w:rsidRDefault="001946B4" w:rsidP="001946B4">
      <w:r>
        <w:t xml:space="preserve">The committee's guideline on the requirement to address the question of consultation under the </w:t>
      </w:r>
      <w:r>
        <w:rPr>
          <w:i/>
        </w:rPr>
        <w:t>Legislative Instruments Act 2003</w:t>
      </w:r>
      <w:r>
        <w:t xml:space="preserve"> states:</w:t>
      </w:r>
    </w:p>
    <w:p w:rsidR="001946B4" w:rsidRDefault="001946B4" w:rsidP="001946B4">
      <w:pPr>
        <w:pStyle w:val="Quote"/>
      </w:pPr>
      <w:r>
        <w:rPr>
          <w:lang w:val="en"/>
        </w:rPr>
        <w:t>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1946B4" w:rsidRPr="004F7DA5" w:rsidRDefault="001946B4" w:rsidP="001946B4">
      <w:r>
        <w:t xml:space="preserve">The committee therefore considers that the ES for the instrument provides no information regarding consultation for the purposes of the </w:t>
      </w:r>
      <w:r>
        <w:rPr>
          <w:i/>
        </w:rPr>
        <w:t>Legislative Instruments</w:t>
      </w:r>
      <w:r>
        <w:rPr>
          <w:i/>
        </w:rPr>
        <w:br/>
        <w:t>Act 2003</w:t>
      </w:r>
      <w:r>
        <w:t>.</w:t>
      </w:r>
    </w:p>
    <w:p w:rsidR="001946B4" w:rsidRDefault="001946B4" w:rsidP="001946B4">
      <w:r>
        <w:t>The committee's expectations in this regard are set out fully in the guideline on consultation contained in Appendix 2.</w:t>
      </w:r>
    </w:p>
    <w:p w:rsidR="001946B4" w:rsidRDefault="001946B4" w:rsidP="001946B4">
      <w:pPr>
        <w:rPr>
          <w:b/>
        </w:rPr>
      </w:pPr>
      <w:r w:rsidRPr="00096833">
        <w:rPr>
          <w:b/>
          <w:i/>
        </w:rPr>
        <w:lastRenderedPageBreak/>
        <w:t>The committee requested the advice of the minister in relation to matter; and requested that the ES be updated in accordance with the requirements of the Legislative Instruments Act 2003</w:t>
      </w:r>
      <w:r w:rsidRPr="00915B3C">
        <w:rPr>
          <w:b/>
        </w:rPr>
        <w:t>.</w:t>
      </w:r>
    </w:p>
    <w:p w:rsidR="001946B4" w:rsidRDefault="001946B4" w:rsidP="001946B4">
      <w:pPr>
        <w:rPr>
          <w:b/>
        </w:rPr>
      </w:pPr>
    </w:p>
    <w:p w:rsidR="001946B4" w:rsidRDefault="001946B4" w:rsidP="001946B4">
      <w:pPr>
        <w:rPr>
          <w:b/>
        </w:rPr>
      </w:pPr>
      <w:r>
        <w:rPr>
          <w:b/>
        </w:rPr>
        <w:t>Minister's response</w:t>
      </w:r>
    </w:p>
    <w:p w:rsidR="001946B4" w:rsidRDefault="001946B4" w:rsidP="001946B4">
      <w:r>
        <w:t>The Department of Health advised on behalf of the minister that the ES has been updated to include additional information on consultation which occurred for the rule amendment.</w:t>
      </w:r>
    </w:p>
    <w:p w:rsidR="001946B4" w:rsidRDefault="001946B4" w:rsidP="001946B4">
      <w:r>
        <w:t>The revised ES states:</w:t>
      </w:r>
    </w:p>
    <w:p w:rsidR="001946B4" w:rsidRPr="00A03EC0" w:rsidRDefault="001946B4" w:rsidP="001946B4">
      <w:pPr>
        <w:pStyle w:val="Quote"/>
      </w:pPr>
      <w:r w:rsidRPr="00A03EC0">
        <w:t>Consultation</w:t>
      </w:r>
    </w:p>
    <w:p w:rsidR="001946B4" w:rsidRDefault="001946B4" w:rsidP="001946B4">
      <w:pPr>
        <w:pStyle w:val="Quote"/>
      </w:pPr>
      <w:r>
        <w:t>Consumer consultation was undertaken by Phoenix Health Fund Limited and Transport Health Pty Ltd with their respective memberships about the then proposed changed to their fund type.</w:t>
      </w:r>
    </w:p>
    <w:p w:rsidR="001946B4" w:rsidRDefault="001946B4" w:rsidP="001946B4">
      <w:pPr>
        <w:pStyle w:val="Quote"/>
      </w:pPr>
      <w:r>
        <w:t>The Department of Health did not consult with Phoenix Health Fund Limited and Transport Health Pty Ltd about the repeal of the definitions of their restricted access group, as the repeals were made following the two insurers notifying the Private Health Insurance Administration Council (PHIAC) that they wished to cease holding restricted access status.</w:t>
      </w:r>
    </w:p>
    <w:p w:rsidR="001946B4" w:rsidRDefault="001946B4" w:rsidP="001946B4">
      <w:pPr>
        <w:pStyle w:val="Quote"/>
      </w:pPr>
      <w:r>
        <w:t xml:space="preserve">Under subsection 126-40(4) of the </w:t>
      </w:r>
      <w:r>
        <w:rPr>
          <w:i/>
        </w:rPr>
        <w:t>Private Health Insurance Act 2007 (the Act)</w:t>
      </w:r>
      <w:r>
        <w:t>, a restricted access insurer who notifies PHIAC that it no longer wishes to hold restricted access registration is taken to ceased to do so. In accordance with the Act, PHIAC informed the Department of the change in registration status of Phoenix Health Fund Limited and Transport Health Pty Ltd. This made the continued specification of their restricted access groups redundant and they have been repealed.</w:t>
      </w:r>
    </w:p>
    <w:p w:rsidR="001946B4" w:rsidRDefault="001946B4" w:rsidP="001946B4">
      <w:pPr>
        <w:pStyle w:val="Quote"/>
      </w:pPr>
      <w:r>
        <w:t>The repeal of the definition of the restricted access groups for Phoenix Health Fund Limited and Transport Health Pty Ltd does not affect the registration status of other insurers. However, PIHAC has already notified industry of the changes to the registration status through the release of private health insurance industry circulars.</w:t>
      </w:r>
    </w:p>
    <w:p w:rsidR="001946B4" w:rsidRDefault="001946B4" w:rsidP="001946B4">
      <w:pPr>
        <w:pStyle w:val="Quote"/>
      </w:pPr>
      <w:r>
        <w:t>Phoenix Health Fund Limited and Transport Health Pty Lth notified members of their respective funds via a mail-out and via their websites of the change in registration status.</w:t>
      </w:r>
    </w:p>
    <w:p w:rsidR="001946B4" w:rsidRPr="009A71D9" w:rsidRDefault="001946B4" w:rsidP="001946B4">
      <w:pPr>
        <w:pStyle w:val="Quote"/>
        <w:ind w:left="0"/>
        <w:rPr>
          <w:b/>
          <w:sz w:val="26"/>
          <w:szCs w:val="26"/>
        </w:rPr>
      </w:pPr>
      <w:r w:rsidRPr="009A71D9">
        <w:rPr>
          <w:b/>
          <w:sz w:val="26"/>
          <w:szCs w:val="26"/>
        </w:rPr>
        <w:t>Committee's response</w:t>
      </w:r>
    </w:p>
    <w:p w:rsidR="001946B4" w:rsidRDefault="001946B4" w:rsidP="001946B4">
      <w:pPr>
        <w:pStyle w:val="Quote"/>
        <w:ind w:left="0" w:right="-46"/>
        <w:rPr>
          <w:b/>
          <w:sz w:val="26"/>
          <w:szCs w:val="26"/>
        </w:rPr>
      </w:pPr>
      <w:r w:rsidRPr="009A71D9">
        <w:rPr>
          <w:b/>
          <w:sz w:val="26"/>
          <w:szCs w:val="26"/>
        </w:rPr>
        <w:t xml:space="preserve">The committee thanks the </w:t>
      </w:r>
      <w:r>
        <w:rPr>
          <w:b/>
          <w:sz w:val="26"/>
          <w:szCs w:val="26"/>
        </w:rPr>
        <w:t xml:space="preserve">minister </w:t>
      </w:r>
      <w:r w:rsidRPr="009A71D9">
        <w:rPr>
          <w:b/>
          <w:sz w:val="26"/>
          <w:szCs w:val="26"/>
        </w:rPr>
        <w:t>for the response and has concluded its examination of the instrument.</w:t>
      </w:r>
    </w:p>
    <w:p w:rsidR="001946B4" w:rsidRDefault="001946B4" w:rsidP="001946B4">
      <w:pPr>
        <w:spacing w:after="0"/>
        <w:jc w:val="left"/>
        <w:rPr>
          <w:szCs w:val="26"/>
        </w:rPr>
      </w:pPr>
      <w:r>
        <w:rPr>
          <w:szCs w:val="26"/>
        </w:rPr>
        <w:br w:type="page"/>
      </w:r>
    </w:p>
    <w:p w:rsidR="001946B4" w:rsidRPr="00164622" w:rsidRDefault="001946B4" w:rsidP="001946B4">
      <w:pPr>
        <w:spacing w:after="0"/>
        <w:rPr>
          <w:szCs w:val="26"/>
        </w:rPr>
      </w:pPr>
    </w:p>
    <w:tbl>
      <w:tblPr>
        <w:tblW w:w="0" w:type="auto"/>
        <w:tblInd w:w="108" w:type="dxa"/>
        <w:tblLook w:val="04A0" w:firstRow="1" w:lastRow="0" w:firstColumn="1" w:lastColumn="0" w:noHBand="0" w:noVBand="1"/>
      </w:tblPr>
      <w:tblGrid>
        <w:gridCol w:w="2694"/>
        <w:gridCol w:w="6378"/>
      </w:tblGrid>
      <w:tr w:rsidR="001946B4" w:rsidRPr="00164622" w:rsidTr="001946B4">
        <w:tc>
          <w:tcPr>
            <w:tcW w:w="2694" w:type="dxa"/>
            <w:tcBorders>
              <w:top w:val="single" w:sz="12" w:space="0" w:color="auto"/>
              <w:right w:val="single" w:sz="12" w:space="0" w:color="auto"/>
            </w:tcBorders>
          </w:tcPr>
          <w:p w:rsidR="001946B4" w:rsidRPr="00A77228" w:rsidRDefault="001946B4" w:rsidP="001946B4">
            <w:pPr>
              <w:rPr>
                <w:b/>
                <w:sz w:val="24"/>
                <w:szCs w:val="24"/>
              </w:rPr>
            </w:pPr>
            <w:r>
              <w:rPr>
                <w:b/>
                <w:sz w:val="24"/>
                <w:szCs w:val="24"/>
              </w:rPr>
              <w:t>Instrument</w:t>
            </w:r>
          </w:p>
        </w:tc>
        <w:tc>
          <w:tcPr>
            <w:tcW w:w="6378" w:type="dxa"/>
            <w:tcBorders>
              <w:top w:val="single" w:sz="12" w:space="0" w:color="auto"/>
              <w:left w:val="single" w:sz="12" w:space="0" w:color="auto"/>
            </w:tcBorders>
          </w:tcPr>
          <w:p w:rsidR="001946B4" w:rsidRPr="00BA36F8" w:rsidRDefault="001946B4" w:rsidP="001946B4">
            <w:pPr>
              <w:pStyle w:val="Heading3"/>
              <w:rPr>
                <w:sz w:val="24"/>
                <w:szCs w:val="24"/>
              </w:rPr>
            </w:pPr>
            <w:r w:rsidRPr="00B77A45">
              <w:rPr>
                <w:noProof/>
                <w:sz w:val="24"/>
                <w:szCs w:val="24"/>
              </w:rPr>
              <w:t>Social Security (Satisfaction of the Activity Test – Classes of Persons) (DEEWR and FaHCSIA) Specifications 2009 (No. 1) – Instrument of Revocation 2015 [F2015L00865]</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Purpose</w:t>
            </w:r>
          </w:p>
        </w:tc>
        <w:tc>
          <w:tcPr>
            <w:tcW w:w="6378" w:type="dxa"/>
            <w:tcBorders>
              <w:left w:val="single" w:sz="12" w:space="0" w:color="auto"/>
            </w:tcBorders>
          </w:tcPr>
          <w:p w:rsidR="001946B4" w:rsidRPr="00A77228" w:rsidRDefault="001946B4" w:rsidP="001946B4">
            <w:pPr>
              <w:rPr>
                <w:sz w:val="24"/>
                <w:szCs w:val="24"/>
              </w:rPr>
            </w:pPr>
            <w:r w:rsidRPr="00B77A45">
              <w:rPr>
                <w:noProof/>
                <w:sz w:val="24"/>
                <w:szCs w:val="24"/>
              </w:rPr>
              <w:t>Revokes the Social Security (Satisfaction of the Activity Test – Classes of Persons) (DEEWR) Specification (No. 1) 2009 and the Social Security (Satisfaction of the Activity Test – Classes of Persons) (FaHCSIA) Specification (No. 1) 2009</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Last day to disallow</w:t>
            </w:r>
          </w:p>
        </w:tc>
        <w:tc>
          <w:tcPr>
            <w:tcW w:w="6378" w:type="dxa"/>
            <w:tcBorders>
              <w:left w:val="single" w:sz="12" w:space="0" w:color="auto"/>
            </w:tcBorders>
          </w:tcPr>
          <w:p w:rsidR="001946B4" w:rsidRPr="00A77228" w:rsidRDefault="001946B4" w:rsidP="001946B4">
            <w:pPr>
              <w:rPr>
                <w:sz w:val="24"/>
                <w:szCs w:val="24"/>
              </w:rPr>
            </w:pPr>
            <w:r w:rsidRPr="00B77A45">
              <w:rPr>
                <w:noProof/>
                <w:sz w:val="24"/>
                <w:szCs w:val="24"/>
              </w:rPr>
              <w:t>16 September 2015</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Authorising legislation</w:t>
            </w:r>
          </w:p>
        </w:tc>
        <w:tc>
          <w:tcPr>
            <w:tcW w:w="6378" w:type="dxa"/>
            <w:tcBorders>
              <w:left w:val="single" w:sz="12" w:space="0" w:color="auto"/>
            </w:tcBorders>
          </w:tcPr>
          <w:p w:rsidR="001946B4" w:rsidRPr="00932D1C" w:rsidRDefault="001946B4" w:rsidP="001946B4">
            <w:pPr>
              <w:rPr>
                <w:i/>
                <w:sz w:val="24"/>
                <w:szCs w:val="24"/>
              </w:rPr>
            </w:pPr>
            <w:r w:rsidRPr="00B77A45">
              <w:rPr>
                <w:i/>
                <w:noProof/>
                <w:sz w:val="24"/>
                <w:szCs w:val="24"/>
              </w:rPr>
              <w:t>Social Security Act 1991</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sidRPr="00A77228">
              <w:rPr>
                <w:b/>
                <w:sz w:val="24"/>
                <w:szCs w:val="24"/>
              </w:rPr>
              <w:t>Department</w:t>
            </w:r>
          </w:p>
        </w:tc>
        <w:tc>
          <w:tcPr>
            <w:tcW w:w="6378" w:type="dxa"/>
            <w:tcBorders>
              <w:left w:val="single" w:sz="12" w:space="0" w:color="auto"/>
            </w:tcBorders>
          </w:tcPr>
          <w:p w:rsidR="001946B4" w:rsidRPr="00A77228" w:rsidRDefault="001946B4" w:rsidP="001946B4">
            <w:pPr>
              <w:rPr>
                <w:sz w:val="24"/>
                <w:szCs w:val="24"/>
              </w:rPr>
            </w:pPr>
            <w:r w:rsidRPr="00B77A45">
              <w:rPr>
                <w:noProof/>
                <w:sz w:val="24"/>
                <w:szCs w:val="24"/>
              </w:rPr>
              <w:t>Employment</w:t>
            </w:r>
          </w:p>
        </w:tc>
      </w:tr>
      <w:tr w:rsidR="001946B4" w:rsidRPr="00164622" w:rsidTr="001946B4">
        <w:tc>
          <w:tcPr>
            <w:tcW w:w="2694" w:type="dxa"/>
            <w:tcBorders>
              <w:right w:val="single" w:sz="12" w:space="0" w:color="auto"/>
            </w:tcBorders>
          </w:tcPr>
          <w:p w:rsidR="001946B4" w:rsidRPr="00A77228" w:rsidRDefault="001946B4" w:rsidP="001946B4">
            <w:pPr>
              <w:rPr>
                <w:b/>
                <w:sz w:val="24"/>
                <w:szCs w:val="24"/>
              </w:rPr>
            </w:pPr>
            <w:r>
              <w:rPr>
                <w:b/>
                <w:sz w:val="24"/>
                <w:szCs w:val="24"/>
              </w:rPr>
              <w:t>Scrutiny principle</w:t>
            </w:r>
          </w:p>
        </w:tc>
        <w:tc>
          <w:tcPr>
            <w:tcW w:w="6378" w:type="dxa"/>
            <w:tcBorders>
              <w:left w:val="single" w:sz="12" w:space="0" w:color="auto"/>
            </w:tcBorders>
          </w:tcPr>
          <w:p w:rsidR="001946B4" w:rsidRPr="00A77228" w:rsidRDefault="001946B4" w:rsidP="001946B4">
            <w:pPr>
              <w:rPr>
                <w:sz w:val="24"/>
                <w:szCs w:val="24"/>
              </w:rPr>
            </w:pPr>
            <w:r>
              <w:rPr>
                <w:sz w:val="24"/>
                <w:szCs w:val="24"/>
              </w:rPr>
              <w:t>Standing Order 23(3)</w:t>
            </w:r>
            <w:r w:rsidRPr="00B77A45">
              <w:rPr>
                <w:noProof/>
                <w:sz w:val="24"/>
                <w:szCs w:val="24"/>
              </w:rPr>
              <w:t>(a)</w:t>
            </w:r>
          </w:p>
        </w:tc>
      </w:tr>
      <w:tr w:rsidR="001946B4" w:rsidRPr="00164622" w:rsidTr="001946B4">
        <w:tc>
          <w:tcPr>
            <w:tcW w:w="2694" w:type="dxa"/>
            <w:tcBorders>
              <w:bottom w:val="single" w:sz="12" w:space="0" w:color="auto"/>
              <w:right w:val="single" w:sz="12" w:space="0" w:color="auto"/>
            </w:tcBorders>
          </w:tcPr>
          <w:p w:rsidR="001946B4" w:rsidRDefault="001946B4" w:rsidP="001946B4">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1946B4" w:rsidRDefault="001946B4" w:rsidP="001946B4">
            <w:pPr>
              <w:rPr>
                <w:sz w:val="24"/>
                <w:szCs w:val="24"/>
              </w:rPr>
            </w:pPr>
            <w:r>
              <w:rPr>
                <w:i/>
                <w:noProof/>
                <w:sz w:val="24"/>
                <w:szCs w:val="24"/>
              </w:rPr>
              <w:t xml:space="preserve">Delegated legislation monitor </w:t>
            </w:r>
            <w:r w:rsidRPr="00035C4F">
              <w:rPr>
                <w:noProof/>
                <w:sz w:val="24"/>
                <w:szCs w:val="24"/>
              </w:rPr>
              <w:t>No. 8 of 2015</w:t>
            </w:r>
          </w:p>
        </w:tc>
      </w:tr>
    </w:tbl>
    <w:p w:rsidR="001946B4" w:rsidRDefault="001946B4" w:rsidP="001946B4"/>
    <w:p w:rsidR="001946B4" w:rsidRDefault="001946B4" w:rsidP="001946B4">
      <w:pPr>
        <w:rPr>
          <w:b/>
          <w:noProof/>
        </w:rPr>
      </w:pPr>
      <w:r w:rsidRPr="00B77A45">
        <w:rPr>
          <w:b/>
          <w:noProof/>
        </w:rPr>
        <w:t>Description of consultation</w:t>
      </w:r>
    </w:p>
    <w:p w:rsidR="001946B4" w:rsidRDefault="001946B4" w:rsidP="001946B4">
      <w:r>
        <w:rPr>
          <w:noProof/>
        </w:rPr>
        <w:t xml:space="preserve">The committee commented as follows: </w:t>
      </w:r>
      <w:r>
        <w:t xml:space="preserve">Section 17 of the </w:t>
      </w:r>
      <w:r w:rsidRPr="00915B3C">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1946B4" w:rsidRDefault="001946B4" w:rsidP="001946B4">
      <w:pPr>
        <w:pStyle w:val="Quote"/>
      </w:pPr>
      <w:r>
        <w:t xml:space="preserve">The Department of Social Services has been </w:t>
      </w:r>
      <w:r w:rsidRPr="00B225CB">
        <w:t>consulted</w:t>
      </w:r>
      <w:r>
        <w:t xml:space="preserve"> regarding this instrument.</w:t>
      </w:r>
    </w:p>
    <w:p w:rsidR="001946B4" w:rsidRDefault="001946B4" w:rsidP="001946B4">
      <w:r>
        <w:t xml:space="preserve">While the committee does not usually interpret section 26 as requiring a highly detailed description of consultation undertaken, it considers that an overly bare or general description is insufficient to satisfy the requirements of </w:t>
      </w:r>
      <w:r w:rsidRPr="00287750">
        <w:t>the</w:t>
      </w:r>
      <w:r w:rsidRPr="004F7DA5">
        <w:rPr>
          <w:i/>
        </w:rPr>
        <w:t xml:space="preserve"> Legislative Instruments Act 2003</w:t>
      </w:r>
      <w:r>
        <w:t>. The committee considers that in this case the information provided does not describe the nature of the consultation undertaken (such as, for example, the manner, purpose and outcome of the consultation with the Department of Social Security).</w:t>
      </w:r>
    </w:p>
    <w:p w:rsidR="001946B4" w:rsidRDefault="001946B4" w:rsidP="001946B4">
      <w:r>
        <w:t>The committee's expectations in this regard are set out in the guideline on consultation contained in Appendix 2.</w:t>
      </w:r>
    </w:p>
    <w:p w:rsidR="001946B4" w:rsidRPr="00035C4F" w:rsidRDefault="001946B4" w:rsidP="001946B4">
      <w:pPr>
        <w:rPr>
          <w:i/>
        </w:rPr>
      </w:pPr>
      <w:r w:rsidRPr="00035C4F">
        <w:rPr>
          <w:b/>
          <w:i/>
        </w:rPr>
        <w:lastRenderedPageBreak/>
        <w:t>The committee requested the advice of the minister in relation to this matter; and requests that the ES be updated in accordance with the requirements of the Legislative Instruments Act</w:t>
      </w:r>
      <w:r w:rsidRPr="00035C4F">
        <w:rPr>
          <w:i/>
        </w:rPr>
        <w:t xml:space="preserve"> </w:t>
      </w:r>
      <w:r w:rsidRPr="00035C4F">
        <w:rPr>
          <w:b/>
          <w:i/>
        </w:rPr>
        <w:t>2003</w:t>
      </w:r>
      <w:r w:rsidRPr="00035C4F">
        <w:rPr>
          <w:i/>
        </w:rPr>
        <w:t>.</w:t>
      </w:r>
    </w:p>
    <w:p w:rsidR="001946B4" w:rsidRDefault="001946B4" w:rsidP="001946B4">
      <w:pPr>
        <w:rPr>
          <w:i/>
        </w:rPr>
      </w:pPr>
    </w:p>
    <w:p w:rsidR="001946B4" w:rsidRDefault="001946B4" w:rsidP="001946B4">
      <w:pPr>
        <w:rPr>
          <w:b/>
        </w:rPr>
      </w:pPr>
      <w:r w:rsidRPr="00035C4F">
        <w:rPr>
          <w:b/>
        </w:rPr>
        <w:t>Minister's response</w:t>
      </w:r>
    </w:p>
    <w:p w:rsidR="001946B4" w:rsidRDefault="001946B4" w:rsidP="001946B4">
      <w:r>
        <w:t>The Assistant Minister for Employment, Deputy Leader of the House explained:</w:t>
      </w:r>
    </w:p>
    <w:p w:rsidR="001946B4" w:rsidRDefault="001946B4" w:rsidP="001946B4">
      <w:pPr>
        <w:pStyle w:val="Quote"/>
      </w:pPr>
      <w:r>
        <w:t xml:space="preserve">The Department of Employment consulted with the Department of Social Services regarding the instrument. The Department of Social Services confirmed that the revocation instrument will have no impact on their portfolio. No further consultation was undertaken as the instrument will not impact current policy or procedures and no job seekers or businesses will be affected by the change. In this regard, the instrument is of a minor or machinery nature and does not alter existing arrangements. </w:t>
      </w:r>
    </w:p>
    <w:p w:rsidR="001946B4" w:rsidRDefault="001946B4" w:rsidP="001946B4">
      <w:r>
        <w:t>Further, the minister advised that the department had amended the ES in accordance with the committee's request.</w:t>
      </w:r>
    </w:p>
    <w:p w:rsidR="001946B4" w:rsidRPr="009A71D9" w:rsidRDefault="001946B4" w:rsidP="001946B4">
      <w:pPr>
        <w:pStyle w:val="Quote"/>
        <w:ind w:left="0"/>
        <w:rPr>
          <w:b/>
          <w:sz w:val="26"/>
          <w:szCs w:val="26"/>
        </w:rPr>
      </w:pPr>
      <w:r w:rsidRPr="009A71D9">
        <w:rPr>
          <w:b/>
          <w:sz w:val="26"/>
          <w:szCs w:val="26"/>
        </w:rPr>
        <w:t>Committee's response</w:t>
      </w:r>
    </w:p>
    <w:p w:rsidR="001946B4" w:rsidRPr="00035C4F" w:rsidRDefault="001946B4" w:rsidP="001946B4">
      <w:pPr>
        <w:pStyle w:val="Quote"/>
        <w:ind w:left="0"/>
        <w:rPr>
          <w:b/>
          <w:sz w:val="26"/>
          <w:szCs w:val="26"/>
        </w:rPr>
      </w:pPr>
      <w:r w:rsidRPr="009A71D9">
        <w:rPr>
          <w:b/>
          <w:sz w:val="26"/>
          <w:szCs w:val="26"/>
        </w:rPr>
        <w:t>The committee thanks th</w:t>
      </w:r>
      <w:r>
        <w:rPr>
          <w:b/>
          <w:sz w:val="26"/>
          <w:szCs w:val="26"/>
        </w:rPr>
        <w:t>e minister for</w:t>
      </w:r>
      <w:r w:rsidRPr="009A71D9">
        <w:rPr>
          <w:b/>
          <w:sz w:val="26"/>
          <w:szCs w:val="26"/>
        </w:rPr>
        <w:t xml:space="preserve"> the response and has concluded its examination of the instrument.</w:t>
      </w:r>
      <w:r w:rsidRPr="00035C4F">
        <w:rPr>
          <w:b/>
          <w:i/>
        </w:rPr>
        <w:t xml:space="preserve"> </w:t>
      </w:r>
    </w:p>
    <w:p w:rsidR="001946B4" w:rsidRDefault="001946B4" w:rsidP="001946B4">
      <w:pPr>
        <w:tabs>
          <w:tab w:val="left" w:pos="1155"/>
        </w:tabs>
        <w:sectPr w:rsidR="001946B4" w:rsidSect="001946B4">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NumType w:start="17"/>
          <w:cols w:space="708"/>
          <w:titlePg/>
          <w:docGrid w:linePitch="360"/>
        </w:sectPr>
      </w:pPr>
    </w:p>
    <w:p w:rsidR="001946B4" w:rsidRDefault="001946B4" w:rsidP="001946B4">
      <w:pPr>
        <w:pStyle w:val="Heading1"/>
      </w:pPr>
      <w:r>
        <w:lastRenderedPageBreak/>
        <w:t>Appendix 1</w:t>
      </w:r>
    </w:p>
    <w:p w:rsidR="001946B4" w:rsidRPr="00520991" w:rsidRDefault="001946B4" w:rsidP="001946B4">
      <w:pPr>
        <w:pStyle w:val="Heading2"/>
      </w:pPr>
      <w:r>
        <w:t>Correspondence</w:t>
      </w:r>
    </w:p>
    <w:p w:rsidR="001946B4" w:rsidRDefault="001946B4" w:rsidP="001946B4">
      <w:pPr>
        <w:tabs>
          <w:tab w:val="left" w:pos="1155"/>
        </w:tabs>
        <w:sectPr w:rsidR="001946B4" w:rsidSect="001946B4">
          <w:headerReference w:type="even" r:id="rId44"/>
          <w:headerReference w:type="default" r:id="rId45"/>
          <w:footerReference w:type="even" r:id="rId46"/>
          <w:footerReference w:type="default" r:id="rId47"/>
          <w:headerReference w:type="first" r:id="rId48"/>
          <w:footerReference w:type="first" r:id="rId49"/>
          <w:pgSz w:w="11906" w:h="16838" w:code="9"/>
          <w:pgMar w:top="1440" w:right="1440" w:bottom="1202" w:left="1440" w:header="1134" w:footer="720" w:gutter="0"/>
          <w:pgNumType w:start="33"/>
          <w:cols w:space="720"/>
          <w:titlePg/>
        </w:sectPr>
      </w:pPr>
    </w:p>
    <w:p w:rsidR="001946B4" w:rsidRDefault="001946B4" w:rsidP="001946B4">
      <w:pPr>
        <w:tabs>
          <w:tab w:val="left" w:pos="1155"/>
        </w:tabs>
        <w:sectPr w:rsidR="001946B4" w:rsidSect="001946B4">
          <w:headerReference w:type="first" r:id="rId50"/>
          <w:footerReference w:type="first" r:id="rId51"/>
          <w:pgSz w:w="11906" w:h="16838" w:code="9"/>
          <w:pgMar w:top="1440" w:right="1440" w:bottom="1202" w:left="1440" w:header="1134" w:footer="720" w:gutter="0"/>
          <w:pgNumType w:start="33"/>
          <w:cols w:space="720"/>
          <w:titlePg/>
        </w:sectPr>
      </w:pPr>
    </w:p>
    <w:p w:rsidR="003F70E7" w:rsidRDefault="003F70E7" w:rsidP="003F70E7">
      <w:pPr>
        <w:pStyle w:val="Heading1"/>
      </w:pPr>
      <w:r>
        <w:lastRenderedPageBreak/>
        <w:t>Appendix 2</w:t>
      </w:r>
    </w:p>
    <w:p w:rsidR="003F70E7" w:rsidRDefault="003F70E7" w:rsidP="003F70E7">
      <w:pPr>
        <w:pStyle w:val="Heading2"/>
      </w:pPr>
      <w:r>
        <w:t>Guideline on consultation</w:t>
      </w:r>
    </w:p>
    <w:p w:rsidR="003F70E7" w:rsidRPr="00C22E53" w:rsidRDefault="003F70E7" w:rsidP="003F70E7">
      <w:pPr>
        <w:pStyle w:val="Heading3"/>
      </w:pPr>
      <w:r>
        <w:t>Purpose</w:t>
      </w:r>
    </w:p>
    <w:p w:rsidR="003F70E7" w:rsidRPr="00C22E53" w:rsidRDefault="003F70E7" w:rsidP="003F70E7">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3F70E7" w:rsidRPr="00C22E53" w:rsidRDefault="003F70E7" w:rsidP="003F70E7">
      <w:pPr>
        <w:rPr>
          <w:szCs w:val="24"/>
        </w:rPr>
      </w:pPr>
      <w:r w:rsidRPr="00C22E53">
        <w:rPr>
          <w:szCs w:val="24"/>
        </w:rPr>
        <w:t xml:space="preserve">The committee scrutinises instruments to ensure, inter alia, that they meet the technical requirements of the </w:t>
      </w:r>
      <w:hyperlink r:id="rId52" w:history="1">
        <w:r w:rsidRPr="00241303">
          <w:rPr>
            <w:rStyle w:val="Hyperlink"/>
            <w:i/>
            <w:color w:val="auto"/>
            <w:szCs w:val="24"/>
            <w:u w:val="none"/>
          </w:rPr>
          <w:t>Legislative Instruments Act 2003</w:t>
        </w:r>
      </w:hyperlink>
      <w:r w:rsidRPr="00241303">
        <w:rPr>
          <w:szCs w:val="24"/>
        </w:rPr>
        <w:t xml:space="preserve"> </w:t>
      </w:r>
      <w:r w:rsidRPr="00C22E53">
        <w:rPr>
          <w:szCs w:val="24"/>
        </w:rPr>
        <w:t xml:space="preserve">(the Act)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3F70E7" w:rsidRPr="00241303" w:rsidRDefault="003F70E7" w:rsidP="003F70E7">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53" w:history="1">
        <w:r w:rsidRPr="00241303">
          <w:rPr>
            <w:rStyle w:val="Hyperlink"/>
            <w:color w:val="auto"/>
            <w:szCs w:val="24"/>
            <w:u w:val="none"/>
          </w:rPr>
          <w:t>disallowance</w:t>
        </w:r>
      </w:hyperlink>
      <w:r w:rsidRPr="00241303">
        <w:rPr>
          <w:szCs w:val="24"/>
        </w:rPr>
        <w:t>.</w:t>
      </w:r>
    </w:p>
    <w:p w:rsidR="003F70E7" w:rsidRPr="00C22E53" w:rsidRDefault="003F70E7" w:rsidP="003F70E7">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3F70E7" w:rsidRDefault="003F70E7" w:rsidP="003F70E7">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3F70E7" w:rsidRPr="00C22E53" w:rsidRDefault="003F70E7" w:rsidP="003F70E7">
      <w:pPr>
        <w:pStyle w:val="Heading3"/>
      </w:pPr>
      <w:r w:rsidRPr="00241303">
        <w:t xml:space="preserve">Requirements of the </w:t>
      </w:r>
      <w:r w:rsidRPr="00241303">
        <w:rPr>
          <w:i/>
        </w:rPr>
        <w:t>Legislative Instruments Act 2003</w:t>
      </w:r>
    </w:p>
    <w:p w:rsidR="003F70E7" w:rsidRPr="00C22E53" w:rsidRDefault="003F70E7" w:rsidP="003F70E7">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3F70E7" w:rsidRPr="00C22E53" w:rsidRDefault="003F70E7" w:rsidP="003F70E7">
      <w:pPr>
        <w:rPr>
          <w:szCs w:val="24"/>
        </w:rPr>
      </w:pPr>
      <w:r w:rsidRPr="00C22E53">
        <w:rPr>
          <w:szCs w:val="24"/>
        </w:rPr>
        <w:t>Section 18 of the Act, however, provides that in some circumstances such consultation may be 'unnecessary or inappropriate'.</w:t>
      </w:r>
    </w:p>
    <w:p w:rsidR="003F70E7" w:rsidRPr="00241303" w:rsidRDefault="003F70E7" w:rsidP="003F70E7">
      <w:pPr>
        <w:rPr>
          <w:szCs w:val="24"/>
        </w:rPr>
      </w:pPr>
      <w:r w:rsidRPr="00241303">
        <w:rPr>
          <w:szCs w:val="24"/>
        </w:rPr>
        <w:t xml:space="preserve">It is important to note that section 26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3F70E7" w:rsidRPr="00241303" w:rsidRDefault="003F70E7" w:rsidP="003F70E7">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3F70E7" w:rsidRPr="00C22E53" w:rsidRDefault="003F70E7" w:rsidP="003F70E7">
      <w:pPr>
        <w:rPr>
          <w:szCs w:val="24"/>
        </w:rPr>
      </w:pPr>
      <w:r w:rsidRPr="00C22E53">
        <w:rPr>
          <w:szCs w:val="24"/>
        </w:rPr>
        <w:t>If a RIS or similar assessment has been prepared, it should be provided to the committee along with the ES.</w:t>
      </w:r>
    </w:p>
    <w:p w:rsidR="003F70E7" w:rsidRPr="00C22E53" w:rsidRDefault="003F70E7" w:rsidP="003F70E7">
      <w:pPr>
        <w:pStyle w:val="Heading3"/>
      </w:pPr>
      <w:r w:rsidRPr="00C22E53">
        <w:t>Describing the nature of consultation</w:t>
      </w:r>
    </w:p>
    <w:p w:rsidR="003F70E7" w:rsidRPr="00C22E53" w:rsidRDefault="003F70E7" w:rsidP="003F70E7">
      <w:pPr>
        <w:rPr>
          <w:szCs w:val="24"/>
        </w:rPr>
      </w:pPr>
      <w:r w:rsidRPr="00C22E53">
        <w:rPr>
          <w:szCs w:val="24"/>
        </w:rPr>
        <w:t xml:space="preserve">To meet the requirements of section 26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3F70E7" w:rsidRDefault="003F70E7" w:rsidP="003F70E7">
      <w:pPr>
        <w:rPr>
          <w:szCs w:val="24"/>
        </w:rPr>
      </w:pPr>
      <w:r w:rsidRPr="00C22E53">
        <w:rPr>
          <w:szCs w:val="24"/>
        </w:rPr>
        <w:t>Where consultation has taken place, the ES to an instrument should set out the following information:</w:t>
      </w:r>
    </w:p>
    <w:p w:rsidR="003F70E7" w:rsidRDefault="003F70E7" w:rsidP="003F70E7">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3F70E7" w:rsidRDefault="003F70E7" w:rsidP="003F70E7">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3F70E7" w:rsidRPr="00241303" w:rsidRDefault="003F70E7" w:rsidP="003F70E7">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3F70E7" w:rsidRPr="00C22E53" w:rsidRDefault="003F70E7" w:rsidP="003F70E7">
      <w:pPr>
        <w:pStyle w:val="Heading3"/>
      </w:pPr>
      <w:r w:rsidRPr="00C22E53">
        <w:t>Explaining why consultation has not been undertaken</w:t>
      </w:r>
    </w:p>
    <w:p w:rsidR="003F70E7" w:rsidRPr="00C22E53" w:rsidRDefault="003F70E7" w:rsidP="003F70E7">
      <w:pPr>
        <w:rPr>
          <w:szCs w:val="24"/>
        </w:rPr>
      </w:pPr>
      <w:r w:rsidRPr="00C22E53">
        <w:rPr>
          <w:szCs w:val="24"/>
        </w:rPr>
        <w:t xml:space="preserve">To meet the requirements of section 26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3F70E7" w:rsidRDefault="003F70E7" w:rsidP="003F70E7">
      <w:pPr>
        <w:spacing w:after="0"/>
        <w:jc w:val="left"/>
        <w:rPr>
          <w:szCs w:val="24"/>
        </w:rPr>
      </w:pPr>
      <w:r>
        <w:rPr>
          <w:szCs w:val="24"/>
        </w:rPr>
        <w:br w:type="page"/>
      </w:r>
    </w:p>
    <w:p w:rsidR="003F70E7" w:rsidRPr="00C22E53" w:rsidRDefault="003F70E7" w:rsidP="003F70E7">
      <w:pPr>
        <w:rPr>
          <w:szCs w:val="24"/>
        </w:rPr>
      </w:pPr>
      <w:r w:rsidRPr="00C22E53">
        <w:rPr>
          <w:szCs w:val="24"/>
        </w:rPr>
        <w:lastRenderedPageBreak/>
        <w:t>In explaining why no consultation has taken place, it is important to note the following considerations:</w:t>
      </w:r>
    </w:p>
    <w:p w:rsidR="003F70E7" w:rsidRPr="00241303" w:rsidRDefault="003F70E7" w:rsidP="003F70E7">
      <w:pPr>
        <w:pStyle w:val="Bullet1"/>
        <w:spacing w:after="120"/>
        <w:rPr>
          <w:b/>
        </w:rPr>
      </w:pPr>
      <w:r w:rsidRPr="00241303">
        <w:rPr>
          <w:b/>
        </w:rPr>
        <w:t>Specific examples listed in the Act</w:t>
      </w:r>
      <w:r>
        <w:t xml:space="preserve">: </w:t>
      </w:r>
      <w:r w:rsidRPr="00241303">
        <w:t>Section</w:t>
      </w:r>
      <w:r w:rsidRPr="00C22E53">
        <w:t xml:space="preserve"> 18 lists a number of examples where an instrument-maker may be satisfied that consultation is unnecessary or inappropriate in relation to a specific instrument. This list is </w:t>
      </w:r>
      <w:r w:rsidRPr="00241303">
        <w:t>not exhaustive of the grounds which may be advanced as to why consultation was not undertaken in a given case. The ES should state why consultation was unnecessary or inappropriate, and explain the reasoning in support of this conclusion. An ES should avoid bare assertions such as 'Consultation was not undertaken because the instrument is beneficial in nature'.</w:t>
      </w:r>
    </w:p>
    <w:p w:rsidR="003F70E7" w:rsidRPr="00C22E53" w:rsidRDefault="003F70E7" w:rsidP="003F70E7">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26 of the Act.</w:t>
      </w:r>
    </w:p>
    <w:p w:rsidR="003F70E7" w:rsidRDefault="003F70E7" w:rsidP="003F70E7">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3F70E7" w:rsidRPr="00C22E53" w:rsidRDefault="003F70E7" w:rsidP="003F70E7">
      <w:pPr>
        <w:pStyle w:val="Heading3"/>
      </w:pPr>
      <w:r w:rsidRPr="00C22E53">
        <w:t>Seeking further advice or information</w:t>
      </w:r>
    </w:p>
    <w:p w:rsidR="003F70E7" w:rsidRDefault="003F70E7" w:rsidP="003F70E7">
      <w:pPr>
        <w:rPr>
          <w:szCs w:val="24"/>
        </w:rPr>
      </w:pPr>
      <w:r w:rsidRPr="00C22E53">
        <w:rPr>
          <w:szCs w:val="24"/>
        </w:rPr>
        <w:t xml:space="preserve">Further information is available through the committee's website at </w:t>
      </w:r>
      <w:hyperlink r:id="rId54"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3F70E7" w:rsidRDefault="003F70E7" w:rsidP="003F70E7">
      <w:pPr>
        <w:spacing w:after="0"/>
        <w:ind w:left="720"/>
        <w:rPr>
          <w:szCs w:val="24"/>
        </w:rPr>
      </w:pPr>
      <w:r w:rsidRPr="00C22E53">
        <w:rPr>
          <w:szCs w:val="24"/>
        </w:rPr>
        <w:t>Committee Secretary</w:t>
      </w:r>
    </w:p>
    <w:p w:rsidR="003F70E7" w:rsidRPr="00C22E53" w:rsidRDefault="003F70E7" w:rsidP="003F70E7">
      <w:pPr>
        <w:spacing w:after="0"/>
        <w:ind w:left="720"/>
        <w:rPr>
          <w:szCs w:val="24"/>
        </w:rPr>
      </w:pPr>
      <w:r w:rsidRPr="00C22E53">
        <w:rPr>
          <w:szCs w:val="24"/>
        </w:rPr>
        <w:t>Senate Regulations and Ordinances Committee</w:t>
      </w:r>
    </w:p>
    <w:p w:rsidR="003F70E7" w:rsidRPr="00C22E53" w:rsidRDefault="003F70E7" w:rsidP="003F70E7">
      <w:pPr>
        <w:spacing w:after="0"/>
        <w:ind w:left="720"/>
        <w:rPr>
          <w:szCs w:val="24"/>
        </w:rPr>
      </w:pPr>
      <w:r w:rsidRPr="00C22E53">
        <w:rPr>
          <w:szCs w:val="24"/>
        </w:rPr>
        <w:t>PO Box 6100</w:t>
      </w:r>
    </w:p>
    <w:p w:rsidR="003F70E7" w:rsidRPr="00C22E53" w:rsidRDefault="003F70E7" w:rsidP="003F70E7">
      <w:pPr>
        <w:spacing w:after="0"/>
        <w:ind w:left="720"/>
        <w:rPr>
          <w:szCs w:val="24"/>
        </w:rPr>
      </w:pPr>
      <w:r w:rsidRPr="00C22E53">
        <w:rPr>
          <w:szCs w:val="24"/>
        </w:rPr>
        <w:t>Parliament House</w:t>
      </w:r>
    </w:p>
    <w:p w:rsidR="003F70E7" w:rsidRDefault="003F70E7" w:rsidP="003F70E7">
      <w:pPr>
        <w:spacing w:after="0"/>
        <w:ind w:left="720"/>
        <w:rPr>
          <w:szCs w:val="24"/>
        </w:rPr>
      </w:pPr>
      <w:r w:rsidRPr="00C22E53">
        <w:rPr>
          <w:szCs w:val="24"/>
        </w:rPr>
        <w:t>Canberra ACT 2600</w:t>
      </w:r>
    </w:p>
    <w:p w:rsidR="003F70E7" w:rsidRDefault="003F70E7" w:rsidP="003F70E7">
      <w:pPr>
        <w:spacing w:after="0"/>
        <w:ind w:left="720"/>
        <w:rPr>
          <w:szCs w:val="24"/>
        </w:rPr>
      </w:pPr>
      <w:r w:rsidRPr="00C22E53">
        <w:rPr>
          <w:szCs w:val="24"/>
        </w:rPr>
        <w:t>Australia</w:t>
      </w:r>
    </w:p>
    <w:p w:rsidR="003F70E7" w:rsidRPr="00C22E53" w:rsidRDefault="003F70E7" w:rsidP="003F70E7">
      <w:pPr>
        <w:spacing w:after="60"/>
        <w:ind w:left="720"/>
        <w:rPr>
          <w:szCs w:val="24"/>
        </w:rPr>
      </w:pPr>
    </w:p>
    <w:p w:rsidR="003F70E7" w:rsidRPr="00C22E53" w:rsidRDefault="003F70E7" w:rsidP="003F70E7">
      <w:pPr>
        <w:spacing w:after="0"/>
        <w:ind w:left="720"/>
        <w:rPr>
          <w:szCs w:val="24"/>
        </w:rPr>
      </w:pPr>
      <w:r w:rsidRPr="00C22E53">
        <w:rPr>
          <w:szCs w:val="24"/>
        </w:rPr>
        <w:t xml:space="preserve">Phone: +61 2 6277 3066 </w:t>
      </w:r>
    </w:p>
    <w:p w:rsidR="003F70E7" w:rsidRPr="00C22E53" w:rsidRDefault="003F70E7" w:rsidP="003F70E7">
      <w:pPr>
        <w:spacing w:after="0"/>
        <w:ind w:left="720"/>
        <w:rPr>
          <w:szCs w:val="24"/>
        </w:rPr>
      </w:pPr>
      <w:r w:rsidRPr="00C22E53">
        <w:rPr>
          <w:szCs w:val="24"/>
        </w:rPr>
        <w:t xml:space="preserve">Fax: +61 2 6277 5881 </w:t>
      </w:r>
    </w:p>
    <w:p w:rsidR="003F70E7" w:rsidRPr="00C22E53" w:rsidRDefault="003F70E7" w:rsidP="003F70E7">
      <w:pPr>
        <w:spacing w:after="0"/>
        <w:ind w:left="720"/>
        <w:rPr>
          <w:szCs w:val="24"/>
        </w:rPr>
      </w:pPr>
      <w:r w:rsidRPr="00C22E53">
        <w:rPr>
          <w:szCs w:val="24"/>
        </w:rPr>
        <w:t xml:space="preserve">Email: </w:t>
      </w:r>
      <w:hyperlink r:id="rId55" w:history="1">
        <w:r w:rsidRPr="00C22E53">
          <w:rPr>
            <w:rStyle w:val="Hyperlink"/>
            <w:szCs w:val="24"/>
          </w:rPr>
          <w:t>RegOrds.Sen@aph.gov.au</w:t>
        </w:r>
      </w:hyperlink>
    </w:p>
    <w:p w:rsidR="00520991" w:rsidRPr="00520991" w:rsidRDefault="00520991" w:rsidP="001946B4">
      <w:pPr>
        <w:tabs>
          <w:tab w:val="left" w:pos="1155"/>
        </w:tabs>
      </w:pPr>
      <w:bookmarkStart w:id="28" w:name="_GoBack"/>
      <w:bookmarkEnd w:id="28"/>
    </w:p>
    <w:sectPr w:rsidR="00520991" w:rsidRPr="00520991" w:rsidSect="00CC0B78">
      <w:headerReference w:type="even" r:id="rId56"/>
      <w:headerReference w:type="default" r:id="rId57"/>
      <w:footerReference w:type="even" r:id="rId58"/>
      <w:footerReference w:type="default" r:id="rId59"/>
      <w:headerReference w:type="first" r:id="rId60"/>
      <w:footerReference w:type="first" r:id="rId61"/>
      <w:pgSz w:w="11906" w:h="16838" w:code="9"/>
      <w:pgMar w:top="1440" w:right="1440" w:bottom="1202" w:left="1440" w:header="1134" w:footer="720" w:gutter="0"/>
      <w:pgNumType w:start="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B4" w:rsidRDefault="001946B4">
      <w:r>
        <w:separator/>
      </w:r>
    </w:p>
  </w:endnote>
  <w:endnote w:type="continuationSeparator" w:id="0">
    <w:p w:rsidR="001946B4" w:rsidRDefault="0019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1946B4" w:rsidRDefault="001946B4">
        <w:pPr>
          <w:pStyle w:val="Footer"/>
          <w:jc w:val="center"/>
        </w:pPr>
        <w:r>
          <w:fldChar w:fldCharType="begin"/>
        </w:r>
        <w:r>
          <w:instrText xml:space="preserve"> PAGE   \* MERGEFORMAT </w:instrText>
        </w:r>
        <w:r>
          <w:fldChar w:fldCharType="separate"/>
        </w:r>
        <w:r w:rsidR="003F70E7">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1946B4" w:rsidRDefault="001946B4">
        <w:pPr>
          <w:pStyle w:val="Footer"/>
          <w:jc w:val="center"/>
        </w:pPr>
        <w:r>
          <w:fldChar w:fldCharType="begin"/>
        </w:r>
        <w:r>
          <w:instrText xml:space="preserve"> PAGE   \* MERGEFORMAT </w:instrText>
        </w:r>
        <w:r>
          <w:fldChar w:fldCharType="separate"/>
        </w:r>
        <w:r w:rsidR="003F70E7">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1946B4" w:rsidRDefault="001946B4">
        <w:pPr>
          <w:pStyle w:val="Footer"/>
          <w:jc w:val="center"/>
        </w:pPr>
        <w:r>
          <w:fldChar w:fldCharType="begin"/>
        </w:r>
        <w:r>
          <w:instrText xml:space="preserve"> PAGE   \* MERGEFORMAT </w:instrText>
        </w:r>
        <w:r>
          <w:fldChar w:fldCharType="separate"/>
        </w:r>
        <w:r w:rsidR="003F70E7">
          <w:rPr>
            <w:noProof/>
          </w:rPr>
          <w:t>vii</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1946B4" w:rsidRDefault="001946B4">
        <w:pPr>
          <w:pStyle w:val="Footer"/>
          <w:jc w:val="center"/>
        </w:pPr>
        <w:r>
          <w:fldChar w:fldCharType="begin"/>
        </w:r>
        <w:r>
          <w:instrText xml:space="preserve"> PAGE   \* MERGEFORMAT </w:instrText>
        </w:r>
        <w:r>
          <w:fldChar w:fldCharType="separate"/>
        </w:r>
        <w:r w:rsidR="003F70E7">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1946B4" w:rsidRDefault="001946B4">
        <w:pPr>
          <w:pStyle w:val="Footer"/>
          <w:jc w:val="center"/>
        </w:pPr>
        <w:r>
          <w:fldChar w:fldCharType="begin"/>
        </w:r>
        <w:r>
          <w:instrText xml:space="preserve"> PAGE   \* MERGEFORMAT </w:instrText>
        </w:r>
        <w:r>
          <w:fldChar w:fldCharType="separate"/>
        </w:r>
        <w:r w:rsidR="003F70E7">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1946B4" w:rsidRDefault="001946B4">
        <w:pPr>
          <w:pStyle w:val="Footer"/>
          <w:jc w:val="center"/>
        </w:pPr>
        <w:r>
          <w:fldChar w:fldCharType="begin"/>
        </w:r>
        <w:r>
          <w:instrText xml:space="preserve"> PAGE   \* MERGEFORMAT </w:instrText>
        </w:r>
        <w:r>
          <w:fldChar w:fldCharType="separate"/>
        </w:r>
        <w:r w:rsidR="003F70E7">
          <w:rPr>
            <w:noProof/>
          </w:rPr>
          <w:t>v</w:t>
        </w:r>
        <w:r>
          <w:rPr>
            <w:noProof/>
          </w:rPr>
          <w:fldChar w:fldCharType="end"/>
        </w:r>
      </w:p>
    </w:sdtContent>
  </w:sdt>
  <w:p w:rsidR="001946B4" w:rsidRDefault="001946B4">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B4" w:rsidRDefault="001946B4">
      <w:r>
        <w:separator/>
      </w:r>
    </w:p>
  </w:footnote>
  <w:footnote w:type="continuationSeparator" w:id="0">
    <w:p w:rsidR="001946B4" w:rsidRDefault="001946B4">
      <w:r>
        <w:continuationSeparator/>
      </w:r>
    </w:p>
  </w:footnote>
  <w:footnote w:id="1">
    <w:p w:rsidR="001946B4" w:rsidRPr="00ED4CC3" w:rsidRDefault="001946B4" w:rsidP="001946B4">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1946B4" w:rsidRPr="00DB17B5" w:rsidRDefault="001946B4" w:rsidP="001946B4">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1946B4" w:rsidRPr="000E553A" w:rsidRDefault="001946B4" w:rsidP="001946B4">
      <w:pPr>
        <w:pStyle w:val="FootnoteText"/>
        <w:spacing w:after="80"/>
      </w:pPr>
      <w:r w:rsidRPr="000E553A">
        <w:rPr>
          <w:rStyle w:val="FootnoteReference"/>
          <w:vertAlign w:val="baseline"/>
        </w:rPr>
        <w:footnoteRef/>
      </w:r>
      <w:r w:rsidRPr="000E553A">
        <w:t xml:space="preserve"> </w:t>
      </w:r>
      <w:r>
        <w:tab/>
        <w:t xml:space="preserve">The FRLI database is part of ComLaw, see Australian Government, ComLaw, </w:t>
      </w:r>
      <w:hyperlink r:id="rId2" w:history="1">
        <w:r w:rsidRPr="00DA49F8">
          <w:rPr>
            <w:rStyle w:val="Hyperlink"/>
          </w:rPr>
          <w:t>https://www.co</w:t>
        </w:r>
        <w:r w:rsidRPr="00DA49F8">
          <w:rPr>
            <w:rStyle w:val="Hyperlink"/>
          </w:rPr>
          <w:br/>
          <w:t>mlaw.gov.au/</w:t>
        </w:r>
      </w:hyperlink>
      <w:r>
        <w:t xml:space="preserve">. </w:t>
      </w:r>
    </w:p>
  </w:footnote>
  <w:footnote w:id="4">
    <w:p w:rsidR="001946B4" w:rsidRPr="00194B2F" w:rsidRDefault="001946B4" w:rsidP="001946B4">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5">
    <w:p w:rsidR="001946B4" w:rsidRPr="000274A0" w:rsidRDefault="001946B4" w:rsidP="001946B4">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2015</w:t>
      </w:r>
      <w:r>
        <w:t xml:space="preserve">, </w:t>
      </w:r>
      <w:hyperlink r:id="rId4" w:history="1">
        <w:r w:rsidRPr="000274A0">
          <w:rPr>
            <w:rStyle w:val="Hyperlink"/>
          </w:rPr>
          <w:t>http://www.aph.gov.au/Parliamentary_Business/Committees/Senate</w:t>
        </w:r>
        <w:r w:rsidRPr="000274A0">
          <w:rPr>
            <w:rStyle w:val="Hyperlink"/>
          </w:rPr>
          <w:br/>
          <w:t>/Regulations_and_Ordinances/Alerts</w:t>
        </w:r>
      </w:hyperlink>
      <w:r>
        <w:t>.</w:t>
      </w:r>
    </w:p>
  </w:footnote>
  <w:footnote w:id="6">
    <w:p w:rsidR="001946B4" w:rsidRPr="004B4812" w:rsidRDefault="001946B4" w:rsidP="001946B4">
      <w:pPr>
        <w:pStyle w:val="FootnoteText"/>
        <w:spacing w:after="120"/>
      </w:pPr>
      <w:r w:rsidRPr="004B4812">
        <w:rPr>
          <w:rStyle w:val="FootnoteReference"/>
          <w:vertAlign w:val="baseline"/>
        </w:rPr>
        <w:footnoteRef/>
      </w:r>
      <w:r w:rsidRPr="004B4812">
        <w:t xml:space="preserve"> </w:t>
      </w:r>
      <w:r>
        <w:tab/>
      </w:r>
      <w:r w:rsidRPr="002B28EF">
        <w:t>T</w:t>
      </w:r>
      <w:r>
        <w:t xml:space="preserve">he committee's consideration of the instrument was deferred from </w:t>
      </w:r>
      <w:r>
        <w:rPr>
          <w:i/>
        </w:rPr>
        <w:t>Monitor No. 9 of 2015</w:t>
      </w:r>
      <w:r>
        <w:t xml:space="preserve">, pending the judgement in </w:t>
      </w:r>
      <w:r w:rsidRPr="002119A1">
        <w:rPr>
          <w:i/>
        </w:rPr>
        <w:t>Perrett v Attorney General of the Commonwealth of Australia</w:t>
      </w:r>
      <w:r w:rsidRPr="002119A1">
        <w:t xml:space="preserve"> [2015] FCA 834 </w:t>
      </w:r>
      <w:r>
        <w:t>which pertained to the validity of the instrument.</w:t>
      </w:r>
    </w:p>
  </w:footnote>
  <w:footnote w:id="7">
    <w:p w:rsidR="001946B4" w:rsidRPr="00EB5587" w:rsidRDefault="001946B4" w:rsidP="001946B4">
      <w:pPr>
        <w:pStyle w:val="FootnoteText"/>
        <w:spacing w:after="120"/>
      </w:pPr>
      <w:r w:rsidRPr="00EB5587">
        <w:rPr>
          <w:rStyle w:val="FootnoteReference"/>
          <w:vertAlign w:val="baseline"/>
        </w:rPr>
        <w:footnoteRef/>
      </w:r>
      <w:r w:rsidRPr="00EB5587">
        <w:t xml:space="preserve"> </w:t>
      </w:r>
      <w:r>
        <w:tab/>
      </w:r>
      <w:r w:rsidRPr="00EB5587">
        <w:rPr>
          <w:i/>
        </w:rPr>
        <w:t xml:space="preserve">Perrett v Attorney-General of the Commonwealth of Australia </w:t>
      </w:r>
      <w:r w:rsidRPr="00EB5587">
        <w:t>[2015] FCA 834</w:t>
      </w:r>
      <w:r>
        <w:t>, paragraph 29.  The committee understands that an appeal has been lodged with the Full Court of the Federal Court.</w:t>
      </w:r>
    </w:p>
  </w:footnote>
  <w:footnote w:id="8">
    <w:p w:rsidR="001946B4" w:rsidRPr="00DE40B5" w:rsidRDefault="001946B4" w:rsidP="001946B4">
      <w:pPr>
        <w:pStyle w:val="FootnoteText"/>
        <w:spacing w:after="120"/>
      </w:pPr>
      <w:r w:rsidRPr="002B28EF">
        <w:rPr>
          <w:rStyle w:val="FootnoteReference"/>
          <w:vertAlign w:val="baseline"/>
        </w:rPr>
        <w:footnoteRef/>
      </w:r>
      <w:r w:rsidRPr="00DE40B5">
        <w:t xml:space="preserve"> </w:t>
      </w:r>
      <w:r>
        <w:tab/>
      </w:r>
      <w:r w:rsidRPr="001205A4">
        <w:rPr>
          <w:i/>
        </w:rPr>
        <w:t>Victorian Chamber of Manufactures v Commonwealth (Women's Employment Regulations)</w:t>
      </w:r>
      <w:r>
        <w:rPr>
          <w:i/>
        </w:rPr>
        <w:t xml:space="preserve"> </w:t>
      </w:r>
      <w:r w:rsidRPr="00544C84">
        <w:t>(1943)</w:t>
      </w:r>
      <w:r>
        <w:rPr>
          <w:i/>
        </w:rPr>
        <w:t xml:space="preserve"> </w:t>
      </w:r>
      <w:r>
        <w:t>67 CLR</w:t>
      </w:r>
      <w:r>
        <w:rPr>
          <w:i/>
        </w:rPr>
        <w:t xml:space="preserve"> </w:t>
      </w:r>
      <w:r>
        <w:t>362.</w:t>
      </w:r>
    </w:p>
  </w:footnote>
  <w:footnote w:id="9">
    <w:p w:rsidR="001946B4" w:rsidRPr="00DE40B5" w:rsidRDefault="001946B4" w:rsidP="001946B4">
      <w:pPr>
        <w:pStyle w:val="FootnoteText"/>
        <w:spacing w:after="120"/>
      </w:pPr>
      <w:r w:rsidRPr="002B28EF">
        <w:rPr>
          <w:rStyle w:val="FootnoteReference"/>
          <w:vertAlign w:val="baseline"/>
        </w:rPr>
        <w:footnoteRef/>
      </w:r>
      <w:r w:rsidRPr="00DE40B5">
        <w:t xml:space="preserve"> </w:t>
      </w:r>
      <w:r>
        <w:tab/>
      </w:r>
      <w:r w:rsidRPr="001205A4">
        <w:rPr>
          <w:i/>
        </w:rPr>
        <w:t>Victorian Chamber of Manufactures v Commonwealth (Women's Employment Regulations)</w:t>
      </w:r>
      <w:r>
        <w:rPr>
          <w:i/>
        </w:rPr>
        <w:t xml:space="preserve"> </w:t>
      </w:r>
      <w:r w:rsidRPr="00544C84">
        <w:t>(1943)</w:t>
      </w:r>
      <w:r>
        <w:rPr>
          <w:i/>
        </w:rPr>
        <w:t xml:space="preserve"> </w:t>
      </w:r>
      <w:r>
        <w:t>67 CLR</w:t>
      </w:r>
      <w:r>
        <w:rPr>
          <w:i/>
        </w:rPr>
        <w:t xml:space="preserve"> </w:t>
      </w:r>
      <w:r>
        <w:t>364.</w:t>
      </w:r>
    </w:p>
  </w:footnote>
  <w:footnote w:id="10">
    <w:p w:rsidR="001946B4" w:rsidRPr="00DE40B5" w:rsidRDefault="001946B4" w:rsidP="001946B4">
      <w:pPr>
        <w:pStyle w:val="FootnoteText"/>
        <w:spacing w:after="120"/>
      </w:pPr>
      <w:r w:rsidRPr="002B28EF">
        <w:rPr>
          <w:rStyle w:val="FootnoteReference"/>
          <w:vertAlign w:val="baseline"/>
        </w:rPr>
        <w:footnoteRef/>
      </w:r>
      <w:r w:rsidRPr="00DE40B5">
        <w:t xml:space="preserve"> </w:t>
      </w:r>
      <w:r>
        <w:tab/>
      </w:r>
      <w:r w:rsidRPr="001205A4">
        <w:rPr>
          <w:i/>
        </w:rPr>
        <w:t>Victorian Chamber of Manufactures v Commonwealth (Women's Employment Regulations)</w:t>
      </w:r>
      <w:r>
        <w:rPr>
          <w:i/>
        </w:rPr>
        <w:t xml:space="preserve"> </w:t>
      </w:r>
      <w:r w:rsidRPr="00544C84">
        <w:t>(1943)</w:t>
      </w:r>
      <w:r>
        <w:rPr>
          <w:i/>
        </w:rPr>
        <w:t xml:space="preserve"> </w:t>
      </w:r>
      <w:r>
        <w:t>67 CLR</w:t>
      </w:r>
      <w:r>
        <w:rPr>
          <w:i/>
        </w:rPr>
        <w:t xml:space="preserve"> </w:t>
      </w:r>
      <w:r>
        <w:t>364.</w:t>
      </w:r>
    </w:p>
  </w:footnote>
  <w:footnote w:id="11">
    <w:p w:rsidR="001946B4" w:rsidRPr="002718CE" w:rsidRDefault="001946B4" w:rsidP="001946B4">
      <w:pPr>
        <w:pStyle w:val="FootnoteText"/>
        <w:spacing w:after="120"/>
        <w:rPr>
          <w:rFonts w:ascii="Times New Roman" w:hAnsi="Times New Roman"/>
        </w:rPr>
      </w:pPr>
      <w:r w:rsidRPr="002718CE">
        <w:rPr>
          <w:rStyle w:val="FootnoteReference"/>
          <w:rFonts w:ascii="Times New Roman" w:hAnsi="Times New Roman"/>
          <w:vertAlign w:val="baseline"/>
        </w:rPr>
        <w:footnoteRef/>
      </w:r>
      <w:r w:rsidRPr="002718CE">
        <w:rPr>
          <w:rFonts w:ascii="Times New Roman" w:hAnsi="Times New Roman"/>
        </w:rPr>
        <w:t xml:space="preserve"> </w:t>
      </w:r>
      <w:r w:rsidRPr="002718CE">
        <w:rPr>
          <w:rFonts w:ascii="Times New Roman" w:hAnsi="Times New Roman"/>
        </w:rPr>
        <w:tab/>
      </w:r>
      <w:r w:rsidRPr="002718CE">
        <w:rPr>
          <w:rFonts w:ascii="Times New Roman" w:hAnsi="Times New Roman"/>
          <w:i/>
          <w:noProof/>
          <w:sz w:val="26"/>
          <w:szCs w:val="26"/>
        </w:rPr>
        <w:t>Williams v Commonwealth</w:t>
      </w:r>
      <w:r w:rsidRPr="002718CE">
        <w:rPr>
          <w:rFonts w:ascii="Times New Roman" w:hAnsi="Times New Roman"/>
          <w:noProof/>
          <w:sz w:val="26"/>
          <w:szCs w:val="26"/>
        </w:rPr>
        <w:t xml:space="preserve"> (2012) 248 CLR 156.</w:t>
      </w:r>
    </w:p>
  </w:footnote>
  <w:footnote w:id="12">
    <w:p w:rsidR="001946B4" w:rsidRPr="002718CE" w:rsidRDefault="001946B4" w:rsidP="001946B4">
      <w:pPr>
        <w:pStyle w:val="FootnoteText"/>
        <w:spacing w:after="120"/>
        <w:rPr>
          <w:rFonts w:ascii="Times New Roman" w:hAnsi="Times New Roman"/>
        </w:rPr>
      </w:pPr>
      <w:r w:rsidRPr="002718CE">
        <w:rPr>
          <w:rStyle w:val="FootnoteReference"/>
          <w:rFonts w:ascii="Times New Roman" w:hAnsi="Times New Roman"/>
          <w:vertAlign w:val="baseline"/>
        </w:rPr>
        <w:footnoteRef/>
      </w:r>
      <w:r w:rsidRPr="002718CE">
        <w:rPr>
          <w:rFonts w:ascii="Times New Roman" w:hAnsi="Times New Roman"/>
        </w:rPr>
        <w:t xml:space="preserve"> </w:t>
      </w:r>
      <w:r w:rsidRPr="002718CE">
        <w:rPr>
          <w:rFonts w:ascii="Times New Roman" w:hAnsi="Times New Roman"/>
        </w:rPr>
        <w:tab/>
      </w:r>
      <w:r w:rsidRPr="002718CE">
        <w:rPr>
          <w:rFonts w:ascii="Times New Roman" w:hAnsi="Times New Roman"/>
          <w:i/>
          <w:noProof/>
          <w:sz w:val="26"/>
          <w:szCs w:val="26"/>
        </w:rPr>
        <w:t>Williams v Commonwealth</w:t>
      </w:r>
      <w:r w:rsidRPr="002718CE">
        <w:rPr>
          <w:rFonts w:ascii="Times New Roman" w:hAnsi="Times New Roman"/>
          <w:noProof/>
          <w:sz w:val="26"/>
          <w:szCs w:val="26"/>
        </w:rPr>
        <w:t xml:space="preserve"> (2014) 252 CLR 416.</w:t>
      </w:r>
    </w:p>
  </w:footnote>
  <w:footnote w:id="13">
    <w:p w:rsidR="001946B4" w:rsidRPr="002718CE" w:rsidRDefault="001946B4" w:rsidP="001946B4">
      <w:pPr>
        <w:pStyle w:val="FootnoteText"/>
        <w:spacing w:after="120"/>
        <w:rPr>
          <w:rFonts w:ascii="Times New Roman" w:hAnsi="Times New Roman"/>
        </w:rPr>
      </w:pPr>
      <w:r w:rsidRPr="002718CE">
        <w:rPr>
          <w:rStyle w:val="FootnoteReference"/>
          <w:rFonts w:ascii="Times New Roman" w:hAnsi="Times New Roman"/>
          <w:vertAlign w:val="baseline"/>
        </w:rPr>
        <w:footnoteRef/>
      </w:r>
      <w:r w:rsidRPr="002718CE">
        <w:rPr>
          <w:rFonts w:ascii="Times New Roman" w:hAnsi="Times New Roman"/>
        </w:rPr>
        <w:t xml:space="preserve"> </w:t>
      </w:r>
      <w:r w:rsidRPr="002718CE">
        <w:rPr>
          <w:rFonts w:ascii="Times New Roman" w:hAnsi="Times New Roman"/>
        </w:rPr>
        <w:tab/>
        <w:t xml:space="preserve">A full account of the Senate's approach to such matters may be found in </w:t>
      </w:r>
      <w:r w:rsidRPr="002718CE">
        <w:rPr>
          <w:rFonts w:ascii="Times New Roman" w:hAnsi="Times New Roman"/>
          <w:i/>
        </w:rPr>
        <w:t xml:space="preserve">Odgers' Australian Senate Practice </w:t>
      </w:r>
      <w:r w:rsidRPr="002718CE">
        <w:rPr>
          <w:rFonts w:ascii="Times New Roman" w:hAnsi="Times New Roman"/>
        </w:rPr>
        <w:t>(13</w:t>
      </w:r>
      <w:r w:rsidRPr="002718CE">
        <w:rPr>
          <w:rFonts w:ascii="Times New Roman" w:hAnsi="Times New Roman"/>
          <w:vertAlign w:val="superscript"/>
        </w:rPr>
        <w:t>th</w:t>
      </w:r>
      <w:r w:rsidRPr="002718CE">
        <w:rPr>
          <w:rFonts w:ascii="Times New Roman" w:hAnsi="Times New Roman"/>
        </w:rPr>
        <w:t xml:space="preserve"> ed.) pp 595–625.</w:t>
      </w:r>
    </w:p>
  </w:footnote>
  <w:footnote w:id="14">
    <w:p w:rsidR="001946B4" w:rsidRPr="002718CE" w:rsidRDefault="001946B4" w:rsidP="001946B4">
      <w:pPr>
        <w:pStyle w:val="FootnoteText"/>
        <w:spacing w:after="120"/>
        <w:rPr>
          <w:rFonts w:ascii="Times New Roman" w:hAnsi="Times New Roman"/>
        </w:rPr>
      </w:pPr>
      <w:r w:rsidRPr="002718CE">
        <w:rPr>
          <w:rStyle w:val="FootnoteReference"/>
          <w:rFonts w:ascii="Times New Roman" w:hAnsi="Times New Roman"/>
          <w:vertAlign w:val="baseline"/>
        </w:rPr>
        <w:footnoteRef/>
      </w:r>
      <w:r w:rsidRPr="002718CE">
        <w:rPr>
          <w:rFonts w:ascii="Times New Roman" w:hAnsi="Times New Roman"/>
        </w:rPr>
        <w:t xml:space="preserve"> </w:t>
      </w:r>
      <w:r w:rsidRPr="002718CE">
        <w:rPr>
          <w:rFonts w:ascii="Times New Roman" w:hAnsi="Times New Roman"/>
        </w:rPr>
        <w:tab/>
        <w:t xml:space="preserve">See for example </w:t>
      </w:r>
      <w:r w:rsidRPr="002718CE">
        <w:rPr>
          <w:rFonts w:ascii="Times New Roman" w:hAnsi="Times New Roman"/>
          <w:i/>
        </w:rPr>
        <w:t>Delegated legislation monitor</w:t>
      </w:r>
      <w:r w:rsidRPr="002718CE">
        <w:rPr>
          <w:rFonts w:ascii="Times New Roman" w:hAnsi="Times New Roman"/>
        </w:rPr>
        <w:t xml:space="preserve"> No. 2 of 2014, entries on Veterans' Entitlements (Actuarial Certificate – Life Expectancy Income Stream Guidelines) Determination 2013 [F2013L00671] and Veterans' Entitlements (Actuarial Certificate – Lifetime Income Stream Guidelines) Determination 2013 [F2013L00670], pp 6–9.</w:t>
      </w:r>
    </w:p>
  </w:footnote>
  <w:footnote w:id="15">
    <w:p w:rsidR="001946B4" w:rsidRPr="002718CE" w:rsidRDefault="001946B4" w:rsidP="001946B4">
      <w:pPr>
        <w:pStyle w:val="FootnoteText"/>
        <w:spacing w:after="120"/>
        <w:rPr>
          <w:rFonts w:ascii="Times New Roman" w:hAnsi="Times New Roman"/>
        </w:rPr>
      </w:pPr>
      <w:r w:rsidRPr="002718CE">
        <w:rPr>
          <w:rStyle w:val="FootnoteReference"/>
          <w:rFonts w:ascii="Times New Roman" w:hAnsi="Times New Roman"/>
          <w:vertAlign w:val="baseline"/>
        </w:rPr>
        <w:footnoteRef/>
      </w:r>
      <w:r w:rsidRPr="002718CE">
        <w:rPr>
          <w:rFonts w:ascii="Times New Roman" w:hAnsi="Times New Roman"/>
        </w:rPr>
        <w:t xml:space="preserve"> </w:t>
      </w:r>
      <w:r w:rsidRPr="002718CE">
        <w:rPr>
          <w:rFonts w:ascii="Times New Roman" w:hAnsi="Times New Roman"/>
        </w:rPr>
        <w:tab/>
      </w:r>
      <w:r w:rsidRPr="002718CE">
        <w:rPr>
          <w:rFonts w:ascii="Times New Roman" w:hAnsi="Times New Roman"/>
          <w:i/>
        </w:rPr>
        <w:t>Journals of the Senate</w:t>
      </w:r>
      <w:r w:rsidRPr="002718CE">
        <w:rPr>
          <w:rFonts w:ascii="Times New Roman" w:hAnsi="Times New Roman"/>
        </w:rPr>
        <w:t>, 13 May 2009, 'Public interest immunity claims', p. 1941.</w:t>
      </w:r>
    </w:p>
  </w:footnote>
  <w:footnote w:id="16">
    <w:p w:rsidR="001946B4" w:rsidRPr="002718CE" w:rsidRDefault="001946B4" w:rsidP="001946B4">
      <w:pPr>
        <w:pStyle w:val="FootnoteText"/>
        <w:spacing w:after="120"/>
        <w:rPr>
          <w:rFonts w:ascii="Times New Roman" w:hAnsi="Times New Roman"/>
          <w:i/>
        </w:rPr>
      </w:pPr>
      <w:r w:rsidRPr="002718CE">
        <w:rPr>
          <w:rStyle w:val="FootnoteReference"/>
          <w:rFonts w:ascii="Times New Roman" w:hAnsi="Times New Roman"/>
          <w:vertAlign w:val="baseline"/>
        </w:rPr>
        <w:footnoteRef/>
      </w:r>
      <w:r w:rsidRPr="002718CE">
        <w:rPr>
          <w:rFonts w:ascii="Times New Roman" w:hAnsi="Times New Roman"/>
        </w:rPr>
        <w:t xml:space="preserve"> </w:t>
      </w:r>
      <w:r w:rsidRPr="002718CE">
        <w:rPr>
          <w:rFonts w:ascii="Times New Roman" w:hAnsi="Times New Roman"/>
        </w:rPr>
        <w:tab/>
        <w:t xml:space="preserve">Senate Standing Committee on Procedure, </w:t>
      </w:r>
      <w:r w:rsidRPr="002718CE">
        <w:rPr>
          <w:rFonts w:ascii="Times New Roman" w:hAnsi="Times New Roman"/>
          <w:i/>
        </w:rPr>
        <w:t>Second report</w:t>
      </w:r>
      <w:r w:rsidRPr="002718CE">
        <w:rPr>
          <w:rFonts w:ascii="Times New Roman" w:hAnsi="Times New Roman"/>
        </w:rPr>
        <w:t>, June 2015, p. 8.</w:t>
      </w:r>
    </w:p>
  </w:footnote>
  <w:footnote w:id="17">
    <w:p w:rsidR="001946B4" w:rsidRPr="00E35D4F" w:rsidRDefault="001946B4" w:rsidP="001946B4">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Pr="00F710D5" w:rsidRDefault="001946B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Pr="00F710D5" w:rsidRDefault="001946B4" w:rsidP="001946B4">
    <w:pPr>
      <w:pStyle w:val="Header"/>
      <w:tabs>
        <w:tab w:val="clear" w:pos="8306"/>
        <w:tab w:val="right" w:pos="900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Pr="001946B4" w:rsidRDefault="001946B4" w:rsidP="001946B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tabs>
        <w:tab w:val="clear" w:pos="8306"/>
        <w:tab w:val="right" w:pos="9000"/>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Pr="00F710D5" w:rsidRDefault="001946B4">
    <w:pPr>
      <w:pStyle w:val="Header"/>
      <w:pBdr>
        <w:bottom w:val="single" w:sz="4" w:space="1" w:color="auto"/>
      </w:pBdr>
      <w:tabs>
        <w:tab w:val="clear" w:pos="8306"/>
        <w:tab w:val="right" w:pos="9000"/>
      </w:tabs>
    </w:pPr>
    <w:r>
      <w:fldChar w:fldCharType="begin"/>
    </w:r>
    <w:r>
      <w:instrText xml:space="preserve"> PAGE </w:instrText>
    </w:r>
    <w:r>
      <w:fldChar w:fldCharType="separate"/>
    </w:r>
    <w:r w:rsidR="003F70E7">
      <w:rPr>
        <w:noProof/>
      </w:rPr>
      <w:t>16</w:t>
    </w:r>
    <w:r>
      <w:rPr>
        <w:noProof/>
      </w:rPr>
      <w:fldChar w:fldCharType="end"/>
    </w:r>
    <w:r w:rsidRPr="007E5241">
      <w:rPr>
        <w:color w:val="FF0000"/>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3F70E7">
      <w:rPr>
        <w:noProof/>
      </w:rPr>
      <w:t>15</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tabs>
        <w:tab w:val="clear" w:pos="8306"/>
        <w:tab w:val="right" w:pos="9000"/>
      </w:tabs>
    </w:pPr>
    <w:r>
      <w:tab/>
    </w:r>
    <w:r>
      <w:fldChar w:fldCharType="begin"/>
    </w:r>
    <w:r>
      <w:instrText xml:space="preserve"> PAGE </w:instrText>
    </w:r>
    <w:r>
      <w:fldChar w:fldCharType="separate"/>
    </w:r>
    <w:r w:rsidR="003F70E7">
      <w:rPr>
        <w:noProof/>
      </w:rPr>
      <w:t>1</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Pr="00F710D5" w:rsidRDefault="001946B4">
    <w:pPr>
      <w:pStyle w:val="Header"/>
      <w:pBdr>
        <w:bottom w:val="single" w:sz="4" w:space="1" w:color="auto"/>
      </w:pBdr>
      <w:tabs>
        <w:tab w:val="clear" w:pos="8306"/>
        <w:tab w:val="right" w:pos="9000"/>
      </w:tabs>
    </w:pPr>
    <w:r>
      <w:fldChar w:fldCharType="begin"/>
    </w:r>
    <w:r>
      <w:instrText xml:space="preserve"> PAGE </w:instrText>
    </w:r>
    <w:r>
      <w:fldChar w:fldCharType="separate"/>
    </w:r>
    <w:r w:rsidR="003F70E7">
      <w:rPr>
        <w:noProof/>
      </w:rPr>
      <w:t>32</w:t>
    </w:r>
    <w:r>
      <w:rPr>
        <w:noProof/>
      </w:rPr>
      <w:fldChar w:fldCharType="end"/>
    </w: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3F70E7">
      <w:rPr>
        <w:noProof/>
      </w:rPr>
      <w:t>31</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tabs>
        <w:tab w:val="clear" w:pos="8306"/>
        <w:tab w:val="right" w:pos="9000"/>
      </w:tabs>
    </w:pPr>
    <w:r>
      <w:tab/>
      <w:t>17</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Pr="00F710D5" w:rsidRDefault="001946B4">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4</w:t>
    </w:r>
    <w:r>
      <w:rPr>
        <w:noProof/>
      </w:rPr>
      <w:fldChar w:fldCharType="end"/>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tabs>
        <w:tab w:val="clear" w:pos="8306"/>
        <w:tab w:val="right" w:pos="9000"/>
      </w:tabs>
    </w:pPr>
    <w:r>
      <w:tab/>
      <w:t>33</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tabs>
        <w:tab w:val="clear" w:pos="8306"/>
        <w:tab w:val="right" w:pos="9000"/>
      </w:tabs>
    </w:pPr>
    <w: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3F70E7">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68</w:t>
    </w:r>
    <w:r>
      <w:rPr>
        <w:noProof/>
      </w:rPr>
      <w:fldChar w:fldCharType="end"/>
    </w:r>
    <w:r w:rsidR="00C77954">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3F70E7">
      <w:fldChar w:fldCharType="begin"/>
    </w:r>
    <w:r w:rsidR="003F70E7">
      <w:instrText xml:space="preserve"> PAGE </w:instrText>
    </w:r>
    <w:r w:rsidR="003F70E7">
      <w:fldChar w:fldCharType="separate"/>
    </w:r>
    <w:r w:rsidR="003F70E7">
      <w:rPr>
        <w:noProof/>
      </w:rPr>
      <w:t>69</w:t>
    </w:r>
    <w:r w:rsidR="003F70E7">
      <w:rPr>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3F70E7">
      <w:t>67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Pr="00F710D5" w:rsidRDefault="001946B4" w:rsidP="001946B4">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v</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Pr="001946B4" w:rsidRDefault="001946B4" w:rsidP="001946B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Pr="001946B4" w:rsidRDefault="001946B4" w:rsidP="001946B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B4" w:rsidRDefault="001946B4">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7722ECF8"/>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B562BF2"/>
    <w:multiLevelType w:val="hybridMultilevel"/>
    <w:tmpl w:val="04245AEC"/>
    <w:lvl w:ilvl="0" w:tplc="855CC3E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5CC37C2"/>
    <w:multiLevelType w:val="hybridMultilevel"/>
    <w:tmpl w:val="4B5C5B28"/>
    <w:lvl w:ilvl="0" w:tplc="0998616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347757B"/>
    <w:multiLevelType w:val="multilevel"/>
    <w:tmpl w:val="419EDCB0"/>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nsid w:val="63D2471F"/>
    <w:multiLevelType w:val="multilevel"/>
    <w:tmpl w:val="8676C21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9">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1">
    <w:nsid w:val="7D963B72"/>
    <w:multiLevelType w:val="hybridMultilevel"/>
    <w:tmpl w:val="2256B728"/>
    <w:lvl w:ilvl="0" w:tplc="1CFA1564">
      <w:start w:val="1"/>
      <w:numFmt w:val="bullet"/>
      <w:lvlText w:val="-"/>
      <w:lvlJc w:val="left"/>
      <w:pPr>
        <w:ind w:left="1211" w:hanging="360"/>
      </w:pPr>
      <w:rPr>
        <w:rFonts w:ascii="Times New (W1)" w:eastAsia="Times New Roman" w:hAnsi="Times New (W1)"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2">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5"/>
  </w:num>
  <w:num w:numId="2">
    <w:abstractNumId w:val="12"/>
  </w:num>
  <w:num w:numId="3">
    <w:abstractNumId w:val="14"/>
  </w:num>
  <w:num w:numId="4">
    <w:abstractNumId w:val="15"/>
  </w:num>
  <w:num w:numId="5">
    <w:abstractNumId w:val="19"/>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1"/>
  </w:num>
  <w:num w:numId="19">
    <w:abstractNumId w:val="30"/>
  </w:num>
  <w:num w:numId="20">
    <w:abstractNumId w:val="10"/>
  </w:num>
  <w:num w:numId="21">
    <w:abstractNumId w:val="27"/>
  </w:num>
  <w:num w:numId="22">
    <w:abstractNumId w:val="20"/>
  </w:num>
  <w:num w:numId="23">
    <w:abstractNumId w:val="28"/>
  </w:num>
  <w:num w:numId="24">
    <w:abstractNumId w:val="21"/>
  </w:num>
  <w:num w:numId="25">
    <w:abstractNumId w:val="22"/>
  </w:num>
  <w:num w:numId="26">
    <w:abstractNumId w:val="27"/>
  </w:num>
  <w:num w:numId="27">
    <w:abstractNumId w:val="27"/>
  </w:num>
  <w:num w:numId="28">
    <w:abstractNumId w:val="32"/>
  </w:num>
  <w:num w:numId="29">
    <w:abstractNumId w:val="32"/>
  </w:num>
  <w:num w:numId="30">
    <w:abstractNumId w:val="32"/>
  </w:num>
  <w:num w:numId="31">
    <w:abstractNumId w:val="27"/>
  </w:num>
  <w:num w:numId="32">
    <w:abstractNumId w:val="27"/>
  </w:num>
  <w:num w:numId="33">
    <w:abstractNumId w:val="17"/>
  </w:num>
  <w:num w:numId="34">
    <w:abstractNumId w:val="13"/>
  </w:num>
  <w:num w:numId="35">
    <w:abstractNumId w:val="29"/>
  </w:num>
  <w:num w:numId="36">
    <w:abstractNumId w:val="24"/>
  </w:num>
  <w:num w:numId="37">
    <w:abstractNumId w:val="18"/>
  </w:num>
  <w:num w:numId="38">
    <w:abstractNumId w:val="31"/>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1946B4"/>
    <w:rsid w:val="00296ADC"/>
    <w:rsid w:val="00312055"/>
    <w:rsid w:val="003168FA"/>
    <w:rsid w:val="00325264"/>
    <w:rsid w:val="00333EC9"/>
    <w:rsid w:val="00350769"/>
    <w:rsid w:val="003E0C8F"/>
    <w:rsid w:val="003E63DF"/>
    <w:rsid w:val="003F34C3"/>
    <w:rsid w:val="003F70E7"/>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85962"/>
    <w:rsid w:val="00792C72"/>
    <w:rsid w:val="007C4CE2"/>
    <w:rsid w:val="007E3921"/>
    <w:rsid w:val="007F5E17"/>
    <w:rsid w:val="008326C3"/>
    <w:rsid w:val="00837D9C"/>
    <w:rsid w:val="00854AE4"/>
    <w:rsid w:val="008A1C03"/>
    <w:rsid w:val="0093109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1946B4"/>
    <w:pPr>
      <w:keepNext/>
      <w:numPr>
        <w:ilvl w:val="3"/>
        <w:numId w:val="32"/>
      </w:numPr>
      <w:outlineLvl w:val="3"/>
    </w:pPr>
    <w:rPr>
      <w:b/>
      <w:i/>
    </w:rPr>
  </w:style>
  <w:style w:type="paragraph" w:styleId="Heading5">
    <w:name w:val="heading 5"/>
    <w:basedOn w:val="Normal"/>
    <w:next w:val="Normal"/>
    <w:qFormat/>
    <w:rsid w:val="001946B4"/>
    <w:pPr>
      <w:keepNext/>
      <w:numPr>
        <w:ilvl w:val="4"/>
        <w:numId w:val="32"/>
      </w:numPr>
      <w:jc w:val="left"/>
      <w:outlineLvl w:val="4"/>
    </w:pPr>
    <w:rPr>
      <w:i/>
    </w:rPr>
  </w:style>
  <w:style w:type="paragraph" w:styleId="Heading6">
    <w:name w:val="heading 6"/>
    <w:basedOn w:val="Normal"/>
    <w:next w:val="Normal"/>
    <w:qFormat/>
    <w:locked/>
    <w:rsid w:val="001946B4"/>
    <w:pPr>
      <w:numPr>
        <w:ilvl w:val="5"/>
        <w:numId w:val="32"/>
      </w:numPr>
      <w:spacing w:before="240" w:after="60"/>
      <w:outlineLvl w:val="5"/>
    </w:pPr>
    <w:rPr>
      <w:i/>
      <w:sz w:val="22"/>
    </w:rPr>
  </w:style>
  <w:style w:type="paragraph" w:styleId="Heading7">
    <w:name w:val="heading 7"/>
    <w:basedOn w:val="Normal"/>
    <w:next w:val="Normal"/>
    <w:qFormat/>
    <w:locked/>
    <w:rsid w:val="001946B4"/>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1946B4"/>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1946B4"/>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1946B4"/>
    <w:pPr>
      <w:numPr>
        <w:numId w:val="32"/>
      </w:numPr>
    </w:pPr>
  </w:style>
  <w:style w:type="paragraph" w:customStyle="1" w:styleId="Level2">
    <w:name w:val="Level2"/>
    <w:basedOn w:val="Normal"/>
    <w:rsid w:val="001946B4"/>
    <w:pPr>
      <w:numPr>
        <w:ilvl w:val="1"/>
        <w:numId w:val="32"/>
      </w:numPr>
    </w:pPr>
  </w:style>
  <w:style w:type="paragraph" w:customStyle="1" w:styleId="Level3">
    <w:name w:val="Level3"/>
    <w:basedOn w:val="Normal"/>
    <w:link w:val="Level3Char"/>
    <w:rsid w:val="001946B4"/>
    <w:pPr>
      <w:numPr>
        <w:ilvl w:val="2"/>
        <w:numId w:val="32"/>
      </w:numPr>
    </w:pPr>
  </w:style>
  <w:style w:type="paragraph" w:styleId="FootnoteText">
    <w:name w:val="footnote text"/>
    <w:link w:val="FootnoteTextChar"/>
    <w:qFormat/>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1946B4"/>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1946B4"/>
    <w:rPr>
      <w:rFonts w:ascii="Times New Roman" w:hAnsi="Times New Roman"/>
      <w:b/>
      <w:kern w:val="28"/>
      <w:sz w:val="40"/>
      <w:lang w:eastAsia="en-US"/>
    </w:rPr>
  </w:style>
  <w:style w:type="character" w:customStyle="1" w:styleId="HeaderChar">
    <w:name w:val="Header Char"/>
    <w:basedOn w:val="DefaultParagraphFont"/>
    <w:link w:val="Header"/>
    <w:semiHidden/>
    <w:rsid w:val="001946B4"/>
    <w:rPr>
      <w:rFonts w:ascii="Times New Roman" w:hAnsi="Times New Roman"/>
      <w:sz w:val="22"/>
      <w:lang w:eastAsia="en-US"/>
    </w:rPr>
  </w:style>
  <w:style w:type="paragraph" w:customStyle="1" w:styleId="JNP2">
    <w:name w:val="JNP2"/>
    <w:basedOn w:val="Normal"/>
    <w:rsid w:val="001946B4"/>
    <w:pPr>
      <w:spacing w:after="0"/>
      <w:ind w:left="2268"/>
    </w:pPr>
    <w:rPr>
      <w:lang w:val="en-US"/>
    </w:rPr>
  </w:style>
  <w:style w:type="character" w:customStyle="1" w:styleId="FootnoteTextChar">
    <w:name w:val="Footnote Text Char"/>
    <w:basedOn w:val="DefaultParagraphFont"/>
    <w:link w:val="FootnoteText"/>
    <w:rsid w:val="001946B4"/>
    <w:rPr>
      <w:sz w:val="22"/>
      <w:lang w:eastAsia="en-US"/>
    </w:rPr>
  </w:style>
  <w:style w:type="character" w:customStyle="1" w:styleId="QuoteChar">
    <w:name w:val="Quote Char"/>
    <w:basedOn w:val="DefaultParagraphFont"/>
    <w:link w:val="Quote"/>
    <w:rsid w:val="001946B4"/>
    <w:rPr>
      <w:rFonts w:ascii="Times New Roman" w:hAnsi="Times New Roman"/>
      <w:sz w:val="24"/>
      <w:lang w:eastAsia="en-US"/>
    </w:rPr>
  </w:style>
  <w:style w:type="character" w:customStyle="1" w:styleId="Heading2Char">
    <w:name w:val="Heading 2 Char"/>
    <w:basedOn w:val="DefaultParagraphFont"/>
    <w:link w:val="Heading2"/>
    <w:rsid w:val="001946B4"/>
    <w:rPr>
      <w:rFonts w:ascii="Times New Roman" w:hAnsi="Times New Roman"/>
      <w:b/>
      <w:sz w:val="36"/>
      <w:lang w:eastAsia="en-US"/>
    </w:rPr>
  </w:style>
  <w:style w:type="character" w:customStyle="1" w:styleId="Heading3Char">
    <w:name w:val="Heading 3 Char"/>
    <w:basedOn w:val="DefaultParagraphFont"/>
    <w:link w:val="Heading3"/>
    <w:rsid w:val="001946B4"/>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1946B4"/>
    <w:pPr>
      <w:keepNext/>
      <w:numPr>
        <w:ilvl w:val="3"/>
        <w:numId w:val="32"/>
      </w:numPr>
      <w:outlineLvl w:val="3"/>
    </w:pPr>
    <w:rPr>
      <w:b/>
      <w:i/>
    </w:rPr>
  </w:style>
  <w:style w:type="paragraph" w:styleId="Heading5">
    <w:name w:val="heading 5"/>
    <w:basedOn w:val="Normal"/>
    <w:next w:val="Normal"/>
    <w:qFormat/>
    <w:rsid w:val="001946B4"/>
    <w:pPr>
      <w:keepNext/>
      <w:numPr>
        <w:ilvl w:val="4"/>
        <w:numId w:val="32"/>
      </w:numPr>
      <w:jc w:val="left"/>
      <w:outlineLvl w:val="4"/>
    </w:pPr>
    <w:rPr>
      <w:i/>
    </w:rPr>
  </w:style>
  <w:style w:type="paragraph" w:styleId="Heading6">
    <w:name w:val="heading 6"/>
    <w:basedOn w:val="Normal"/>
    <w:next w:val="Normal"/>
    <w:qFormat/>
    <w:locked/>
    <w:rsid w:val="001946B4"/>
    <w:pPr>
      <w:numPr>
        <w:ilvl w:val="5"/>
        <w:numId w:val="32"/>
      </w:numPr>
      <w:spacing w:before="240" w:after="60"/>
      <w:outlineLvl w:val="5"/>
    </w:pPr>
    <w:rPr>
      <w:i/>
      <w:sz w:val="22"/>
    </w:rPr>
  </w:style>
  <w:style w:type="paragraph" w:styleId="Heading7">
    <w:name w:val="heading 7"/>
    <w:basedOn w:val="Normal"/>
    <w:next w:val="Normal"/>
    <w:qFormat/>
    <w:locked/>
    <w:rsid w:val="001946B4"/>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1946B4"/>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1946B4"/>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1946B4"/>
    <w:pPr>
      <w:numPr>
        <w:numId w:val="32"/>
      </w:numPr>
    </w:pPr>
  </w:style>
  <w:style w:type="paragraph" w:customStyle="1" w:styleId="Level2">
    <w:name w:val="Level2"/>
    <w:basedOn w:val="Normal"/>
    <w:rsid w:val="001946B4"/>
    <w:pPr>
      <w:numPr>
        <w:ilvl w:val="1"/>
        <w:numId w:val="32"/>
      </w:numPr>
    </w:pPr>
  </w:style>
  <w:style w:type="paragraph" w:customStyle="1" w:styleId="Level3">
    <w:name w:val="Level3"/>
    <w:basedOn w:val="Normal"/>
    <w:link w:val="Level3Char"/>
    <w:rsid w:val="001946B4"/>
    <w:pPr>
      <w:numPr>
        <w:ilvl w:val="2"/>
        <w:numId w:val="32"/>
      </w:numPr>
    </w:pPr>
  </w:style>
  <w:style w:type="paragraph" w:styleId="FootnoteText">
    <w:name w:val="footnote text"/>
    <w:link w:val="FootnoteTextChar"/>
    <w:qFormat/>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1946B4"/>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1946B4"/>
    <w:rPr>
      <w:rFonts w:ascii="Times New Roman" w:hAnsi="Times New Roman"/>
      <w:b/>
      <w:kern w:val="28"/>
      <w:sz w:val="40"/>
      <w:lang w:eastAsia="en-US"/>
    </w:rPr>
  </w:style>
  <w:style w:type="character" w:customStyle="1" w:styleId="HeaderChar">
    <w:name w:val="Header Char"/>
    <w:basedOn w:val="DefaultParagraphFont"/>
    <w:link w:val="Header"/>
    <w:semiHidden/>
    <w:rsid w:val="001946B4"/>
    <w:rPr>
      <w:rFonts w:ascii="Times New Roman" w:hAnsi="Times New Roman"/>
      <w:sz w:val="22"/>
      <w:lang w:eastAsia="en-US"/>
    </w:rPr>
  </w:style>
  <w:style w:type="paragraph" w:customStyle="1" w:styleId="JNP2">
    <w:name w:val="JNP2"/>
    <w:basedOn w:val="Normal"/>
    <w:rsid w:val="001946B4"/>
    <w:pPr>
      <w:spacing w:after="0"/>
      <w:ind w:left="2268"/>
    </w:pPr>
    <w:rPr>
      <w:lang w:val="en-US"/>
    </w:rPr>
  </w:style>
  <w:style w:type="character" w:customStyle="1" w:styleId="FootnoteTextChar">
    <w:name w:val="Footnote Text Char"/>
    <w:basedOn w:val="DefaultParagraphFont"/>
    <w:link w:val="FootnoteText"/>
    <w:rsid w:val="001946B4"/>
    <w:rPr>
      <w:sz w:val="22"/>
      <w:lang w:eastAsia="en-US"/>
    </w:rPr>
  </w:style>
  <w:style w:type="character" w:customStyle="1" w:styleId="QuoteChar">
    <w:name w:val="Quote Char"/>
    <w:basedOn w:val="DefaultParagraphFont"/>
    <w:link w:val="Quote"/>
    <w:rsid w:val="001946B4"/>
    <w:rPr>
      <w:rFonts w:ascii="Times New Roman" w:hAnsi="Times New Roman"/>
      <w:sz w:val="24"/>
      <w:lang w:eastAsia="en-US"/>
    </w:rPr>
  </w:style>
  <w:style w:type="character" w:customStyle="1" w:styleId="Heading2Char">
    <w:name w:val="Heading 2 Char"/>
    <w:basedOn w:val="DefaultParagraphFont"/>
    <w:link w:val="Heading2"/>
    <w:rsid w:val="001946B4"/>
    <w:rPr>
      <w:rFonts w:ascii="Times New Roman" w:hAnsi="Times New Roman"/>
      <w:b/>
      <w:sz w:val="36"/>
      <w:lang w:eastAsia="en-US"/>
    </w:rPr>
  </w:style>
  <w:style w:type="character" w:customStyle="1" w:styleId="Heading3Char">
    <w:name w:val="Heading 3 Char"/>
    <w:basedOn w:val="DefaultParagraphFont"/>
    <w:link w:val="Heading3"/>
    <w:rsid w:val="001946B4"/>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hyperlink" Target="mailto:RegOrds.Sen@aph.gov.a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yperlink" Target="http://www.aph.gov.au/Parliamentary_Business/Committees/Senate/Regulations_and_Ordinances%2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yperlink" Target="http://www.aph.gov.au/Parliamentary_Business/Committees/Senate_Committees?url=regord_ctte/alert2012.htm" TargetMode="External"/><Relationship Id="rId58"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4.xml"/><Relationship Id="rId61"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yperlink" Target="http://www.comlaw.gov.au/Details/C2012C00041" TargetMode="External"/><Relationship Id="rId60"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3.xml"/><Relationship Id="rId8" Type="http://schemas.openxmlformats.org/officeDocument/2006/relationships/header" Target="header1.xml"/><Relationship Id="rId51" Type="http://schemas.openxmlformats.org/officeDocument/2006/relationships/footer" Target="footer22.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4.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2" Type="http://schemas.openxmlformats.org/officeDocument/2006/relationships/hyperlink" Target="https://www.comlaw.gov.au/"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1</TotalTime>
  <Pages>47</Pages>
  <Words>11848</Words>
  <Characters>69085</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2015-09-10T04:36:00Z</dcterms:created>
  <dcterms:modified xsi:type="dcterms:W3CDTF">2015-09-10T04:36:00Z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