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BD781B">
        <w:rPr>
          <w:sz w:val="24"/>
          <w:szCs w:val="24"/>
        </w:rPr>
        <w:t>3</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A878F4">
        <w:rPr>
          <w:sz w:val="28"/>
        </w:rPr>
        <w:t>1</w:t>
      </w:r>
      <w:r w:rsidR="00BD781B">
        <w:rPr>
          <w:sz w:val="28"/>
        </w:rPr>
        <w:t>8</w:t>
      </w:r>
      <w:r w:rsidR="009A4604">
        <w:rPr>
          <w:sz w:val="28"/>
        </w:rPr>
        <w:t xml:space="preserve"> </w:t>
      </w:r>
      <w:r w:rsidR="00BD781B">
        <w:rPr>
          <w:sz w:val="28"/>
        </w:rPr>
        <w:t>March</w:t>
      </w:r>
      <w:r w:rsidR="00AB1147">
        <w:rPr>
          <w:sz w:val="28"/>
        </w:rPr>
        <w:t xml:space="preserve"> </w:t>
      </w:r>
      <w:r w:rsidRPr="00BF4D76">
        <w:rPr>
          <w:rFonts w:ascii="Frutiger 55 roman" w:hAnsi="Frutiger 55 roman" w:cs="Calibri"/>
          <w:sz w:val="28"/>
        </w:rPr>
        <w:t>201</w:t>
      </w:r>
      <w:r w:rsidR="00BD781B">
        <w:rPr>
          <w:rFonts w:ascii="Frutiger 55 roman" w:hAnsi="Frutiger 55 roman" w:cs="Calibri"/>
          <w:sz w:val="28"/>
        </w:rPr>
        <w:t>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BD781B">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875C48" w:rsidRDefault="00875C48" w:rsidP="00325264">
      <w:pPr>
        <w:sectPr w:rsidR="00875C48" w:rsidSect="00D2688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202" w:left="1440" w:header="1134" w:footer="720" w:gutter="0"/>
          <w:pgNumType w:fmt="lowerRoman" w:start="1"/>
          <w:cols w:space="720"/>
          <w:titlePg/>
        </w:sectPr>
      </w:pPr>
    </w:p>
    <w:p w:rsidR="00875C48" w:rsidRDefault="00875C48" w:rsidP="00875C48">
      <w:pPr>
        <w:pStyle w:val="Heading1"/>
      </w:pPr>
      <w:bookmarkStart w:id="1" w:name="_Toc340231481"/>
      <w:r>
        <w:lastRenderedPageBreak/>
        <w:t>Membership of the committee</w:t>
      </w:r>
      <w:bookmarkEnd w:id="1"/>
    </w:p>
    <w:p w:rsidR="00875C48" w:rsidRDefault="00875C48" w:rsidP="00875C48">
      <w:pPr>
        <w:spacing w:after="0"/>
      </w:pPr>
    </w:p>
    <w:p w:rsidR="00875C48" w:rsidRDefault="00875C48" w:rsidP="00875C48">
      <w:pPr>
        <w:spacing w:after="0"/>
      </w:pPr>
    </w:p>
    <w:p w:rsidR="00875C48" w:rsidRDefault="00875C48" w:rsidP="00875C48">
      <w:pPr>
        <w:spacing w:after="0"/>
      </w:pPr>
    </w:p>
    <w:p w:rsidR="00875C48" w:rsidRDefault="00875C48" w:rsidP="00875C48">
      <w:pPr>
        <w:spacing w:after="0"/>
      </w:pPr>
    </w:p>
    <w:p w:rsidR="00875C48" w:rsidRDefault="00875C48" w:rsidP="00875C48">
      <w:pPr>
        <w:spacing w:after="0"/>
      </w:pPr>
    </w:p>
    <w:p w:rsidR="00875C48" w:rsidRPr="008A46B0" w:rsidRDefault="00875C48" w:rsidP="00875C48">
      <w:pPr>
        <w:tabs>
          <w:tab w:val="left" w:pos="4536"/>
        </w:tabs>
        <w:outlineLvl w:val="0"/>
        <w:rPr>
          <w:b/>
        </w:rPr>
      </w:pPr>
      <w:bookmarkStart w:id="2" w:name="_Toc340231482"/>
      <w:r>
        <w:rPr>
          <w:b/>
        </w:rPr>
        <w:t>Current m</w:t>
      </w:r>
      <w:r w:rsidRPr="008A46B0">
        <w:rPr>
          <w:b/>
        </w:rPr>
        <w:t>embers</w:t>
      </w:r>
      <w:bookmarkEnd w:id="2"/>
    </w:p>
    <w:p w:rsidR="00875C48" w:rsidRPr="001F6A19" w:rsidRDefault="00875C48" w:rsidP="00875C48">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875C48" w:rsidRPr="001F6A19" w:rsidRDefault="00875C48" w:rsidP="00875C48">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875C48" w:rsidRPr="001F6A19" w:rsidRDefault="00875C48" w:rsidP="00875C48">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875C48" w:rsidRPr="001F6A19" w:rsidRDefault="00875C48" w:rsidP="00875C48">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875C48" w:rsidRDefault="00875C48" w:rsidP="00875C48">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875C48" w:rsidRDefault="00875C48" w:rsidP="00875C48">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875C48" w:rsidRDefault="00875C48" w:rsidP="00875C48">
      <w:pPr>
        <w:spacing w:after="0"/>
        <w:rPr>
          <w:sz w:val="24"/>
          <w:szCs w:val="24"/>
        </w:rPr>
      </w:pPr>
    </w:p>
    <w:p w:rsidR="00875C48" w:rsidRDefault="00875C48" w:rsidP="00875C48">
      <w:pPr>
        <w:spacing w:after="0"/>
        <w:rPr>
          <w:sz w:val="24"/>
          <w:szCs w:val="24"/>
        </w:rPr>
      </w:pPr>
    </w:p>
    <w:p w:rsidR="00875C48" w:rsidRDefault="00875C48" w:rsidP="00875C48">
      <w:pPr>
        <w:spacing w:after="0"/>
        <w:rPr>
          <w:sz w:val="24"/>
          <w:szCs w:val="24"/>
        </w:rPr>
      </w:pPr>
    </w:p>
    <w:p w:rsidR="00875C48" w:rsidRDefault="00875C48" w:rsidP="00875C48">
      <w:pPr>
        <w:spacing w:after="0"/>
        <w:rPr>
          <w:sz w:val="24"/>
          <w:szCs w:val="24"/>
        </w:rPr>
      </w:pPr>
    </w:p>
    <w:p w:rsidR="00875C48" w:rsidRDefault="00875C48" w:rsidP="00875C48">
      <w:pPr>
        <w:spacing w:after="0"/>
        <w:rPr>
          <w:sz w:val="24"/>
          <w:szCs w:val="24"/>
        </w:rPr>
      </w:pPr>
    </w:p>
    <w:p w:rsidR="00875C48" w:rsidRPr="00BE73BD" w:rsidRDefault="00875C48" w:rsidP="00875C48">
      <w:pPr>
        <w:rPr>
          <w:b/>
        </w:rPr>
      </w:pPr>
      <w:bookmarkStart w:id="3" w:name="_Toc340231484"/>
      <w:r w:rsidRPr="00BE73BD">
        <w:rPr>
          <w:b/>
        </w:rPr>
        <w:t>Secretariat</w:t>
      </w:r>
      <w:bookmarkEnd w:id="3"/>
    </w:p>
    <w:p w:rsidR="00875C48" w:rsidRPr="00BE73BD" w:rsidRDefault="00875C48" w:rsidP="00875C48">
      <w:pPr>
        <w:spacing w:after="0"/>
        <w:rPr>
          <w:sz w:val="24"/>
          <w:szCs w:val="24"/>
        </w:rPr>
      </w:pPr>
      <w:bookmarkStart w:id="4" w:name="_Toc340231485"/>
      <w:r w:rsidRPr="00BE73BD">
        <w:rPr>
          <w:sz w:val="24"/>
          <w:szCs w:val="24"/>
        </w:rPr>
        <w:t>Mr Ivan Powell, Secretary</w:t>
      </w:r>
      <w:bookmarkEnd w:id="4"/>
    </w:p>
    <w:p w:rsidR="00875C48" w:rsidRPr="00BE73BD" w:rsidRDefault="00875C48" w:rsidP="00875C48">
      <w:pPr>
        <w:spacing w:after="0"/>
        <w:rPr>
          <w:sz w:val="24"/>
          <w:szCs w:val="24"/>
        </w:rPr>
      </w:pPr>
      <w:r w:rsidRPr="00BE73BD">
        <w:rPr>
          <w:sz w:val="24"/>
          <w:szCs w:val="24"/>
        </w:rPr>
        <w:t>Dr Patrick Hodder, Senior Research Officer</w:t>
      </w:r>
    </w:p>
    <w:p w:rsidR="00875C48" w:rsidRDefault="00875C48" w:rsidP="00875C48">
      <w:pPr>
        <w:spacing w:after="0"/>
        <w:rPr>
          <w:sz w:val="24"/>
          <w:szCs w:val="24"/>
        </w:rPr>
      </w:pPr>
    </w:p>
    <w:p w:rsidR="00875C48" w:rsidRDefault="00875C48" w:rsidP="00875C48">
      <w:pPr>
        <w:spacing w:after="0"/>
        <w:rPr>
          <w:sz w:val="24"/>
          <w:szCs w:val="24"/>
        </w:rPr>
      </w:pPr>
    </w:p>
    <w:p w:rsidR="00875C48" w:rsidRDefault="00875C48" w:rsidP="00875C48">
      <w:pPr>
        <w:spacing w:after="0"/>
        <w:rPr>
          <w:sz w:val="24"/>
          <w:szCs w:val="24"/>
        </w:rPr>
      </w:pPr>
    </w:p>
    <w:p w:rsidR="00875C48" w:rsidRPr="007A6AAA" w:rsidRDefault="00875C48" w:rsidP="00875C48">
      <w:pPr>
        <w:spacing w:after="0"/>
        <w:rPr>
          <w:sz w:val="24"/>
          <w:szCs w:val="24"/>
        </w:rPr>
      </w:pPr>
    </w:p>
    <w:p w:rsidR="00875C48" w:rsidRPr="00BE73BD" w:rsidRDefault="00875C48" w:rsidP="00875C48">
      <w:pPr>
        <w:rPr>
          <w:b/>
        </w:rPr>
      </w:pPr>
      <w:bookmarkStart w:id="5" w:name="_Toc340231486"/>
      <w:r w:rsidRPr="00BE73BD">
        <w:rPr>
          <w:b/>
        </w:rPr>
        <w:t>Committee legal adviser</w:t>
      </w:r>
      <w:bookmarkEnd w:id="5"/>
    </w:p>
    <w:p w:rsidR="00875C48" w:rsidRPr="00BE73BD" w:rsidRDefault="00875C48" w:rsidP="00875C48">
      <w:pPr>
        <w:rPr>
          <w:sz w:val="24"/>
          <w:szCs w:val="24"/>
        </w:rPr>
      </w:pPr>
      <w:r w:rsidRPr="00BE73BD">
        <w:rPr>
          <w:sz w:val="24"/>
          <w:szCs w:val="24"/>
        </w:rPr>
        <w:t>Mr Stephen Argument</w:t>
      </w:r>
    </w:p>
    <w:p w:rsidR="00875C48" w:rsidRDefault="00875C48" w:rsidP="00875C48">
      <w:pPr>
        <w:spacing w:after="0"/>
        <w:rPr>
          <w:sz w:val="24"/>
          <w:szCs w:val="24"/>
        </w:rPr>
      </w:pPr>
    </w:p>
    <w:p w:rsidR="00875C48" w:rsidRDefault="00875C48" w:rsidP="00875C48">
      <w:pPr>
        <w:spacing w:after="0"/>
        <w:rPr>
          <w:sz w:val="24"/>
          <w:szCs w:val="24"/>
        </w:rPr>
      </w:pPr>
    </w:p>
    <w:p w:rsidR="00875C48" w:rsidRPr="001B64F3" w:rsidRDefault="00875C48" w:rsidP="00875C48">
      <w:pPr>
        <w:spacing w:after="0"/>
        <w:rPr>
          <w:sz w:val="24"/>
          <w:szCs w:val="24"/>
        </w:rPr>
      </w:pPr>
    </w:p>
    <w:p w:rsidR="00875C48" w:rsidRPr="001B64F3" w:rsidRDefault="00875C48" w:rsidP="00875C48">
      <w:pPr>
        <w:spacing w:after="0"/>
        <w:rPr>
          <w:sz w:val="24"/>
          <w:szCs w:val="24"/>
        </w:rPr>
      </w:pPr>
    </w:p>
    <w:p w:rsidR="00875C48" w:rsidRPr="00BE73BD" w:rsidRDefault="00875C48" w:rsidP="00875C48">
      <w:pPr>
        <w:rPr>
          <w:b/>
        </w:rPr>
      </w:pPr>
      <w:bookmarkStart w:id="6" w:name="_Toc340231487"/>
      <w:r w:rsidRPr="00BE73BD">
        <w:rPr>
          <w:b/>
        </w:rPr>
        <w:t>Committee contacts</w:t>
      </w:r>
      <w:bookmarkEnd w:id="6"/>
    </w:p>
    <w:p w:rsidR="00875C48" w:rsidRPr="00BE73BD" w:rsidRDefault="00875C48" w:rsidP="00875C48">
      <w:pPr>
        <w:spacing w:after="0"/>
        <w:rPr>
          <w:sz w:val="24"/>
          <w:szCs w:val="24"/>
        </w:rPr>
      </w:pPr>
      <w:bookmarkStart w:id="7" w:name="_Toc340231488"/>
      <w:r w:rsidRPr="00BE73BD">
        <w:rPr>
          <w:sz w:val="24"/>
          <w:szCs w:val="24"/>
        </w:rPr>
        <w:t>PO Box 6100</w:t>
      </w:r>
      <w:bookmarkEnd w:id="7"/>
    </w:p>
    <w:p w:rsidR="00875C48" w:rsidRPr="00BE73BD" w:rsidRDefault="00875C48" w:rsidP="00875C48">
      <w:pPr>
        <w:spacing w:after="0"/>
        <w:rPr>
          <w:sz w:val="24"/>
          <w:szCs w:val="24"/>
        </w:rPr>
      </w:pPr>
      <w:r w:rsidRPr="00BE73BD">
        <w:rPr>
          <w:sz w:val="24"/>
          <w:szCs w:val="24"/>
        </w:rPr>
        <w:t>Parliament House</w:t>
      </w:r>
    </w:p>
    <w:p w:rsidR="00875C48" w:rsidRPr="00BE73BD" w:rsidRDefault="00875C48" w:rsidP="00875C48">
      <w:pPr>
        <w:spacing w:after="0"/>
        <w:rPr>
          <w:sz w:val="24"/>
          <w:szCs w:val="24"/>
        </w:rPr>
      </w:pPr>
      <w:r w:rsidRPr="00BE73BD">
        <w:rPr>
          <w:sz w:val="24"/>
          <w:szCs w:val="24"/>
        </w:rPr>
        <w:t>Canberra ACT 2600</w:t>
      </w:r>
    </w:p>
    <w:p w:rsidR="00875C48" w:rsidRPr="00BE73BD" w:rsidRDefault="00875C48" w:rsidP="00875C48">
      <w:pPr>
        <w:spacing w:after="0"/>
        <w:rPr>
          <w:sz w:val="24"/>
          <w:szCs w:val="24"/>
        </w:rPr>
      </w:pPr>
      <w:r w:rsidRPr="00BE73BD">
        <w:rPr>
          <w:sz w:val="24"/>
          <w:szCs w:val="24"/>
        </w:rPr>
        <w:t>Ph: 02 6277 3066</w:t>
      </w:r>
    </w:p>
    <w:p w:rsidR="00875C48" w:rsidRPr="00BE73BD" w:rsidRDefault="00875C48" w:rsidP="00875C48">
      <w:pPr>
        <w:spacing w:after="0"/>
        <w:rPr>
          <w:sz w:val="24"/>
          <w:szCs w:val="24"/>
        </w:rPr>
      </w:pPr>
      <w:r w:rsidRPr="00BE73BD">
        <w:rPr>
          <w:sz w:val="24"/>
          <w:szCs w:val="24"/>
        </w:rPr>
        <w:t>Email: regords.sen@aph.gov.au</w:t>
      </w:r>
    </w:p>
    <w:p w:rsidR="00875C48" w:rsidRPr="00F72A71" w:rsidRDefault="00875C48" w:rsidP="00875C48">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875C48" w:rsidRPr="007E04A9" w:rsidRDefault="00875C48" w:rsidP="00875C48">
      <w:pPr>
        <w:spacing w:after="0"/>
      </w:pPr>
    </w:p>
    <w:p w:rsidR="00875C48" w:rsidRDefault="00875C48" w:rsidP="00875C48">
      <w:r>
        <w:br w:type="page"/>
      </w:r>
    </w:p>
    <w:p w:rsidR="00875C48" w:rsidRPr="00520991" w:rsidRDefault="00875C48" w:rsidP="00875C48"/>
    <w:p w:rsidR="00875C48" w:rsidRDefault="00875C48" w:rsidP="00325264">
      <w:pPr>
        <w:sectPr w:rsidR="00875C48" w:rsidSect="008F59CB">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202" w:left="1440" w:header="1134" w:footer="720" w:gutter="0"/>
          <w:pgNumType w:fmt="lowerRoman" w:start="3"/>
          <w:cols w:space="720"/>
          <w:titlePg/>
        </w:sectPr>
      </w:pPr>
    </w:p>
    <w:p w:rsidR="00875C48" w:rsidRDefault="00875C48" w:rsidP="00875C48">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5368283"/>
      <w:bookmarkStart w:id="19" w:name="_Toc414010789"/>
      <w:r>
        <w:lastRenderedPageBreak/>
        <w:t>Contents</w:t>
      </w:r>
      <w:bookmarkEnd w:id="9"/>
      <w:bookmarkEnd w:id="10"/>
      <w:bookmarkEnd w:id="11"/>
      <w:bookmarkEnd w:id="12"/>
      <w:bookmarkEnd w:id="13"/>
      <w:bookmarkEnd w:id="14"/>
      <w:bookmarkEnd w:id="15"/>
      <w:bookmarkEnd w:id="16"/>
      <w:bookmarkEnd w:id="17"/>
      <w:bookmarkEnd w:id="18"/>
      <w:bookmarkEnd w:id="19"/>
    </w:p>
    <w:p w:rsidR="00875C48" w:rsidRPr="00635538" w:rsidRDefault="00875C48" w:rsidP="00875C48">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875C48" w:rsidRPr="00874A95" w:rsidRDefault="00875C48" w:rsidP="00875C48">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875C48" w:rsidRDefault="00875C48" w:rsidP="00875C48">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875C48" w:rsidRDefault="00875C48" w:rsidP="00875C48">
      <w:pPr>
        <w:pStyle w:val="TOC2"/>
        <w:tabs>
          <w:tab w:val="right" w:leader="dot" w:pos="9016"/>
        </w:tabs>
        <w:rPr>
          <w:rFonts w:asciiTheme="minorHAnsi" w:eastAsiaTheme="minorEastAsia" w:hAnsiTheme="minorHAnsi" w:cstheme="minorBidi"/>
          <w:b w:val="0"/>
          <w:noProof/>
          <w:sz w:val="22"/>
          <w:szCs w:val="22"/>
          <w:lang w:eastAsia="en-AU"/>
        </w:rPr>
      </w:pPr>
      <w:r>
        <w:rPr>
          <w:noProof/>
        </w:rPr>
        <w:t>New matters</w:t>
      </w:r>
    </w:p>
    <w:p w:rsidR="00875C48" w:rsidRDefault="00875C48" w:rsidP="00875C48">
      <w:pPr>
        <w:pStyle w:val="TOC3"/>
        <w:tabs>
          <w:tab w:val="right" w:leader="dot" w:pos="9016"/>
        </w:tabs>
        <w:jc w:val="left"/>
        <w:rPr>
          <w:rFonts w:asciiTheme="minorHAnsi" w:eastAsiaTheme="minorEastAsia" w:hAnsiTheme="minorHAnsi" w:cstheme="minorBidi"/>
          <w:noProof/>
          <w:sz w:val="22"/>
          <w:szCs w:val="22"/>
          <w:lang w:eastAsia="en-AU"/>
        </w:rPr>
      </w:pPr>
      <w:r w:rsidRPr="00954A9A">
        <w:rPr>
          <w:rFonts w:ascii="Times New (W1)" w:hAnsi="Times New (W1)"/>
          <w:noProof/>
        </w:rPr>
        <w:t>Telecommunications (Labelling Notice for Customer Equipment and</w:t>
      </w:r>
      <w:r>
        <w:rPr>
          <w:rFonts w:ascii="Times New (W1)" w:hAnsi="Times New (W1)"/>
          <w:noProof/>
        </w:rPr>
        <w:br/>
      </w:r>
      <w:r w:rsidRPr="00954A9A">
        <w:rPr>
          <w:rFonts w:ascii="Times New (W1)" w:hAnsi="Times New (W1)"/>
          <w:noProof/>
        </w:rPr>
        <w:t>Customer Cabling) Instrument 2015 [F2015L00190]</w:t>
      </w:r>
      <w:r>
        <w:rPr>
          <w:noProof/>
        </w:rPr>
        <w:tab/>
        <w:t>1</w:t>
      </w:r>
    </w:p>
    <w:p w:rsidR="00875C48" w:rsidRDefault="00875C48" w:rsidP="00875C48">
      <w:pPr>
        <w:pStyle w:val="TOC3"/>
        <w:tabs>
          <w:tab w:val="right" w:leader="dot" w:pos="9016"/>
        </w:tabs>
        <w:jc w:val="left"/>
        <w:rPr>
          <w:rFonts w:asciiTheme="minorHAnsi" w:eastAsiaTheme="minorEastAsia" w:hAnsiTheme="minorHAnsi" w:cstheme="minorBidi"/>
          <w:noProof/>
          <w:sz w:val="22"/>
          <w:szCs w:val="22"/>
          <w:lang w:eastAsia="en-AU"/>
        </w:rPr>
      </w:pPr>
      <w:r w:rsidRPr="00954A9A">
        <w:rPr>
          <w:rFonts w:ascii="Times New (W1)" w:hAnsi="Times New (W1)"/>
          <w:noProof/>
        </w:rPr>
        <w:t>National Health (Price and Special Patient Contribution) Amendment Determination 2015 (No. 1) (PB 11 of 2015) [F2015L00208]</w:t>
      </w:r>
      <w:r>
        <w:rPr>
          <w:noProof/>
        </w:rPr>
        <w:tab/>
        <w:t>2</w:t>
      </w:r>
    </w:p>
    <w:p w:rsidR="00875C48" w:rsidRDefault="00875C48" w:rsidP="00875C48">
      <w:pPr>
        <w:pStyle w:val="TOC2"/>
        <w:tabs>
          <w:tab w:val="right" w:leader="dot" w:pos="9016"/>
        </w:tabs>
        <w:rPr>
          <w:rFonts w:asciiTheme="minorHAnsi" w:eastAsiaTheme="minorEastAsia" w:hAnsiTheme="minorHAnsi" w:cstheme="minorBidi"/>
          <w:b w:val="0"/>
          <w:noProof/>
          <w:sz w:val="22"/>
          <w:szCs w:val="22"/>
          <w:lang w:eastAsia="en-AU"/>
        </w:rPr>
      </w:pPr>
      <w:r>
        <w:rPr>
          <w:noProof/>
        </w:rPr>
        <w:t>Continuing matters</w:t>
      </w:r>
    </w:p>
    <w:p w:rsidR="00875C48" w:rsidRDefault="00875C48" w:rsidP="00875C48">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954A9A">
        <w:rPr>
          <w:i/>
          <w:noProof/>
        </w:rPr>
        <w:t>Acts Interpretation Act 1901</w:t>
      </w:r>
      <w:r>
        <w:rPr>
          <w:noProof/>
        </w:rPr>
        <w:tab/>
        <w:t>3</w:t>
      </w:r>
    </w:p>
    <w:p w:rsidR="00875C48" w:rsidRDefault="00875C48" w:rsidP="00875C48">
      <w:pPr>
        <w:pStyle w:val="TOC1"/>
        <w:tabs>
          <w:tab w:val="right" w:leader="dot" w:pos="9016"/>
        </w:tabs>
        <w:rPr>
          <w:b w:val="0"/>
          <w:noProof/>
          <w:sz w:val="26"/>
          <w:szCs w:val="26"/>
        </w:rPr>
      </w:pPr>
      <w:r>
        <w:rPr>
          <w:noProof/>
        </w:rPr>
        <w:t>Chapter 2 – Concluded matters</w:t>
      </w:r>
      <w:r>
        <w:rPr>
          <w:b w:val="0"/>
          <w:noProof/>
          <w:sz w:val="26"/>
          <w:szCs w:val="26"/>
        </w:rPr>
        <w:tab/>
      </w:r>
    </w:p>
    <w:p w:rsidR="00875C48" w:rsidRDefault="00875C48" w:rsidP="00875C48">
      <w:pPr>
        <w:pStyle w:val="TOC3"/>
        <w:tabs>
          <w:tab w:val="right" w:leader="dot" w:pos="9016"/>
        </w:tabs>
        <w:jc w:val="left"/>
        <w:rPr>
          <w:rFonts w:asciiTheme="minorHAnsi" w:eastAsiaTheme="minorEastAsia" w:hAnsiTheme="minorHAnsi" w:cstheme="minorBidi"/>
          <w:noProof/>
          <w:sz w:val="22"/>
          <w:szCs w:val="22"/>
          <w:lang w:eastAsia="en-AU"/>
        </w:rPr>
      </w:pPr>
      <w:r>
        <w:rPr>
          <w:noProof/>
        </w:rPr>
        <w:t>Amendment to the list of threatened species under section 178, 181 and 183 of the Environment Protection and Biodiversity Conservation Act 1999 (158) (03/12/2014) [F2014L01681]</w:t>
      </w:r>
      <w:r>
        <w:rPr>
          <w:noProof/>
        </w:rPr>
        <w:tab/>
        <w:t>5</w:t>
      </w:r>
    </w:p>
    <w:p w:rsidR="00875C48" w:rsidRDefault="00875C48" w:rsidP="00875C48">
      <w:pPr>
        <w:pStyle w:val="TOC3"/>
        <w:tabs>
          <w:tab w:val="right" w:leader="dot" w:pos="9016"/>
        </w:tabs>
        <w:jc w:val="left"/>
        <w:rPr>
          <w:rFonts w:asciiTheme="minorHAnsi" w:eastAsiaTheme="minorEastAsia" w:hAnsiTheme="minorHAnsi" w:cstheme="minorBidi"/>
          <w:noProof/>
          <w:sz w:val="22"/>
          <w:szCs w:val="22"/>
          <w:lang w:eastAsia="en-AU"/>
        </w:rPr>
      </w:pPr>
      <w:r>
        <w:rPr>
          <w:noProof/>
        </w:rPr>
        <w:t>CASA EX168/14 - Exemption from paragraph 5.1 of Civil Aviation Order 20.16.3 for Airbus 330 aircraft operated by Qantas Airways Limited [F2014L01644]</w:t>
      </w:r>
      <w:r>
        <w:rPr>
          <w:noProof/>
        </w:rPr>
        <w:tab/>
        <w:t>7</w:t>
      </w:r>
    </w:p>
    <w:p w:rsidR="00875C48" w:rsidRDefault="00875C48" w:rsidP="00875C48">
      <w:pPr>
        <w:pStyle w:val="TOC3"/>
        <w:tabs>
          <w:tab w:val="right" w:leader="dot" w:pos="9016"/>
        </w:tabs>
        <w:jc w:val="left"/>
        <w:rPr>
          <w:rFonts w:asciiTheme="minorHAnsi" w:eastAsiaTheme="minorEastAsia" w:hAnsiTheme="minorHAnsi" w:cstheme="minorBidi"/>
          <w:noProof/>
          <w:sz w:val="22"/>
          <w:szCs w:val="22"/>
          <w:lang w:eastAsia="en-AU"/>
        </w:rPr>
      </w:pPr>
      <w:r>
        <w:rPr>
          <w:noProof/>
        </w:rPr>
        <w:t>CASA 295/14 - Permission and direction — helicopter operations by</w:t>
      </w:r>
      <w:r>
        <w:rPr>
          <w:noProof/>
        </w:rPr>
        <w:br/>
        <w:t>Wellspring Rural Services Pty Ltd, trading as Northern Helicopter Charter [F2014L01777]</w:t>
      </w:r>
      <w:r>
        <w:rPr>
          <w:noProof/>
        </w:rPr>
        <w:tab/>
        <w:t>8</w:t>
      </w:r>
    </w:p>
    <w:p w:rsidR="00875C48" w:rsidRDefault="00875C48" w:rsidP="00875C48">
      <w:pPr>
        <w:pStyle w:val="TOC3"/>
        <w:tabs>
          <w:tab w:val="right" w:leader="dot" w:pos="9016"/>
        </w:tabs>
        <w:jc w:val="left"/>
        <w:rPr>
          <w:rFonts w:asciiTheme="minorHAnsi" w:eastAsiaTheme="minorEastAsia" w:hAnsiTheme="minorHAnsi" w:cstheme="minorBidi"/>
          <w:noProof/>
          <w:sz w:val="22"/>
          <w:szCs w:val="22"/>
          <w:lang w:eastAsia="en-AU"/>
        </w:rPr>
      </w:pPr>
      <w:r>
        <w:rPr>
          <w:noProof/>
        </w:rPr>
        <w:t>CASA 293/14 - Permission and direction — helicopter operations by</w:t>
      </w:r>
      <w:r>
        <w:rPr>
          <w:noProof/>
        </w:rPr>
        <w:br/>
        <w:t>Northshore Holdings (NT) Pty Limited, trading as Remote Helicopters</w:t>
      </w:r>
      <w:r>
        <w:rPr>
          <w:noProof/>
        </w:rPr>
        <w:br/>
        <w:t>Australia [F2015L00024]</w:t>
      </w:r>
      <w:r>
        <w:rPr>
          <w:noProof/>
        </w:rPr>
        <w:tab/>
        <w:t>9</w:t>
      </w:r>
    </w:p>
    <w:p w:rsidR="00875C48" w:rsidRDefault="00875C48" w:rsidP="00875C48">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11</w:t>
      </w:r>
    </w:p>
    <w:p w:rsidR="00875C48" w:rsidRDefault="00875C48" w:rsidP="00875C48">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17</w:t>
      </w:r>
    </w:p>
    <w:p w:rsidR="00875C48" w:rsidRDefault="00875C48" w:rsidP="00875C48">
      <w:pPr>
        <w:tabs>
          <w:tab w:val="left" w:pos="1170"/>
        </w:tabs>
        <w:jc w:val="left"/>
        <w:rPr>
          <w:sz w:val="16"/>
          <w:szCs w:val="16"/>
        </w:rPr>
      </w:pPr>
    </w:p>
    <w:p w:rsidR="00875C48" w:rsidRPr="00635538" w:rsidRDefault="00875C48" w:rsidP="00875C48">
      <w:pPr>
        <w:tabs>
          <w:tab w:val="left" w:pos="1170"/>
        </w:tabs>
        <w:jc w:val="left"/>
        <w:rPr>
          <w:sz w:val="16"/>
          <w:szCs w:val="16"/>
        </w:rPr>
      </w:pPr>
      <w:r w:rsidRPr="00635538">
        <w:rPr>
          <w:sz w:val="16"/>
          <w:szCs w:val="16"/>
        </w:rPr>
        <w:fldChar w:fldCharType="begin"/>
      </w:r>
      <w:r w:rsidRPr="00635538">
        <w:rPr>
          <w:sz w:val="16"/>
          <w:szCs w:val="16"/>
        </w:rPr>
        <w:instrText xml:space="preserve"> RD  "\\\\home2\\SEN-LegislativeScrutinyUnit\\Regs &amp; Ords\\</w:instrText>
      </w:r>
      <w:r>
        <w:rPr>
          <w:sz w:val="16"/>
          <w:szCs w:val="16"/>
        </w:rPr>
        <w:instrText>MONITOR</w:instrText>
      </w:r>
      <w:r w:rsidRPr="00635538">
        <w:rPr>
          <w:sz w:val="16"/>
          <w:szCs w:val="16"/>
        </w:rPr>
        <w:instrText>\\</w:instrText>
      </w:r>
      <w:r>
        <w:rPr>
          <w:sz w:val="16"/>
          <w:szCs w:val="16"/>
        </w:rPr>
        <w:instrText>2015\\Monitor 3 of 2015\</w:instrText>
      </w:r>
      <w:r w:rsidRPr="00635538">
        <w:rPr>
          <w:sz w:val="16"/>
          <w:szCs w:val="16"/>
        </w:rPr>
        <w:instrText xml:space="preserve">\02 members.docx" </w:instrText>
      </w:r>
      <w:r w:rsidRPr="00635538">
        <w:rPr>
          <w:sz w:val="16"/>
          <w:szCs w:val="16"/>
        </w:rPr>
        <w:fldChar w:fldCharType="end"/>
      </w:r>
    </w:p>
    <w:p w:rsidR="00875C48" w:rsidRPr="00635538" w:rsidRDefault="00875C48" w:rsidP="00875C48">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tiveScrutinyUnit\\Regs &amp; Ords\\MONITOR</w:instrText>
      </w:r>
      <w:r w:rsidRPr="00635538">
        <w:rPr>
          <w:sz w:val="16"/>
          <w:szCs w:val="16"/>
        </w:rPr>
        <w:instrText>\\</w:instrText>
      </w:r>
      <w:r>
        <w:rPr>
          <w:sz w:val="16"/>
          <w:szCs w:val="16"/>
        </w:rPr>
        <w:instrText>2015\\Monitor 3 of 2015</w:instrText>
      </w:r>
      <w:r w:rsidRPr="00635538">
        <w:rPr>
          <w:sz w:val="16"/>
          <w:szCs w:val="16"/>
        </w:rPr>
        <w:instrText xml:space="preserve">\\04 intro.docx" </w:instrText>
      </w:r>
      <w:r w:rsidRPr="00635538">
        <w:rPr>
          <w:sz w:val="16"/>
          <w:szCs w:val="16"/>
        </w:rPr>
        <w:fldChar w:fldCharType="end"/>
      </w:r>
    </w:p>
    <w:p w:rsidR="00875C48" w:rsidRPr="00635538" w:rsidRDefault="00875C48" w:rsidP="00875C48">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tiveScrutinyUnit\\Regs &amp; Ords\\MONITOR</w:instrText>
      </w:r>
      <w:r w:rsidRPr="00635538">
        <w:rPr>
          <w:sz w:val="16"/>
          <w:szCs w:val="16"/>
        </w:rPr>
        <w:instrText>\\</w:instrText>
      </w:r>
      <w:r>
        <w:rPr>
          <w:sz w:val="16"/>
          <w:szCs w:val="16"/>
        </w:rPr>
        <w:instrText>2015\\Monitor 3 of 2015\\05</w:instrText>
      </w:r>
      <w:r w:rsidRPr="00635538">
        <w:rPr>
          <w:sz w:val="16"/>
          <w:szCs w:val="16"/>
        </w:rPr>
        <w:instrText xml:space="preserve"> </w:instrText>
      </w:r>
      <w:r>
        <w:rPr>
          <w:sz w:val="16"/>
          <w:szCs w:val="16"/>
        </w:rPr>
        <w:instrText>new</w:instrText>
      </w:r>
      <w:r w:rsidRPr="00635538">
        <w:rPr>
          <w:sz w:val="16"/>
          <w:szCs w:val="16"/>
        </w:rPr>
        <w:instrText xml:space="preserve">.docx" </w:instrText>
      </w:r>
      <w:r w:rsidRPr="00635538">
        <w:rPr>
          <w:sz w:val="16"/>
          <w:szCs w:val="16"/>
        </w:rPr>
        <w:fldChar w:fldCharType="end"/>
      </w:r>
    </w:p>
    <w:p w:rsidR="00875C48" w:rsidRPr="00635538" w:rsidRDefault="00875C48" w:rsidP="00875C48">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tiveScrutinyUnit\\Regs &amp; Ords\\MONITOR</w:instrText>
      </w:r>
      <w:r w:rsidRPr="00635538">
        <w:rPr>
          <w:sz w:val="16"/>
          <w:szCs w:val="16"/>
        </w:rPr>
        <w:instrText>\\</w:instrText>
      </w:r>
      <w:r>
        <w:rPr>
          <w:sz w:val="16"/>
          <w:szCs w:val="16"/>
        </w:rPr>
        <w:instrText>2015\\Monitor 3 of 2015\\06</w:instrText>
      </w:r>
      <w:r w:rsidRPr="00635538">
        <w:rPr>
          <w:sz w:val="16"/>
          <w:szCs w:val="16"/>
        </w:rPr>
        <w:instrText xml:space="preserve"> </w:instrText>
      </w:r>
      <w:r>
        <w:rPr>
          <w:sz w:val="16"/>
          <w:szCs w:val="16"/>
        </w:rPr>
        <w:instrText>concluded.</w:instrText>
      </w:r>
      <w:r w:rsidRPr="00635538">
        <w:rPr>
          <w:sz w:val="16"/>
          <w:szCs w:val="16"/>
        </w:rPr>
        <w:instrText xml:space="preserve">docx" </w:instrText>
      </w:r>
      <w:r w:rsidRPr="00635538">
        <w:rPr>
          <w:sz w:val="16"/>
          <w:szCs w:val="16"/>
        </w:rPr>
        <w:fldChar w:fldCharType="end"/>
      </w:r>
    </w:p>
    <w:p w:rsidR="00875C48" w:rsidRPr="00635538" w:rsidRDefault="00875C48" w:rsidP="00875C48">
      <w:pPr>
        <w:rPr>
          <w:sz w:val="16"/>
          <w:szCs w:val="16"/>
        </w:rPr>
      </w:pPr>
      <w:r w:rsidRPr="00635538">
        <w:rPr>
          <w:sz w:val="16"/>
          <w:szCs w:val="16"/>
        </w:rPr>
        <w:lastRenderedPageBreak/>
        <w:fldChar w:fldCharType="begin"/>
      </w:r>
      <w:r w:rsidRPr="00635538">
        <w:rPr>
          <w:sz w:val="16"/>
          <w:szCs w:val="16"/>
        </w:rPr>
        <w:instrText xml:space="preserve"> RD  "\\\\home2\\SEN-Legisla</w:instrText>
      </w:r>
      <w:r>
        <w:rPr>
          <w:sz w:val="16"/>
          <w:szCs w:val="16"/>
        </w:rPr>
        <w:instrText>tiveScrutinyUnit\\Regs &amp; Ords\\MONITOR</w:instrText>
      </w:r>
      <w:r w:rsidRPr="00635538">
        <w:rPr>
          <w:sz w:val="16"/>
          <w:szCs w:val="16"/>
        </w:rPr>
        <w:instrText>\\</w:instrText>
      </w:r>
      <w:r>
        <w:rPr>
          <w:sz w:val="16"/>
          <w:szCs w:val="16"/>
        </w:rPr>
        <w:instrText>2015\\Monitor 3 of 2015\\07</w:instrText>
      </w:r>
      <w:r w:rsidRPr="00635538">
        <w:rPr>
          <w:sz w:val="16"/>
          <w:szCs w:val="16"/>
        </w:rPr>
        <w:instrText xml:space="preserve"> </w:instrText>
      </w:r>
      <w:r>
        <w:rPr>
          <w:sz w:val="16"/>
          <w:szCs w:val="16"/>
        </w:rPr>
        <w:instrText>A1 title page</w:instrText>
      </w:r>
      <w:r w:rsidRPr="00635538">
        <w:rPr>
          <w:sz w:val="16"/>
          <w:szCs w:val="16"/>
        </w:rPr>
        <w:instrText xml:space="preserve">.docx" </w:instrText>
      </w:r>
      <w:r w:rsidRPr="00635538">
        <w:rPr>
          <w:sz w:val="16"/>
          <w:szCs w:val="16"/>
        </w:rPr>
        <w:fldChar w:fldCharType="end"/>
      </w:r>
    </w:p>
    <w:p w:rsidR="00875C48" w:rsidRPr="00635538" w:rsidRDefault="00875C48" w:rsidP="00875C48">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tiveScrutinyUnit\\Regs &amp; Ords\\MONITOR</w:instrText>
      </w:r>
      <w:r w:rsidRPr="00635538">
        <w:rPr>
          <w:sz w:val="16"/>
          <w:szCs w:val="16"/>
        </w:rPr>
        <w:instrText>\\</w:instrText>
      </w:r>
      <w:r>
        <w:rPr>
          <w:sz w:val="16"/>
          <w:szCs w:val="16"/>
        </w:rPr>
        <w:instrText>2015\\Monitor 3 of 2015\\08</w:instrText>
      </w:r>
      <w:r w:rsidRPr="00635538">
        <w:rPr>
          <w:sz w:val="16"/>
          <w:szCs w:val="16"/>
        </w:rPr>
        <w:instrText xml:space="preserve"> </w:instrText>
      </w:r>
      <w:r>
        <w:rPr>
          <w:sz w:val="16"/>
          <w:szCs w:val="16"/>
        </w:rPr>
        <w:instrText>A2 guideline</w:instrText>
      </w:r>
      <w:r w:rsidRPr="00635538">
        <w:rPr>
          <w:sz w:val="16"/>
          <w:szCs w:val="16"/>
        </w:rPr>
        <w:instrText xml:space="preserve">.docx" </w:instrText>
      </w:r>
      <w:r w:rsidRPr="00635538">
        <w:rPr>
          <w:sz w:val="16"/>
          <w:szCs w:val="16"/>
        </w:rPr>
        <w:fldChar w:fldCharType="end"/>
      </w:r>
    </w:p>
    <w:p w:rsidR="00875C48" w:rsidRDefault="00875C48" w:rsidP="00875C48"/>
    <w:p w:rsidR="00875C48" w:rsidRDefault="00875C48" w:rsidP="00875C48">
      <w:pPr>
        <w:pStyle w:val="Heading1"/>
        <w:sectPr w:rsidR="00875C48" w:rsidSect="00635538">
          <w:headerReference w:type="even"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p>
    <w:p w:rsidR="00875C48" w:rsidRPr="004B17F0" w:rsidRDefault="00875C48" w:rsidP="00875C48">
      <w:pPr>
        <w:pStyle w:val="Heading1"/>
      </w:pPr>
      <w:r>
        <w:lastRenderedPageBreak/>
        <w:t>Introduction</w:t>
      </w:r>
    </w:p>
    <w:p w:rsidR="00875C48" w:rsidRDefault="00875C48" w:rsidP="00875C48">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875C48" w:rsidRDefault="00875C48" w:rsidP="00875C48">
      <w:pPr>
        <w:pStyle w:val="Level1"/>
        <w:numPr>
          <w:ilvl w:val="0"/>
          <w:numId w:val="0"/>
        </w:numPr>
      </w:pPr>
      <w:r w:rsidRPr="00C75374">
        <w:t>The Federal Register of Legislative Instruments (FRLI) website should be consulted for the text of instruments and explanatory statements, as well as associated information. Instruments may be located on FRLI by entering the relevant FRLI number into the FRLI search field (the FRLI number is shown after the name of each instrument</w:t>
      </w:r>
      <w:r>
        <w:t>).</w:t>
      </w:r>
    </w:p>
    <w:p w:rsidR="00875C48" w:rsidRDefault="00875C48" w:rsidP="00875C48">
      <w:pPr>
        <w:pStyle w:val="Heading3"/>
      </w:pPr>
      <w:r>
        <w:t>The committee's terms of reference</w:t>
      </w:r>
    </w:p>
    <w:p w:rsidR="00875C48" w:rsidRPr="00D233E5" w:rsidRDefault="00875C48" w:rsidP="00875C48">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875C48" w:rsidRPr="00BF47FD" w:rsidRDefault="00875C48" w:rsidP="00875C48">
      <w:pPr>
        <w:pStyle w:val="Quote"/>
        <w:ind w:left="1276" w:hanging="425"/>
      </w:pPr>
      <w:r>
        <w:t xml:space="preserve">(1) </w:t>
      </w:r>
      <w:r w:rsidRPr="00BF47FD">
        <w:t>A Standing Committee on Regulations and Ordinances shall be appointed at the commencement of each Parliament.</w:t>
      </w:r>
    </w:p>
    <w:p w:rsidR="00875C48" w:rsidRPr="00BF47FD" w:rsidRDefault="00875C48" w:rsidP="00875C48">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875C48" w:rsidRPr="00BF47FD" w:rsidRDefault="00875C48" w:rsidP="00875C48">
      <w:pPr>
        <w:pStyle w:val="Quote"/>
        <w:ind w:left="1276"/>
      </w:pPr>
      <w:r w:rsidRPr="00BF47FD">
        <w:t>The committee shall scrutinise each instrument to ensure:</w:t>
      </w:r>
    </w:p>
    <w:p w:rsidR="00875C48" w:rsidRPr="00BF47FD" w:rsidRDefault="00875C48" w:rsidP="00875C48">
      <w:pPr>
        <w:pStyle w:val="Quote"/>
        <w:tabs>
          <w:tab w:val="left" w:pos="1701"/>
        </w:tabs>
        <w:ind w:left="1701" w:hanging="425"/>
      </w:pPr>
      <w:r>
        <w:t>(a)</w:t>
      </w:r>
      <w:r>
        <w:tab/>
      </w:r>
      <w:r w:rsidRPr="00BF47FD">
        <w:t>that it is in accordance with the statute;</w:t>
      </w:r>
    </w:p>
    <w:p w:rsidR="00875C48" w:rsidRPr="00BF47FD" w:rsidRDefault="00875C48" w:rsidP="00875C48">
      <w:pPr>
        <w:pStyle w:val="Quote"/>
        <w:tabs>
          <w:tab w:val="left" w:pos="1701"/>
        </w:tabs>
        <w:ind w:left="1701" w:hanging="425"/>
      </w:pPr>
      <w:r>
        <w:t>(b)</w:t>
      </w:r>
      <w:r>
        <w:tab/>
      </w:r>
      <w:r w:rsidRPr="00BF47FD">
        <w:t>that it does not trespass unduly on personal rights and liberties;</w:t>
      </w:r>
    </w:p>
    <w:p w:rsidR="00875C48" w:rsidRPr="00BF47FD" w:rsidRDefault="00875C48" w:rsidP="00875C48">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875C48" w:rsidRDefault="00875C48" w:rsidP="00875C48">
      <w:pPr>
        <w:pStyle w:val="Quote"/>
        <w:tabs>
          <w:tab w:val="left" w:pos="1701"/>
        </w:tabs>
        <w:ind w:left="1701" w:hanging="425"/>
      </w:pPr>
      <w:r>
        <w:t>(d)</w:t>
      </w:r>
      <w:r>
        <w:tab/>
      </w:r>
      <w:r w:rsidRPr="00BF47FD">
        <w:t>that it does not contain matter more appropriate for parliamentary enactment.</w:t>
      </w:r>
    </w:p>
    <w:p w:rsidR="00875C48" w:rsidRDefault="00875C48" w:rsidP="00875C48">
      <w:pPr>
        <w:pStyle w:val="Heading3"/>
      </w:pPr>
      <w:r w:rsidRPr="00F063AA">
        <w:lastRenderedPageBreak/>
        <w:t>Work of the committee</w:t>
      </w:r>
    </w:p>
    <w:p w:rsidR="00875C48" w:rsidRPr="00F063AA" w:rsidRDefault="00875C48" w:rsidP="00875C48">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875C48" w:rsidRDefault="00875C48" w:rsidP="00875C48">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875C48" w:rsidRDefault="00875C48" w:rsidP="00875C48">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875C48" w:rsidRDefault="00875C48" w:rsidP="00875C48">
      <w:pPr>
        <w:pStyle w:val="Heading3"/>
      </w:pPr>
      <w:r>
        <w:t>Structure of the report</w:t>
      </w:r>
    </w:p>
    <w:p w:rsidR="00875C48" w:rsidRDefault="00875C48" w:rsidP="00875C48">
      <w:pPr>
        <w:pStyle w:val="Level1"/>
        <w:numPr>
          <w:ilvl w:val="0"/>
          <w:numId w:val="0"/>
        </w:numPr>
      </w:pPr>
      <w:r>
        <w:t>The report is comprised of the following parts:</w:t>
      </w:r>
    </w:p>
    <w:p w:rsidR="00875C48" w:rsidRDefault="00875C48" w:rsidP="00875C48">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875C48" w:rsidRDefault="00875C48" w:rsidP="00875C48">
      <w:pPr>
        <w:pStyle w:val="Bullet1"/>
        <w:spacing w:after="120"/>
      </w:pPr>
      <w:r>
        <w:t>Chapter 2, 'Concluded matters', sets out any previous matters which have been concluded to the satisfaction of the committee, including by the giving of an undertaking to review, amend or remake a given instrument at a future date;</w:t>
      </w:r>
    </w:p>
    <w:p w:rsidR="00875C48" w:rsidRDefault="00875C48" w:rsidP="00875C48">
      <w:pPr>
        <w:pStyle w:val="Bullet1"/>
        <w:spacing w:after="120"/>
      </w:pPr>
      <w:r>
        <w:t>Appendix 1 contains correspondence relating to concluded matters.</w:t>
      </w:r>
    </w:p>
    <w:p w:rsidR="00875C48" w:rsidRDefault="00875C48" w:rsidP="00875C48">
      <w:pPr>
        <w:pStyle w:val="Bullet1"/>
        <w:spacing w:after="120"/>
      </w:pPr>
      <w:r>
        <w:t xml:space="preserve">Appendix 2 contains the committee's guideline on addressing the consultation requirements of the </w:t>
      </w:r>
      <w:r>
        <w:rPr>
          <w:i/>
        </w:rPr>
        <w:t>Legislative Instruments Act 2003</w:t>
      </w:r>
      <w:r>
        <w:t>.</w:t>
      </w:r>
    </w:p>
    <w:p w:rsidR="00875C48" w:rsidRDefault="00875C48" w:rsidP="00875C48">
      <w:pPr>
        <w:pStyle w:val="Heading3"/>
      </w:pPr>
      <w:r>
        <w:t>Acknowledgement</w:t>
      </w:r>
    </w:p>
    <w:p w:rsidR="00875C48" w:rsidRDefault="00875C48" w:rsidP="00875C48">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875C48" w:rsidRPr="00364316" w:rsidRDefault="00875C48" w:rsidP="00875C48">
      <w:pPr>
        <w:pStyle w:val="Bullet1"/>
        <w:numPr>
          <w:ilvl w:val="0"/>
          <w:numId w:val="0"/>
        </w:numPr>
        <w:ind w:left="851" w:hanging="851"/>
        <w:rPr>
          <w:b/>
        </w:rPr>
      </w:pPr>
      <w:r w:rsidRPr="00364316">
        <w:rPr>
          <w:b/>
        </w:rPr>
        <w:t xml:space="preserve">Senator </w:t>
      </w:r>
      <w:r>
        <w:rPr>
          <w:b/>
        </w:rPr>
        <w:t>John Williams</w:t>
      </w:r>
    </w:p>
    <w:p w:rsidR="00875C48" w:rsidRPr="00364316" w:rsidRDefault="00875C48" w:rsidP="00875C48">
      <w:pPr>
        <w:pStyle w:val="Bullet1"/>
        <w:numPr>
          <w:ilvl w:val="0"/>
          <w:numId w:val="0"/>
        </w:numPr>
        <w:ind w:left="851" w:hanging="851"/>
        <w:rPr>
          <w:b/>
        </w:rPr>
      </w:pPr>
      <w:r w:rsidRPr="00364316">
        <w:rPr>
          <w:b/>
        </w:rPr>
        <w:t>Chair</w:t>
      </w:r>
    </w:p>
    <w:p w:rsidR="00875C48" w:rsidRPr="001F4E38" w:rsidRDefault="00875C48" w:rsidP="00875C48">
      <w:pPr>
        <w:pStyle w:val="Heading1"/>
      </w:pPr>
      <w:r w:rsidRPr="001F4E38">
        <w:lastRenderedPageBreak/>
        <w:t>Chapter 1</w:t>
      </w:r>
    </w:p>
    <w:p w:rsidR="00875C48" w:rsidRPr="001F4E38" w:rsidRDefault="00875C48" w:rsidP="00875C48">
      <w:pPr>
        <w:pStyle w:val="Heading2"/>
      </w:pPr>
      <w:r w:rsidRPr="001F4E38">
        <w:t>New and continuing matters</w:t>
      </w:r>
    </w:p>
    <w:p w:rsidR="00875C48" w:rsidRPr="001F4E38" w:rsidRDefault="00875C48" w:rsidP="00875C48">
      <w:pPr>
        <w:pStyle w:val="Level1"/>
        <w:numPr>
          <w:ilvl w:val="0"/>
          <w:numId w:val="0"/>
        </w:numPr>
      </w:pPr>
      <w:r w:rsidRPr="001F4E38">
        <w:t xml:space="preserve">This chapter lists new matters identified by the committee at its meeting on </w:t>
      </w:r>
      <w:r w:rsidRPr="00BF460E">
        <w:rPr>
          <w:b/>
        </w:rPr>
        <w:t>1</w:t>
      </w:r>
      <w:r>
        <w:rPr>
          <w:b/>
        </w:rPr>
        <w:t>8 March </w:t>
      </w:r>
      <w:r w:rsidRPr="001F4E38">
        <w:rPr>
          <w:b/>
        </w:rPr>
        <w:t>201</w:t>
      </w:r>
      <w:r>
        <w:rPr>
          <w:b/>
        </w:rPr>
        <w:t>5</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875C48" w:rsidRDefault="00875C48" w:rsidP="00875C48">
      <w:pPr>
        <w:pStyle w:val="Level1"/>
        <w:numPr>
          <w:ilvl w:val="0"/>
          <w:numId w:val="0"/>
        </w:numPr>
      </w:pPr>
      <w:r w:rsidRPr="001F4E38">
        <w:t>Matters which the committee draws to the attention of the relevant minister or instrument maker are raised on an advice-only basis and do not require a response.</w:t>
      </w:r>
    </w:p>
    <w:p w:rsidR="00875C48" w:rsidRDefault="00875C48" w:rsidP="00875C48">
      <w:pPr>
        <w:pStyle w:val="Level1"/>
        <w:numPr>
          <w:ilvl w:val="0"/>
          <w:numId w:val="0"/>
        </w:numPr>
      </w:pPr>
      <w:r>
        <w:t>This report considers all disallowable instruments tabled between 20 February 2015 and 26 February 2015. All instruments tabled in this period are listed on the Senate Disallowable Instruments List.</w:t>
      </w:r>
      <w:r>
        <w:rPr>
          <w:rStyle w:val="FootnoteReference"/>
        </w:rPr>
        <w:footnoteReference w:id="3"/>
      </w:r>
    </w:p>
    <w:p w:rsidR="00875C48" w:rsidRDefault="00875C48" w:rsidP="00875C48">
      <w:pPr>
        <w:pStyle w:val="Heading2"/>
      </w:pPr>
      <w:r>
        <w:t>New matters</w:t>
      </w:r>
    </w:p>
    <w:p w:rsidR="00875C48" w:rsidRDefault="00875C48" w:rsidP="00875C48">
      <w:pPr>
        <w:pStyle w:val="Heading3"/>
        <w:spacing w:after="0"/>
      </w:pPr>
      <w:r w:rsidRPr="007D0ED6">
        <w:rPr>
          <w:rFonts w:ascii="Times New (W1)" w:hAnsi="Times New (W1)"/>
          <w:noProof/>
        </w:rPr>
        <w:t>Telecommunications (Labelling Notice for Customer Equipment and Customer Cabling) Instrument 2015 [F2015L00190]</w:t>
      </w:r>
    </w:p>
    <w:p w:rsidR="00875C48" w:rsidRPr="001E0577" w:rsidRDefault="00875C48" w:rsidP="00875C48">
      <w:pPr>
        <w:spacing w:after="120"/>
      </w:pPr>
    </w:p>
    <w:tbl>
      <w:tblPr>
        <w:tblW w:w="0" w:type="auto"/>
        <w:tblInd w:w="108" w:type="dxa"/>
        <w:tblLook w:val="04A0" w:firstRow="1" w:lastRow="0" w:firstColumn="1" w:lastColumn="0" w:noHBand="0" w:noVBand="1"/>
      </w:tblPr>
      <w:tblGrid>
        <w:gridCol w:w="2694"/>
        <w:gridCol w:w="6378"/>
      </w:tblGrid>
      <w:tr w:rsidR="00875C48" w:rsidRPr="00164622" w:rsidTr="009D7682">
        <w:tc>
          <w:tcPr>
            <w:tcW w:w="2694" w:type="dxa"/>
            <w:tcBorders>
              <w:top w:val="single" w:sz="12" w:space="0" w:color="auto"/>
              <w:right w:val="single" w:sz="12" w:space="0" w:color="auto"/>
            </w:tcBorders>
          </w:tcPr>
          <w:p w:rsidR="00875C48" w:rsidRPr="00A77228" w:rsidRDefault="00875C48" w:rsidP="009D7682">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875C48" w:rsidRPr="00A77228" w:rsidRDefault="00875C48" w:rsidP="009D7682">
            <w:pPr>
              <w:spacing w:before="120" w:after="120"/>
              <w:rPr>
                <w:sz w:val="24"/>
                <w:szCs w:val="24"/>
              </w:rPr>
            </w:pPr>
            <w:r>
              <w:rPr>
                <w:noProof/>
                <w:sz w:val="24"/>
                <w:szCs w:val="24"/>
              </w:rPr>
              <w:t>R</w:t>
            </w:r>
            <w:r w:rsidRPr="007D0ED6">
              <w:rPr>
                <w:noProof/>
                <w:sz w:val="24"/>
                <w:szCs w:val="24"/>
              </w:rPr>
              <w:t>evokes and replaces the Telecommunications Labelling (Customer Equipment and Customer Cabling) Notice 2001 with some modifications to make the new arrangements simpler and clearer, to ensure that requirements are proportional to the risks associated with the supply of Customer Equipment and Customer Cabling, to reduce the administrative burden for industry and to facilitate the implementation of new technology in Australia</w:t>
            </w:r>
          </w:p>
        </w:tc>
      </w:tr>
      <w:tr w:rsidR="00875C48" w:rsidRPr="00164622" w:rsidTr="009D7682">
        <w:tc>
          <w:tcPr>
            <w:tcW w:w="2694" w:type="dxa"/>
            <w:tcBorders>
              <w:right w:val="single" w:sz="12" w:space="0" w:color="auto"/>
            </w:tcBorders>
          </w:tcPr>
          <w:p w:rsidR="00875C48" w:rsidRPr="00A77228" w:rsidRDefault="00875C48" w:rsidP="009D7682">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75C48" w:rsidRPr="00A77228" w:rsidRDefault="00875C48" w:rsidP="009D7682">
            <w:pPr>
              <w:spacing w:before="120" w:after="120"/>
              <w:rPr>
                <w:sz w:val="24"/>
                <w:szCs w:val="24"/>
              </w:rPr>
            </w:pPr>
            <w:r w:rsidRPr="007D0ED6">
              <w:rPr>
                <w:noProof/>
                <w:sz w:val="24"/>
                <w:szCs w:val="24"/>
              </w:rPr>
              <w:t>15 June 2015</w:t>
            </w:r>
          </w:p>
        </w:tc>
      </w:tr>
      <w:tr w:rsidR="00875C48" w:rsidRPr="00164622" w:rsidTr="009D7682">
        <w:tc>
          <w:tcPr>
            <w:tcW w:w="2694" w:type="dxa"/>
            <w:tcBorders>
              <w:right w:val="single" w:sz="12" w:space="0" w:color="auto"/>
            </w:tcBorders>
          </w:tcPr>
          <w:p w:rsidR="00875C48" w:rsidRPr="00A77228" w:rsidRDefault="00875C48" w:rsidP="009D7682">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75C48" w:rsidRPr="00932D1C" w:rsidRDefault="00875C48" w:rsidP="009D7682">
            <w:pPr>
              <w:spacing w:before="120" w:after="120"/>
              <w:rPr>
                <w:i/>
                <w:sz w:val="24"/>
                <w:szCs w:val="24"/>
              </w:rPr>
            </w:pPr>
            <w:r w:rsidRPr="007D0ED6">
              <w:rPr>
                <w:i/>
                <w:noProof/>
                <w:sz w:val="24"/>
                <w:szCs w:val="24"/>
              </w:rPr>
              <w:t>Telecommunications Act 1997</w:t>
            </w:r>
          </w:p>
        </w:tc>
      </w:tr>
      <w:tr w:rsidR="00875C48" w:rsidRPr="00164622" w:rsidTr="009D7682">
        <w:tc>
          <w:tcPr>
            <w:tcW w:w="2694" w:type="dxa"/>
            <w:tcBorders>
              <w:bottom w:val="single" w:sz="12" w:space="0" w:color="auto"/>
              <w:right w:val="single" w:sz="12" w:space="0" w:color="auto"/>
            </w:tcBorders>
          </w:tcPr>
          <w:p w:rsidR="00875C48" w:rsidRPr="00A77228" w:rsidRDefault="00875C48" w:rsidP="009D7682">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875C48" w:rsidRPr="00A77228" w:rsidRDefault="00875C48" w:rsidP="009D7682">
            <w:pPr>
              <w:spacing w:before="120" w:after="120"/>
              <w:rPr>
                <w:sz w:val="24"/>
                <w:szCs w:val="24"/>
              </w:rPr>
            </w:pPr>
            <w:r w:rsidRPr="007D0ED6">
              <w:rPr>
                <w:noProof/>
                <w:sz w:val="24"/>
                <w:szCs w:val="24"/>
              </w:rPr>
              <w:t>Communications</w:t>
            </w:r>
          </w:p>
        </w:tc>
      </w:tr>
    </w:tbl>
    <w:p w:rsidR="00875C48" w:rsidRPr="00164622" w:rsidRDefault="00875C48" w:rsidP="00875C48">
      <w:pPr>
        <w:spacing w:after="0"/>
        <w:rPr>
          <w:szCs w:val="26"/>
        </w:rPr>
      </w:pPr>
    </w:p>
    <w:p w:rsidR="00875C48" w:rsidRPr="00164622" w:rsidRDefault="00875C48" w:rsidP="00875C48">
      <w:pPr>
        <w:spacing w:after="120"/>
        <w:rPr>
          <w:b/>
          <w:szCs w:val="26"/>
        </w:rPr>
      </w:pPr>
      <w:r w:rsidRPr="00164622">
        <w:rPr>
          <w:b/>
          <w:szCs w:val="26"/>
        </w:rPr>
        <w:t>Issue:</w:t>
      </w:r>
    </w:p>
    <w:p w:rsidR="00875C48" w:rsidRDefault="00875C48" w:rsidP="00875C48">
      <w:pPr>
        <w:rPr>
          <w:i/>
          <w:noProof/>
          <w:szCs w:val="26"/>
        </w:rPr>
      </w:pPr>
      <w:r>
        <w:rPr>
          <w:i/>
          <w:noProof/>
          <w:szCs w:val="26"/>
        </w:rPr>
        <w:t>D</w:t>
      </w:r>
      <w:r w:rsidRPr="007D0ED6">
        <w:rPr>
          <w:i/>
          <w:noProof/>
          <w:szCs w:val="26"/>
        </w:rPr>
        <w:t>rafting</w:t>
      </w:r>
    </w:p>
    <w:p w:rsidR="00875C48" w:rsidRDefault="00875C48" w:rsidP="00875C48">
      <w:pPr>
        <w:rPr>
          <w:b/>
        </w:rPr>
      </w:pPr>
      <w:r>
        <w:lastRenderedPageBreak/>
        <w:t>The explanatory statement (ES) notes the instrument incorporates various Acts and legislative instruments by reference '</w:t>
      </w:r>
      <w:r w:rsidRPr="00BA20BA">
        <w:t xml:space="preserve">as in force from time to time (in accordance with section 13 of the LIA </w:t>
      </w:r>
      <w:r>
        <w:t>[</w:t>
      </w:r>
      <w:r>
        <w:rPr>
          <w:i/>
        </w:rPr>
        <w:t>Legislative Instruments Act 2003</w:t>
      </w:r>
      <w:r w:rsidRPr="00BA20BA">
        <w:t xml:space="preserve">] and section 10 of the </w:t>
      </w:r>
      <w:r w:rsidRPr="004860D6">
        <w:rPr>
          <w:i/>
        </w:rPr>
        <w:t>Acts Interpretation Act 1901</w:t>
      </w:r>
      <w:r w:rsidRPr="00BA20BA">
        <w:t>)</w:t>
      </w:r>
      <w:r>
        <w:t xml:space="preserve">'. The ES appears to have referenced the incorrect section of the </w:t>
      </w:r>
      <w:r>
        <w:rPr>
          <w:i/>
        </w:rPr>
        <w:t>Legislative Instruments Act 2003</w:t>
      </w:r>
      <w:r>
        <w:t>, as section 14 of the Act governs the p</w:t>
      </w:r>
      <w:r w:rsidRPr="00C43B06">
        <w:t xml:space="preserve">rescribing </w:t>
      </w:r>
      <w:r>
        <w:t xml:space="preserve">of </w:t>
      </w:r>
      <w:r w:rsidRPr="00C43B06">
        <w:t>matters by reference to other instruments</w:t>
      </w:r>
      <w:r>
        <w:t xml:space="preserve">. </w:t>
      </w:r>
      <w:r>
        <w:rPr>
          <w:b/>
        </w:rPr>
        <w:t>The committee therefore draws the matter to the minister's attention.</w:t>
      </w:r>
    </w:p>
    <w:p w:rsidR="00875C48" w:rsidRDefault="00875C48" w:rsidP="00875C48">
      <w:pPr>
        <w:rPr>
          <w:b/>
        </w:rPr>
      </w:pPr>
    </w:p>
    <w:p w:rsidR="00875C48" w:rsidRDefault="00875C48" w:rsidP="00875C48">
      <w:pPr>
        <w:pStyle w:val="Heading3"/>
        <w:spacing w:after="0"/>
      </w:pPr>
      <w:r w:rsidRPr="007D0ED6">
        <w:rPr>
          <w:rFonts w:ascii="Times New (W1)" w:hAnsi="Times New (W1)"/>
          <w:noProof/>
        </w:rPr>
        <w:t>National Health (Price and Special Patient Contribution) Amendment Determination 2015 (No. 1) (PB 11 of 2015) [F2015L00208]</w:t>
      </w:r>
    </w:p>
    <w:p w:rsidR="00875C48" w:rsidRPr="001E0577" w:rsidRDefault="00875C48" w:rsidP="00875C48">
      <w:pPr>
        <w:spacing w:after="120"/>
      </w:pPr>
    </w:p>
    <w:tbl>
      <w:tblPr>
        <w:tblW w:w="0" w:type="auto"/>
        <w:tblInd w:w="108" w:type="dxa"/>
        <w:tblLook w:val="04A0" w:firstRow="1" w:lastRow="0" w:firstColumn="1" w:lastColumn="0" w:noHBand="0" w:noVBand="1"/>
      </w:tblPr>
      <w:tblGrid>
        <w:gridCol w:w="2694"/>
        <w:gridCol w:w="6378"/>
      </w:tblGrid>
      <w:tr w:rsidR="00875C48" w:rsidRPr="00164622" w:rsidTr="009D7682">
        <w:tc>
          <w:tcPr>
            <w:tcW w:w="2694" w:type="dxa"/>
            <w:tcBorders>
              <w:top w:val="single" w:sz="12" w:space="0" w:color="auto"/>
              <w:right w:val="single" w:sz="12" w:space="0" w:color="auto"/>
            </w:tcBorders>
          </w:tcPr>
          <w:p w:rsidR="00875C48" w:rsidRPr="00A77228" w:rsidRDefault="00875C48" w:rsidP="009D7682">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875C48" w:rsidRPr="00A77228" w:rsidRDefault="00875C48" w:rsidP="009D7682">
            <w:pPr>
              <w:spacing w:before="120" w:after="120"/>
              <w:rPr>
                <w:sz w:val="24"/>
                <w:szCs w:val="24"/>
              </w:rPr>
            </w:pPr>
            <w:r w:rsidRPr="007D0ED6">
              <w:rPr>
                <w:noProof/>
                <w:sz w:val="24"/>
                <w:szCs w:val="24"/>
              </w:rPr>
              <w:t>Amends the National Health (Price and Special Patient Contribution) Determination 2010 (PB 109 of 2010) to provide for price determinations under section 85B of the National Health Act 1953 in relation to brands of pharmaceutical items for which the Minister and the responsible person have not been able to make a price agreement. It also provides for the circumstances in which the Commonwealth will pay the special patient contribution resulting from these price determinations</w:t>
            </w:r>
          </w:p>
        </w:tc>
      </w:tr>
      <w:tr w:rsidR="00875C48" w:rsidRPr="00164622" w:rsidTr="009D7682">
        <w:tc>
          <w:tcPr>
            <w:tcW w:w="2694" w:type="dxa"/>
            <w:tcBorders>
              <w:right w:val="single" w:sz="12" w:space="0" w:color="auto"/>
            </w:tcBorders>
          </w:tcPr>
          <w:p w:rsidR="00875C48" w:rsidRPr="00A77228" w:rsidRDefault="00875C48" w:rsidP="009D7682">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75C48" w:rsidRPr="00A77228" w:rsidRDefault="00875C48" w:rsidP="009D7682">
            <w:pPr>
              <w:spacing w:before="120" w:after="120"/>
              <w:rPr>
                <w:sz w:val="24"/>
                <w:szCs w:val="24"/>
              </w:rPr>
            </w:pPr>
            <w:r w:rsidRPr="007D0ED6">
              <w:rPr>
                <w:noProof/>
                <w:sz w:val="24"/>
                <w:szCs w:val="24"/>
              </w:rPr>
              <w:t>15 June 2015</w:t>
            </w:r>
          </w:p>
        </w:tc>
      </w:tr>
      <w:tr w:rsidR="00875C48" w:rsidRPr="00164622" w:rsidTr="009D7682">
        <w:tc>
          <w:tcPr>
            <w:tcW w:w="2694" w:type="dxa"/>
            <w:tcBorders>
              <w:right w:val="single" w:sz="12" w:space="0" w:color="auto"/>
            </w:tcBorders>
          </w:tcPr>
          <w:p w:rsidR="00875C48" w:rsidRPr="00A77228" w:rsidRDefault="00875C48" w:rsidP="009D7682">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75C48" w:rsidRPr="00932D1C" w:rsidRDefault="00875C48" w:rsidP="009D7682">
            <w:pPr>
              <w:spacing w:before="120" w:after="120"/>
              <w:rPr>
                <w:i/>
                <w:sz w:val="24"/>
                <w:szCs w:val="24"/>
              </w:rPr>
            </w:pPr>
            <w:r w:rsidRPr="007D0ED6">
              <w:rPr>
                <w:i/>
                <w:noProof/>
                <w:sz w:val="24"/>
                <w:szCs w:val="24"/>
              </w:rPr>
              <w:t>National Health Act 1953</w:t>
            </w:r>
          </w:p>
        </w:tc>
      </w:tr>
      <w:tr w:rsidR="00875C48" w:rsidRPr="00164622" w:rsidTr="009D7682">
        <w:tc>
          <w:tcPr>
            <w:tcW w:w="2694" w:type="dxa"/>
            <w:tcBorders>
              <w:bottom w:val="single" w:sz="12" w:space="0" w:color="auto"/>
              <w:right w:val="single" w:sz="12" w:space="0" w:color="auto"/>
            </w:tcBorders>
          </w:tcPr>
          <w:p w:rsidR="00875C48" w:rsidRPr="00A77228" w:rsidRDefault="00875C48" w:rsidP="009D7682">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875C48" w:rsidRPr="00A77228" w:rsidRDefault="00875C48" w:rsidP="009D7682">
            <w:pPr>
              <w:spacing w:before="120" w:after="120"/>
              <w:rPr>
                <w:sz w:val="24"/>
                <w:szCs w:val="24"/>
              </w:rPr>
            </w:pPr>
            <w:r w:rsidRPr="007D0ED6">
              <w:rPr>
                <w:noProof/>
                <w:sz w:val="24"/>
                <w:szCs w:val="24"/>
              </w:rPr>
              <w:t>Health</w:t>
            </w:r>
          </w:p>
        </w:tc>
      </w:tr>
    </w:tbl>
    <w:p w:rsidR="00875C48" w:rsidRPr="00164622" w:rsidRDefault="00875C48" w:rsidP="00875C48">
      <w:pPr>
        <w:spacing w:after="0"/>
        <w:rPr>
          <w:szCs w:val="26"/>
        </w:rPr>
      </w:pPr>
    </w:p>
    <w:p w:rsidR="00875C48" w:rsidRPr="00164622" w:rsidRDefault="00875C48" w:rsidP="00875C48">
      <w:pPr>
        <w:spacing w:after="120"/>
        <w:rPr>
          <w:b/>
          <w:szCs w:val="26"/>
        </w:rPr>
      </w:pPr>
      <w:r w:rsidRPr="00164622">
        <w:rPr>
          <w:b/>
          <w:szCs w:val="26"/>
        </w:rPr>
        <w:t>Issue:</w:t>
      </w:r>
    </w:p>
    <w:p w:rsidR="00875C48" w:rsidRDefault="00875C48" w:rsidP="00875C48">
      <w:pPr>
        <w:rPr>
          <w:i/>
          <w:noProof/>
          <w:szCs w:val="26"/>
        </w:rPr>
      </w:pPr>
      <w:r w:rsidRPr="007D0ED6">
        <w:rPr>
          <w:i/>
          <w:noProof/>
          <w:szCs w:val="26"/>
        </w:rPr>
        <w:t>Consultation</w:t>
      </w:r>
    </w:p>
    <w:p w:rsidR="00875C48" w:rsidRDefault="00875C48" w:rsidP="00875C48">
      <w:pPr>
        <w:rPr>
          <w:noProof/>
          <w:szCs w:val="26"/>
        </w:rPr>
      </w:pPr>
      <w:r w:rsidRPr="007A722E">
        <w:rPr>
          <w:noProof/>
          <w:szCs w:val="26"/>
        </w:rPr>
        <w:t xml:space="preserve">Section 17 of the </w:t>
      </w:r>
      <w:r w:rsidRPr="00E5730F">
        <w:rPr>
          <w:i/>
          <w:noProof/>
          <w:szCs w:val="26"/>
        </w:rPr>
        <w:t>Legislative Instruments Act 2003</w:t>
      </w:r>
      <w:r w:rsidRPr="007A722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7A722E">
        <w:rPr>
          <w:noProof/>
          <w:szCs w:val="26"/>
        </w:rPr>
        <w:t>26).</w:t>
      </w:r>
      <w:r>
        <w:rPr>
          <w:noProof/>
          <w:szCs w:val="26"/>
        </w:rPr>
        <w:t xml:space="preserve"> </w:t>
      </w:r>
      <w:r w:rsidRPr="007A722E">
        <w:rPr>
          <w:noProof/>
          <w:szCs w:val="26"/>
        </w:rPr>
        <w:t>With reference to these requirements, the committee notes that the ES for this instrument</w:t>
      </w:r>
      <w:r>
        <w:rPr>
          <w:noProof/>
          <w:szCs w:val="26"/>
        </w:rPr>
        <w:t xml:space="preserve"> states:</w:t>
      </w:r>
    </w:p>
    <w:p w:rsidR="00875C48" w:rsidRDefault="00875C48" w:rsidP="00875C48">
      <w:pPr>
        <w:pStyle w:val="Quote"/>
      </w:pPr>
      <w:r w:rsidRPr="00ED77BA">
        <w:t>This determination affects certain responsible persons wit</w:t>
      </w:r>
      <w:r>
        <w:t xml:space="preserve">h medicines listed on the PBS. </w:t>
      </w:r>
      <w:r w:rsidRPr="00ED77BA">
        <w:t xml:space="preserve">Before a pharmaceutical benefit is listed on the PBS, and from time to time thereafter, price negotiations occur between the responsible person and the Minister for the purpose of reaching a price agreement for </w:t>
      </w:r>
      <w:r>
        <w:t xml:space="preserve">section 85AD of the Act. </w:t>
      </w:r>
      <w:r w:rsidRPr="00ED77BA">
        <w:t xml:space="preserve">If the Minister and the responsible person cannot agree on a price, further consultation occurs with the responsible person, </w:t>
      </w:r>
      <w:r w:rsidRPr="00ED77BA">
        <w:lastRenderedPageBreak/>
        <w:t xml:space="preserve">and thereafter the Minister determines the price that will be the approved ex-manufacturer price for the </w:t>
      </w:r>
      <w:r>
        <w:t xml:space="preserve">brand. </w:t>
      </w:r>
      <w:r w:rsidRPr="00ED77BA">
        <w:t>The Minister also determines the corresponding price claimed by the responsible person which is used to calculate the special patient contribution</w:t>
      </w:r>
      <w:r>
        <w:t xml:space="preserve"> that will apply to the brand.</w:t>
      </w:r>
    </w:p>
    <w:p w:rsidR="00875C48" w:rsidRPr="00ED77BA" w:rsidRDefault="00875C48" w:rsidP="00875C48">
      <w:pPr>
        <w:rPr>
          <w:b/>
        </w:rPr>
      </w:pPr>
      <w:r>
        <w:t xml:space="preserve">In the committee's view, the statement above describes the process of negotiation between the minister and the responsible person, as opposed to a process of consultation. In effect, it appears that consultation (within the general meaning of public consultation or consultation with relevant stakeholders) was unnecessary in this instance because the price determination was essentially a process of negotiation (rather than consultation). In terms of complying with section 18 of the </w:t>
      </w:r>
      <w:r w:rsidRPr="00E5730F">
        <w:rPr>
          <w:i/>
          <w:noProof/>
          <w:szCs w:val="26"/>
        </w:rPr>
        <w:t>Legislative Instruments Act 2003</w:t>
      </w:r>
      <w:r>
        <w:rPr>
          <w:noProof/>
          <w:szCs w:val="26"/>
        </w:rPr>
        <w:t>, the committee considers it would be useful for the ES to have explicitly stated that consultation was considered unnecessary (or</w:t>
      </w:r>
      <w:r w:rsidRPr="006737C2">
        <w:rPr>
          <w:noProof/>
          <w:szCs w:val="26"/>
        </w:rPr>
        <w:t xml:space="preserve"> </w:t>
      </w:r>
      <w:r>
        <w:rPr>
          <w:noProof/>
          <w:szCs w:val="26"/>
        </w:rPr>
        <w:t xml:space="preserve">inappropriate) because the instrument essentially involves a price negotiation between the minister and the responsible person. </w:t>
      </w:r>
      <w:r>
        <w:rPr>
          <w:b/>
          <w:noProof/>
          <w:szCs w:val="26"/>
        </w:rPr>
        <w:t>The committee therefore draws the matter to the minister's attention.</w:t>
      </w:r>
    </w:p>
    <w:p w:rsidR="00875C48" w:rsidRDefault="00875C48" w:rsidP="00875C48">
      <w:pPr>
        <w:pStyle w:val="Heading2"/>
        <w:spacing w:after="360"/>
      </w:pPr>
      <w:r w:rsidRPr="009E27EC">
        <w:t>Continuing matters</w:t>
      </w:r>
    </w:p>
    <w:p w:rsidR="00875C48" w:rsidRPr="00BC0AE8" w:rsidRDefault="00875C48" w:rsidP="00875C48">
      <w:pPr>
        <w:pStyle w:val="Heading3"/>
      </w:pPr>
      <w:r w:rsidRPr="00075F16">
        <w:t xml:space="preserve">Multiple instruments </w:t>
      </w:r>
      <w:r w:rsidRPr="00E35D4F">
        <w:t xml:space="preserve">that appear to rely on subsection 33(3) of the </w:t>
      </w:r>
      <w:r w:rsidRPr="00D66E0A">
        <w:rPr>
          <w:i/>
        </w:rPr>
        <w:t>Acts Interpretation Act 1901</w:t>
      </w:r>
    </w:p>
    <w:p w:rsidR="00875C48" w:rsidRPr="00E35D4F" w:rsidRDefault="00875C48" w:rsidP="00875C48">
      <w:r w:rsidRPr="00E35D4F">
        <w:t xml:space="preserve">The committee has identified a number of instruments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875C48" w:rsidRDefault="00875C48" w:rsidP="00875C48">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4"/>
      </w:r>
    </w:p>
    <w:p w:rsidR="00875C48" w:rsidRDefault="00875C48" w:rsidP="00875C48">
      <w:pPr>
        <w:rPr>
          <w:b/>
        </w:rPr>
      </w:pPr>
      <w:r w:rsidRPr="00E35D4F">
        <w:rPr>
          <w:b/>
        </w:rPr>
        <w:t xml:space="preserve">The committee therefore draws this issue to the attention of ministers and instrument-makers responsible for the </w:t>
      </w:r>
      <w:r>
        <w:rPr>
          <w:b/>
        </w:rPr>
        <w:t>following instruments:</w:t>
      </w:r>
    </w:p>
    <w:tbl>
      <w:tblPr>
        <w:tblStyle w:val="TableGrid"/>
        <w:tblW w:w="0" w:type="auto"/>
        <w:tblInd w:w="392" w:type="dxa"/>
        <w:tblLook w:val="04A0" w:firstRow="1" w:lastRow="0" w:firstColumn="1" w:lastColumn="0" w:noHBand="0" w:noVBand="1"/>
      </w:tblPr>
      <w:tblGrid>
        <w:gridCol w:w="8505"/>
      </w:tblGrid>
      <w:tr w:rsidR="00875C48" w:rsidRPr="004B6804" w:rsidTr="009D7682">
        <w:tc>
          <w:tcPr>
            <w:tcW w:w="8505" w:type="dxa"/>
            <w:tcBorders>
              <w:top w:val="nil"/>
              <w:left w:val="nil"/>
              <w:bottom w:val="nil"/>
              <w:right w:val="nil"/>
            </w:tcBorders>
          </w:tcPr>
          <w:p w:rsidR="00875C48" w:rsidRPr="00043D76" w:rsidRDefault="00875C48" w:rsidP="009D7682">
            <w:pPr>
              <w:rPr>
                <w:color w:val="000000"/>
                <w:sz w:val="22"/>
                <w:szCs w:val="22"/>
              </w:rPr>
            </w:pPr>
            <w:r w:rsidRPr="00D4111E">
              <w:rPr>
                <w:color w:val="000000"/>
                <w:sz w:val="22"/>
                <w:szCs w:val="22"/>
              </w:rPr>
              <w:t xml:space="preserve">Remuneration Tribunal Determination 2015/01 - Remuneration and Allowances for Holders </w:t>
            </w:r>
            <w:r w:rsidRPr="00D4111E">
              <w:rPr>
                <w:color w:val="000000"/>
                <w:sz w:val="22"/>
                <w:szCs w:val="22"/>
              </w:rPr>
              <w:lastRenderedPageBreak/>
              <w:t>of Public Office [F2015L00173</w:t>
            </w:r>
            <w:r>
              <w:rPr>
                <w:color w:val="000000"/>
                <w:sz w:val="22"/>
                <w:szCs w:val="22"/>
              </w:rPr>
              <w:t>]</w:t>
            </w:r>
          </w:p>
        </w:tc>
      </w:tr>
      <w:tr w:rsidR="00875C48" w:rsidRPr="004B6804" w:rsidTr="009D7682">
        <w:tc>
          <w:tcPr>
            <w:tcW w:w="8505" w:type="dxa"/>
            <w:tcBorders>
              <w:top w:val="nil"/>
              <w:left w:val="nil"/>
              <w:bottom w:val="nil"/>
              <w:right w:val="nil"/>
            </w:tcBorders>
          </w:tcPr>
          <w:p w:rsidR="00875C48" w:rsidRPr="00043D76" w:rsidRDefault="00875C48" w:rsidP="009D7682">
            <w:pPr>
              <w:rPr>
                <w:color w:val="000000"/>
                <w:sz w:val="22"/>
                <w:szCs w:val="22"/>
              </w:rPr>
            </w:pPr>
            <w:r w:rsidRPr="00D4111E">
              <w:rPr>
                <w:color w:val="000000"/>
                <w:sz w:val="22"/>
                <w:szCs w:val="22"/>
              </w:rPr>
              <w:lastRenderedPageBreak/>
              <w:t>ASIC Class Order [CO 15/130] [F2015L00195</w:t>
            </w:r>
            <w:r>
              <w:rPr>
                <w:color w:val="000000"/>
                <w:sz w:val="22"/>
                <w:szCs w:val="22"/>
              </w:rPr>
              <w:t>]</w:t>
            </w:r>
          </w:p>
        </w:tc>
      </w:tr>
      <w:tr w:rsidR="00875C48" w:rsidRPr="004B6804" w:rsidTr="009D7682">
        <w:tc>
          <w:tcPr>
            <w:tcW w:w="8505" w:type="dxa"/>
            <w:tcBorders>
              <w:top w:val="nil"/>
              <w:left w:val="nil"/>
              <w:bottom w:val="nil"/>
              <w:right w:val="nil"/>
            </w:tcBorders>
          </w:tcPr>
          <w:p w:rsidR="00875C48" w:rsidRPr="00043D76" w:rsidRDefault="00875C48" w:rsidP="009D7682">
            <w:pPr>
              <w:rPr>
                <w:color w:val="000000"/>
                <w:sz w:val="22"/>
                <w:szCs w:val="22"/>
              </w:rPr>
            </w:pPr>
            <w:r w:rsidRPr="00D4111E">
              <w:rPr>
                <w:color w:val="000000"/>
                <w:sz w:val="22"/>
                <w:szCs w:val="22"/>
              </w:rPr>
              <w:t>Privacy (International Money Transfers) Public Interest Determination 2015 (No. 1) [F2015L00199</w:t>
            </w:r>
            <w:r>
              <w:rPr>
                <w:color w:val="000000"/>
                <w:sz w:val="22"/>
                <w:szCs w:val="22"/>
              </w:rPr>
              <w:t>]</w:t>
            </w:r>
          </w:p>
        </w:tc>
      </w:tr>
      <w:tr w:rsidR="00875C48" w:rsidRPr="004B6804" w:rsidTr="009D7682">
        <w:tc>
          <w:tcPr>
            <w:tcW w:w="8505" w:type="dxa"/>
            <w:tcBorders>
              <w:top w:val="nil"/>
              <w:left w:val="nil"/>
              <w:bottom w:val="nil"/>
              <w:right w:val="nil"/>
            </w:tcBorders>
          </w:tcPr>
          <w:p w:rsidR="00875C48" w:rsidRPr="00BC29E5" w:rsidRDefault="00875C48" w:rsidP="009D7682">
            <w:pPr>
              <w:rPr>
                <w:color w:val="000000"/>
                <w:sz w:val="22"/>
                <w:szCs w:val="22"/>
              </w:rPr>
            </w:pPr>
            <w:r w:rsidRPr="00D4111E">
              <w:rPr>
                <w:color w:val="000000"/>
                <w:sz w:val="22"/>
                <w:szCs w:val="22"/>
              </w:rPr>
              <w:t>Privacy (International Money Transfers) Public Interest Determination 2015 (No. 2)  [F2015L00200</w:t>
            </w:r>
            <w:r>
              <w:rPr>
                <w:color w:val="000000"/>
                <w:sz w:val="22"/>
                <w:szCs w:val="22"/>
              </w:rPr>
              <w:t>]</w:t>
            </w:r>
          </w:p>
        </w:tc>
      </w:tr>
      <w:tr w:rsidR="00875C48" w:rsidRPr="004B6804" w:rsidTr="009D7682">
        <w:tc>
          <w:tcPr>
            <w:tcW w:w="8505" w:type="dxa"/>
            <w:tcBorders>
              <w:top w:val="nil"/>
              <w:left w:val="nil"/>
              <w:bottom w:val="nil"/>
              <w:right w:val="nil"/>
            </w:tcBorders>
          </w:tcPr>
          <w:p w:rsidR="00875C48" w:rsidRPr="00043D76" w:rsidRDefault="00875C48" w:rsidP="009D7682">
            <w:pPr>
              <w:rPr>
                <w:color w:val="000000"/>
                <w:sz w:val="22"/>
                <w:szCs w:val="22"/>
              </w:rPr>
            </w:pPr>
            <w:r w:rsidRPr="00D4111E">
              <w:rPr>
                <w:color w:val="000000"/>
                <w:sz w:val="22"/>
                <w:szCs w:val="22"/>
              </w:rPr>
              <w:t>Privacy (International Money Transfers) Generalising Determination 2015[ F2015L00201</w:t>
            </w:r>
            <w:r>
              <w:rPr>
                <w:color w:val="000000"/>
                <w:sz w:val="22"/>
                <w:szCs w:val="22"/>
              </w:rPr>
              <w:t>]</w:t>
            </w:r>
          </w:p>
        </w:tc>
      </w:tr>
      <w:tr w:rsidR="00875C48" w:rsidRPr="004B6804" w:rsidTr="009D7682">
        <w:tc>
          <w:tcPr>
            <w:tcW w:w="8505" w:type="dxa"/>
            <w:tcBorders>
              <w:top w:val="nil"/>
              <w:left w:val="nil"/>
              <w:bottom w:val="nil"/>
              <w:right w:val="nil"/>
            </w:tcBorders>
          </w:tcPr>
          <w:p w:rsidR="00875C48" w:rsidRPr="00D4111E" w:rsidRDefault="00875C48" w:rsidP="009D7682">
            <w:pPr>
              <w:rPr>
                <w:color w:val="000000"/>
                <w:sz w:val="22"/>
                <w:szCs w:val="22"/>
              </w:rPr>
            </w:pPr>
            <w:r w:rsidRPr="00BC3BB6">
              <w:rPr>
                <w:color w:val="000000"/>
                <w:sz w:val="22"/>
                <w:szCs w:val="22"/>
              </w:rPr>
              <w:t>Radiocommunications Taxes Collection (Penalties on</w:t>
            </w:r>
            <w:r>
              <w:rPr>
                <w:color w:val="000000"/>
                <w:sz w:val="22"/>
                <w:szCs w:val="22"/>
              </w:rPr>
              <w:t xml:space="preserve"> Unpaid Tax) Determination 2015 [</w:t>
            </w:r>
            <w:r w:rsidRPr="00BC3BB6">
              <w:rPr>
                <w:color w:val="000000"/>
                <w:sz w:val="22"/>
                <w:szCs w:val="22"/>
              </w:rPr>
              <w:t>F2015L00179</w:t>
            </w:r>
            <w:r>
              <w:rPr>
                <w:color w:val="000000"/>
                <w:sz w:val="22"/>
                <w:szCs w:val="22"/>
              </w:rPr>
              <w:t>]</w:t>
            </w:r>
          </w:p>
        </w:tc>
      </w:tr>
      <w:tr w:rsidR="00875C48" w:rsidRPr="004B6804" w:rsidTr="009D7682">
        <w:tc>
          <w:tcPr>
            <w:tcW w:w="8505" w:type="dxa"/>
            <w:tcBorders>
              <w:top w:val="nil"/>
              <w:left w:val="nil"/>
              <w:bottom w:val="nil"/>
              <w:right w:val="nil"/>
            </w:tcBorders>
          </w:tcPr>
          <w:p w:rsidR="00875C48" w:rsidRPr="008723EA" w:rsidRDefault="00875C48" w:rsidP="009D7682">
            <w:pPr>
              <w:rPr>
                <w:color w:val="000000"/>
                <w:sz w:val="22"/>
                <w:szCs w:val="22"/>
              </w:rPr>
            </w:pPr>
            <w:r w:rsidRPr="003A63D5">
              <w:rPr>
                <w:color w:val="000000"/>
                <w:sz w:val="22"/>
                <w:szCs w:val="22"/>
              </w:rPr>
              <w:t>Telecommunications Technical Standard (Requirements for ISDN Basic Access Interface – AS/ACIF S031) 2015 [F2015L00180</w:t>
            </w:r>
            <w:r>
              <w:rPr>
                <w:color w:val="000000"/>
                <w:sz w:val="22"/>
                <w:szCs w:val="22"/>
              </w:rPr>
              <w:t>]</w:t>
            </w:r>
          </w:p>
        </w:tc>
      </w:tr>
      <w:tr w:rsidR="00875C48" w:rsidRPr="004B6804" w:rsidTr="009D7682">
        <w:tc>
          <w:tcPr>
            <w:tcW w:w="8505" w:type="dxa"/>
            <w:tcBorders>
              <w:top w:val="nil"/>
              <w:left w:val="nil"/>
              <w:bottom w:val="nil"/>
              <w:right w:val="nil"/>
            </w:tcBorders>
          </w:tcPr>
          <w:p w:rsidR="00875C48" w:rsidRPr="00043D76" w:rsidRDefault="00875C48" w:rsidP="009D7682">
            <w:pPr>
              <w:rPr>
                <w:color w:val="000000"/>
                <w:sz w:val="22"/>
                <w:szCs w:val="22"/>
              </w:rPr>
            </w:pPr>
            <w:r w:rsidRPr="003A63D5">
              <w:rPr>
                <w:color w:val="000000"/>
                <w:sz w:val="22"/>
                <w:szCs w:val="22"/>
              </w:rPr>
              <w:t>Telecommunications Technical Standard (Requirements for Customer Equipment with hierarchical digital interfaces – AS/ACIF S016) 2015 [F2015L00181</w:t>
            </w:r>
            <w:r>
              <w:rPr>
                <w:color w:val="000000"/>
                <w:sz w:val="22"/>
                <w:szCs w:val="22"/>
              </w:rPr>
              <w:t>]</w:t>
            </w:r>
          </w:p>
        </w:tc>
      </w:tr>
      <w:tr w:rsidR="00875C48" w:rsidRPr="004B6804" w:rsidTr="009D7682">
        <w:tc>
          <w:tcPr>
            <w:tcW w:w="8505" w:type="dxa"/>
            <w:tcBorders>
              <w:top w:val="nil"/>
              <w:left w:val="nil"/>
              <w:bottom w:val="nil"/>
              <w:right w:val="nil"/>
            </w:tcBorders>
          </w:tcPr>
          <w:p w:rsidR="00875C48" w:rsidRPr="00043D76" w:rsidRDefault="00875C48" w:rsidP="009D7682">
            <w:pPr>
              <w:rPr>
                <w:color w:val="000000"/>
                <w:sz w:val="22"/>
                <w:szCs w:val="22"/>
              </w:rPr>
            </w:pPr>
            <w:r w:rsidRPr="003A63D5">
              <w:rPr>
                <w:color w:val="000000"/>
                <w:sz w:val="22"/>
                <w:szCs w:val="22"/>
              </w:rPr>
              <w:t>Telecommunications Technical Standard (Requirements for customer cabling products – AS/CA S008) 2015 [F2015L00182</w:t>
            </w:r>
            <w:r>
              <w:rPr>
                <w:color w:val="000000"/>
                <w:sz w:val="22"/>
                <w:szCs w:val="22"/>
              </w:rPr>
              <w:t>]</w:t>
            </w:r>
          </w:p>
        </w:tc>
      </w:tr>
      <w:tr w:rsidR="00875C48" w:rsidRPr="004B6804" w:rsidTr="009D7682">
        <w:tc>
          <w:tcPr>
            <w:tcW w:w="8505" w:type="dxa"/>
            <w:tcBorders>
              <w:top w:val="nil"/>
              <w:left w:val="nil"/>
              <w:bottom w:val="nil"/>
              <w:right w:val="nil"/>
            </w:tcBorders>
          </w:tcPr>
          <w:p w:rsidR="00875C48" w:rsidRPr="00043D76" w:rsidRDefault="00875C48" w:rsidP="009D7682">
            <w:pPr>
              <w:rPr>
                <w:color w:val="000000"/>
                <w:sz w:val="22"/>
                <w:szCs w:val="22"/>
              </w:rPr>
            </w:pPr>
            <w:r w:rsidRPr="003A63D5">
              <w:rPr>
                <w:color w:val="000000"/>
                <w:sz w:val="22"/>
                <w:szCs w:val="22"/>
              </w:rPr>
              <w:t>Telecommunications Technical Standard (Requirements for Customer Access Equipment for connection to a Telecommunications Network – AS/CA S003) 2015 [F2015L00183</w:t>
            </w:r>
            <w:r>
              <w:rPr>
                <w:color w:val="000000"/>
                <w:sz w:val="22"/>
                <w:szCs w:val="22"/>
              </w:rPr>
              <w:t>]</w:t>
            </w:r>
          </w:p>
        </w:tc>
      </w:tr>
      <w:tr w:rsidR="00875C48" w:rsidRPr="004B6804" w:rsidTr="009D7682">
        <w:tc>
          <w:tcPr>
            <w:tcW w:w="8505" w:type="dxa"/>
            <w:tcBorders>
              <w:top w:val="nil"/>
              <w:left w:val="nil"/>
              <w:bottom w:val="nil"/>
              <w:right w:val="nil"/>
            </w:tcBorders>
          </w:tcPr>
          <w:p w:rsidR="00875C48" w:rsidRPr="008723EA" w:rsidRDefault="00875C48" w:rsidP="009D7682">
            <w:pPr>
              <w:rPr>
                <w:color w:val="000000"/>
                <w:sz w:val="22"/>
                <w:szCs w:val="22"/>
              </w:rPr>
            </w:pPr>
            <w:r w:rsidRPr="003A63D5">
              <w:rPr>
                <w:color w:val="000000"/>
                <w:sz w:val="22"/>
                <w:szCs w:val="22"/>
              </w:rPr>
              <w:t>Telecommunications Technical Standard (Analogue Interworking and Non-interference Requirements for Customer Equipment for Connection to the Public Switched Telephone Network – AS/CA S002) 2015 [F2015L00184</w:t>
            </w:r>
            <w:r>
              <w:rPr>
                <w:color w:val="000000"/>
                <w:sz w:val="22"/>
                <w:szCs w:val="22"/>
              </w:rPr>
              <w:t>]</w:t>
            </w:r>
          </w:p>
        </w:tc>
      </w:tr>
      <w:tr w:rsidR="00875C48" w:rsidRPr="004B6804" w:rsidTr="009D7682">
        <w:tc>
          <w:tcPr>
            <w:tcW w:w="8505" w:type="dxa"/>
            <w:tcBorders>
              <w:top w:val="nil"/>
              <w:left w:val="nil"/>
              <w:bottom w:val="nil"/>
              <w:right w:val="nil"/>
            </w:tcBorders>
          </w:tcPr>
          <w:p w:rsidR="00875C48" w:rsidRPr="00BC29E5" w:rsidRDefault="00875C48" w:rsidP="009D7682">
            <w:pPr>
              <w:rPr>
                <w:color w:val="000000"/>
                <w:sz w:val="22"/>
                <w:szCs w:val="22"/>
              </w:rPr>
            </w:pPr>
            <w:r w:rsidRPr="003A63D5">
              <w:rPr>
                <w:color w:val="000000"/>
                <w:sz w:val="22"/>
                <w:szCs w:val="22"/>
              </w:rPr>
              <w:t>Telecommunications Technical Standard (Requirements for ISDN Primary Rate Access Interface – AS/ACIF S038) 2015 [F2015L00185</w:t>
            </w:r>
            <w:r>
              <w:rPr>
                <w:color w:val="000000"/>
                <w:sz w:val="22"/>
                <w:szCs w:val="22"/>
              </w:rPr>
              <w:t>]</w:t>
            </w:r>
          </w:p>
        </w:tc>
      </w:tr>
      <w:tr w:rsidR="00875C48" w:rsidRPr="004B6804" w:rsidTr="009D7682">
        <w:tc>
          <w:tcPr>
            <w:tcW w:w="8505" w:type="dxa"/>
            <w:tcBorders>
              <w:top w:val="nil"/>
              <w:left w:val="nil"/>
              <w:bottom w:val="nil"/>
              <w:right w:val="nil"/>
            </w:tcBorders>
          </w:tcPr>
          <w:p w:rsidR="00875C48" w:rsidRPr="00043D76" w:rsidRDefault="00875C48" w:rsidP="009D7682">
            <w:pPr>
              <w:rPr>
                <w:color w:val="000000"/>
                <w:sz w:val="22"/>
                <w:szCs w:val="22"/>
              </w:rPr>
            </w:pPr>
            <w:r w:rsidRPr="003A63D5">
              <w:rPr>
                <w:color w:val="000000"/>
                <w:sz w:val="22"/>
                <w:szCs w:val="22"/>
              </w:rPr>
              <w:t>Telecommunications Technical Standard (Voice performance requirements for Customer Equipment – AS/CA S004) 2015 [F2015L00186</w:t>
            </w:r>
            <w:r>
              <w:rPr>
                <w:color w:val="000000"/>
                <w:sz w:val="22"/>
                <w:szCs w:val="22"/>
              </w:rPr>
              <w:t>]</w:t>
            </w:r>
          </w:p>
        </w:tc>
      </w:tr>
      <w:tr w:rsidR="00875C48" w:rsidRPr="004B6804" w:rsidTr="009D7682">
        <w:tc>
          <w:tcPr>
            <w:tcW w:w="8505" w:type="dxa"/>
            <w:tcBorders>
              <w:top w:val="nil"/>
              <w:left w:val="nil"/>
              <w:bottom w:val="nil"/>
              <w:right w:val="nil"/>
            </w:tcBorders>
          </w:tcPr>
          <w:p w:rsidR="00875C48" w:rsidRPr="00043D76" w:rsidRDefault="00875C48" w:rsidP="009D7682">
            <w:pPr>
              <w:rPr>
                <w:color w:val="000000"/>
                <w:sz w:val="22"/>
                <w:szCs w:val="22"/>
              </w:rPr>
            </w:pPr>
            <w:r w:rsidRPr="003A63D5">
              <w:rPr>
                <w:color w:val="000000"/>
                <w:sz w:val="22"/>
                <w:szCs w:val="22"/>
              </w:rPr>
              <w:t>Telecommunications Technical Standard (Requirements for DSL Customer Equipment for connection to the Public Switched Telephone Network – AS/ACIF S041) 2015 [F2015L00187</w:t>
            </w:r>
            <w:r>
              <w:rPr>
                <w:color w:val="000000"/>
                <w:sz w:val="22"/>
                <w:szCs w:val="22"/>
              </w:rPr>
              <w:t>]</w:t>
            </w:r>
          </w:p>
        </w:tc>
      </w:tr>
      <w:tr w:rsidR="00875C48" w:rsidRPr="004B6804" w:rsidTr="009D7682">
        <w:tc>
          <w:tcPr>
            <w:tcW w:w="8505" w:type="dxa"/>
            <w:tcBorders>
              <w:top w:val="nil"/>
              <w:left w:val="nil"/>
              <w:bottom w:val="nil"/>
              <w:right w:val="nil"/>
            </w:tcBorders>
          </w:tcPr>
          <w:p w:rsidR="00875C48" w:rsidRPr="003A63D5" w:rsidRDefault="00875C48" w:rsidP="009D7682">
            <w:pPr>
              <w:rPr>
                <w:color w:val="000000"/>
                <w:sz w:val="22"/>
                <w:szCs w:val="22"/>
              </w:rPr>
            </w:pPr>
            <w:r w:rsidRPr="005115B4">
              <w:rPr>
                <w:color w:val="000000"/>
                <w:sz w:val="22"/>
                <w:szCs w:val="22"/>
              </w:rPr>
              <w:t>Telecommunications Technical Standard (Requirements for Connection to an Air Interface of a Telecommunications Network – AS/CA S042) 2015</w:t>
            </w:r>
            <w:r>
              <w:rPr>
                <w:color w:val="000000"/>
                <w:sz w:val="22"/>
                <w:szCs w:val="22"/>
              </w:rPr>
              <w:t xml:space="preserve"> [</w:t>
            </w:r>
            <w:r w:rsidRPr="005115B4">
              <w:rPr>
                <w:color w:val="000000"/>
                <w:sz w:val="22"/>
                <w:szCs w:val="22"/>
              </w:rPr>
              <w:t>F2015L00188</w:t>
            </w:r>
            <w:r>
              <w:rPr>
                <w:color w:val="000000"/>
                <w:sz w:val="22"/>
                <w:szCs w:val="22"/>
              </w:rPr>
              <w:t>]</w:t>
            </w:r>
          </w:p>
        </w:tc>
      </w:tr>
      <w:tr w:rsidR="00875C48" w:rsidRPr="004B6804" w:rsidTr="009D7682">
        <w:tc>
          <w:tcPr>
            <w:tcW w:w="8505" w:type="dxa"/>
            <w:tcBorders>
              <w:top w:val="nil"/>
              <w:left w:val="nil"/>
              <w:bottom w:val="nil"/>
              <w:right w:val="nil"/>
            </w:tcBorders>
          </w:tcPr>
          <w:p w:rsidR="00875C48" w:rsidRPr="003A63D5" w:rsidRDefault="00875C48" w:rsidP="009D7682">
            <w:pPr>
              <w:rPr>
                <w:color w:val="000000"/>
                <w:sz w:val="22"/>
                <w:szCs w:val="22"/>
              </w:rPr>
            </w:pPr>
            <w:r w:rsidRPr="005115B4">
              <w:rPr>
                <w:color w:val="000000"/>
                <w:sz w:val="22"/>
                <w:szCs w:val="22"/>
              </w:rPr>
              <w:t>Telecommunications Technical Standard (Surge Protective Devices for Telecommunication Applications – AS/NZS 4117) 2015 [F2015L00189</w:t>
            </w:r>
            <w:r>
              <w:rPr>
                <w:color w:val="000000"/>
                <w:sz w:val="22"/>
                <w:szCs w:val="22"/>
              </w:rPr>
              <w:t>]</w:t>
            </w:r>
          </w:p>
        </w:tc>
      </w:tr>
      <w:tr w:rsidR="00875C48" w:rsidRPr="004B6804" w:rsidTr="009D7682">
        <w:tc>
          <w:tcPr>
            <w:tcW w:w="8505" w:type="dxa"/>
            <w:tcBorders>
              <w:top w:val="nil"/>
              <w:left w:val="nil"/>
              <w:bottom w:val="nil"/>
              <w:right w:val="nil"/>
            </w:tcBorders>
          </w:tcPr>
          <w:p w:rsidR="00875C48" w:rsidRPr="003A63D5" w:rsidRDefault="00875C48" w:rsidP="009D7682">
            <w:pPr>
              <w:rPr>
                <w:color w:val="000000"/>
                <w:sz w:val="22"/>
                <w:szCs w:val="22"/>
              </w:rPr>
            </w:pPr>
            <w:r w:rsidRPr="00F85C6B">
              <w:rPr>
                <w:color w:val="000000"/>
                <w:sz w:val="22"/>
                <w:szCs w:val="22"/>
              </w:rPr>
              <w:t>Telecommunications (Labelling Notice for Customer Equipment and Customer Cabling) Instrument 2015 [F2015L00190</w:t>
            </w:r>
            <w:r>
              <w:rPr>
                <w:color w:val="000000"/>
                <w:sz w:val="22"/>
                <w:szCs w:val="22"/>
              </w:rPr>
              <w:t>]</w:t>
            </w:r>
          </w:p>
        </w:tc>
      </w:tr>
      <w:tr w:rsidR="00875C48" w:rsidRPr="004B6804" w:rsidTr="009D7682">
        <w:tc>
          <w:tcPr>
            <w:tcW w:w="8505" w:type="dxa"/>
            <w:tcBorders>
              <w:top w:val="nil"/>
              <w:left w:val="nil"/>
              <w:bottom w:val="nil"/>
              <w:right w:val="nil"/>
            </w:tcBorders>
          </w:tcPr>
          <w:p w:rsidR="00875C48" w:rsidRPr="003A63D5" w:rsidRDefault="00875C48" w:rsidP="009D7682">
            <w:pPr>
              <w:rPr>
                <w:color w:val="000000"/>
                <w:sz w:val="22"/>
                <w:szCs w:val="22"/>
              </w:rPr>
            </w:pPr>
            <w:r w:rsidRPr="005115B4">
              <w:rPr>
                <w:color w:val="000000"/>
                <w:sz w:val="22"/>
                <w:szCs w:val="22"/>
              </w:rPr>
              <w:t>Telecommunications Technical Standard (Requirements for Customer Equipment for connection to a metallic local loop interface of a Telecommunications Network – AS/CA S043) 2015 [F2015L00192]</w:t>
            </w:r>
          </w:p>
        </w:tc>
      </w:tr>
    </w:tbl>
    <w:p w:rsidR="00875C48" w:rsidRPr="00117C8E" w:rsidRDefault="00875C48" w:rsidP="00875C48"/>
    <w:p w:rsidR="00875C48" w:rsidRDefault="00875C48" w:rsidP="00875C48">
      <w:pPr>
        <w:spacing w:after="0"/>
        <w:jc w:val="left"/>
        <w:sectPr w:rsidR="00875C48" w:rsidSect="00875C48">
          <w:headerReference w:type="even" r:id="rId26"/>
          <w:headerReference w:type="default" r:id="rId27"/>
          <w:footerReference w:type="default" r:id="rId28"/>
          <w:pgSz w:w="11906" w:h="16838" w:code="9"/>
          <w:pgMar w:top="1440" w:right="1440" w:bottom="1202" w:left="1440" w:header="1134" w:footer="720" w:gutter="0"/>
          <w:pgNumType w:fmt="numberInDash" w:start="1"/>
          <w:cols w:space="720"/>
          <w:docGrid w:linePitch="354"/>
        </w:sectPr>
      </w:pPr>
    </w:p>
    <w:p w:rsidR="00875C48" w:rsidRPr="0076670E" w:rsidRDefault="00875C48" w:rsidP="00875C48">
      <w:pPr>
        <w:pStyle w:val="Heading1"/>
      </w:pPr>
      <w:r w:rsidRPr="0076670E">
        <w:lastRenderedPageBreak/>
        <w:t>Chapter 2</w:t>
      </w:r>
    </w:p>
    <w:p w:rsidR="00875C48" w:rsidRPr="0076670E" w:rsidRDefault="00875C48" w:rsidP="00875C48">
      <w:pPr>
        <w:pStyle w:val="Heading2"/>
      </w:pPr>
      <w:r w:rsidRPr="0076670E">
        <w:t>Concluded matters</w:t>
      </w:r>
    </w:p>
    <w:p w:rsidR="00875C48" w:rsidRDefault="00875C48" w:rsidP="00875C48">
      <w:pPr>
        <w:pStyle w:val="Level1"/>
        <w:numPr>
          <w:ilvl w:val="0"/>
          <w:numId w:val="0"/>
        </w:numPr>
      </w:pPr>
    </w:p>
    <w:p w:rsidR="00875C48" w:rsidRPr="0076670E" w:rsidRDefault="00875C48" w:rsidP="00875C48">
      <w:pPr>
        <w:pStyle w:val="Level1"/>
        <w:numPr>
          <w:ilvl w:val="0"/>
          <w:numId w:val="0"/>
        </w:numPr>
      </w:pPr>
      <w:r w:rsidRPr="0076670E">
        <w:t>This chapter lists matters previously raised by the committee and considered at its meeting on</w:t>
      </w:r>
      <w:r>
        <w:t xml:space="preserve"> </w:t>
      </w:r>
      <w:r w:rsidRPr="003F166C">
        <w:rPr>
          <w:b/>
        </w:rPr>
        <w:t>18 March</w:t>
      </w:r>
      <w:r>
        <w:t xml:space="preserve"> </w:t>
      </w:r>
      <w:r>
        <w:rPr>
          <w:b/>
        </w:rPr>
        <w:t>2015</w:t>
      </w:r>
      <w:r w:rsidRPr="0076670E">
        <w:t>. The committee has concluded its interest in these matters on the basis of responses received from ministers or relevant instrument-makers.</w:t>
      </w:r>
    </w:p>
    <w:p w:rsidR="00875C48" w:rsidRDefault="00875C48" w:rsidP="00875C48">
      <w:pPr>
        <w:pStyle w:val="Level1"/>
        <w:numPr>
          <w:ilvl w:val="0"/>
          <w:numId w:val="0"/>
        </w:numPr>
      </w:pPr>
      <w:r w:rsidRPr="0076670E">
        <w:t xml:space="preserve">Correspondence relating to these matters is included at Appendix </w:t>
      </w:r>
      <w:r>
        <w:t>1</w:t>
      </w:r>
      <w:r w:rsidRPr="0076670E">
        <w:t>.</w:t>
      </w:r>
    </w:p>
    <w:p w:rsidR="00875C48" w:rsidRDefault="00875C48" w:rsidP="00875C48">
      <w:pPr>
        <w:pStyle w:val="Level1"/>
        <w:numPr>
          <w:ilvl w:val="0"/>
          <w:numId w:val="0"/>
        </w:numPr>
      </w:pPr>
    </w:p>
    <w:p w:rsidR="00875C48" w:rsidRDefault="00875C48" w:rsidP="00875C48">
      <w:pPr>
        <w:pStyle w:val="Heading3"/>
        <w:spacing w:after="0"/>
      </w:pPr>
      <w:r w:rsidRPr="007A722E">
        <w:rPr>
          <w:noProof/>
        </w:rPr>
        <w:t>Amendment to the list of threatened species under section 178, 181 and 183 of the Environment Protection and Biodiversity Conservation Act 1999 (158) (03/12/2014) [F2014L01681]</w:t>
      </w:r>
    </w:p>
    <w:p w:rsidR="00875C48" w:rsidRPr="001E0577" w:rsidRDefault="00875C48" w:rsidP="00875C48"/>
    <w:tbl>
      <w:tblPr>
        <w:tblW w:w="0" w:type="auto"/>
        <w:tblInd w:w="108" w:type="dxa"/>
        <w:tblLook w:val="04A0" w:firstRow="1" w:lastRow="0" w:firstColumn="1" w:lastColumn="0" w:noHBand="0" w:noVBand="1"/>
      </w:tblPr>
      <w:tblGrid>
        <w:gridCol w:w="2694"/>
        <w:gridCol w:w="6378"/>
      </w:tblGrid>
      <w:tr w:rsidR="00875C48" w:rsidRPr="00164622" w:rsidTr="009D7682">
        <w:tc>
          <w:tcPr>
            <w:tcW w:w="2694" w:type="dxa"/>
            <w:tcBorders>
              <w:top w:val="single" w:sz="12" w:space="0" w:color="auto"/>
              <w:right w:val="single" w:sz="12" w:space="0" w:color="auto"/>
            </w:tcBorders>
          </w:tcPr>
          <w:p w:rsidR="00875C48" w:rsidRPr="00A77228" w:rsidRDefault="00875C48" w:rsidP="009D7682">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875C48" w:rsidRPr="00A77228" w:rsidRDefault="00875C48" w:rsidP="009D7682">
            <w:pPr>
              <w:rPr>
                <w:sz w:val="24"/>
                <w:szCs w:val="24"/>
              </w:rPr>
            </w:pPr>
            <w:r w:rsidRPr="007A722E">
              <w:rPr>
                <w:noProof/>
                <w:sz w:val="24"/>
                <w:szCs w:val="24"/>
              </w:rPr>
              <w:t xml:space="preserve">Amends the list referred to in section 178, 181 and 183 of the </w:t>
            </w:r>
            <w:r w:rsidRPr="00514112">
              <w:rPr>
                <w:i/>
                <w:noProof/>
                <w:sz w:val="24"/>
                <w:szCs w:val="24"/>
              </w:rPr>
              <w:t>Environment Protection and Biodiversity Conservation Act 1999</w:t>
            </w:r>
            <w:r w:rsidRPr="007A722E">
              <w:rPr>
                <w:noProof/>
                <w:sz w:val="24"/>
                <w:szCs w:val="24"/>
              </w:rPr>
              <w:t xml:space="preserve"> by deleting species from the endangered category and amending the name of 1 species in the critically endangered category</w:t>
            </w:r>
          </w:p>
        </w:tc>
      </w:tr>
      <w:tr w:rsidR="00875C48" w:rsidRPr="00164622" w:rsidTr="009D7682">
        <w:tc>
          <w:tcPr>
            <w:tcW w:w="2694" w:type="dxa"/>
            <w:tcBorders>
              <w:right w:val="single" w:sz="12" w:space="0" w:color="auto"/>
            </w:tcBorders>
          </w:tcPr>
          <w:p w:rsidR="00875C48" w:rsidRPr="00A77228" w:rsidRDefault="00875C48" w:rsidP="009D7682">
            <w:pPr>
              <w:rPr>
                <w:b/>
                <w:sz w:val="24"/>
                <w:szCs w:val="24"/>
              </w:rPr>
            </w:pPr>
            <w:r w:rsidRPr="00A77228">
              <w:rPr>
                <w:b/>
                <w:sz w:val="24"/>
                <w:szCs w:val="24"/>
              </w:rPr>
              <w:t>Last day to disallow</w:t>
            </w:r>
          </w:p>
        </w:tc>
        <w:tc>
          <w:tcPr>
            <w:tcW w:w="6378" w:type="dxa"/>
            <w:tcBorders>
              <w:left w:val="single" w:sz="12" w:space="0" w:color="auto"/>
            </w:tcBorders>
          </w:tcPr>
          <w:p w:rsidR="00875C48" w:rsidRPr="00A77228" w:rsidRDefault="00875C48" w:rsidP="009D7682">
            <w:pPr>
              <w:rPr>
                <w:sz w:val="24"/>
                <w:szCs w:val="24"/>
              </w:rPr>
            </w:pPr>
            <w:r w:rsidRPr="007A722E">
              <w:rPr>
                <w:noProof/>
                <w:sz w:val="24"/>
                <w:szCs w:val="24"/>
              </w:rPr>
              <w:t>26 March 2015</w:t>
            </w:r>
          </w:p>
        </w:tc>
      </w:tr>
      <w:tr w:rsidR="00875C48" w:rsidRPr="00164622" w:rsidTr="009D7682">
        <w:tc>
          <w:tcPr>
            <w:tcW w:w="2694" w:type="dxa"/>
            <w:tcBorders>
              <w:right w:val="single" w:sz="12" w:space="0" w:color="auto"/>
            </w:tcBorders>
          </w:tcPr>
          <w:p w:rsidR="00875C48" w:rsidRPr="00A77228" w:rsidRDefault="00875C48" w:rsidP="009D7682">
            <w:pPr>
              <w:rPr>
                <w:b/>
                <w:sz w:val="24"/>
                <w:szCs w:val="24"/>
              </w:rPr>
            </w:pPr>
            <w:r w:rsidRPr="00A77228">
              <w:rPr>
                <w:b/>
                <w:sz w:val="24"/>
                <w:szCs w:val="24"/>
              </w:rPr>
              <w:t>Authorising legislation</w:t>
            </w:r>
          </w:p>
        </w:tc>
        <w:tc>
          <w:tcPr>
            <w:tcW w:w="6378" w:type="dxa"/>
            <w:tcBorders>
              <w:left w:val="single" w:sz="12" w:space="0" w:color="auto"/>
            </w:tcBorders>
          </w:tcPr>
          <w:p w:rsidR="00875C48" w:rsidRPr="00932D1C" w:rsidRDefault="00875C48" w:rsidP="009D7682">
            <w:pPr>
              <w:rPr>
                <w:i/>
                <w:sz w:val="24"/>
                <w:szCs w:val="24"/>
              </w:rPr>
            </w:pPr>
            <w:r w:rsidRPr="007A722E">
              <w:rPr>
                <w:i/>
                <w:noProof/>
                <w:sz w:val="24"/>
                <w:szCs w:val="24"/>
              </w:rPr>
              <w:t>Environment Protection and Biodiversity Conservation Act 1999</w:t>
            </w:r>
          </w:p>
        </w:tc>
      </w:tr>
      <w:tr w:rsidR="00875C48" w:rsidRPr="00164622" w:rsidTr="009D7682">
        <w:tc>
          <w:tcPr>
            <w:tcW w:w="2694" w:type="dxa"/>
            <w:tcBorders>
              <w:bottom w:val="single" w:sz="12" w:space="0" w:color="auto"/>
              <w:right w:val="single" w:sz="12" w:space="0" w:color="auto"/>
            </w:tcBorders>
          </w:tcPr>
          <w:p w:rsidR="00875C48" w:rsidRPr="00A77228" w:rsidRDefault="00875C48" w:rsidP="009D7682">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875C48" w:rsidRPr="00A77228" w:rsidRDefault="00875C48" w:rsidP="009D7682">
            <w:pPr>
              <w:rPr>
                <w:sz w:val="24"/>
                <w:szCs w:val="24"/>
              </w:rPr>
            </w:pPr>
            <w:r w:rsidRPr="007A722E">
              <w:rPr>
                <w:noProof/>
                <w:sz w:val="24"/>
                <w:szCs w:val="24"/>
              </w:rPr>
              <w:t>Environment</w:t>
            </w:r>
          </w:p>
        </w:tc>
      </w:tr>
    </w:tbl>
    <w:p w:rsidR="00875C48" w:rsidRPr="00164622" w:rsidRDefault="00875C48" w:rsidP="00875C48">
      <w:pPr>
        <w:spacing w:after="0"/>
        <w:rPr>
          <w:szCs w:val="26"/>
        </w:rPr>
      </w:pPr>
      <w:r>
        <w:rPr>
          <w:b/>
        </w:rPr>
        <w:t xml:space="preserve">[The committee first reported on this instrument in </w:t>
      </w:r>
      <w:r>
        <w:rPr>
          <w:b/>
          <w:i/>
        </w:rPr>
        <w:t xml:space="preserve">Delegated legislation monitor </w:t>
      </w:r>
      <w:r>
        <w:rPr>
          <w:b/>
        </w:rPr>
        <w:t>No. 1 of 2015]</w:t>
      </w:r>
    </w:p>
    <w:p w:rsidR="00875C48" w:rsidRPr="00164622" w:rsidRDefault="00875C48" w:rsidP="00875C48">
      <w:pPr>
        <w:rPr>
          <w:b/>
          <w:szCs w:val="26"/>
        </w:rPr>
      </w:pPr>
      <w:r w:rsidRPr="00164622">
        <w:rPr>
          <w:b/>
          <w:szCs w:val="26"/>
        </w:rPr>
        <w:t>Issue:</w:t>
      </w:r>
    </w:p>
    <w:p w:rsidR="00875C48" w:rsidRPr="00164622" w:rsidRDefault="00875C48" w:rsidP="00875C48">
      <w:pPr>
        <w:rPr>
          <w:i/>
          <w:noProof/>
          <w:szCs w:val="26"/>
        </w:rPr>
      </w:pPr>
      <w:r w:rsidRPr="007A722E">
        <w:rPr>
          <w:i/>
          <w:noProof/>
          <w:szCs w:val="26"/>
        </w:rPr>
        <w:t>Insufficient information regarding consultation</w:t>
      </w:r>
    </w:p>
    <w:p w:rsidR="00875C48" w:rsidRDefault="00875C48" w:rsidP="00875C48">
      <w:pPr>
        <w:rPr>
          <w:noProof/>
          <w:szCs w:val="26"/>
        </w:rPr>
      </w:pPr>
      <w:r w:rsidRPr="007A722E">
        <w:rPr>
          <w:noProof/>
          <w:szCs w:val="26"/>
        </w:rPr>
        <w:t xml:space="preserve">Section 17 of the </w:t>
      </w:r>
      <w:r w:rsidRPr="00AD6445">
        <w:rPr>
          <w:i/>
          <w:noProof/>
          <w:szCs w:val="26"/>
        </w:rPr>
        <w:t>Legislative Instruments Act 2003</w:t>
      </w:r>
      <w:r w:rsidRPr="007A722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w:t>
      </w:r>
      <w:r>
        <w:rPr>
          <w:noProof/>
          <w:szCs w:val="26"/>
        </w:rPr>
        <w:t>ate. The explanatory statement (</w:t>
      </w:r>
      <w:r w:rsidRPr="007A722E">
        <w:rPr>
          <w:noProof/>
          <w:szCs w:val="26"/>
        </w:rPr>
        <w:t>ES</w:t>
      </w:r>
      <w:r>
        <w:rPr>
          <w:noProof/>
          <w:szCs w:val="26"/>
        </w:rPr>
        <w:t>)</w:t>
      </w:r>
      <w:r w:rsidRPr="007A722E">
        <w:rPr>
          <w:noProof/>
          <w:szCs w:val="26"/>
        </w:rPr>
        <w:t xml:space="preserve"> which must accompany an instrument is required to describe the nature of any consultation that has been carried out or, if there has been no consultation, to explain why none was undertaken (section 26). With reference to these requirements, the committee notes the ES for the instrument states tha</w:t>
      </w:r>
      <w:r>
        <w:rPr>
          <w:noProof/>
          <w:szCs w:val="26"/>
        </w:rPr>
        <w:t xml:space="preserve">t, in accordance with </w:t>
      </w:r>
      <w:r>
        <w:rPr>
          <w:noProof/>
          <w:szCs w:val="26"/>
        </w:rPr>
        <w:lastRenderedPageBreak/>
        <w:t>paragraph </w:t>
      </w:r>
      <w:r w:rsidRPr="007A722E">
        <w:rPr>
          <w:noProof/>
          <w:szCs w:val="26"/>
        </w:rPr>
        <w:t xml:space="preserve">184(1)(d) of the </w:t>
      </w:r>
      <w:r w:rsidRPr="003A5B90">
        <w:rPr>
          <w:i/>
          <w:noProof/>
          <w:szCs w:val="26"/>
        </w:rPr>
        <w:t>Environment Protection and Biodiversity Conservation Act 1999</w:t>
      </w:r>
      <w:r w:rsidRPr="007A722E">
        <w:rPr>
          <w:noProof/>
          <w:szCs w:val="26"/>
        </w:rPr>
        <w:t xml:space="preserve">, under which the instrument is made, 'consultation was not required to be undertaken before the instrument was made'. However, there is no reference to the consultation requirements of the </w:t>
      </w:r>
      <w:r w:rsidRPr="00AD6445">
        <w:rPr>
          <w:i/>
          <w:noProof/>
          <w:szCs w:val="26"/>
        </w:rPr>
        <w:t>Legislative Instruments Act 2003</w:t>
      </w:r>
      <w:r w:rsidRPr="007A722E">
        <w:rPr>
          <w:noProof/>
          <w:szCs w:val="26"/>
        </w:rPr>
        <w:t xml:space="preserve">. </w:t>
      </w:r>
      <w:r w:rsidRPr="005038EF">
        <w:rPr>
          <w:noProof/>
          <w:szCs w:val="26"/>
        </w:rPr>
        <w:t xml:space="preserve">The committee's expectations in this regard are set out in the 'Guideline on consultation' in Appendix </w:t>
      </w:r>
      <w:r>
        <w:rPr>
          <w:noProof/>
          <w:szCs w:val="26"/>
        </w:rPr>
        <w:t>2</w:t>
      </w:r>
      <w:r w:rsidRPr="005038EF">
        <w:rPr>
          <w:noProof/>
          <w:szCs w:val="26"/>
        </w:rPr>
        <w:t xml:space="preserve"> of this report. </w:t>
      </w:r>
    </w:p>
    <w:p w:rsidR="00875C48" w:rsidRDefault="00875C48" w:rsidP="00875C48">
      <w:pPr>
        <w:rPr>
          <w:b/>
          <w:noProof/>
          <w:szCs w:val="26"/>
        </w:rPr>
      </w:pPr>
      <w:r>
        <w:rPr>
          <w:b/>
          <w:noProof/>
          <w:szCs w:val="26"/>
        </w:rPr>
        <w:t>[</w:t>
      </w:r>
      <w:r w:rsidRPr="00AD6445">
        <w:rPr>
          <w:b/>
          <w:noProof/>
          <w:szCs w:val="26"/>
        </w:rPr>
        <w:t>The committee therefore request</w:t>
      </w:r>
      <w:r>
        <w:rPr>
          <w:b/>
          <w:noProof/>
          <w:szCs w:val="26"/>
        </w:rPr>
        <w:t>ed</w:t>
      </w:r>
      <w:r w:rsidRPr="00AD6445">
        <w:rPr>
          <w:b/>
          <w:noProof/>
          <w:szCs w:val="26"/>
        </w:rPr>
        <w:t xml:space="preserve"> further information from the minister; and request</w:t>
      </w:r>
      <w:r>
        <w:rPr>
          <w:b/>
          <w:noProof/>
          <w:szCs w:val="26"/>
        </w:rPr>
        <w:t>ed</w:t>
      </w:r>
      <w:r w:rsidRPr="00AD6445">
        <w:rPr>
          <w:b/>
          <w:noProof/>
          <w:szCs w:val="26"/>
        </w:rPr>
        <w:t xml:space="preserve"> that the ES be updated in accordance with the requirements of the </w:t>
      </w:r>
      <w:r w:rsidRPr="003F166C">
        <w:rPr>
          <w:b/>
          <w:i/>
          <w:noProof/>
          <w:szCs w:val="26"/>
        </w:rPr>
        <w:t>Legislative Instruments Act 2003</w:t>
      </w:r>
      <w:r>
        <w:rPr>
          <w:b/>
          <w:noProof/>
          <w:szCs w:val="26"/>
        </w:rPr>
        <w:t>]</w:t>
      </w:r>
      <w:r w:rsidRPr="00AD6445">
        <w:rPr>
          <w:b/>
          <w:noProof/>
          <w:szCs w:val="26"/>
        </w:rPr>
        <w:t>.</w:t>
      </w:r>
    </w:p>
    <w:p w:rsidR="00875C48" w:rsidRPr="007107BE" w:rsidRDefault="00875C48" w:rsidP="00875C48">
      <w:pPr>
        <w:rPr>
          <w:b/>
        </w:rPr>
      </w:pPr>
      <w:bookmarkStart w:id="20" w:name="OLE_LINK1"/>
      <w:r w:rsidRPr="007107BE">
        <w:rPr>
          <w:b/>
        </w:rPr>
        <w:t>MINISTER'S RESPONSE:</w:t>
      </w:r>
    </w:p>
    <w:p w:rsidR="00875C48" w:rsidRDefault="00875C48" w:rsidP="00875C48">
      <w:pPr>
        <w:pStyle w:val="Level1"/>
        <w:numPr>
          <w:ilvl w:val="0"/>
          <w:numId w:val="0"/>
        </w:numPr>
      </w:pPr>
      <w:r>
        <w:t>The</w:t>
      </w:r>
      <w:bookmarkEnd w:id="20"/>
      <w:r>
        <w:t xml:space="preserve"> Minister for the Environment advised:</w:t>
      </w:r>
    </w:p>
    <w:p w:rsidR="00875C48" w:rsidRDefault="00875C48" w:rsidP="00875C48">
      <w:pPr>
        <w:pStyle w:val="Quote"/>
      </w:pPr>
      <w:r w:rsidRPr="003F166C">
        <w:t>The purpose of the Legislative Instrument was to correct a previous administrative error</w:t>
      </w:r>
      <w:r>
        <w:t xml:space="preserve"> </w:t>
      </w:r>
      <w:r w:rsidRPr="003F166C">
        <w:t>whereby multiple species were incorrectly recorded under two different threat categories on the</w:t>
      </w:r>
      <w:r>
        <w:t xml:space="preserve"> </w:t>
      </w:r>
      <w:r w:rsidRPr="003F166C">
        <w:t>threatened species list referred to at s</w:t>
      </w:r>
      <w:r>
        <w:t>ection</w:t>
      </w:r>
      <w:r w:rsidRPr="003F166C">
        <w:t xml:space="preserve"> 178 of the EPBC Act</w:t>
      </w:r>
      <w:r>
        <w:t xml:space="preserve"> [</w:t>
      </w:r>
      <w:r w:rsidRPr="003F166C">
        <w:rPr>
          <w:i/>
        </w:rPr>
        <w:t>Environment Protection and Biodiversity Conservation Act 1999</w:t>
      </w:r>
      <w:r>
        <w:t>]</w:t>
      </w:r>
      <w:r w:rsidRPr="003F166C">
        <w:t>. The Legislative Instrument</w:t>
      </w:r>
      <w:r>
        <w:t xml:space="preserve"> </w:t>
      </w:r>
      <w:r w:rsidRPr="003F166C">
        <w:t>removed the species from the duplicative, incorrect category. This action did not alter any</w:t>
      </w:r>
      <w:r>
        <w:t xml:space="preserve"> </w:t>
      </w:r>
      <w:r w:rsidRPr="003F166C">
        <w:t>existing arrangements.</w:t>
      </w:r>
    </w:p>
    <w:p w:rsidR="00875C48" w:rsidRDefault="00875C48" w:rsidP="00875C48">
      <w:pPr>
        <w:pStyle w:val="Quote"/>
      </w:pPr>
      <w:r>
        <w:t>…</w:t>
      </w:r>
    </w:p>
    <w:p w:rsidR="00875C48" w:rsidRDefault="00875C48" w:rsidP="00875C48">
      <w:pPr>
        <w:pStyle w:val="Quote"/>
      </w:pPr>
      <w:r w:rsidRPr="003F166C">
        <w:t>The Committee's requirements for additional justification when consultation has not been</w:t>
      </w:r>
      <w:r>
        <w:t xml:space="preserve"> </w:t>
      </w:r>
      <w:r w:rsidRPr="003F166C">
        <w:t xml:space="preserve">undertaken and the requirement to include reference to Section 18 of the </w:t>
      </w:r>
      <w:r w:rsidRPr="003F166C">
        <w:rPr>
          <w:i/>
        </w:rPr>
        <w:t>Legislative Instruments Act 2003</w:t>
      </w:r>
      <w:r w:rsidRPr="003F166C">
        <w:t xml:space="preserve"> have been noted. All relevant templates have been updated to include this</w:t>
      </w:r>
      <w:r>
        <w:t xml:space="preserve"> </w:t>
      </w:r>
      <w:r w:rsidRPr="003F166C">
        <w:t>information.</w:t>
      </w:r>
    </w:p>
    <w:p w:rsidR="00875C48" w:rsidRPr="0076670E" w:rsidRDefault="00875C48" w:rsidP="00875C48">
      <w:pPr>
        <w:pStyle w:val="Level1"/>
        <w:numPr>
          <w:ilvl w:val="0"/>
          <w:numId w:val="0"/>
        </w:numPr>
        <w:rPr>
          <w:b/>
        </w:rPr>
      </w:pPr>
      <w:r w:rsidRPr="0076670E">
        <w:rPr>
          <w:b/>
        </w:rPr>
        <w:t>COMMITTEE RESPONSE:</w:t>
      </w:r>
    </w:p>
    <w:p w:rsidR="00875C48" w:rsidRDefault="00875C48" w:rsidP="00875C48">
      <w:pPr>
        <w:pStyle w:val="Level1"/>
        <w:numPr>
          <w:ilvl w:val="0"/>
          <w:numId w:val="0"/>
        </w:numPr>
        <w:rPr>
          <w:b/>
        </w:rPr>
      </w:pPr>
      <w:r w:rsidRPr="001065DB">
        <w:rPr>
          <w:b/>
        </w:rPr>
        <w:t xml:space="preserve">The committee thanks the </w:t>
      </w:r>
      <w:r>
        <w:rPr>
          <w:b/>
        </w:rPr>
        <w:t>minister</w:t>
      </w:r>
      <w:r w:rsidRPr="001065DB">
        <w:rPr>
          <w:b/>
        </w:rPr>
        <w:t xml:space="preserve"> for his response</w:t>
      </w:r>
      <w:r>
        <w:rPr>
          <w:b/>
        </w:rPr>
        <w:t>.</w:t>
      </w:r>
    </w:p>
    <w:p w:rsidR="00875C48" w:rsidRDefault="00875C48" w:rsidP="00875C48">
      <w:pPr>
        <w:pStyle w:val="Level1"/>
        <w:numPr>
          <w:ilvl w:val="0"/>
          <w:numId w:val="0"/>
        </w:numPr>
        <w:rPr>
          <w:b/>
        </w:rPr>
      </w:pPr>
      <w:r w:rsidRPr="00B8210C">
        <w:t xml:space="preserve">The </w:t>
      </w:r>
      <w:r>
        <w:t xml:space="preserve">committee notes the minister has not given an undertaking to amend the ES as requested. However, the committee notes the minor and machinery nature of the amendments in this instance, and the minister's advice that all relevant templates have been updated. </w:t>
      </w:r>
      <w:r w:rsidRPr="00B8210C">
        <w:rPr>
          <w:b/>
        </w:rPr>
        <w:t>The</w:t>
      </w:r>
      <w:r>
        <w:rPr>
          <w:b/>
        </w:rPr>
        <w:t xml:space="preserve"> committee</w:t>
      </w:r>
      <w:r w:rsidRPr="001065DB">
        <w:rPr>
          <w:b/>
        </w:rPr>
        <w:t xml:space="preserve"> has</w:t>
      </w:r>
      <w:r>
        <w:rPr>
          <w:b/>
        </w:rPr>
        <w:t xml:space="preserve"> therefore </w:t>
      </w:r>
      <w:r w:rsidRPr="001065DB">
        <w:rPr>
          <w:b/>
        </w:rPr>
        <w:t xml:space="preserve">concluded its </w:t>
      </w:r>
      <w:r>
        <w:rPr>
          <w:b/>
        </w:rPr>
        <w:t>examination of</w:t>
      </w:r>
      <w:r w:rsidRPr="001065DB">
        <w:rPr>
          <w:b/>
        </w:rPr>
        <w:t xml:space="preserve"> th</w:t>
      </w:r>
      <w:r>
        <w:rPr>
          <w:b/>
        </w:rPr>
        <w:t>e</w:t>
      </w:r>
      <w:r w:rsidRPr="001065DB">
        <w:rPr>
          <w:b/>
        </w:rPr>
        <w:t xml:space="preserve"> </w:t>
      </w:r>
      <w:r>
        <w:rPr>
          <w:b/>
        </w:rPr>
        <w:t>instrument</w:t>
      </w:r>
      <w:r w:rsidRPr="001065DB">
        <w:rPr>
          <w:b/>
        </w:rPr>
        <w:t>.</w:t>
      </w:r>
    </w:p>
    <w:p w:rsidR="00875C48" w:rsidRDefault="00875C48" w:rsidP="00875C48">
      <w:pPr>
        <w:spacing w:after="0"/>
        <w:jc w:val="left"/>
      </w:pPr>
      <w:r>
        <w:br w:type="page"/>
      </w:r>
    </w:p>
    <w:p w:rsidR="00875C48" w:rsidRDefault="00875C48" w:rsidP="00875C48">
      <w:pPr>
        <w:pStyle w:val="Heading3"/>
        <w:spacing w:after="0"/>
      </w:pPr>
      <w:r w:rsidRPr="007A722E">
        <w:rPr>
          <w:noProof/>
        </w:rPr>
        <w:lastRenderedPageBreak/>
        <w:t>CASA EX168/14 - Exemption from paragraph 5.1 of Civil Aviation Order 20.16.3 for Airbus 330 aircraft operated by Qantas Airways Limited [F2014L01644]</w:t>
      </w:r>
    </w:p>
    <w:p w:rsidR="00875C48" w:rsidRPr="001E0577" w:rsidRDefault="00875C48" w:rsidP="00875C48"/>
    <w:tbl>
      <w:tblPr>
        <w:tblW w:w="0" w:type="auto"/>
        <w:tblInd w:w="108" w:type="dxa"/>
        <w:tblLook w:val="04A0" w:firstRow="1" w:lastRow="0" w:firstColumn="1" w:lastColumn="0" w:noHBand="0" w:noVBand="1"/>
      </w:tblPr>
      <w:tblGrid>
        <w:gridCol w:w="2694"/>
        <w:gridCol w:w="6378"/>
      </w:tblGrid>
      <w:tr w:rsidR="00875C48" w:rsidRPr="00164622" w:rsidTr="009D7682">
        <w:tc>
          <w:tcPr>
            <w:tcW w:w="2694" w:type="dxa"/>
            <w:tcBorders>
              <w:top w:val="single" w:sz="12" w:space="0" w:color="auto"/>
              <w:right w:val="single" w:sz="12" w:space="0" w:color="auto"/>
            </w:tcBorders>
          </w:tcPr>
          <w:p w:rsidR="00875C48" w:rsidRPr="00A77228" w:rsidRDefault="00875C48" w:rsidP="009D7682">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875C48" w:rsidRPr="00A77228" w:rsidRDefault="00875C48" w:rsidP="009D7682">
            <w:pPr>
              <w:rPr>
                <w:sz w:val="24"/>
                <w:szCs w:val="24"/>
              </w:rPr>
            </w:pPr>
            <w:r w:rsidRPr="007A722E">
              <w:rPr>
                <w:noProof/>
                <w:sz w:val="24"/>
                <w:szCs w:val="24"/>
              </w:rPr>
              <w:t>Enables certain passenger seats not to be in the upright position when taking off or landing</w:t>
            </w:r>
          </w:p>
        </w:tc>
      </w:tr>
      <w:tr w:rsidR="00875C48" w:rsidRPr="00164622" w:rsidTr="009D7682">
        <w:tc>
          <w:tcPr>
            <w:tcW w:w="2694" w:type="dxa"/>
            <w:tcBorders>
              <w:right w:val="single" w:sz="12" w:space="0" w:color="auto"/>
            </w:tcBorders>
          </w:tcPr>
          <w:p w:rsidR="00875C48" w:rsidRPr="00A77228" w:rsidRDefault="00875C48" w:rsidP="009D7682">
            <w:pPr>
              <w:rPr>
                <w:b/>
                <w:sz w:val="24"/>
                <w:szCs w:val="24"/>
              </w:rPr>
            </w:pPr>
            <w:r w:rsidRPr="00A77228">
              <w:rPr>
                <w:b/>
                <w:sz w:val="24"/>
                <w:szCs w:val="24"/>
              </w:rPr>
              <w:t>Last day to disallow</w:t>
            </w:r>
          </w:p>
        </w:tc>
        <w:tc>
          <w:tcPr>
            <w:tcW w:w="6378" w:type="dxa"/>
            <w:tcBorders>
              <w:left w:val="single" w:sz="12" w:space="0" w:color="auto"/>
            </w:tcBorders>
          </w:tcPr>
          <w:p w:rsidR="00875C48" w:rsidRPr="00A77228" w:rsidRDefault="00875C48" w:rsidP="009D7682">
            <w:pPr>
              <w:rPr>
                <w:sz w:val="24"/>
                <w:szCs w:val="24"/>
              </w:rPr>
            </w:pPr>
            <w:r w:rsidRPr="007A722E">
              <w:rPr>
                <w:noProof/>
                <w:sz w:val="24"/>
                <w:szCs w:val="24"/>
              </w:rPr>
              <w:t>26 March 2015</w:t>
            </w:r>
          </w:p>
        </w:tc>
      </w:tr>
      <w:tr w:rsidR="00875C48" w:rsidRPr="00164622" w:rsidTr="009D7682">
        <w:tc>
          <w:tcPr>
            <w:tcW w:w="2694" w:type="dxa"/>
            <w:tcBorders>
              <w:right w:val="single" w:sz="12" w:space="0" w:color="auto"/>
            </w:tcBorders>
          </w:tcPr>
          <w:p w:rsidR="00875C48" w:rsidRPr="00A77228" w:rsidRDefault="00875C48" w:rsidP="009D7682">
            <w:pPr>
              <w:rPr>
                <w:b/>
                <w:sz w:val="24"/>
                <w:szCs w:val="24"/>
              </w:rPr>
            </w:pPr>
            <w:r w:rsidRPr="00A77228">
              <w:rPr>
                <w:b/>
                <w:sz w:val="24"/>
                <w:szCs w:val="24"/>
              </w:rPr>
              <w:t>Authorising legislation</w:t>
            </w:r>
          </w:p>
        </w:tc>
        <w:tc>
          <w:tcPr>
            <w:tcW w:w="6378" w:type="dxa"/>
            <w:tcBorders>
              <w:left w:val="single" w:sz="12" w:space="0" w:color="auto"/>
            </w:tcBorders>
          </w:tcPr>
          <w:p w:rsidR="00875C48" w:rsidRPr="002F4C77" w:rsidRDefault="00875C48" w:rsidP="009D7682">
            <w:pPr>
              <w:rPr>
                <w:sz w:val="24"/>
                <w:szCs w:val="24"/>
              </w:rPr>
            </w:pPr>
            <w:r w:rsidRPr="002F4C77">
              <w:rPr>
                <w:noProof/>
                <w:sz w:val="24"/>
                <w:szCs w:val="24"/>
              </w:rPr>
              <w:t>Civil Aviation Safety Regulations 1998</w:t>
            </w:r>
          </w:p>
        </w:tc>
      </w:tr>
      <w:tr w:rsidR="00875C48" w:rsidRPr="00164622" w:rsidTr="009D7682">
        <w:tc>
          <w:tcPr>
            <w:tcW w:w="2694" w:type="dxa"/>
            <w:tcBorders>
              <w:bottom w:val="single" w:sz="12" w:space="0" w:color="auto"/>
              <w:right w:val="single" w:sz="12" w:space="0" w:color="auto"/>
            </w:tcBorders>
          </w:tcPr>
          <w:p w:rsidR="00875C48" w:rsidRPr="00A77228" w:rsidRDefault="00875C48" w:rsidP="009D7682">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875C48" w:rsidRPr="00A77228" w:rsidRDefault="00875C48" w:rsidP="009D7682">
            <w:pPr>
              <w:rPr>
                <w:sz w:val="24"/>
                <w:szCs w:val="24"/>
              </w:rPr>
            </w:pPr>
            <w:r w:rsidRPr="007A722E">
              <w:rPr>
                <w:noProof/>
                <w:sz w:val="24"/>
                <w:szCs w:val="24"/>
              </w:rPr>
              <w:t>Infrastructure and Regional Development</w:t>
            </w:r>
          </w:p>
        </w:tc>
      </w:tr>
    </w:tbl>
    <w:p w:rsidR="00875C48" w:rsidRPr="00164622" w:rsidRDefault="00875C48" w:rsidP="00875C48">
      <w:pPr>
        <w:spacing w:after="0"/>
        <w:rPr>
          <w:szCs w:val="26"/>
        </w:rPr>
      </w:pPr>
      <w:r>
        <w:rPr>
          <w:b/>
        </w:rPr>
        <w:t xml:space="preserve">[The committee first reported on this instrument in </w:t>
      </w:r>
      <w:r>
        <w:rPr>
          <w:b/>
          <w:i/>
        </w:rPr>
        <w:t xml:space="preserve">Delegated legislation monitor </w:t>
      </w:r>
      <w:r>
        <w:rPr>
          <w:b/>
        </w:rPr>
        <w:t>No. 1 of 2015]</w:t>
      </w:r>
    </w:p>
    <w:p w:rsidR="00875C48" w:rsidRPr="00164622" w:rsidRDefault="00875C48" w:rsidP="00875C48">
      <w:pPr>
        <w:rPr>
          <w:b/>
          <w:szCs w:val="26"/>
        </w:rPr>
      </w:pPr>
      <w:r w:rsidRPr="00164622">
        <w:rPr>
          <w:b/>
          <w:szCs w:val="26"/>
        </w:rPr>
        <w:t>Issue:</w:t>
      </w:r>
    </w:p>
    <w:p w:rsidR="00875C48" w:rsidRDefault="00875C48" w:rsidP="00875C48">
      <w:pPr>
        <w:rPr>
          <w:i/>
          <w:noProof/>
          <w:szCs w:val="26"/>
        </w:rPr>
      </w:pPr>
      <w:r w:rsidRPr="007A722E">
        <w:rPr>
          <w:i/>
          <w:noProof/>
          <w:szCs w:val="26"/>
        </w:rPr>
        <w:t>No description regarding consultation</w:t>
      </w:r>
    </w:p>
    <w:p w:rsidR="00875C48" w:rsidRDefault="00875C48" w:rsidP="00875C48">
      <w:pPr>
        <w:rPr>
          <w:noProof/>
          <w:szCs w:val="26"/>
        </w:rPr>
      </w:pPr>
      <w:r w:rsidRPr="007A722E">
        <w:rPr>
          <w:noProof/>
          <w:szCs w:val="26"/>
        </w:rPr>
        <w:t xml:space="preserve">Section 17 of the </w:t>
      </w:r>
      <w:r w:rsidRPr="00E5730F">
        <w:rPr>
          <w:i/>
          <w:noProof/>
          <w:szCs w:val="26"/>
        </w:rPr>
        <w:t>Legislative Instruments Act 2003</w:t>
      </w:r>
      <w:r w:rsidRPr="007A722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7A722E">
        <w:rPr>
          <w:noProof/>
          <w:szCs w:val="26"/>
        </w:rPr>
        <w:t xml:space="preserve">26). With reference to these requirements, the committee notes that the ES for this instrument provides no description of the nature of the consultation undertaken. </w:t>
      </w:r>
      <w:r w:rsidRPr="005038EF">
        <w:rPr>
          <w:noProof/>
          <w:szCs w:val="26"/>
        </w:rPr>
        <w:t xml:space="preserve">The committee's expectations in this regard are set out in the 'Guideline on consultation' in Appendix </w:t>
      </w:r>
      <w:r>
        <w:rPr>
          <w:noProof/>
          <w:szCs w:val="26"/>
        </w:rPr>
        <w:t>2</w:t>
      </w:r>
      <w:r w:rsidRPr="005038EF">
        <w:rPr>
          <w:noProof/>
          <w:szCs w:val="26"/>
        </w:rPr>
        <w:t xml:space="preserve"> of this report.</w:t>
      </w:r>
      <w:r>
        <w:rPr>
          <w:noProof/>
          <w:szCs w:val="26"/>
        </w:rPr>
        <w:t xml:space="preserve"> </w:t>
      </w:r>
    </w:p>
    <w:p w:rsidR="00875C48" w:rsidRPr="00E5730F" w:rsidRDefault="00875C48" w:rsidP="00875C48">
      <w:pPr>
        <w:rPr>
          <w:b/>
          <w:noProof/>
          <w:szCs w:val="26"/>
        </w:rPr>
      </w:pPr>
      <w:r>
        <w:rPr>
          <w:b/>
          <w:noProof/>
          <w:szCs w:val="26"/>
        </w:rPr>
        <w:t>[The committee therefore requested</w:t>
      </w:r>
      <w:r w:rsidRPr="00E5730F">
        <w:rPr>
          <w:b/>
          <w:noProof/>
          <w:szCs w:val="26"/>
        </w:rPr>
        <w:t xml:space="preserve"> further information</w:t>
      </w:r>
      <w:r>
        <w:rPr>
          <w:b/>
          <w:noProof/>
          <w:szCs w:val="26"/>
        </w:rPr>
        <w:t xml:space="preserve"> from the minister; and requested</w:t>
      </w:r>
      <w:r w:rsidRPr="00E5730F">
        <w:rPr>
          <w:b/>
          <w:noProof/>
          <w:szCs w:val="26"/>
        </w:rPr>
        <w:t xml:space="preserve"> that the ES be updated in accordance with the requirements of the </w:t>
      </w:r>
      <w:r w:rsidRPr="00E5730F">
        <w:rPr>
          <w:b/>
          <w:i/>
          <w:noProof/>
          <w:szCs w:val="26"/>
        </w:rPr>
        <w:t>Legislative Instruments Act 2003</w:t>
      </w:r>
      <w:r>
        <w:rPr>
          <w:b/>
          <w:noProof/>
          <w:szCs w:val="26"/>
        </w:rPr>
        <w:t>].</w:t>
      </w:r>
    </w:p>
    <w:p w:rsidR="00875C48" w:rsidRPr="007107BE" w:rsidRDefault="00875C48" w:rsidP="00875C48">
      <w:pPr>
        <w:rPr>
          <w:b/>
        </w:rPr>
      </w:pPr>
      <w:r w:rsidRPr="007107BE">
        <w:rPr>
          <w:b/>
        </w:rPr>
        <w:t>MINISTER'S RESPONSE:</w:t>
      </w:r>
    </w:p>
    <w:p w:rsidR="00875C48" w:rsidRDefault="00875C48" w:rsidP="00875C48">
      <w:r>
        <w:t>The Minister for Infrastructure and Regional Development advised:</w:t>
      </w:r>
    </w:p>
    <w:p w:rsidR="00875C48" w:rsidRDefault="00875C48" w:rsidP="00875C48">
      <w:pPr>
        <w:pStyle w:val="Quote"/>
      </w:pPr>
      <w:r w:rsidRPr="003F60C7">
        <w:t>General</w:t>
      </w:r>
      <w:r>
        <w:t xml:space="preserve"> </w:t>
      </w:r>
      <w:r w:rsidRPr="003F60C7">
        <w:t>consultation within the aviation industry was not considered necessary as the exemption</w:t>
      </w:r>
      <w:r>
        <w:t xml:space="preserve"> </w:t>
      </w:r>
      <w:r w:rsidRPr="003F60C7">
        <w:t>only applied to Qantas. This exemption is to allow a particular type of aircraft seat to</w:t>
      </w:r>
      <w:r>
        <w:t xml:space="preserve"> </w:t>
      </w:r>
      <w:r w:rsidRPr="003F60C7">
        <w:t>remain in the reclined position during take-off, taxiing or landing. Exemptions of this</w:t>
      </w:r>
      <w:r>
        <w:t xml:space="preserve"> </w:t>
      </w:r>
      <w:r w:rsidRPr="003F60C7">
        <w:t>sort may be requested by individual operators from time to time. They are issued only to</w:t>
      </w:r>
      <w:r>
        <w:t xml:space="preserve"> </w:t>
      </w:r>
      <w:r w:rsidRPr="003F60C7">
        <w:t>those who satisfy the necessary safety requirements and are considered capable of</w:t>
      </w:r>
      <w:r>
        <w:t xml:space="preserve"> </w:t>
      </w:r>
      <w:r w:rsidRPr="003F60C7">
        <w:t>meeting the standard conditions contained in the exemption.</w:t>
      </w:r>
    </w:p>
    <w:p w:rsidR="00875C48" w:rsidRDefault="00875C48" w:rsidP="00875C48">
      <w:r>
        <w:lastRenderedPageBreak/>
        <w:t xml:space="preserve">The minister also advised that he had </w:t>
      </w:r>
      <w:r w:rsidRPr="003F60C7">
        <w:t xml:space="preserve">forwarded the </w:t>
      </w:r>
      <w:r>
        <w:t xml:space="preserve">committee's </w:t>
      </w:r>
      <w:r w:rsidRPr="003F60C7">
        <w:t xml:space="preserve">'Guideline </w:t>
      </w:r>
      <w:r>
        <w:t xml:space="preserve">on </w:t>
      </w:r>
      <w:r w:rsidRPr="003F60C7">
        <w:t xml:space="preserve">Consultation' to CASA and requested that future </w:t>
      </w:r>
      <w:r>
        <w:t>ESs</w:t>
      </w:r>
      <w:r w:rsidRPr="003F60C7">
        <w:t xml:space="preserve"> provide</w:t>
      </w:r>
      <w:r>
        <w:t xml:space="preserve"> </w:t>
      </w:r>
      <w:r w:rsidRPr="003F60C7">
        <w:t>sufficient information on the specific nature of consultation in accordance</w:t>
      </w:r>
      <w:r>
        <w:t xml:space="preserve"> </w:t>
      </w:r>
      <w:r w:rsidRPr="003F60C7">
        <w:t xml:space="preserve">with the requirements of the </w:t>
      </w:r>
      <w:r>
        <w:rPr>
          <w:i/>
        </w:rPr>
        <w:t>Legislative Instruments Act 2003</w:t>
      </w:r>
      <w:r w:rsidRPr="003F60C7">
        <w:t>.</w:t>
      </w:r>
    </w:p>
    <w:p w:rsidR="00875C48" w:rsidRDefault="00875C48" w:rsidP="00875C48">
      <w:r>
        <w:t xml:space="preserve">The minister further advised that he had requested </w:t>
      </w:r>
      <w:r w:rsidRPr="003F60C7">
        <w:t xml:space="preserve">CASA to amend the </w:t>
      </w:r>
      <w:r>
        <w:t>ES</w:t>
      </w:r>
      <w:r w:rsidRPr="003F60C7">
        <w:t xml:space="preserve"> </w:t>
      </w:r>
      <w:r>
        <w:t>in accordance with the committee's request</w:t>
      </w:r>
      <w:r w:rsidRPr="003F60C7">
        <w:t>.</w:t>
      </w:r>
    </w:p>
    <w:p w:rsidR="00875C48" w:rsidRPr="0076670E" w:rsidRDefault="00875C48" w:rsidP="00875C48">
      <w:pPr>
        <w:pStyle w:val="Level1"/>
        <w:numPr>
          <w:ilvl w:val="0"/>
          <w:numId w:val="0"/>
        </w:numPr>
        <w:rPr>
          <w:b/>
        </w:rPr>
      </w:pPr>
      <w:r w:rsidRPr="0076670E">
        <w:rPr>
          <w:b/>
        </w:rPr>
        <w:t>COMMITTEE RESPONSE:</w:t>
      </w:r>
    </w:p>
    <w:p w:rsidR="00875C48" w:rsidRDefault="00875C48" w:rsidP="00875C48">
      <w:pPr>
        <w:pStyle w:val="Level1"/>
        <w:numPr>
          <w:ilvl w:val="0"/>
          <w:numId w:val="0"/>
        </w:numPr>
        <w:rPr>
          <w:b/>
        </w:rPr>
      </w:pPr>
      <w:r w:rsidRPr="001065DB">
        <w:rPr>
          <w:b/>
        </w:rPr>
        <w:t xml:space="preserve">The committee thanks the </w:t>
      </w:r>
      <w:r>
        <w:rPr>
          <w:b/>
        </w:rPr>
        <w:t>minister</w:t>
      </w:r>
      <w:r w:rsidRPr="001065DB">
        <w:rPr>
          <w:b/>
        </w:rPr>
        <w:t xml:space="preserve"> for his response</w:t>
      </w:r>
      <w:r>
        <w:rPr>
          <w:b/>
        </w:rPr>
        <w:t xml:space="preserve"> and has </w:t>
      </w:r>
      <w:r w:rsidRPr="001065DB">
        <w:rPr>
          <w:b/>
        </w:rPr>
        <w:t xml:space="preserve">concluded its </w:t>
      </w:r>
      <w:r>
        <w:rPr>
          <w:b/>
        </w:rPr>
        <w:t>examination of</w:t>
      </w:r>
      <w:r w:rsidRPr="001065DB">
        <w:rPr>
          <w:b/>
        </w:rPr>
        <w:t xml:space="preserve"> th</w:t>
      </w:r>
      <w:r>
        <w:rPr>
          <w:b/>
        </w:rPr>
        <w:t>e</w:t>
      </w:r>
      <w:r w:rsidRPr="001065DB">
        <w:rPr>
          <w:b/>
        </w:rPr>
        <w:t xml:space="preserve"> </w:t>
      </w:r>
      <w:r>
        <w:rPr>
          <w:b/>
        </w:rPr>
        <w:t>instrument.</w:t>
      </w:r>
    </w:p>
    <w:p w:rsidR="00875C48" w:rsidRDefault="00875C48" w:rsidP="00875C48">
      <w:pPr>
        <w:spacing w:after="0"/>
        <w:jc w:val="left"/>
      </w:pPr>
    </w:p>
    <w:p w:rsidR="00875C48" w:rsidRDefault="00875C48" w:rsidP="00875C48">
      <w:pPr>
        <w:pStyle w:val="Heading3"/>
        <w:spacing w:after="0"/>
      </w:pPr>
      <w:r w:rsidRPr="00FB11EB">
        <w:rPr>
          <w:noProof/>
        </w:rPr>
        <w:t>CASA 295/14 - Permission and direction — helicopter operations by Wellspring Rural Services Pty Ltd, trading as Northern Helicopter Charter [F2014L01777]</w:t>
      </w:r>
    </w:p>
    <w:p w:rsidR="00875C48" w:rsidRPr="001E0577" w:rsidRDefault="00875C48" w:rsidP="00875C48"/>
    <w:tbl>
      <w:tblPr>
        <w:tblW w:w="0" w:type="auto"/>
        <w:tblInd w:w="108" w:type="dxa"/>
        <w:tblLook w:val="04A0" w:firstRow="1" w:lastRow="0" w:firstColumn="1" w:lastColumn="0" w:noHBand="0" w:noVBand="1"/>
      </w:tblPr>
      <w:tblGrid>
        <w:gridCol w:w="2694"/>
        <w:gridCol w:w="6378"/>
      </w:tblGrid>
      <w:tr w:rsidR="00875C48" w:rsidRPr="00164622" w:rsidTr="009D7682">
        <w:tc>
          <w:tcPr>
            <w:tcW w:w="2694" w:type="dxa"/>
            <w:tcBorders>
              <w:top w:val="single" w:sz="12" w:space="0" w:color="auto"/>
              <w:right w:val="single" w:sz="12" w:space="0" w:color="auto"/>
            </w:tcBorders>
          </w:tcPr>
          <w:p w:rsidR="00875C48" w:rsidRPr="00A77228" w:rsidRDefault="00875C48" w:rsidP="009D7682">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875C48" w:rsidRPr="00A77228" w:rsidRDefault="00875C48" w:rsidP="009D7682">
            <w:pPr>
              <w:rPr>
                <w:sz w:val="24"/>
                <w:szCs w:val="24"/>
              </w:rPr>
            </w:pPr>
            <w:r w:rsidRPr="00FB11EB">
              <w:rPr>
                <w:noProof/>
                <w:sz w:val="24"/>
                <w:szCs w:val="24"/>
              </w:rPr>
              <w:t xml:space="preserve">Allows a passenger in a helicopter to be carried on the undercarriage for the purpose of leaving or boarding the helicopter while it is in the hover. It also allows a passenger not to wear a seat belt, or occupy </w:t>
            </w:r>
            <w:r>
              <w:rPr>
                <w:noProof/>
                <w:sz w:val="24"/>
                <w:szCs w:val="24"/>
              </w:rPr>
              <w:t>a seat, at a height less than 1</w:t>
            </w:r>
            <w:r w:rsidRPr="00FB11EB">
              <w:rPr>
                <w:noProof/>
                <w:sz w:val="24"/>
                <w:szCs w:val="24"/>
              </w:rPr>
              <w:t>000 feet above the terrain, when the helicopter is in the hover for the purpose of permitting him or her to leave or board the helicopter</w:t>
            </w:r>
          </w:p>
        </w:tc>
      </w:tr>
      <w:tr w:rsidR="00875C48" w:rsidRPr="00164622" w:rsidTr="009D7682">
        <w:tc>
          <w:tcPr>
            <w:tcW w:w="2694" w:type="dxa"/>
            <w:tcBorders>
              <w:right w:val="single" w:sz="12" w:space="0" w:color="auto"/>
            </w:tcBorders>
          </w:tcPr>
          <w:p w:rsidR="00875C48" w:rsidRPr="00A77228" w:rsidRDefault="00875C48" w:rsidP="009D7682">
            <w:pPr>
              <w:rPr>
                <w:b/>
                <w:sz w:val="24"/>
                <w:szCs w:val="24"/>
              </w:rPr>
            </w:pPr>
            <w:r w:rsidRPr="00A77228">
              <w:rPr>
                <w:b/>
                <w:sz w:val="24"/>
                <w:szCs w:val="24"/>
              </w:rPr>
              <w:t>Last day to disallow</w:t>
            </w:r>
          </w:p>
        </w:tc>
        <w:tc>
          <w:tcPr>
            <w:tcW w:w="6378" w:type="dxa"/>
            <w:tcBorders>
              <w:left w:val="single" w:sz="12" w:space="0" w:color="auto"/>
            </w:tcBorders>
          </w:tcPr>
          <w:p w:rsidR="00875C48" w:rsidRPr="00A77228" w:rsidRDefault="00875C48" w:rsidP="009D7682">
            <w:pPr>
              <w:rPr>
                <w:sz w:val="24"/>
                <w:szCs w:val="24"/>
              </w:rPr>
            </w:pPr>
            <w:r w:rsidRPr="00FB11EB">
              <w:rPr>
                <w:noProof/>
                <w:sz w:val="24"/>
                <w:szCs w:val="24"/>
              </w:rPr>
              <w:t>26 March 2015</w:t>
            </w:r>
          </w:p>
        </w:tc>
      </w:tr>
      <w:tr w:rsidR="00875C48" w:rsidRPr="00164622" w:rsidTr="009D7682">
        <w:tc>
          <w:tcPr>
            <w:tcW w:w="2694" w:type="dxa"/>
            <w:tcBorders>
              <w:right w:val="single" w:sz="12" w:space="0" w:color="auto"/>
            </w:tcBorders>
          </w:tcPr>
          <w:p w:rsidR="00875C48" w:rsidRPr="00A77228" w:rsidRDefault="00875C48" w:rsidP="009D7682">
            <w:pPr>
              <w:rPr>
                <w:b/>
                <w:sz w:val="24"/>
                <w:szCs w:val="24"/>
              </w:rPr>
            </w:pPr>
            <w:r w:rsidRPr="00A77228">
              <w:rPr>
                <w:b/>
                <w:sz w:val="24"/>
                <w:szCs w:val="24"/>
              </w:rPr>
              <w:t>Authorising legislation</w:t>
            </w:r>
          </w:p>
        </w:tc>
        <w:tc>
          <w:tcPr>
            <w:tcW w:w="6378" w:type="dxa"/>
            <w:tcBorders>
              <w:left w:val="single" w:sz="12" w:space="0" w:color="auto"/>
            </w:tcBorders>
          </w:tcPr>
          <w:p w:rsidR="00875C48" w:rsidRPr="002F4C77" w:rsidRDefault="00875C48" w:rsidP="009D7682">
            <w:pPr>
              <w:rPr>
                <w:sz w:val="24"/>
                <w:szCs w:val="24"/>
              </w:rPr>
            </w:pPr>
            <w:r w:rsidRPr="002F4C77">
              <w:rPr>
                <w:noProof/>
                <w:sz w:val="24"/>
                <w:szCs w:val="24"/>
              </w:rPr>
              <w:t>Civil Aviation Regulations 1988</w:t>
            </w:r>
          </w:p>
        </w:tc>
      </w:tr>
      <w:tr w:rsidR="00875C48" w:rsidRPr="00164622" w:rsidTr="009D7682">
        <w:tc>
          <w:tcPr>
            <w:tcW w:w="2694" w:type="dxa"/>
            <w:tcBorders>
              <w:bottom w:val="single" w:sz="12" w:space="0" w:color="auto"/>
              <w:right w:val="single" w:sz="12" w:space="0" w:color="auto"/>
            </w:tcBorders>
          </w:tcPr>
          <w:p w:rsidR="00875C48" w:rsidRPr="00A77228" w:rsidRDefault="00875C48" w:rsidP="009D7682">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875C48" w:rsidRPr="00A77228" w:rsidRDefault="00875C48" w:rsidP="009D7682">
            <w:pPr>
              <w:rPr>
                <w:sz w:val="24"/>
                <w:szCs w:val="24"/>
              </w:rPr>
            </w:pPr>
            <w:r w:rsidRPr="00FB11EB">
              <w:rPr>
                <w:noProof/>
                <w:sz w:val="24"/>
                <w:szCs w:val="24"/>
              </w:rPr>
              <w:t>Infrastructure and Regional Development</w:t>
            </w:r>
          </w:p>
        </w:tc>
      </w:tr>
    </w:tbl>
    <w:p w:rsidR="00875C48" w:rsidRPr="00164622" w:rsidRDefault="00875C48" w:rsidP="00875C48">
      <w:pPr>
        <w:spacing w:after="0"/>
        <w:rPr>
          <w:szCs w:val="26"/>
        </w:rPr>
      </w:pPr>
      <w:r>
        <w:rPr>
          <w:b/>
        </w:rPr>
        <w:t xml:space="preserve">[The committee first reported on this instrument in </w:t>
      </w:r>
      <w:r>
        <w:rPr>
          <w:b/>
          <w:i/>
        </w:rPr>
        <w:t xml:space="preserve">Delegated legislation monitor </w:t>
      </w:r>
      <w:r>
        <w:rPr>
          <w:b/>
        </w:rPr>
        <w:t>No. 1 of 2015]</w:t>
      </w:r>
    </w:p>
    <w:p w:rsidR="00875C48" w:rsidRPr="00164622" w:rsidRDefault="00875C48" w:rsidP="00875C48">
      <w:pPr>
        <w:rPr>
          <w:b/>
          <w:szCs w:val="26"/>
        </w:rPr>
      </w:pPr>
      <w:r w:rsidRPr="00164622">
        <w:rPr>
          <w:b/>
          <w:szCs w:val="26"/>
        </w:rPr>
        <w:t>Issue:</w:t>
      </w:r>
    </w:p>
    <w:p w:rsidR="00875C48" w:rsidRPr="00164622" w:rsidRDefault="00875C48" w:rsidP="00875C48">
      <w:pPr>
        <w:rPr>
          <w:i/>
          <w:noProof/>
          <w:szCs w:val="26"/>
        </w:rPr>
      </w:pPr>
      <w:r w:rsidRPr="00FB11EB">
        <w:rPr>
          <w:i/>
          <w:noProof/>
          <w:szCs w:val="26"/>
        </w:rPr>
        <w:t>No description regarding consultation</w:t>
      </w:r>
    </w:p>
    <w:p w:rsidR="00875C48" w:rsidRDefault="00875C48" w:rsidP="00875C48">
      <w:pPr>
        <w:rPr>
          <w:noProof/>
          <w:szCs w:val="26"/>
        </w:rPr>
      </w:pPr>
      <w:r w:rsidRPr="00FB11EB">
        <w:rPr>
          <w:noProof/>
          <w:szCs w:val="26"/>
        </w:rPr>
        <w:t xml:space="preserve">Section 17 of the </w:t>
      </w:r>
      <w:r w:rsidRPr="00673050">
        <w:rPr>
          <w:i/>
          <w:noProof/>
          <w:szCs w:val="26"/>
        </w:rPr>
        <w:t>Legislative Instruments Act 2003</w:t>
      </w:r>
      <w:r w:rsidRPr="00FB11EB">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FB11EB">
        <w:rPr>
          <w:noProof/>
          <w:szCs w:val="26"/>
        </w:rPr>
        <w:t xml:space="preserve">26). With reference to these requirements, the committee notes that the ES for this instrument provides no description of the nature </w:t>
      </w:r>
      <w:r>
        <w:rPr>
          <w:noProof/>
          <w:szCs w:val="26"/>
        </w:rPr>
        <w:t>of the consultation undertaken.</w:t>
      </w:r>
    </w:p>
    <w:p w:rsidR="00875C48" w:rsidRDefault="00875C48" w:rsidP="00875C48">
      <w:pPr>
        <w:rPr>
          <w:b/>
          <w:noProof/>
          <w:szCs w:val="26"/>
        </w:rPr>
      </w:pPr>
      <w:r>
        <w:rPr>
          <w:b/>
          <w:noProof/>
          <w:szCs w:val="26"/>
        </w:rPr>
        <w:lastRenderedPageBreak/>
        <w:t>[The committee therefore requested</w:t>
      </w:r>
      <w:r w:rsidRPr="00E5730F">
        <w:rPr>
          <w:b/>
          <w:noProof/>
          <w:szCs w:val="26"/>
        </w:rPr>
        <w:t xml:space="preserve"> further information</w:t>
      </w:r>
      <w:r>
        <w:rPr>
          <w:b/>
          <w:noProof/>
          <w:szCs w:val="26"/>
        </w:rPr>
        <w:t xml:space="preserve"> from the minister; and requested</w:t>
      </w:r>
      <w:r w:rsidRPr="00E5730F">
        <w:rPr>
          <w:b/>
          <w:noProof/>
          <w:szCs w:val="26"/>
        </w:rPr>
        <w:t xml:space="preserve"> that the ES be updated in accordance with the requirements of the </w:t>
      </w:r>
      <w:r w:rsidRPr="00E5730F">
        <w:rPr>
          <w:b/>
          <w:i/>
          <w:noProof/>
          <w:szCs w:val="26"/>
        </w:rPr>
        <w:t>Legislative Instruments Act 2003</w:t>
      </w:r>
      <w:r>
        <w:rPr>
          <w:b/>
          <w:noProof/>
          <w:szCs w:val="26"/>
        </w:rPr>
        <w:t>].</w:t>
      </w:r>
    </w:p>
    <w:p w:rsidR="00875C48" w:rsidRDefault="00875C48" w:rsidP="00875C48">
      <w:r>
        <w:t xml:space="preserve">The Minister for Infrastructure and Regional Development advised that the instrument related 'only </w:t>
      </w:r>
      <w:r w:rsidRPr="003F60C7">
        <w:t>to the operational circumstances</w:t>
      </w:r>
      <w:r>
        <w:t>' of the individual operator and, therefore, '</w:t>
      </w:r>
      <w:r w:rsidRPr="00032D3E">
        <w:t>further consultation was not considered necessary</w:t>
      </w:r>
      <w:r>
        <w:t>'. The minister also noted:</w:t>
      </w:r>
    </w:p>
    <w:p w:rsidR="00875C48" w:rsidRPr="00032D3E" w:rsidRDefault="00875C48" w:rsidP="00875C48">
      <w:pPr>
        <w:pStyle w:val="Quote"/>
      </w:pPr>
      <w:r w:rsidRPr="00032D3E">
        <w:t>Northern Helicopter Charter and Remote Helicopters Australia made individual</w:t>
      </w:r>
      <w:r>
        <w:t xml:space="preserve"> </w:t>
      </w:r>
      <w:r w:rsidRPr="00032D3E">
        <w:t>applications to CASA for an exemption from certain legislative requirements in order to</w:t>
      </w:r>
      <w:r>
        <w:t xml:space="preserve"> </w:t>
      </w:r>
      <w:r w:rsidRPr="00032D3E">
        <w:t>conduct specialised operations, i.e. the harvesting of crocodile eggs in a remote</w:t>
      </w:r>
      <w:r>
        <w:t xml:space="preserve"> </w:t>
      </w:r>
      <w:r w:rsidRPr="00032D3E">
        <w:t>environment.</w:t>
      </w:r>
    </w:p>
    <w:p w:rsidR="00875C48" w:rsidRDefault="00875C48" w:rsidP="00875C48">
      <w:r>
        <w:t xml:space="preserve">The minister also advised that he had </w:t>
      </w:r>
      <w:r w:rsidRPr="003F60C7">
        <w:t xml:space="preserve">forwarded the </w:t>
      </w:r>
      <w:r>
        <w:t xml:space="preserve">committee's </w:t>
      </w:r>
      <w:r w:rsidRPr="003F60C7">
        <w:t xml:space="preserve">'Guideline </w:t>
      </w:r>
      <w:r>
        <w:t xml:space="preserve">on </w:t>
      </w:r>
      <w:r w:rsidRPr="003F60C7">
        <w:t xml:space="preserve">Consultation' to CASA and requested that future </w:t>
      </w:r>
      <w:r>
        <w:t>ESs</w:t>
      </w:r>
      <w:r w:rsidRPr="003F60C7">
        <w:t xml:space="preserve"> provide</w:t>
      </w:r>
      <w:r>
        <w:t xml:space="preserve"> </w:t>
      </w:r>
      <w:r w:rsidRPr="003F60C7">
        <w:t>sufficient information on the specific nature of consultation in accordance</w:t>
      </w:r>
      <w:r>
        <w:t xml:space="preserve"> </w:t>
      </w:r>
      <w:r w:rsidRPr="003F60C7">
        <w:t xml:space="preserve">with the requirements of the </w:t>
      </w:r>
      <w:r>
        <w:rPr>
          <w:i/>
        </w:rPr>
        <w:t>Legislative Instruments Act 2003</w:t>
      </w:r>
      <w:r w:rsidRPr="003F60C7">
        <w:t>.</w:t>
      </w:r>
    </w:p>
    <w:p w:rsidR="00875C48" w:rsidRDefault="00875C48" w:rsidP="00875C48">
      <w:r>
        <w:t xml:space="preserve">The minister further advised that he had requested </w:t>
      </w:r>
      <w:r w:rsidRPr="003F60C7">
        <w:t xml:space="preserve">CASA to amend the </w:t>
      </w:r>
      <w:r>
        <w:t>ES</w:t>
      </w:r>
      <w:r w:rsidRPr="003F60C7">
        <w:t xml:space="preserve"> </w:t>
      </w:r>
      <w:r>
        <w:t>in accordance with the committee's request</w:t>
      </w:r>
      <w:r w:rsidRPr="003F60C7">
        <w:t>.</w:t>
      </w:r>
    </w:p>
    <w:p w:rsidR="00875C48" w:rsidRPr="0076670E" w:rsidRDefault="00875C48" w:rsidP="00875C48">
      <w:pPr>
        <w:pStyle w:val="Level1"/>
        <w:numPr>
          <w:ilvl w:val="0"/>
          <w:numId w:val="0"/>
        </w:numPr>
        <w:rPr>
          <w:b/>
        </w:rPr>
      </w:pPr>
      <w:r w:rsidRPr="0076670E">
        <w:rPr>
          <w:b/>
        </w:rPr>
        <w:t>COMMITTEE RESPONSE:</w:t>
      </w:r>
    </w:p>
    <w:p w:rsidR="00875C48" w:rsidRDefault="00875C48" w:rsidP="00875C48">
      <w:pPr>
        <w:pStyle w:val="Level1"/>
        <w:numPr>
          <w:ilvl w:val="0"/>
          <w:numId w:val="0"/>
        </w:numPr>
        <w:rPr>
          <w:b/>
        </w:rPr>
      </w:pPr>
      <w:r w:rsidRPr="001065DB">
        <w:rPr>
          <w:b/>
        </w:rPr>
        <w:t xml:space="preserve">The committee thanks the </w:t>
      </w:r>
      <w:r>
        <w:rPr>
          <w:b/>
        </w:rPr>
        <w:t>minister</w:t>
      </w:r>
      <w:r w:rsidRPr="001065DB">
        <w:rPr>
          <w:b/>
        </w:rPr>
        <w:t xml:space="preserve"> for his response</w:t>
      </w:r>
      <w:r>
        <w:rPr>
          <w:b/>
        </w:rPr>
        <w:t xml:space="preserve"> and has </w:t>
      </w:r>
      <w:r w:rsidRPr="001065DB">
        <w:rPr>
          <w:b/>
        </w:rPr>
        <w:t xml:space="preserve">concluded its </w:t>
      </w:r>
      <w:r>
        <w:rPr>
          <w:b/>
        </w:rPr>
        <w:t>examination of</w:t>
      </w:r>
      <w:r w:rsidRPr="001065DB">
        <w:rPr>
          <w:b/>
        </w:rPr>
        <w:t xml:space="preserve"> th</w:t>
      </w:r>
      <w:r>
        <w:rPr>
          <w:b/>
        </w:rPr>
        <w:t>e</w:t>
      </w:r>
      <w:r w:rsidRPr="001065DB">
        <w:rPr>
          <w:b/>
        </w:rPr>
        <w:t xml:space="preserve"> </w:t>
      </w:r>
      <w:r>
        <w:rPr>
          <w:b/>
        </w:rPr>
        <w:t>instrument.</w:t>
      </w:r>
    </w:p>
    <w:p w:rsidR="00875C48" w:rsidRDefault="00875C48" w:rsidP="00875C48">
      <w:pPr>
        <w:rPr>
          <w:b/>
          <w:noProof/>
          <w:szCs w:val="26"/>
        </w:rPr>
      </w:pPr>
    </w:p>
    <w:p w:rsidR="00875C48" w:rsidRDefault="00875C48" w:rsidP="00875C48">
      <w:pPr>
        <w:pStyle w:val="Heading3"/>
        <w:spacing w:after="0"/>
      </w:pPr>
      <w:r w:rsidRPr="00DB758F">
        <w:rPr>
          <w:noProof/>
        </w:rPr>
        <w:t>CASA 293/14 - Permission and direction — helicopter operations by Northshore Holdings (NT) Pty Limited, trading as Remote Helicopters Australia [F2015L00024]</w:t>
      </w:r>
    </w:p>
    <w:p w:rsidR="00875C48" w:rsidRPr="001E0577" w:rsidRDefault="00875C48" w:rsidP="00875C48"/>
    <w:tbl>
      <w:tblPr>
        <w:tblW w:w="0" w:type="auto"/>
        <w:tblInd w:w="108" w:type="dxa"/>
        <w:tblLook w:val="04A0" w:firstRow="1" w:lastRow="0" w:firstColumn="1" w:lastColumn="0" w:noHBand="0" w:noVBand="1"/>
      </w:tblPr>
      <w:tblGrid>
        <w:gridCol w:w="2694"/>
        <w:gridCol w:w="6378"/>
      </w:tblGrid>
      <w:tr w:rsidR="00875C48" w:rsidRPr="00164622" w:rsidTr="009D7682">
        <w:tc>
          <w:tcPr>
            <w:tcW w:w="2694" w:type="dxa"/>
            <w:tcBorders>
              <w:top w:val="single" w:sz="12" w:space="0" w:color="auto"/>
              <w:right w:val="single" w:sz="12" w:space="0" w:color="auto"/>
            </w:tcBorders>
          </w:tcPr>
          <w:p w:rsidR="00875C48" w:rsidRPr="00A77228" w:rsidRDefault="00875C48" w:rsidP="009D7682">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875C48" w:rsidRPr="00A77228" w:rsidRDefault="00875C48" w:rsidP="009D7682">
            <w:pPr>
              <w:rPr>
                <w:sz w:val="24"/>
                <w:szCs w:val="24"/>
              </w:rPr>
            </w:pPr>
            <w:r w:rsidRPr="00DB758F">
              <w:rPr>
                <w:noProof/>
                <w:sz w:val="24"/>
                <w:szCs w:val="24"/>
              </w:rPr>
              <w:t xml:space="preserve">Applies to helicopters operated by Northshore Holdings (NT) Pty Limited, trading as Remote Helicopters Australia allowing a passenger in a helicopter to be carried on the undercarriage for the purpose of leaving or boarding the helicopter while it is in the hover. It also allows a passenger not to wear a seat belt, or occupy </w:t>
            </w:r>
            <w:r>
              <w:rPr>
                <w:noProof/>
                <w:sz w:val="24"/>
                <w:szCs w:val="24"/>
              </w:rPr>
              <w:t>a seat, at a height less than 1</w:t>
            </w:r>
            <w:r w:rsidRPr="00DB758F">
              <w:rPr>
                <w:noProof/>
                <w:sz w:val="24"/>
                <w:szCs w:val="24"/>
              </w:rPr>
              <w:t>000 feet above the terrain, when the helicopter is in the hover for the purpose of permitting him or her to leave or board the helicopter.</w:t>
            </w:r>
          </w:p>
        </w:tc>
      </w:tr>
      <w:tr w:rsidR="00875C48" w:rsidRPr="00164622" w:rsidTr="009D7682">
        <w:tc>
          <w:tcPr>
            <w:tcW w:w="2694" w:type="dxa"/>
            <w:tcBorders>
              <w:right w:val="single" w:sz="12" w:space="0" w:color="auto"/>
            </w:tcBorders>
          </w:tcPr>
          <w:p w:rsidR="00875C48" w:rsidRPr="00A77228" w:rsidRDefault="00875C48" w:rsidP="009D7682">
            <w:pPr>
              <w:rPr>
                <w:b/>
                <w:sz w:val="24"/>
                <w:szCs w:val="24"/>
              </w:rPr>
            </w:pPr>
            <w:r w:rsidRPr="00A77228">
              <w:rPr>
                <w:b/>
                <w:sz w:val="24"/>
                <w:szCs w:val="24"/>
              </w:rPr>
              <w:t>Last day to disallow</w:t>
            </w:r>
          </w:p>
        </w:tc>
        <w:tc>
          <w:tcPr>
            <w:tcW w:w="6378" w:type="dxa"/>
            <w:tcBorders>
              <w:left w:val="single" w:sz="12" w:space="0" w:color="auto"/>
            </w:tcBorders>
          </w:tcPr>
          <w:p w:rsidR="00875C48" w:rsidRPr="00A77228" w:rsidRDefault="00875C48" w:rsidP="009D7682">
            <w:pPr>
              <w:rPr>
                <w:sz w:val="24"/>
                <w:szCs w:val="24"/>
              </w:rPr>
            </w:pPr>
            <w:r w:rsidRPr="00DB758F">
              <w:rPr>
                <w:noProof/>
                <w:sz w:val="24"/>
                <w:szCs w:val="24"/>
              </w:rPr>
              <w:t>26 March 2015</w:t>
            </w:r>
          </w:p>
        </w:tc>
      </w:tr>
      <w:tr w:rsidR="00875C48" w:rsidRPr="00164622" w:rsidTr="009D7682">
        <w:tc>
          <w:tcPr>
            <w:tcW w:w="2694" w:type="dxa"/>
            <w:tcBorders>
              <w:right w:val="single" w:sz="12" w:space="0" w:color="auto"/>
            </w:tcBorders>
          </w:tcPr>
          <w:p w:rsidR="00875C48" w:rsidRPr="00A77228" w:rsidRDefault="00875C48" w:rsidP="009D7682">
            <w:pPr>
              <w:rPr>
                <w:b/>
                <w:sz w:val="24"/>
                <w:szCs w:val="24"/>
              </w:rPr>
            </w:pPr>
            <w:r w:rsidRPr="00A77228">
              <w:rPr>
                <w:b/>
                <w:sz w:val="24"/>
                <w:szCs w:val="24"/>
              </w:rPr>
              <w:t>Authorising legislation</w:t>
            </w:r>
          </w:p>
        </w:tc>
        <w:tc>
          <w:tcPr>
            <w:tcW w:w="6378" w:type="dxa"/>
            <w:tcBorders>
              <w:left w:val="single" w:sz="12" w:space="0" w:color="auto"/>
            </w:tcBorders>
          </w:tcPr>
          <w:p w:rsidR="00875C48" w:rsidRPr="002F4C77" w:rsidRDefault="00875C48" w:rsidP="009D7682">
            <w:pPr>
              <w:rPr>
                <w:sz w:val="24"/>
                <w:szCs w:val="24"/>
              </w:rPr>
            </w:pPr>
            <w:r w:rsidRPr="002F4C77">
              <w:rPr>
                <w:noProof/>
                <w:sz w:val="24"/>
                <w:szCs w:val="24"/>
              </w:rPr>
              <w:t>Civil Aviation Regulations 1988</w:t>
            </w:r>
          </w:p>
        </w:tc>
      </w:tr>
      <w:tr w:rsidR="00875C48" w:rsidRPr="00164622" w:rsidTr="009D7682">
        <w:tc>
          <w:tcPr>
            <w:tcW w:w="2694" w:type="dxa"/>
            <w:tcBorders>
              <w:bottom w:val="single" w:sz="12" w:space="0" w:color="auto"/>
              <w:right w:val="single" w:sz="12" w:space="0" w:color="auto"/>
            </w:tcBorders>
          </w:tcPr>
          <w:p w:rsidR="00875C48" w:rsidRPr="00A77228" w:rsidRDefault="00875C48" w:rsidP="009D7682">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875C48" w:rsidRPr="00A77228" w:rsidRDefault="00875C48" w:rsidP="009D7682">
            <w:pPr>
              <w:rPr>
                <w:sz w:val="24"/>
                <w:szCs w:val="24"/>
              </w:rPr>
            </w:pPr>
            <w:r w:rsidRPr="00DB758F">
              <w:rPr>
                <w:noProof/>
                <w:sz w:val="24"/>
                <w:szCs w:val="24"/>
              </w:rPr>
              <w:t>Infrastructure and Regional Development</w:t>
            </w:r>
          </w:p>
        </w:tc>
      </w:tr>
    </w:tbl>
    <w:p w:rsidR="00875C48" w:rsidRPr="00164622" w:rsidRDefault="00875C48" w:rsidP="00875C48">
      <w:pPr>
        <w:spacing w:after="0"/>
        <w:rPr>
          <w:szCs w:val="26"/>
        </w:rPr>
      </w:pPr>
      <w:r>
        <w:rPr>
          <w:b/>
        </w:rPr>
        <w:t xml:space="preserve">[The committee first reported on this instrument in </w:t>
      </w:r>
      <w:r>
        <w:rPr>
          <w:b/>
          <w:i/>
        </w:rPr>
        <w:t xml:space="preserve">Delegated legislation monitor </w:t>
      </w:r>
      <w:r>
        <w:rPr>
          <w:b/>
        </w:rPr>
        <w:t>No. 1 of 2015]</w:t>
      </w:r>
    </w:p>
    <w:p w:rsidR="00875C48" w:rsidRPr="00164622" w:rsidRDefault="00875C48" w:rsidP="00875C48">
      <w:pPr>
        <w:rPr>
          <w:b/>
          <w:szCs w:val="26"/>
        </w:rPr>
      </w:pPr>
      <w:r w:rsidRPr="00164622">
        <w:rPr>
          <w:b/>
          <w:szCs w:val="26"/>
        </w:rPr>
        <w:lastRenderedPageBreak/>
        <w:t>Issue:</w:t>
      </w:r>
    </w:p>
    <w:p w:rsidR="00875C48" w:rsidRPr="00164622" w:rsidRDefault="00875C48" w:rsidP="00875C48">
      <w:pPr>
        <w:rPr>
          <w:i/>
          <w:noProof/>
          <w:szCs w:val="26"/>
        </w:rPr>
      </w:pPr>
      <w:r w:rsidRPr="00DB758F">
        <w:rPr>
          <w:i/>
          <w:noProof/>
          <w:szCs w:val="26"/>
        </w:rPr>
        <w:t>No description regarding consultation</w:t>
      </w:r>
    </w:p>
    <w:p w:rsidR="00875C48" w:rsidRDefault="00875C48" w:rsidP="00875C48">
      <w:pPr>
        <w:rPr>
          <w:noProof/>
          <w:szCs w:val="26"/>
        </w:rPr>
      </w:pPr>
      <w:r w:rsidRPr="00DB758F">
        <w:rPr>
          <w:noProof/>
          <w:szCs w:val="26"/>
        </w:rPr>
        <w:t xml:space="preserve">Section 17 of the </w:t>
      </w:r>
      <w:r w:rsidRPr="00FE76BF">
        <w:rPr>
          <w:i/>
          <w:noProof/>
          <w:szCs w:val="26"/>
        </w:rPr>
        <w:t>Legislative Instruments Act 2003</w:t>
      </w:r>
      <w:r w:rsidRPr="00DB758F">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description of the nature </w:t>
      </w:r>
      <w:r>
        <w:rPr>
          <w:noProof/>
          <w:szCs w:val="26"/>
        </w:rPr>
        <w:t>of the consultation undertaken.</w:t>
      </w:r>
    </w:p>
    <w:p w:rsidR="00875C48" w:rsidRDefault="00875C48" w:rsidP="00875C48">
      <w:pPr>
        <w:rPr>
          <w:b/>
          <w:noProof/>
          <w:szCs w:val="26"/>
        </w:rPr>
      </w:pPr>
      <w:r>
        <w:rPr>
          <w:b/>
          <w:noProof/>
          <w:szCs w:val="26"/>
        </w:rPr>
        <w:t>[The committee therefore requested</w:t>
      </w:r>
      <w:r w:rsidRPr="00E5730F">
        <w:rPr>
          <w:b/>
          <w:noProof/>
          <w:szCs w:val="26"/>
        </w:rPr>
        <w:t xml:space="preserve"> further information</w:t>
      </w:r>
      <w:r>
        <w:rPr>
          <w:b/>
          <w:noProof/>
          <w:szCs w:val="26"/>
        </w:rPr>
        <w:t xml:space="preserve"> from the minister; and requested</w:t>
      </w:r>
      <w:r w:rsidRPr="00E5730F">
        <w:rPr>
          <w:b/>
          <w:noProof/>
          <w:szCs w:val="26"/>
        </w:rPr>
        <w:t xml:space="preserve"> that the ES be updated in accordance with the requirements of the </w:t>
      </w:r>
      <w:r w:rsidRPr="00E5730F">
        <w:rPr>
          <w:b/>
          <w:i/>
          <w:noProof/>
          <w:szCs w:val="26"/>
        </w:rPr>
        <w:t>Legislative Instruments Act 2003</w:t>
      </w:r>
      <w:r>
        <w:rPr>
          <w:b/>
          <w:noProof/>
          <w:szCs w:val="26"/>
        </w:rPr>
        <w:t>].</w:t>
      </w:r>
    </w:p>
    <w:p w:rsidR="00875C48" w:rsidRDefault="00875C48" w:rsidP="00875C48">
      <w:r>
        <w:t xml:space="preserve">The Minister for Infrastructure and Regional Development advised that the instrument related 'only </w:t>
      </w:r>
      <w:r w:rsidRPr="003F60C7">
        <w:t>to the operational circumstances</w:t>
      </w:r>
      <w:r>
        <w:t>' of the individual operator and, therefore, '</w:t>
      </w:r>
      <w:r w:rsidRPr="00032D3E">
        <w:t>further consultation was not considered necessary</w:t>
      </w:r>
      <w:r>
        <w:t>'. The minister also noted:</w:t>
      </w:r>
    </w:p>
    <w:p w:rsidR="00875C48" w:rsidRPr="00032D3E" w:rsidRDefault="00875C48" w:rsidP="00875C48">
      <w:pPr>
        <w:pStyle w:val="Quote"/>
      </w:pPr>
      <w:r w:rsidRPr="00032D3E">
        <w:t>Northern Helicopter Charter and Remote Helicopters Australia made individual</w:t>
      </w:r>
      <w:r>
        <w:t xml:space="preserve"> </w:t>
      </w:r>
      <w:r w:rsidRPr="00032D3E">
        <w:t>applications to CASA for an exemption from certain legislative requirements in order to</w:t>
      </w:r>
      <w:r>
        <w:t xml:space="preserve"> </w:t>
      </w:r>
      <w:r w:rsidRPr="00032D3E">
        <w:t>conduct specialised operations, i.e. the harvesting of crocodile eggs in a remote</w:t>
      </w:r>
      <w:r>
        <w:t xml:space="preserve"> </w:t>
      </w:r>
      <w:r w:rsidRPr="00032D3E">
        <w:t>environment.</w:t>
      </w:r>
    </w:p>
    <w:p w:rsidR="00875C48" w:rsidRDefault="00875C48" w:rsidP="00875C48">
      <w:r>
        <w:t xml:space="preserve">The minister also advised that he had </w:t>
      </w:r>
      <w:r w:rsidRPr="003F60C7">
        <w:t xml:space="preserve">forwarded the </w:t>
      </w:r>
      <w:r>
        <w:t xml:space="preserve">committee's </w:t>
      </w:r>
      <w:r w:rsidRPr="003F60C7">
        <w:t xml:space="preserve">'Guideline </w:t>
      </w:r>
      <w:r>
        <w:t xml:space="preserve">on </w:t>
      </w:r>
      <w:r w:rsidRPr="003F60C7">
        <w:t xml:space="preserve">Consultation' to CASA and requested that future </w:t>
      </w:r>
      <w:r>
        <w:t>ESs</w:t>
      </w:r>
      <w:r w:rsidRPr="003F60C7">
        <w:t xml:space="preserve"> provide</w:t>
      </w:r>
      <w:r>
        <w:t xml:space="preserve"> </w:t>
      </w:r>
      <w:r w:rsidRPr="003F60C7">
        <w:t>sufficient information on the specific nature of consultation in accordance</w:t>
      </w:r>
      <w:r>
        <w:t xml:space="preserve"> </w:t>
      </w:r>
      <w:r w:rsidRPr="003F60C7">
        <w:t xml:space="preserve">with the requirements of the </w:t>
      </w:r>
      <w:r>
        <w:rPr>
          <w:i/>
        </w:rPr>
        <w:t>Legislative Instruments Act 2003</w:t>
      </w:r>
      <w:r w:rsidRPr="003F60C7">
        <w:t>.</w:t>
      </w:r>
    </w:p>
    <w:p w:rsidR="00875C48" w:rsidRDefault="00875C48" w:rsidP="00875C48">
      <w:r>
        <w:t xml:space="preserve">The minister further advised that he had requested </w:t>
      </w:r>
      <w:r w:rsidRPr="003F60C7">
        <w:t xml:space="preserve">CASA to amend the </w:t>
      </w:r>
      <w:r>
        <w:t>ES</w:t>
      </w:r>
      <w:r w:rsidRPr="003F60C7">
        <w:t xml:space="preserve"> </w:t>
      </w:r>
      <w:r>
        <w:t>in accordance with the committee's request</w:t>
      </w:r>
      <w:r w:rsidRPr="003F60C7">
        <w:t>.</w:t>
      </w:r>
    </w:p>
    <w:p w:rsidR="00875C48" w:rsidRPr="0076670E" w:rsidRDefault="00875C48" w:rsidP="00875C48">
      <w:pPr>
        <w:pStyle w:val="Level1"/>
        <w:numPr>
          <w:ilvl w:val="0"/>
          <w:numId w:val="0"/>
        </w:numPr>
        <w:rPr>
          <w:b/>
        </w:rPr>
      </w:pPr>
      <w:r w:rsidRPr="0076670E">
        <w:rPr>
          <w:b/>
        </w:rPr>
        <w:t>COMMITTEE RESPONSE:</w:t>
      </w:r>
    </w:p>
    <w:p w:rsidR="00875C48" w:rsidRDefault="00875C48" w:rsidP="00875C48">
      <w:pPr>
        <w:pStyle w:val="Level1"/>
        <w:numPr>
          <w:ilvl w:val="0"/>
          <w:numId w:val="0"/>
        </w:numPr>
        <w:rPr>
          <w:b/>
        </w:rPr>
      </w:pPr>
      <w:r w:rsidRPr="001065DB">
        <w:rPr>
          <w:b/>
        </w:rPr>
        <w:t xml:space="preserve">The committee thanks the </w:t>
      </w:r>
      <w:r>
        <w:rPr>
          <w:b/>
        </w:rPr>
        <w:t>minister</w:t>
      </w:r>
      <w:r w:rsidRPr="001065DB">
        <w:rPr>
          <w:b/>
        </w:rPr>
        <w:t xml:space="preserve"> for his response</w:t>
      </w:r>
      <w:r>
        <w:rPr>
          <w:b/>
        </w:rPr>
        <w:t xml:space="preserve"> and has </w:t>
      </w:r>
      <w:r w:rsidRPr="001065DB">
        <w:rPr>
          <w:b/>
        </w:rPr>
        <w:t xml:space="preserve">concluded its </w:t>
      </w:r>
      <w:r>
        <w:rPr>
          <w:b/>
        </w:rPr>
        <w:t>examination of</w:t>
      </w:r>
      <w:r w:rsidRPr="001065DB">
        <w:rPr>
          <w:b/>
        </w:rPr>
        <w:t xml:space="preserve"> th</w:t>
      </w:r>
      <w:r>
        <w:rPr>
          <w:b/>
        </w:rPr>
        <w:t>e</w:t>
      </w:r>
      <w:r w:rsidRPr="001065DB">
        <w:rPr>
          <w:b/>
        </w:rPr>
        <w:t xml:space="preserve"> </w:t>
      </w:r>
      <w:r>
        <w:rPr>
          <w:b/>
        </w:rPr>
        <w:t>instrument.</w:t>
      </w:r>
    </w:p>
    <w:p w:rsidR="00875C48" w:rsidRPr="003F166C" w:rsidRDefault="00875C48" w:rsidP="00875C48"/>
    <w:p w:rsidR="00875C48" w:rsidRDefault="00875C48" w:rsidP="00875C48">
      <w:pPr>
        <w:spacing w:after="0"/>
        <w:jc w:val="left"/>
        <w:sectPr w:rsidR="00875C48" w:rsidSect="00875C48">
          <w:headerReference w:type="default" r:id="rId29"/>
          <w:footerReference w:type="default" r:id="rId30"/>
          <w:pgSz w:w="11906" w:h="16838" w:code="9"/>
          <w:pgMar w:top="1440" w:right="1440" w:bottom="1202" w:left="1440" w:header="1134" w:footer="720" w:gutter="0"/>
          <w:pgNumType w:fmt="numberInDash" w:start="1"/>
          <w:cols w:space="720"/>
          <w:docGrid w:linePitch="354"/>
        </w:sectPr>
      </w:pPr>
    </w:p>
    <w:p w:rsidR="00875C48" w:rsidRDefault="00875C48" w:rsidP="00875C48">
      <w:pPr>
        <w:pStyle w:val="Heading1"/>
      </w:pPr>
      <w:r>
        <w:lastRenderedPageBreak/>
        <w:t>Appendix 1</w:t>
      </w:r>
    </w:p>
    <w:p w:rsidR="00875C48" w:rsidRPr="00520991" w:rsidRDefault="00875C48" w:rsidP="00875C48">
      <w:pPr>
        <w:pStyle w:val="Heading2"/>
      </w:pPr>
      <w:r>
        <w:t>Correspondence</w:t>
      </w:r>
    </w:p>
    <w:p w:rsidR="00875C48" w:rsidRPr="00520991" w:rsidRDefault="00875C48" w:rsidP="00875C48">
      <w:pPr>
        <w:spacing w:after="0"/>
        <w:jc w:val="left"/>
      </w:pPr>
    </w:p>
    <w:p w:rsidR="00875C48" w:rsidRDefault="00875C48">
      <w:pPr>
        <w:tabs>
          <w:tab w:val="left" w:pos="1110"/>
        </w:tabs>
        <w:sectPr w:rsidR="00875C48" w:rsidSect="00875C48">
          <w:headerReference w:type="default" r:id="rId31"/>
          <w:footerReference w:type="default" r:id="rId32"/>
          <w:pgSz w:w="11906" w:h="16838" w:code="9"/>
          <w:pgMar w:top="1440" w:right="1440" w:bottom="1202" w:left="1440" w:header="1134" w:footer="720" w:gutter="0"/>
          <w:pgNumType w:fmt="numberInDash" w:start="1"/>
          <w:cols w:space="720"/>
          <w:docGrid w:linePitch="354"/>
        </w:sectPr>
      </w:pPr>
    </w:p>
    <w:p w:rsidR="00875C48" w:rsidRDefault="00875C48">
      <w:pPr>
        <w:spacing w:after="0"/>
        <w:jc w:val="left"/>
      </w:pPr>
      <w:r>
        <w:lastRenderedPageBreak/>
        <w:br w:type="page"/>
      </w:r>
    </w:p>
    <w:p w:rsidR="00875C48" w:rsidRDefault="00875C48" w:rsidP="00875C48">
      <w:pPr>
        <w:pStyle w:val="Heading1"/>
      </w:pPr>
      <w:r>
        <w:lastRenderedPageBreak/>
        <w:t>Appendix 2</w:t>
      </w:r>
    </w:p>
    <w:p w:rsidR="00875C48" w:rsidRDefault="00875C48" w:rsidP="00875C48">
      <w:pPr>
        <w:pStyle w:val="Heading2"/>
        <w:spacing w:after="600"/>
      </w:pPr>
      <w:r>
        <w:t>Guideline on consultation</w:t>
      </w:r>
    </w:p>
    <w:p w:rsidR="00875C48" w:rsidRDefault="00875C48" w:rsidP="00875C48">
      <w:pPr>
        <w:pBdr>
          <w:top w:val="single" w:sz="4" w:space="1" w:color="auto"/>
        </w:pBdr>
        <w:spacing w:after="0"/>
        <w:jc w:val="center"/>
        <w:rPr>
          <w:b/>
          <w:sz w:val="28"/>
          <w:szCs w:val="28"/>
        </w:rPr>
      </w:pPr>
    </w:p>
    <w:p w:rsidR="00875C48" w:rsidRPr="00AB1ED8" w:rsidRDefault="00875C48" w:rsidP="00875C48">
      <w:pPr>
        <w:pBdr>
          <w:top w:val="single" w:sz="4" w:space="1" w:color="auto"/>
        </w:pBdr>
        <w:jc w:val="center"/>
        <w:rPr>
          <w:b/>
          <w:sz w:val="28"/>
          <w:szCs w:val="28"/>
        </w:rPr>
      </w:pPr>
      <w:r w:rsidRPr="00AB1ED8">
        <w:rPr>
          <w:b/>
          <w:sz w:val="28"/>
          <w:szCs w:val="28"/>
        </w:rPr>
        <w:t>Standing Committee on Regulations and Ordinances</w:t>
      </w:r>
    </w:p>
    <w:p w:rsidR="00875C48" w:rsidRPr="00AB1ED8" w:rsidRDefault="00875C48" w:rsidP="00875C48">
      <w:pPr>
        <w:pBdr>
          <w:bottom w:val="single" w:sz="4" w:space="1" w:color="auto"/>
        </w:pBdr>
        <w:spacing w:after="0"/>
        <w:jc w:val="center"/>
        <w:rPr>
          <w:b/>
          <w:sz w:val="28"/>
          <w:szCs w:val="28"/>
        </w:rPr>
      </w:pPr>
      <w:r w:rsidRPr="00AB1ED8">
        <w:rPr>
          <w:b/>
          <w:sz w:val="28"/>
          <w:szCs w:val="28"/>
        </w:rPr>
        <w:t>Addressing consultation in explanatory statements</w:t>
      </w:r>
    </w:p>
    <w:p w:rsidR="00875C48" w:rsidRPr="00AB1ED8" w:rsidRDefault="00875C48" w:rsidP="00875C48">
      <w:pPr>
        <w:pBdr>
          <w:bottom w:val="single" w:sz="4" w:space="1" w:color="auto"/>
        </w:pBdr>
        <w:spacing w:after="0"/>
        <w:jc w:val="center"/>
        <w:rPr>
          <w:b/>
          <w:szCs w:val="26"/>
        </w:rPr>
      </w:pPr>
    </w:p>
    <w:p w:rsidR="00875C48" w:rsidRPr="00C22E53" w:rsidRDefault="00875C48" w:rsidP="00875C48">
      <w:pPr>
        <w:spacing w:before="360" w:after="60"/>
        <w:rPr>
          <w:b/>
          <w:i/>
          <w:szCs w:val="24"/>
        </w:rPr>
      </w:pPr>
      <w:r w:rsidRPr="00C22E53">
        <w:rPr>
          <w:b/>
          <w:i/>
          <w:szCs w:val="24"/>
        </w:rPr>
        <w:t>Role of the committee</w:t>
      </w:r>
    </w:p>
    <w:p w:rsidR="00875C48" w:rsidRPr="00C22E53" w:rsidRDefault="00875C48" w:rsidP="00875C48">
      <w:pPr>
        <w:rPr>
          <w:szCs w:val="24"/>
        </w:rPr>
      </w:pPr>
      <w:r w:rsidRPr="00C22E53">
        <w:rPr>
          <w:szCs w:val="24"/>
        </w:rPr>
        <w:t xml:space="preserve">The Standing Committee on Regulations and Ordinances (the committee) undertakes scrutiny of legislative instruments to ensure compliance with </w:t>
      </w:r>
      <w:hyperlink r:id="rId33" w:history="1">
        <w:r w:rsidRPr="00C22E53">
          <w:rPr>
            <w:rStyle w:val="Hyperlink"/>
            <w:szCs w:val="24"/>
          </w:rPr>
          <w:t>non-partisan principles</w:t>
        </w:r>
      </w:hyperlink>
      <w:r w:rsidRPr="00C22E53">
        <w:rPr>
          <w:szCs w:val="24"/>
        </w:rPr>
        <w:t xml:space="preserve"> of personal rights and parliamentary propriety.</w:t>
      </w:r>
    </w:p>
    <w:p w:rsidR="00875C48" w:rsidRPr="00C22E53" w:rsidRDefault="00875C48" w:rsidP="00875C48">
      <w:pPr>
        <w:spacing w:after="60"/>
        <w:rPr>
          <w:b/>
          <w:i/>
          <w:szCs w:val="24"/>
        </w:rPr>
      </w:pPr>
      <w:r w:rsidRPr="00C22E53">
        <w:rPr>
          <w:b/>
          <w:i/>
          <w:szCs w:val="24"/>
        </w:rPr>
        <w:t>Purpose of guideline</w:t>
      </w:r>
    </w:p>
    <w:p w:rsidR="00875C48" w:rsidRPr="00C22E53" w:rsidRDefault="00875C48" w:rsidP="00875C48">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875C48" w:rsidRPr="00C22E53" w:rsidRDefault="00875C48" w:rsidP="00875C48">
      <w:pPr>
        <w:rPr>
          <w:szCs w:val="24"/>
        </w:rPr>
      </w:pPr>
      <w:r w:rsidRPr="00C22E53">
        <w:rPr>
          <w:szCs w:val="24"/>
        </w:rPr>
        <w:t xml:space="preserve">The committee scrutinises instruments to ensure, inter alia, that they meet the technical requirements of the </w:t>
      </w:r>
      <w:hyperlink r:id="rId34"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875C48" w:rsidRPr="00C22E53" w:rsidRDefault="00875C48" w:rsidP="00875C48">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35" w:history="1">
        <w:r w:rsidRPr="00C22E53">
          <w:rPr>
            <w:rStyle w:val="Hyperlink"/>
            <w:szCs w:val="24"/>
          </w:rPr>
          <w:t>disallowance</w:t>
        </w:r>
      </w:hyperlink>
      <w:r w:rsidRPr="00C22E53">
        <w:rPr>
          <w:szCs w:val="24"/>
        </w:rPr>
        <w:t>.</w:t>
      </w:r>
    </w:p>
    <w:p w:rsidR="00875C48" w:rsidRPr="00C22E53" w:rsidRDefault="00875C48" w:rsidP="00875C48">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875C48" w:rsidRDefault="00875C48" w:rsidP="00875C48">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875C48" w:rsidRDefault="00875C48" w:rsidP="00875C48">
      <w:r>
        <w:br w:type="page"/>
      </w:r>
    </w:p>
    <w:p w:rsidR="00875C48" w:rsidRDefault="00875C48" w:rsidP="00875C48">
      <w:pPr>
        <w:spacing w:after="60"/>
        <w:rPr>
          <w:b/>
          <w:i/>
          <w:szCs w:val="24"/>
        </w:rPr>
      </w:pPr>
    </w:p>
    <w:p w:rsidR="00875C48" w:rsidRPr="00C22E53" w:rsidRDefault="00875C48" w:rsidP="00875C48">
      <w:pPr>
        <w:spacing w:after="60"/>
        <w:rPr>
          <w:b/>
          <w:szCs w:val="24"/>
        </w:rPr>
      </w:pPr>
      <w:r w:rsidRPr="00C22E53">
        <w:rPr>
          <w:b/>
          <w:i/>
          <w:szCs w:val="24"/>
        </w:rPr>
        <w:t>Requirements of the</w:t>
      </w:r>
      <w:r w:rsidRPr="00C22E53">
        <w:rPr>
          <w:b/>
          <w:szCs w:val="24"/>
        </w:rPr>
        <w:t xml:space="preserve"> Legislative Instruments Act 2003</w:t>
      </w:r>
    </w:p>
    <w:p w:rsidR="00875C48" w:rsidRPr="00C22E53" w:rsidRDefault="00875C48" w:rsidP="00875C48">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875C48" w:rsidRPr="00C22E53" w:rsidRDefault="00875C48" w:rsidP="00875C48">
      <w:pPr>
        <w:rPr>
          <w:szCs w:val="24"/>
        </w:rPr>
      </w:pPr>
      <w:r w:rsidRPr="00C22E53">
        <w:rPr>
          <w:szCs w:val="24"/>
        </w:rPr>
        <w:t>Section 18 of the Act, however, provides that in some circumstances such consultation may be 'unnecessary or inappropriate'.</w:t>
      </w:r>
    </w:p>
    <w:p w:rsidR="00875C48" w:rsidRPr="00C22E53" w:rsidRDefault="00875C48" w:rsidP="00875C48">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875C48" w:rsidRPr="00C22E53" w:rsidRDefault="00875C48" w:rsidP="00875C48">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875C48" w:rsidRPr="00C22E53" w:rsidRDefault="00875C48" w:rsidP="00875C48">
      <w:pPr>
        <w:rPr>
          <w:szCs w:val="24"/>
        </w:rPr>
      </w:pPr>
      <w:r w:rsidRPr="00C22E53">
        <w:rPr>
          <w:szCs w:val="24"/>
        </w:rPr>
        <w:t>If a RIS or similar assessment has been prepared, it should be provided to the committee along with the ES.</w:t>
      </w:r>
    </w:p>
    <w:p w:rsidR="00875C48" w:rsidRPr="00C22E53" w:rsidRDefault="00875C48" w:rsidP="00875C48">
      <w:pPr>
        <w:spacing w:after="60"/>
        <w:rPr>
          <w:b/>
          <w:i/>
          <w:szCs w:val="24"/>
        </w:rPr>
      </w:pPr>
      <w:r w:rsidRPr="00C22E53">
        <w:rPr>
          <w:b/>
          <w:i/>
          <w:szCs w:val="24"/>
        </w:rPr>
        <w:t>Describing the nature of consultation</w:t>
      </w:r>
    </w:p>
    <w:p w:rsidR="00875C48" w:rsidRPr="00C22E53" w:rsidRDefault="00875C48" w:rsidP="00875C48">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875C48" w:rsidRPr="00C22E53" w:rsidRDefault="00875C48" w:rsidP="00875C48">
      <w:pPr>
        <w:rPr>
          <w:szCs w:val="24"/>
        </w:rPr>
      </w:pPr>
      <w:r w:rsidRPr="00C22E53">
        <w:rPr>
          <w:szCs w:val="24"/>
        </w:rPr>
        <w:t>Where consultation has taken place, the ES to an instrument should set out the following information:</w:t>
      </w:r>
    </w:p>
    <w:p w:rsidR="00875C48" w:rsidRPr="00C22E53" w:rsidRDefault="00875C48" w:rsidP="00875C48">
      <w:pPr>
        <w:spacing w:after="60"/>
        <w:rPr>
          <w:i/>
          <w:szCs w:val="24"/>
        </w:rPr>
      </w:pPr>
      <w:r w:rsidRPr="00C22E53">
        <w:rPr>
          <w:i/>
          <w:szCs w:val="24"/>
        </w:rPr>
        <w:t>Method and purpose of consultation</w:t>
      </w:r>
    </w:p>
    <w:p w:rsidR="00875C48" w:rsidRPr="00C22E53" w:rsidRDefault="00875C48" w:rsidP="00875C48">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875C48" w:rsidRPr="00C22E53" w:rsidRDefault="00875C48" w:rsidP="00875C48">
      <w:pPr>
        <w:spacing w:after="60"/>
        <w:rPr>
          <w:i/>
          <w:szCs w:val="24"/>
        </w:rPr>
      </w:pPr>
      <w:r w:rsidRPr="00C22E53">
        <w:rPr>
          <w:i/>
          <w:szCs w:val="24"/>
        </w:rPr>
        <w:t>Bodies/groups/individuals consulted</w:t>
      </w:r>
    </w:p>
    <w:p w:rsidR="00875C48" w:rsidRPr="00C22E53" w:rsidRDefault="00875C48" w:rsidP="00875C48">
      <w:pPr>
        <w:rPr>
          <w:szCs w:val="24"/>
        </w:rPr>
      </w:pPr>
      <w:r w:rsidRPr="00C22E53">
        <w:rPr>
          <w:szCs w:val="24"/>
        </w:rPr>
        <w:t>An ES should specify the actual names of departments, bodies, agencies, groups et</w:t>
      </w:r>
      <w:r>
        <w:rPr>
          <w:szCs w:val="24"/>
        </w:rPr>
        <w:t> </w:t>
      </w:r>
      <w:r w:rsidRPr="00C22E53">
        <w:rPr>
          <w:szCs w:val="24"/>
        </w:rPr>
        <w:t>cetera that were consulted. An ES should avoid overly generalised statements such as 'Relevant stakeholders were consulted'.</w:t>
      </w:r>
    </w:p>
    <w:p w:rsidR="00875C48" w:rsidRDefault="00875C48" w:rsidP="00875C48">
      <w:pPr>
        <w:spacing w:after="60"/>
        <w:rPr>
          <w:i/>
          <w:szCs w:val="24"/>
        </w:rPr>
      </w:pPr>
    </w:p>
    <w:p w:rsidR="00875C48" w:rsidRPr="00C22E53" w:rsidRDefault="00875C48" w:rsidP="00875C48">
      <w:pPr>
        <w:rPr>
          <w:i/>
          <w:szCs w:val="24"/>
        </w:rPr>
      </w:pPr>
      <w:r w:rsidRPr="00C22E53">
        <w:rPr>
          <w:i/>
          <w:szCs w:val="24"/>
        </w:rPr>
        <w:lastRenderedPageBreak/>
        <w:t>Issues raised in consultations and outcomes</w:t>
      </w:r>
    </w:p>
    <w:p w:rsidR="00875C48" w:rsidRPr="00C22E53" w:rsidRDefault="00875C48" w:rsidP="00875C48">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875C48" w:rsidRPr="00C22E53" w:rsidRDefault="00875C48" w:rsidP="00875C48">
      <w:pPr>
        <w:spacing w:after="60"/>
        <w:rPr>
          <w:b/>
          <w:i/>
          <w:szCs w:val="24"/>
        </w:rPr>
      </w:pPr>
      <w:r w:rsidRPr="00C22E53">
        <w:rPr>
          <w:b/>
          <w:i/>
          <w:szCs w:val="24"/>
        </w:rPr>
        <w:t>Explaining why consultation has not been undertaken</w:t>
      </w:r>
    </w:p>
    <w:p w:rsidR="00875C48" w:rsidRPr="00C22E53" w:rsidRDefault="00875C48" w:rsidP="00875C48">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875C48" w:rsidRPr="00C22E53" w:rsidRDefault="00875C48" w:rsidP="00875C48">
      <w:pPr>
        <w:rPr>
          <w:szCs w:val="24"/>
        </w:rPr>
      </w:pPr>
      <w:r w:rsidRPr="00C22E53">
        <w:rPr>
          <w:szCs w:val="24"/>
        </w:rPr>
        <w:t>In explaining why no consultation has taken place, it is important to note the following considerations:</w:t>
      </w:r>
    </w:p>
    <w:p w:rsidR="00875C48" w:rsidRPr="00C22E53" w:rsidRDefault="00875C48" w:rsidP="00875C48">
      <w:pPr>
        <w:rPr>
          <w:i/>
          <w:szCs w:val="24"/>
        </w:rPr>
      </w:pPr>
      <w:r w:rsidRPr="00C22E53">
        <w:rPr>
          <w:i/>
          <w:szCs w:val="24"/>
        </w:rPr>
        <w:t>Specific examples listed in the Act</w:t>
      </w:r>
    </w:p>
    <w:p w:rsidR="00875C48" w:rsidRPr="00C22E53" w:rsidRDefault="00875C48" w:rsidP="00875C48">
      <w:pPr>
        <w:rPr>
          <w:szCs w:val="24"/>
        </w:rPr>
      </w:pPr>
      <w:r w:rsidRPr="00C22E53">
        <w:rPr>
          <w:szCs w:val="24"/>
        </w:rPr>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875C48" w:rsidRPr="00C22E53" w:rsidRDefault="00875C48" w:rsidP="00875C48">
      <w:pPr>
        <w:rPr>
          <w:i/>
          <w:szCs w:val="24"/>
        </w:rPr>
      </w:pPr>
      <w:r w:rsidRPr="00C22E53">
        <w:rPr>
          <w:i/>
          <w:szCs w:val="24"/>
        </w:rPr>
        <w:t>Timing of consultation</w:t>
      </w:r>
    </w:p>
    <w:p w:rsidR="00875C48" w:rsidRPr="00C22E53" w:rsidRDefault="00875C48" w:rsidP="00875C48">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875C48" w:rsidRPr="00C22E53" w:rsidRDefault="00875C48" w:rsidP="00875C48">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875C48" w:rsidRDefault="00875C48" w:rsidP="00875C48">
      <w:pPr>
        <w:spacing w:after="0"/>
        <w:jc w:val="left"/>
        <w:rPr>
          <w:b/>
          <w:i/>
          <w:szCs w:val="24"/>
        </w:rPr>
      </w:pPr>
      <w:r>
        <w:rPr>
          <w:b/>
          <w:i/>
          <w:szCs w:val="24"/>
        </w:rPr>
        <w:br w:type="page"/>
      </w:r>
    </w:p>
    <w:p w:rsidR="00875C48" w:rsidRDefault="00875C48" w:rsidP="00875C48">
      <w:pPr>
        <w:spacing w:after="60"/>
        <w:rPr>
          <w:b/>
          <w:i/>
          <w:szCs w:val="24"/>
        </w:rPr>
      </w:pPr>
    </w:p>
    <w:p w:rsidR="00875C48" w:rsidRPr="00C22E53" w:rsidRDefault="00875C48" w:rsidP="00875C48">
      <w:pPr>
        <w:spacing w:after="60"/>
        <w:rPr>
          <w:b/>
          <w:i/>
          <w:szCs w:val="24"/>
        </w:rPr>
      </w:pPr>
      <w:r w:rsidRPr="00C22E53">
        <w:rPr>
          <w:b/>
          <w:i/>
          <w:szCs w:val="24"/>
        </w:rPr>
        <w:t>Seeking further advice or information</w:t>
      </w:r>
    </w:p>
    <w:p w:rsidR="00875C48" w:rsidRPr="00C22E53" w:rsidRDefault="00875C48" w:rsidP="00875C48">
      <w:pPr>
        <w:rPr>
          <w:szCs w:val="24"/>
        </w:rPr>
      </w:pPr>
      <w:r w:rsidRPr="00C22E53">
        <w:rPr>
          <w:szCs w:val="24"/>
        </w:rPr>
        <w:t xml:space="preserve">Further information is available through the committee's website at </w:t>
      </w:r>
      <w:hyperlink r:id="rId36"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875C48" w:rsidRPr="00C22E53" w:rsidRDefault="00875C48" w:rsidP="00875C48">
      <w:pPr>
        <w:rPr>
          <w:szCs w:val="24"/>
        </w:rPr>
      </w:pPr>
    </w:p>
    <w:p w:rsidR="00875C48" w:rsidRPr="00C22E53" w:rsidRDefault="00875C48" w:rsidP="00875C48">
      <w:pPr>
        <w:spacing w:after="60"/>
        <w:rPr>
          <w:szCs w:val="24"/>
        </w:rPr>
      </w:pPr>
      <w:r w:rsidRPr="00C22E53">
        <w:rPr>
          <w:szCs w:val="24"/>
        </w:rPr>
        <w:t>Committee Secretary</w:t>
      </w:r>
    </w:p>
    <w:p w:rsidR="00875C48" w:rsidRPr="00C22E53" w:rsidRDefault="00875C48" w:rsidP="00875C48">
      <w:pPr>
        <w:spacing w:after="60"/>
        <w:rPr>
          <w:szCs w:val="24"/>
        </w:rPr>
      </w:pPr>
      <w:r w:rsidRPr="00C22E53">
        <w:rPr>
          <w:szCs w:val="24"/>
        </w:rPr>
        <w:t>Senate Regulations and Ordinances Committee</w:t>
      </w:r>
    </w:p>
    <w:p w:rsidR="00875C48" w:rsidRPr="00C22E53" w:rsidRDefault="00875C48" w:rsidP="00875C48">
      <w:pPr>
        <w:spacing w:after="60"/>
        <w:rPr>
          <w:szCs w:val="24"/>
        </w:rPr>
      </w:pPr>
      <w:r w:rsidRPr="00C22E53">
        <w:rPr>
          <w:szCs w:val="24"/>
        </w:rPr>
        <w:t>PO Box 6100</w:t>
      </w:r>
    </w:p>
    <w:p w:rsidR="00875C48" w:rsidRPr="00C22E53" w:rsidRDefault="00875C48" w:rsidP="00875C48">
      <w:pPr>
        <w:spacing w:after="60"/>
        <w:rPr>
          <w:szCs w:val="24"/>
        </w:rPr>
      </w:pPr>
      <w:r w:rsidRPr="00C22E53">
        <w:rPr>
          <w:szCs w:val="24"/>
        </w:rPr>
        <w:t>Parliament House</w:t>
      </w:r>
    </w:p>
    <w:p w:rsidR="00875C48" w:rsidRPr="00C22E53" w:rsidRDefault="00875C48" w:rsidP="00875C48">
      <w:pPr>
        <w:spacing w:after="60"/>
        <w:rPr>
          <w:szCs w:val="24"/>
        </w:rPr>
      </w:pPr>
      <w:r w:rsidRPr="00C22E53">
        <w:rPr>
          <w:szCs w:val="24"/>
        </w:rPr>
        <w:t>Canberra ACT 2600</w:t>
      </w:r>
    </w:p>
    <w:p w:rsidR="00875C48" w:rsidRPr="00C22E53" w:rsidRDefault="00875C48" w:rsidP="00875C48">
      <w:pPr>
        <w:spacing w:after="0"/>
        <w:rPr>
          <w:szCs w:val="24"/>
        </w:rPr>
      </w:pPr>
      <w:r w:rsidRPr="00C22E53">
        <w:rPr>
          <w:szCs w:val="24"/>
        </w:rPr>
        <w:t>Australia</w:t>
      </w:r>
    </w:p>
    <w:p w:rsidR="00875C48" w:rsidRPr="00C22E53" w:rsidRDefault="00875C48" w:rsidP="00875C48">
      <w:pPr>
        <w:rPr>
          <w:szCs w:val="24"/>
        </w:rPr>
      </w:pPr>
    </w:p>
    <w:p w:rsidR="00875C48" w:rsidRPr="00C22E53" w:rsidRDefault="00875C48" w:rsidP="00875C48">
      <w:pPr>
        <w:spacing w:after="60"/>
        <w:rPr>
          <w:szCs w:val="24"/>
        </w:rPr>
      </w:pPr>
      <w:r w:rsidRPr="00C22E53">
        <w:rPr>
          <w:szCs w:val="24"/>
        </w:rPr>
        <w:t xml:space="preserve">Phone: +61 2 6277 3066 </w:t>
      </w:r>
    </w:p>
    <w:p w:rsidR="00875C48" w:rsidRPr="00C22E53" w:rsidRDefault="00875C48" w:rsidP="00875C48">
      <w:pPr>
        <w:spacing w:after="60"/>
        <w:rPr>
          <w:szCs w:val="24"/>
        </w:rPr>
      </w:pPr>
      <w:r w:rsidRPr="00C22E53">
        <w:rPr>
          <w:szCs w:val="24"/>
        </w:rPr>
        <w:t xml:space="preserve">Fax: +61 2 6277 5881 </w:t>
      </w:r>
    </w:p>
    <w:p w:rsidR="00875C48" w:rsidRPr="00C22E53" w:rsidRDefault="00875C48" w:rsidP="00875C48">
      <w:pPr>
        <w:spacing w:after="0"/>
        <w:rPr>
          <w:szCs w:val="24"/>
        </w:rPr>
      </w:pPr>
      <w:r w:rsidRPr="00C22E53">
        <w:rPr>
          <w:szCs w:val="24"/>
        </w:rPr>
        <w:t xml:space="preserve">Email: </w:t>
      </w:r>
      <w:hyperlink r:id="rId37" w:history="1">
        <w:r w:rsidRPr="00C22E53">
          <w:rPr>
            <w:rStyle w:val="Hyperlink"/>
            <w:szCs w:val="24"/>
          </w:rPr>
          <w:t>RegOrds.Sen@aph.gov.au</w:t>
        </w:r>
      </w:hyperlink>
    </w:p>
    <w:p w:rsidR="00875C48" w:rsidRPr="00965B14" w:rsidRDefault="00875C48" w:rsidP="00875C48">
      <w:pPr>
        <w:jc w:val="left"/>
      </w:pPr>
    </w:p>
    <w:p w:rsidR="00875C48" w:rsidRPr="00520991" w:rsidRDefault="00875C48">
      <w:pPr>
        <w:tabs>
          <w:tab w:val="left" w:pos="1110"/>
        </w:tabs>
      </w:pPr>
    </w:p>
    <w:sectPr w:rsidR="00875C48" w:rsidRPr="00520991" w:rsidSect="00875C48">
      <w:pgSz w:w="11906" w:h="16838" w:code="9"/>
      <w:pgMar w:top="1440" w:right="1440" w:bottom="1202" w:left="1440" w:header="1134" w:footer="720" w:gutter="0"/>
      <w:pgNumType w:fmt="numberInDash"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875C48">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5" w:rsidRDefault="00875C48">
    <w:pPr>
      <w:pStyle w:val="Footer"/>
      <w:jc w:val="center"/>
    </w:pPr>
  </w:p>
  <w:p w:rsidR="00F67155" w:rsidRDefault="00875C48">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48" w:rsidRDefault="00875C48">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48" w:rsidRDefault="00875C48">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875C48">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875C48">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48" w:rsidRDefault="00875C48">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875C48" w:rsidRDefault="00875C48">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875C48" w:rsidRDefault="00875C48">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48" w:rsidRDefault="00875C48">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875C48" w:rsidRPr="00F61935" w:rsidRDefault="00875C48" w:rsidP="00875C48">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t>
      </w:r>
      <w:hyperlink r:id="rId1" w:history="1">
        <w:r w:rsidRPr="000F1016">
          <w:rPr>
            <w:rStyle w:val="Hyperlink"/>
          </w:rPr>
          <w:t>www.comlaw.gov.au</w:t>
        </w:r>
      </w:hyperlink>
      <w:r>
        <w:t xml:space="preserve"> </w:t>
      </w:r>
    </w:p>
  </w:footnote>
  <w:footnote w:id="2">
    <w:p w:rsidR="00875C48" w:rsidRPr="00ED4CC3" w:rsidRDefault="00875C48" w:rsidP="00875C48">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875C48" w:rsidRPr="000B044A" w:rsidRDefault="00875C48" w:rsidP="00875C48">
      <w:pPr>
        <w:pStyle w:val="FootnoteText"/>
        <w:spacing w:after="120"/>
      </w:pPr>
      <w:r w:rsidRPr="000B044A">
        <w:rPr>
          <w:rStyle w:val="FootnoteReference"/>
          <w:vertAlign w:val="baseline"/>
        </w:rPr>
        <w:footnoteRef/>
      </w:r>
      <w:r w:rsidRPr="000B044A">
        <w:t xml:space="preserve"> </w:t>
      </w:r>
      <w:r>
        <w:tab/>
        <w:t xml:space="preserve">Senate Disallowable Instruments List, available at </w:t>
      </w:r>
      <w:hyperlink r:id="rId2" w:history="1">
        <w:r w:rsidRPr="000F1016">
          <w:rPr>
            <w:rStyle w:val="Hyperlink"/>
          </w:rPr>
          <w:t>http://www.aph.gov.au/Parliamentary_Business/Bills_Legislation/leginstruments/Senate_Disallowable_Instruments_List</w:t>
        </w:r>
      </w:hyperlink>
      <w:r>
        <w:t xml:space="preserve"> </w:t>
      </w:r>
    </w:p>
  </w:footnote>
  <w:footnote w:id="4">
    <w:p w:rsidR="00875C48" w:rsidRPr="00E35D4F" w:rsidRDefault="00875C48" w:rsidP="00875C48">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48" w:rsidRDefault="00875C48">
    <w:pPr>
      <w:pStyle w:val="Header"/>
      <w:pBdr>
        <w:bottom w:val="single" w:sz="4" w:space="1" w:color="auto"/>
      </w:pBdr>
      <w:tabs>
        <w:tab w:val="clear" w:pos="8306"/>
        <w:tab w:val="right" w:pos="9000"/>
      </w:tabs>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48" w:rsidRDefault="00875C48">
    <w:pPr>
      <w:pStyle w:val="Header"/>
      <w:pBdr>
        <w:bottom w:val="single" w:sz="4" w:space="1" w:color="auto"/>
      </w:pBd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48" w:rsidRDefault="00875C48">
    <w:pPr>
      <w:pStyle w:val="Header"/>
      <w:pBdr>
        <w:bottom w:val="single" w:sz="4" w:space="1" w:color="auto"/>
      </w:pBd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875C48">
      <w:fldChar w:fldCharType="begin"/>
    </w:r>
    <w:r w:rsidR="00875C48">
      <w:instrText xml:space="preserve"> PAGE </w:instrText>
    </w:r>
    <w:r w:rsidR="00875C48">
      <w:fldChar w:fldCharType="separate"/>
    </w:r>
    <w:r w:rsidR="00875C48">
      <w:rPr>
        <w:noProof/>
      </w:rPr>
      <w:t>v</w:t>
    </w:r>
    <w:r w:rsidR="00875C48">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48" w:rsidRPr="00F710D5" w:rsidRDefault="00875C48">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vi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48" w:rsidRDefault="00875C48">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48" w:rsidRPr="00F710D5" w:rsidRDefault="00875C48">
    <w:pPr>
      <w:pStyle w:val="Header"/>
      <w:pBdr>
        <w:bottom w:val="single" w:sz="4" w:space="1" w:color="auto"/>
      </w:pBd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1DB629B2"/>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D2471F"/>
    <w:multiLevelType w:val="multilevel"/>
    <w:tmpl w:val="13CE3A92"/>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67016869"/>
    <w:multiLevelType w:val="multilevel"/>
    <w:tmpl w:val="26366514"/>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7"/>
  </w:num>
  <w:num w:numId="20">
    <w:abstractNumId w:val="10"/>
  </w:num>
  <w:num w:numId="21">
    <w:abstractNumId w:val="24"/>
  </w:num>
  <w:num w:numId="22">
    <w:abstractNumId w:val="19"/>
  </w:num>
  <w:num w:numId="23">
    <w:abstractNumId w:val="26"/>
  </w:num>
  <w:num w:numId="24">
    <w:abstractNumId w:val="20"/>
  </w:num>
  <w:num w:numId="25">
    <w:abstractNumId w:val="21"/>
  </w:num>
  <w:num w:numId="26">
    <w:abstractNumId w:val="24"/>
  </w:num>
  <w:num w:numId="27">
    <w:abstractNumId w:val="24"/>
  </w:num>
  <w:num w:numId="28">
    <w:abstractNumId w:val="28"/>
  </w:num>
  <w:num w:numId="29">
    <w:abstractNumId w:val="28"/>
  </w:num>
  <w:num w:numId="30">
    <w:abstractNumId w:val="28"/>
  </w:num>
  <w:num w:numId="31">
    <w:abstractNumId w:val="24"/>
  </w:num>
  <w:num w:numId="32">
    <w:abstractNumId w:val="24"/>
  </w:num>
  <w:num w:numId="33">
    <w:abstractNumId w:val="17"/>
  </w:num>
  <w:num w:numId="34">
    <w:abstractNumId w:val="1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75C48"/>
    <w:rsid w:val="008A1C03"/>
    <w:rsid w:val="0093109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BD781B"/>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875C48"/>
    <w:pPr>
      <w:keepNext/>
      <w:numPr>
        <w:ilvl w:val="3"/>
        <w:numId w:val="32"/>
      </w:numPr>
      <w:outlineLvl w:val="3"/>
    </w:pPr>
    <w:rPr>
      <w:b/>
      <w:i/>
    </w:rPr>
  </w:style>
  <w:style w:type="paragraph" w:styleId="Heading5">
    <w:name w:val="heading 5"/>
    <w:basedOn w:val="Normal"/>
    <w:next w:val="Normal"/>
    <w:qFormat/>
    <w:rsid w:val="00875C48"/>
    <w:pPr>
      <w:keepNext/>
      <w:numPr>
        <w:ilvl w:val="4"/>
        <w:numId w:val="32"/>
      </w:numPr>
      <w:jc w:val="left"/>
      <w:outlineLvl w:val="4"/>
    </w:pPr>
    <w:rPr>
      <w:i/>
    </w:rPr>
  </w:style>
  <w:style w:type="paragraph" w:styleId="Heading6">
    <w:name w:val="heading 6"/>
    <w:basedOn w:val="Normal"/>
    <w:next w:val="Normal"/>
    <w:qFormat/>
    <w:locked/>
    <w:rsid w:val="00875C48"/>
    <w:pPr>
      <w:numPr>
        <w:ilvl w:val="5"/>
        <w:numId w:val="32"/>
      </w:numPr>
      <w:spacing w:before="240" w:after="60"/>
      <w:outlineLvl w:val="5"/>
    </w:pPr>
    <w:rPr>
      <w:i/>
      <w:sz w:val="22"/>
    </w:rPr>
  </w:style>
  <w:style w:type="paragraph" w:styleId="Heading7">
    <w:name w:val="heading 7"/>
    <w:basedOn w:val="Normal"/>
    <w:next w:val="Normal"/>
    <w:qFormat/>
    <w:locked/>
    <w:rsid w:val="00875C48"/>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875C48"/>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875C48"/>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875C48"/>
    <w:pPr>
      <w:numPr>
        <w:numId w:val="32"/>
      </w:numPr>
    </w:pPr>
  </w:style>
  <w:style w:type="paragraph" w:customStyle="1" w:styleId="Level2">
    <w:name w:val="Level2"/>
    <w:basedOn w:val="Normal"/>
    <w:rsid w:val="00875C48"/>
    <w:pPr>
      <w:numPr>
        <w:ilvl w:val="1"/>
        <w:numId w:val="32"/>
      </w:numPr>
    </w:pPr>
  </w:style>
  <w:style w:type="paragraph" w:customStyle="1" w:styleId="Level3">
    <w:name w:val="Level3"/>
    <w:basedOn w:val="Normal"/>
    <w:link w:val="Level3Char"/>
    <w:rsid w:val="00875C48"/>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875C48"/>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uiPriority w:val="99"/>
    <w:rsid w:val="00D2688E"/>
    <w:rPr>
      <w:rFonts w:ascii="Times New Roman" w:hAnsi="Times New Roman"/>
      <w:sz w:val="22"/>
      <w:lang w:eastAsia="en-US"/>
    </w:rPr>
  </w:style>
  <w:style w:type="character" w:customStyle="1" w:styleId="Heading1Char">
    <w:name w:val="Heading 1 Char"/>
    <w:basedOn w:val="DefaultParagraphFont"/>
    <w:link w:val="Heading1"/>
    <w:rsid w:val="00875C48"/>
    <w:rPr>
      <w:rFonts w:ascii="Times New Roman" w:hAnsi="Times New Roman"/>
      <w:b/>
      <w:kern w:val="28"/>
      <w:sz w:val="40"/>
      <w:lang w:eastAsia="en-US"/>
    </w:rPr>
  </w:style>
  <w:style w:type="character" w:customStyle="1" w:styleId="HeaderChar">
    <w:name w:val="Header Char"/>
    <w:basedOn w:val="DefaultParagraphFont"/>
    <w:link w:val="Header"/>
    <w:semiHidden/>
    <w:rsid w:val="00875C48"/>
    <w:rPr>
      <w:rFonts w:ascii="Times New Roman" w:hAnsi="Times New Roman"/>
      <w:sz w:val="22"/>
      <w:lang w:eastAsia="en-US"/>
    </w:rPr>
  </w:style>
  <w:style w:type="paragraph" w:customStyle="1" w:styleId="JNP2">
    <w:name w:val="JNP2"/>
    <w:basedOn w:val="Normal"/>
    <w:rsid w:val="00875C48"/>
    <w:pPr>
      <w:spacing w:after="0"/>
      <w:ind w:left="2268"/>
    </w:pPr>
    <w:rPr>
      <w:lang w:val="en-US"/>
    </w:rPr>
  </w:style>
  <w:style w:type="character" w:customStyle="1" w:styleId="FootnoteTextChar">
    <w:name w:val="Footnote Text Char"/>
    <w:basedOn w:val="DefaultParagraphFont"/>
    <w:link w:val="FootnoteText"/>
    <w:rsid w:val="00875C48"/>
    <w:rPr>
      <w:sz w:val="22"/>
      <w:lang w:eastAsia="en-US"/>
    </w:rPr>
  </w:style>
  <w:style w:type="character" w:customStyle="1" w:styleId="QuoteChar">
    <w:name w:val="Quote Char"/>
    <w:basedOn w:val="DefaultParagraphFont"/>
    <w:link w:val="Quote"/>
    <w:rsid w:val="00875C48"/>
    <w:rPr>
      <w:rFonts w:ascii="Times New Roman" w:hAnsi="Times New Roman"/>
      <w:sz w:val="24"/>
      <w:lang w:eastAsia="en-US"/>
    </w:rPr>
  </w:style>
  <w:style w:type="character" w:customStyle="1" w:styleId="Heading2Char">
    <w:name w:val="Heading 2 Char"/>
    <w:basedOn w:val="DefaultParagraphFont"/>
    <w:link w:val="Heading2"/>
    <w:rsid w:val="00875C48"/>
    <w:rPr>
      <w:rFonts w:ascii="Times New Roman" w:hAnsi="Times New Roman"/>
      <w:b/>
      <w:sz w:val="36"/>
      <w:lang w:eastAsia="en-US"/>
    </w:rPr>
  </w:style>
  <w:style w:type="character" w:customStyle="1" w:styleId="Heading3Char">
    <w:name w:val="Heading 3 Char"/>
    <w:basedOn w:val="DefaultParagraphFont"/>
    <w:link w:val="Heading3"/>
    <w:rsid w:val="00875C48"/>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875C48"/>
    <w:pPr>
      <w:keepNext/>
      <w:numPr>
        <w:ilvl w:val="3"/>
        <w:numId w:val="32"/>
      </w:numPr>
      <w:outlineLvl w:val="3"/>
    </w:pPr>
    <w:rPr>
      <w:b/>
      <w:i/>
    </w:rPr>
  </w:style>
  <w:style w:type="paragraph" w:styleId="Heading5">
    <w:name w:val="heading 5"/>
    <w:basedOn w:val="Normal"/>
    <w:next w:val="Normal"/>
    <w:qFormat/>
    <w:rsid w:val="00875C48"/>
    <w:pPr>
      <w:keepNext/>
      <w:numPr>
        <w:ilvl w:val="4"/>
        <w:numId w:val="32"/>
      </w:numPr>
      <w:jc w:val="left"/>
      <w:outlineLvl w:val="4"/>
    </w:pPr>
    <w:rPr>
      <w:i/>
    </w:rPr>
  </w:style>
  <w:style w:type="paragraph" w:styleId="Heading6">
    <w:name w:val="heading 6"/>
    <w:basedOn w:val="Normal"/>
    <w:next w:val="Normal"/>
    <w:qFormat/>
    <w:locked/>
    <w:rsid w:val="00875C48"/>
    <w:pPr>
      <w:numPr>
        <w:ilvl w:val="5"/>
        <w:numId w:val="32"/>
      </w:numPr>
      <w:spacing w:before="240" w:after="60"/>
      <w:outlineLvl w:val="5"/>
    </w:pPr>
    <w:rPr>
      <w:i/>
      <w:sz w:val="22"/>
    </w:rPr>
  </w:style>
  <w:style w:type="paragraph" w:styleId="Heading7">
    <w:name w:val="heading 7"/>
    <w:basedOn w:val="Normal"/>
    <w:next w:val="Normal"/>
    <w:qFormat/>
    <w:locked/>
    <w:rsid w:val="00875C48"/>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875C48"/>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875C48"/>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875C48"/>
    <w:pPr>
      <w:numPr>
        <w:numId w:val="32"/>
      </w:numPr>
    </w:pPr>
  </w:style>
  <w:style w:type="paragraph" w:customStyle="1" w:styleId="Level2">
    <w:name w:val="Level2"/>
    <w:basedOn w:val="Normal"/>
    <w:rsid w:val="00875C48"/>
    <w:pPr>
      <w:numPr>
        <w:ilvl w:val="1"/>
        <w:numId w:val="32"/>
      </w:numPr>
    </w:pPr>
  </w:style>
  <w:style w:type="paragraph" w:customStyle="1" w:styleId="Level3">
    <w:name w:val="Level3"/>
    <w:basedOn w:val="Normal"/>
    <w:link w:val="Level3Char"/>
    <w:rsid w:val="00875C48"/>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875C48"/>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uiPriority w:val="99"/>
    <w:rsid w:val="00D2688E"/>
    <w:rPr>
      <w:rFonts w:ascii="Times New Roman" w:hAnsi="Times New Roman"/>
      <w:sz w:val="22"/>
      <w:lang w:eastAsia="en-US"/>
    </w:rPr>
  </w:style>
  <w:style w:type="character" w:customStyle="1" w:styleId="Heading1Char">
    <w:name w:val="Heading 1 Char"/>
    <w:basedOn w:val="DefaultParagraphFont"/>
    <w:link w:val="Heading1"/>
    <w:rsid w:val="00875C48"/>
    <w:rPr>
      <w:rFonts w:ascii="Times New Roman" w:hAnsi="Times New Roman"/>
      <w:b/>
      <w:kern w:val="28"/>
      <w:sz w:val="40"/>
      <w:lang w:eastAsia="en-US"/>
    </w:rPr>
  </w:style>
  <w:style w:type="character" w:customStyle="1" w:styleId="HeaderChar">
    <w:name w:val="Header Char"/>
    <w:basedOn w:val="DefaultParagraphFont"/>
    <w:link w:val="Header"/>
    <w:semiHidden/>
    <w:rsid w:val="00875C48"/>
    <w:rPr>
      <w:rFonts w:ascii="Times New Roman" w:hAnsi="Times New Roman"/>
      <w:sz w:val="22"/>
      <w:lang w:eastAsia="en-US"/>
    </w:rPr>
  </w:style>
  <w:style w:type="paragraph" w:customStyle="1" w:styleId="JNP2">
    <w:name w:val="JNP2"/>
    <w:basedOn w:val="Normal"/>
    <w:rsid w:val="00875C48"/>
    <w:pPr>
      <w:spacing w:after="0"/>
      <w:ind w:left="2268"/>
    </w:pPr>
    <w:rPr>
      <w:lang w:val="en-US"/>
    </w:rPr>
  </w:style>
  <w:style w:type="character" w:customStyle="1" w:styleId="FootnoteTextChar">
    <w:name w:val="Footnote Text Char"/>
    <w:basedOn w:val="DefaultParagraphFont"/>
    <w:link w:val="FootnoteText"/>
    <w:rsid w:val="00875C48"/>
    <w:rPr>
      <w:sz w:val="22"/>
      <w:lang w:eastAsia="en-US"/>
    </w:rPr>
  </w:style>
  <w:style w:type="character" w:customStyle="1" w:styleId="QuoteChar">
    <w:name w:val="Quote Char"/>
    <w:basedOn w:val="DefaultParagraphFont"/>
    <w:link w:val="Quote"/>
    <w:rsid w:val="00875C48"/>
    <w:rPr>
      <w:rFonts w:ascii="Times New Roman" w:hAnsi="Times New Roman"/>
      <w:sz w:val="24"/>
      <w:lang w:eastAsia="en-US"/>
    </w:rPr>
  </w:style>
  <w:style w:type="character" w:customStyle="1" w:styleId="Heading2Char">
    <w:name w:val="Heading 2 Char"/>
    <w:basedOn w:val="DefaultParagraphFont"/>
    <w:link w:val="Heading2"/>
    <w:rsid w:val="00875C48"/>
    <w:rPr>
      <w:rFonts w:ascii="Times New Roman" w:hAnsi="Times New Roman"/>
      <w:b/>
      <w:sz w:val="36"/>
      <w:lang w:eastAsia="en-US"/>
    </w:rPr>
  </w:style>
  <w:style w:type="character" w:customStyle="1" w:styleId="Heading3Char">
    <w:name w:val="Heading 3 Char"/>
    <w:basedOn w:val="DefaultParagraphFont"/>
    <w:link w:val="Heading3"/>
    <w:rsid w:val="00875C48"/>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http://www.comlaw.gov.au/Details/C2012C00041"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hyperlink" Target="http://www.aph.gov.au/Parliamentary_Business/Committees/Senate_Committees?url=regord_ctte/guidelines.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hyperlink" Target="mailto:RegOrds.Sen@aph.gov.au"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yperlink" Target="http://www.aph.gov.au/Parliamentary_Business/Committees/Senate_Committees?url=regord_ctte/index.htm"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yperlink" Target="http://www.aph.gov.au/Parliamentary_Business/Committees/Senate_Committees?url=regord_ctte/alert2012.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1C4DD-1081-4645-A815-08977AC7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Report.dotm</Template>
  <TotalTime>0</TotalTime>
  <Pages>25</Pages>
  <Words>4952</Words>
  <Characters>30408</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2015-03-18T04:29:00Z</dcterms:created>
  <dcterms:modified xsi:type="dcterms:W3CDTF">2015-03-18T04:29:00Z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