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0B30A0">
        <w:rPr>
          <w:sz w:val="24"/>
          <w:szCs w:val="24"/>
        </w:rPr>
        <w:t>2</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0B30A0">
        <w:rPr>
          <w:sz w:val="28"/>
        </w:rPr>
        <w:t>4 March 2015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1D037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6D2C56" w:rsidRDefault="006D2C56" w:rsidP="00325264">
      <w:pPr>
        <w:sectPr w:rsidR="006D2C5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6D2C56" w:rsidRDefault="006D2C56" w:rsidP="006D2C56">
      <w:pPr>
        <w:pStyle w:val="Heading1"/>
      </w:pPr>
      <w:bookmarkStart w:id="1" w:name="_Toc340231481"/>
      <w:r>
        <w:lastRenderedPageBreak/>
        <w:t>Membership of the committee</w:t>
      </w:r>
      <w:bookmarkEnd w:id="1"/>
    </w:p>
    <w:p w:rsidR="006D2C56" w:rsidRDefault="006D2C56" w:rsidP="006D2C56">
      <w:pPr>
        <w:spacing w:after="0"/>
      </w:pPr>
    </w:p>
    <w:p w:rsidR="006D2C56" w:rsidRDefault="006D2C56" w:rsidP="006D2C56">
      <w:pPr>
        <w:spacing w:after="0"/>
      </w:pPr>
    </w:p>
    <w:p w:rsidR="006D2C56" w:rsidRDefault="006D2C56" w:rsidP="006D2C56">
      <w:pPr>
        <w:spacing w:after="0"/>
      </w:pPr>
    </w:p>
    <w:p w:rsidR="006D2C56" w:rsidRDefault="006D2C56" w:rsidP="006D2C56">
      <w:pPr>
        <w:spacing w:after="0"/>
      </w:pPr>
    </w:p>
    <w:p w:rsidR="006D2C56" w:rsidRDefault="006D2C56" w:rsidP="006D2C56">
      <w:pPr>
        <w:spacing w:after="0"/>
      </w:pPr>
    </w:p>
    <w:p w:rsidR="006D2C56" w:rsidRPr="008A46B0" w:rsidRDefault="006D2C56" w:rsidP="006D2C56">
      <w:pPr>
        <w:tabs>
          <w:tab w:val="left" w:pos="4536"/>
        </w:tabs>
        <w:outlineLvl w:val="0"/>
        <w:rPr>
          <w:b/>
        </w:rPr>
      </w:pPr>
      <w:bookmarkStart w:id="2" w:name="_Toc340231482"/>
      <w:r>
        <w:rPr>
          <w:b/>
        </w:rPr>
        <w:t>Current m</w:t>
      </w:r>
      <w:r w:rsidRPr="008A46B0">
        <w:rPr>
          <w:b/>
        </w:rPr>
        <w:t>embers</w:t>
      </w:r>
      <w:bookmarkEnd w:id="2"/>
    </w:p>
    <w:p w:rsidR="006D2C56" w:rsidRPr="001F6A19" w:rsidRDefault="006D2C56" w:rsidP="006D2C5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6D2C56" w:rsidRPr="001F6A19" w:rsidRDefault="006D2C56" w:rsidP="006D2C56">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6D2C56" w:rsidRPr="001F6A19" w:rsidRDefault="006D2C56" w:rsidP="006D2C56">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6D2C56" w:rsidRPr="001F6A19" w:rsidRDefault="006D2C56" w:rsidP="006D2C5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6D2C56" w:rsidRDefault="006D2C56" w:rsidP="006D2C56">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6D2C56" w:rsidRDefault="006D2C56" w:rsidP="006D2C56">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6D2C56" w:rsidRDefault="006D2C56" w:rsidP="006D2C56">
      <w:pPr>
        <w:spacing w:after="0"/>
        <w:rPr>
          <w:sz w:val="24"/>
          <w:szCs w:val="24"/>
        </w:rPr>
      </w:pPr>
    </w:p>
    <w:p w:rsidR="006D2C56" w:rsidRDefault="006D2C56" w:rsidP="006D2C56">
      <w:pPr>
        <w:spacing w:after="0"/>
        <w:rPr>
          <w:sz w:val="24"/>
          <w:szCs w:val="24"/>
        </w:rPr>
      </w:pPr>
    </w:p>
    <w:p w:rsidR="006D2C56" w:rsidRDefault="006D2C56" w:rsidP="006D2C56">
      <w:pPr>
        <w:spacing w:after="0"/>
        <w:rPr>
          <w:sz w:val="24"/>
          <w:szCs w:val="24"/>
        </w:rPr>
      </w:pPr>
    </w:p>
    <w:p w:rsidR="006D2C56" w:rsidRDefault="006D2C56" w:rsidP="006D2C56">
      <w:pPr>
        <w:spacing w:after="0"/>
        <w:rPr>
          <w:sz w:val="24"/>
          <w:szCs w:val="24"/>
        </w:rPr>
      </w:pPr>
    </w:p>
    <w:p w:rsidR="006D2C56" w:rsidRDefault="006D2C56" w:rsidP="006D2C56">
      <w:pPr>
        <w:spacing w:after="0"/>
        <w:rPr>
          <w:sz w:val="24"/>
          <w:szCs w:val="24"/>
        </w:rPr>
      </w:pPr>
    </w:p>
    <w:p w:rsidR="006D2C56" w:rsidRPr="00BE73BD" w:rsidRDefault="006D2C56" w:rsidP="006D2C56">
      <w:pPr>
        <w:rPr>
          <w:b/>
        </w:rPr>
      </w:pPr>
      <w:bookmarkStart w:id="3" w:name="_Toc340231484"/>
      <w:r w:rsidRPr="00BE73BD">
        <w:rPr>
          <w:b/>
        </w:rPr>
        <w:t>Secretariat</w:t>
      </w:r>
      <w:bookmarkEnd w:id="3"/>
    </w:p>
    <w:p w:rsidR="006D2C56" w:rsidRPr="00BE73BD" w:rsidRDefault="006D2C56" w:rsidP="006D2C56">
      <w:pPr>
        <w:spacing w:after="0"/>
        <w:rPr>
          <w:sz w:val="24"/>
          <w:szCs w:val="24"/>
        </w:rPr>
      </w:pPr>
      <w:bookmarkStart w:id="4" w:name="_Toc340231485"/>
      <w:r w:rsidRPr="00BE73BD">
        <w:rPr>
          <w:sz w:val="24"/>
          <w:szCs w:val="24"/>
        </w:rPr>
        <w:t>Mr Ivan Powell, Secretary</w:t>
      </w:r>
      <w:bookmarkEnd w:id="4"/>
    </w:p>
    <w:p w:rsidR="006D2C56" w:rsidRPr="00BE73BD" w:rsidRDefault="006D2C56" w:rsidP="006D2C56">
      <w:pPr>
        <w:spacing w:after="0"/>
        <w:rPr>
          <w:sz w:val="24"/>
          <w:szCs w:val="24"/>
        </w:rPr>
      </w:pPr>
      <w:r w:rsidRPr="00BE73BD">
        <w:rPr>
          <w:sz w:val="24"/>
          <w:szCs w:val="24"/>
        </w:rPr>
        <w:t>Dr Patrick Hodder, Senior Research Officer</w:t>
      </w:r>
    </w:p>
    <w:p w:rsidR="006D2C56" w:rsidRDefault="006D2C56" w:rsidP="006D2C56">
      <w:pPr>
        <w:spacing w:after="0"/>
        <w:rPr>
          <w:sz w:val="24"/>
          <w:szCs w:val="24"/>
        </w:rPr>
      </w:pPr>
    </w:p>
    <w:p w:rsidR="006D2C56" w:rsidRDefault="006D2C56" w:rsidP="006D2C56">
      <w:pPr>
        <w:spacing w:after="0"/>
        <w:rPr>
          <w:sz w:val="24"/>
          <w:szCs w:val="24"/>
        </w:rPr>
      </w:pPr>
    </w:p>
    <w:p w:rsidR="006D2C56" w:rsidRDefault="006D2C56" w:rsidP="006D2C56">
      <w:pPr>
        <w:spacing w:after="0"/>
        <w:rPr>
          <w:sz w:val="24"/>
          <w:szCs w:val="24"/>
        </w:rPr>
      </w:pPr>
    </w:p>
    <w:p w:rsidR="006D2C56" w:rsidRPr="007A6AAA" w:rsidRDefault="006D2C56" w:rsidP="006D2C56">
      <w:pPr>
        <w:spacing w:after="0"/>
        <w:rPr>
          <w:sz w:val="24"/>
          <w:szCs w:val="24"/>
        </w:rPr>
      </w:pPr>
    </w:p>
    <w:p w:rsidR="006D2C56" w:rsidRPr="00BE73BD" w:rsidRDefault="006D2C56" w:rsidP="006D2C56">
      <w:pPr>
        <w:rPr>
          <w:b/>
        </w:rPr>
      </w:pPr>
      <w:bookmarkStart w:id="5" w:name="_Toc340231486"/>
      <w:r w:rsidRPr="00BE73BD">
        <w:rPr>
          <w:b/>
        </w:rPr>
        <w:t>Committee legal adviser</w:t>
      </w:r>
      <w:bookmarkEnd w:id="5"/>
    </w:p>
    <w:p w:rsidR="006D2C56" w:rsidRPr="00BE73BD" w:rsidRDefault="006D2C56" w:rsidP="006D2C56">
      <w:pPr>
        <w:rPr>
          <w:sz w:val="24"/>
          <w:szCs w:val="24"/>
        </w:rPr>
      </w:pPr>
      <w:r w:rsidRPr="00BE73BD">
        <w:rPr>
          <w:sz w:val="24"/>
          <w:szCs w:val="24"/>
        </w:rPr>
        <w:t>Mr Stephen Argument</w:t>
      </w:r>
    </w:p>
    <w:p w:rsidR="006D2C56" w:rsidRDefault="006D2C56" w:rsidP="006D2C56">
      <w:pPr>
        <w:spacing w:after="0"/>
        <w:rPr>
          <w:sz w:val="24"/>
          <w:szCs w:val="24"/>
        </w:rPr>
      </w:pPr>
    </w:p>
    <w:p w:rsidR="006D2C56" w:rsidRDefault="006D2C56" w:rsidP="006D2C56">
      <w:pPr>
        <w:spacing w:after="0"/>
        <w:rPr>
          <w:sz w:val="24"/>
          <w:szCs w:val="24"/>
        </w:rPr>
      </w:pPr>
    </w:p>
    <w:p w:rsidR="006D2C56" w:rsidRPr="001B64F3" w:rsidRDefault="006D2C56" w:rsidP="006D2C56">
      <w:pPr>
        <w:spacing w:after="0"/>
        <w:rPr>
          <w:sz w:val="24"/>
          <w:szCs w:val="24"/>
        </w:rPr>
      </w:pPr>
    </w:p>
    <w:p w:rsidR="006D2C56" w:rsidRPr="001B64F3" w:rsidRDefault="006D2C56" w:rsidP="006D2C56">
      <w:pPr>
        <w:spacing w:after="0"/>
        <w:rPr>
          <w:sz w:val="24"/>
          <w:szCs w:val="24"/>
        </w:rPr>
      </w:pPr>
    </w:p>
    <w:p w:rsidR="006D2C56" w:rsidRPr="00BE73BD" w:rsidRDefault="006D2C56" w:rsidP="006D2C56">
      <w:pPr>
        <w:rPr>
          <w:b/>
        </w:rPr>
      </w:pPr>
      <w:bookmarkStart w:id="6" w:name="_Toc340231487"/>
      <w:r w:rsidRPr="00BE73BD">
        <w:rPr>
          <w:b/>
        </w:rPr>
        <w:t>Committee contacts</w:t>
      </w:r>
      <w:bookmarkEnd w:id="6"/>
    </w:p>
    <w:p w:rsidR="006D2C56" w:rsidRPr="00BE73BD" w:rsidRDefault="006D2C56" w:rsidP="006D2C56">
      <w:pPr>
        <w:spacing w:after="0"/>
        <w:rPr>
          <w:sz w:val="24"/>
          <w:szCs w:val="24"/>
        </w:rPr>
      </w:pPr>
      <w:bookmarkStart w:id="7" w:name="_Toc340231488"/>
      <w:r w:rsidRPr="00BE73BD">
        <w:rPr>
          <w:sz w:val="24"/>
          <w:szCs w:val="24"/>
        </w:rPr>
        <w:t>PO Box 6100</w:t>
      </w:r>
      <w:bookmarkEnd w:id="7"/>
    </w:p>
    <w:p w:rsidR="006D2C56" w:rsidRPr="00BE73BD" w:rsidRDefault="006D2C56" w:rsidP="006D2C56">
      <w:pPr>
        <w:spacing w:after="0"/>
        <w:rPr>
          <w:sz w:val="24"/>
          <w:szCs w:val="24"/>
        </w:rPr>
      </w:pPr>
      <w:r w:rsidRPr="00BE73BD">
        <w:rPr>
          <w:sz w:val="24"/>
          <w:szCs w:val="24"/>
        </w:rPr>
        <w:t>Parliament House</w:t>
      </w:r>
    </w:p>
    <w:p w:rsidR="006D2C56" w:rsidRPr="00BE73BD" w:rsidRDefault="006D2C56" w:rsidP="006D2C56">
      <w:pPr>
        <w:spacing w:after="0"/>
        <w:rPr>
          <w:sz w:val="24"/>
          <w:szCs w:val="24"/>
        </w:rPr>
      </w:pPr>
      <w:r w:rsidRPr="00BE73BD">
        <w:rPr>
          <w:sz w:val="24"/>
          <w:szCs w:val="24"/>
        </w:rPr>
        <w:t>Canberra ACT 2600</w:t>
      </w:r>
    </w:p>
    <w:p w:rsidR="006D2C56" w:rsidRPr="00BE73BD" w:rsidRDefault="006D2C56" w:rsidP="006D2C56">
      <w:pPr>
        <w:spacing w:after="0"/>
        <w:rPr>
          <w:sz w:val="24"/>
          <w:szCs w:val="24"/>
        </w:rPr>
      </w:pPr>
      <w:r w:rsidRPr="00BE73BD">
        <w:rPr>
          <w:sz w:val="24"/>
          <w:szCs w:val="24"/>
        </w:rPr>
        <w:t>Ph: 02 6277 3066</w:t>
      </w:r>
    </w:p>
    <w:p w:rsidR="006D2C56" w:rsidRPr="00BE73BD" w:rsidRDefault="006D2C56" w:rsidP="006D2C56">
      <w:pPr>
        <w:spacing w:after="0"/>
        <w:rPr>
          <w:sz w:val="24"/>
          <w:szCs w:val="24"/>
        </w:rPr>
      </w:pPr>
      <w:r w:rsidRPr="00BE73BD">
        <w:rPr>
          <w:sz w:val="24"/>
          <w:szCs w:val="24"/>
        </w:rPr>
        <w:t>Email: regords.sen@aph.gov.au</w:t>
      </w:r>
    </w:p>
    <w:p w:rsidR="006D2C56" w:rsidRPr="00F72A71" w:rsidRDefault="006D2C56" w:rsidP="006D2C56">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6D2C56" w:rsidRPr="007E04A9" w:rsidRDefault="006D2C56" w:rsidP="006D2C56">
      <w:pPr>
        <w:spacing w:after="0"/>
      </w:pPr>
    </w:p>
    <w:p w:rsidR="006D2C56" w:rsidRDefault="006D2C56" w:rsidP="006D2C56">
      <w:r>
        <w:br w:type="page"/>
      </w:r>
    </w:p>
    <w:p w:rsidR="006D2C56" w:rsidRPr="00520991" w:rsidRDefault="006D2C56" w:rsidP="006D2C56"/>
    <w:p w:rsidR="006D2C56" w:rsidRDefault="006D2C56" w:rsidP="00325264">
      <w:pPr>
        <w:sectPr w:rsidR="006D2C56"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6D2C56" w:rsidRDefault="006D2C56" w:rsidP="006D2C56">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13062529"/>
      <w:r>
        <w:lastRenderedPageBreak/>
        <w:t>Contents</w:t>
      </w:r>
      <w:bookmarkEnd w:id="9"/>
      <w:bookmarkEnd w:id="10"/>
      <w:bookmarkEnd w:id="11"/>
      <w:bookmarkEnd w:id="12"/>
      <w:bookmarkEnd w:id="13"/>
      <w:bookmarkEnd w:id="14"/>
      <w:bookmarkEnd w:id="15"/>
      <w:bookmarkEnd w:id="16"/>
      <w:bookmarkEnd w:id="17"/>
      <w:bookmarkEnd w:id="18"/>
      <w:bookmarkEnd w:id="19"/>
    </w:p>
    <w:p w:rsidR="006D2C56" w:rsidRPr="00635538" w:rsidRDefault="006D2C56" w:rsidP="006D2C56">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6D2C56" w:rsidRPr="00863971" w:rsidRDefault="006D2C56" w:rsidP="006D2C56">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6D2C56" w:rsidRDefault="006D2C56" w:rsidP="006D2C56">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6D2C56" w:rsidRDefault="006D2C56" w:rsidP="006D2C56">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6D2C56" w:rsidRDefault="006D2C56" w:rsidP="006D2C56">
      <w:pPr>
        <w:pStyle w:val="TOC3"/>
        <w:tabs>
          <w:tab w:val="right" w:leader="dot" w:pos="9016"/>
        </w:tabs>
        <w:jc w:val="left"/>
        <w:rPr>
          <w:rFonts w:asciiTheme="minorHAnsi" w:eastAsiaTheme="minorEastAsia" w:hAnsiTheme="minorHAnsi" w:cstheme="minorBidi"/>
          <w:noProof/>
          <w:sz w:val="22"/>
          <w:szCs w:val="22"/>
          <w:lang w:eastAsia="en-AU"/>
        </w:rPr>
      </w:pPr>
      <w:r w:rsidRPr="008E06EB">
        <w:rPr>
          <w:rFonts w:ascii="Times New (W1)" w:hAnsi="Times New (W1)"/>
          <w:noProof/>
        </w:rPr>
        <w:t>AASB 15 — Revenue from Contracts with Customers — December 2014 [F2015L00115]</w:t>
      </w:r>
      <w:r>
        <w:rPr>
          <w:noProof/>
        </w:rPr>
        <w:tab/>
        <w:t>1</w:t>
      </w:r>
    </w:p>
    <w:p w:rsidR="006D2C56" w:rsidRDefault="006D2C56" w:rsidP="006D2C56">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6D2C56" w:rsidRDefault="006D2C56" w:rsidP="006D2C56">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8E06EB">
        <w:rPr>
          <w:i/>
          <w:noProof/>
        </w:rPr>
        <w:t>Acts Interpretation Act 1901</w:t>
      </w:r>
      <w:r>
        <w:rPr>
          <w:noProof/>
        </w:rPr>
        <w:tab/>
        <w:t>2</w:t>
      </w:r>
    </w:p>
    <w:p w:rsidR="006D2C56" w:rsidRDefault="006D2C56" w:rsidP="006D2C56">
      <w:pPr>
        <w:pStyle w:val="TOC1"/>
        <w:tabs>
          <w:tab w:val="right" w:leader="dot" w:pos="9016"/>
        </w:tabs>
        <w:rPr>
          <w:b w:val="0"/>
          <w:noProof/>
          <w:sz w:val="26"/>
          <w:szCs w:val="26"/>
        </w:rPr>
      </w:pPr>
      <w:r>
        <w:rPr>
          <w:noProof/>
        </w:rPr>
        <w:t>Chapter 2 – Concluded matters</w:t>
      </w:r>
    </w:p>
    <w:p w:rsidR="006D2C56" w:rsidRDefault="006D2C56" w:rsidP="006D2C56">
      <w:pPr>
        <w:pStyle w:val="TOC3"/>
        <w:tabs>
          <w:tab w:val="right" w:leader="dot" w:pos="9016"/>
        </w:tabs>
        <w:rPr>
          <w:rFonts w:asciiTheme="minorHAnsi" w:eastAsiaTheme="minorEastAsia" w:hAnsiTheme="minorHAnsi" w:cstheme="minorBidi"/>
          <w:noProof/>
          <w:sz w:val="22"/>
          <w:szCs w:val="22"/>
          <w:lang w:eastAsia="en-AU"/>
        </w:rPr>
      </w:pPr>
      <w:r>
        <w:rPr>
          <w:noProof/>
        </w:rPr>
        <w:t>ASIC Class Order [CO 14/1118] [F2014L01484]</w:t>
      </w:r>
      <w:r>
        <w:rPr>
          <w:noProof/>
        </w:rPr>
        <w:tab/>
        <w:t>5</w:t>
      </w:r>
    </w:p>
    <w:p w:rsidR="006D2C56" w:rsidRDefault="006D2C56" w:rsidP="006D2C56">
      <w:pPr>
        <w:pStyle w:val="TOC3"/>
        <w:tabs>
          <w:tab w:val="right" w:leader="dot" w:pos="9016"/>
        </w:tabs>
        <w:jc w:val="left"/>
        <w:rPr>
          <w:rFonts w:asciiTheme="minorHAnsi" w:eastAsiaTheme="minorEastAsia" w:hAnsiTheme="minorHAnsi" w:cstheme="minorBidi"/>
          <w:noProof/>
          <w:sz w:val="22"/>
          <w:szCs w:val="22"/>
          <w:lang w:eastAsia="en-AU"/>
        </w:rPr>
      </w:pPr>
      <w:r>
        <w:rPr>
          <w:noProof/>
        </w:rPr>
        <w:t>Fair Work (Registered Organisations) Act 2009 - Reporting guidelines</w:t>
      </w:r>
      <w:r>
        <w:rPr>
          <w:noProof/>
        </w:rPr>
        <w:br/>
        <w:t>for the purposes of section 253 [F2014L01755]</w:t>
      </w:r>
      <w:r>
        <w:rPr>
          <w:noProof/>
        </w:rPr>
        <w:tab/>
        <w:t>7</w:t>
      </w:r>
    </w:p>
    <w:p w:rsidR="006D2C56" w:rsidRDefault="006D2C56" w:rsidP="006D2C56">
      <w:pPr>
        <w:pStyle w:val="TOC3"/>
        <w:tabs>
          <w:tab w:val="right" w:leader="dot" w:pos="9016"/>
        </w:tabs>
        <w:jc w:val="left"/>
        <w:rPr>
          <w:rFonts w:asciiTheme="minorHAnsi" w:eastAsiaTheme="minorEastAsia" w:hAnsiTheme="minorHAnsi" w:cstheme="minorBidi"/>
          <w:noProof/>
          <w:sz w:val="22"/>
          <w:szCs w:val="22"/>
          <w:lang w:eastAsia="en-AU"/>
        </w:rPr>
      </w:pPr>
      <w:r>
        <w:rPr>
          <w:noProof/>
        </w:rPr>
        <w:t>Competition and Consumer (Monitoring of Prices, Costs and Profits)</w:t>
      </w:r>
      <w:r>
        <w:rPr>
          <w:noProof/>
        </w:rPr>
        <w:br/>
        <w:t>Repeal Direction 2014 [F2014L01749]</w:t>
      </w:r>
      <w:r>
        <w:rPr>
          <w:noProof/>
        </w:rPr>
        <w:tab/>
        <w:t>9</w:t>
      </w:r>
    </w:p>
    <w:p w:rsidR="006D2C56" w:rsidRDefault="006D2C56" w:rsidP="006D2C56">
      <w:pPr>
        <w:pStyle w:val="TOC3"/>
        <w:tabs>
          <w:tab w:val="right" w:leader="dot" w:pos="9016"/>
        </w:tabs>
        <w:jc w:val="left"/>
        <w:rPr>
          <w:rFonts w:asciiTheme="minorHAnsi" w:eastAsiaTheme="minorEastAsia" w:hAnsiTheme="minorHAnsi" w:cstheme="minorBidi"/>
          <w:noProof/>
          <w:sz w:val="22"/>
          <w:szCs w:val="22"/>
          <w:lang w:eastAsia="en-AU"/>
        </w:rPr>
      </w:pPr>
      <w:r>
        <w:rPr>
          <w:noProof/>
        </w:rPr>
        <w:t>Fair Work (Building Industry—Accreditation Scheme) Amendment</w:t>
      </w:r>
      <w:r>
        <w:rPr>
          <w:noProof/>
        </w:rPr>
        <w:br/>
        <w:t>Regulation 2014 [F2014L01736]</w:t>
      </w:r>
      <w:r>
        <w:rPr>
          <w:noProof/>
        </w:rPr>
        <w:tab/>
        <w:t>11</w:t>
      </w:r>
    </w:p>
    <w:p w:rsidR="006D2C56" w:rsidRDefault="006D2C56" w:rsidP="006D2C56">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13</w:t>
      </w:r>
    </w:p>
    <w:p w:rsidR="006D2C56" w:rsidRDefault="006D2C56" w:rsidP="006D2C56">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29</w:t>
      </w:r>
    </w:p>
    <w:p w:rsidR="006D2C56" w:rsidRDefault="006D2C56" w:rsidP="006D2C56">
      <w:pPr>
        <w:sectPr w:rsidR="006D2C56"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6D2C56" w:rsidRDefault="006D2C56" w:rsidP="006D2C56"/>
    <w:p w:rsidR="006D2C56" w:rsidRDefault="006D2C56" w:rsidP="006D2C56">
      <w:pPr>
        <w:pStyle w:val="Heading1"/>
      </w:pPr>
      <w:r>
        <w:br w:type="page"/>
      </w:r>
    </w:p>
    <w:p w:rsidR="006D2C56" w:rsidRDefault="006D2C56" w:rsidP="006D2C56">
      <w:pPr>
        <w:spacing w:after="0"/>
        <w:jc w:val="left"/>
        <w:sectPr w:rsidR="006D2C56" w:rsidSect="00635538">
          <w:pgSz w:w="11906" w:h="16838" w:code="9"/>
          <w:pgMar w:top="1440" w:right="1440" w:bottom="1202" w:left="1440" w:header="1134" w:footer="720" w:gutter="0"/>
          <w:pgNumType w:fmt="lowerRoman" w:start="5"/>
          <w:cols w:space="720"/>
          <w:docGrid w:linePitch="354"/>
        </w:sectPr>
      </w:pPr>
    </w:p>
    <w:p w:rsidR="006D2C56" w:rsidRPr="004B17F0" w:rsidRDefault="006D2C56" w:rsidP="006D2C56">
      <w:pPr>
        <w:pStyle w:val="Heading1"/>
      </w:pPr>
      <w:r>
        <w:lastRenderedPageBreak/>
        <w:t>Introduction</w:t>
      </w:r>
    </w:p>
    <w:p w:rsidR="006D2C56" w:rsidRDefault="006D2C56" w:rsidP="006D2C56">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6D2C56" w:rsidRDefault="006D2C56" w:rsidP="006D2C56">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6D2C56" w:rsidRDefault="006D2C56" w:rsidP="006D2C56">
      <w:pPr>
        <w:pStyle w:val="Heading3"/>
      </w:pPr>
      <w:r>
        <w:t>The committee's terms of reference</w:t>
      </w:r>
    </w:p>
    <w:p w:rsidR="006D2C56" w:rsidRPr="00D233E5" w:rsidRDefault="006D2C56" w:rsidP="006D2C56">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6D2C56" w:rsidRPr="00BF47FD" w:rsidRDefault="006D2C56" w:rsidP="006D2C56">
      <w:pPr>
        <w:pStyle w:val="Quote"/>
        <w:ind w:left="1276" w:hanging="425"/>
      </w:pPr>
      <w:r>
        <w:t xml:space="preserve">(1) </w:t>
      </w:r>
      <w:r w:rsidRPr="00BF47FD">
        <w:t>A Standing Committee on Regulations and Ordinances shall be appointed at the commencement of each Parliament.</w:t>
      </w:r>
    </w:p>
    <w:p w:rsidR="006D2C56" w:rsidRPr="00BF47FD" w:rsidRDefault="006D2C56" w:rsidP="006D2C56">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6D2C56" w:rsidRPr="00BF47FD" w:rsidRDefault="006D2C56" w:rsidP="006D2C56">
      <w:pPr>
        <w:pStyle w:val="Quote"/>
        <w:ind w:left="1276"/>
      </w:pPr>
      <w:r w:rsidRPr="00BF47FD">
        <w:t>The committee shall scrutinise each instrument to ensure:</w:t>
      </w:r>
    </w:p>
    <w:p w:rsidR="006D2C56" w:rsidRPr="00BF47FD" w:rsidRDefault="006D2C56" w:rsidP="006D2C56">
      <w:pPr>
        <w:pStyle w:val="Quote"/>
        <w:tabs>
          <w:tab w:val="left" w:pos="1701"/>
        </w:tabs>
        <w:ind w:left="1701" w:hanging="425"/>
      </w:pPr>
      <w:r>
        <w:t>(a)</w:t>
      </w:r>
      <w:r>
        <w:tab/>
      </w:r>
      <w:r w:rsidRPr="00BF47FD">
        <w:t>that it is in accordance with the statute;</w:t>
      </w:r>
    </w:p>
    <w:p w:rsidR="006D2C56" w:rsidRPr="00BF47FD" w:rsidRDefault="006D2C56" w:rsidP="006D2C56">
      <w:pPr>
        <w:pStyle w:val="Quote"/>
        <w:tabs>
          <w:tab w:val="left" w:pos="1701"/>
        </w:tabs>
        <w:ind w:left="1701" w:hanging="425"/>
      </w:pPr>
      <w:r>
        <w:t>(b)</w:t>
      </w:r>
      <w:r>
        <w:tab/>
      </w:r>
      <w:r w:rsidRPr="00BF47FD">
        <w:t>that it does not trespass unduly on personal rights and liberties;</w:t>
      </w:r>
    </w:p>
    <w:p w:rsidR="006D2C56" w:rsidRPr="00BF47FD" w:rsidRDefault="006D2C56" w:rsidP="006D2C56">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6D2C56" w:rsidRDefault="006D2C56" w:rsidP="006D2C56">
      <w:pPr>
        <w:pStyle w:val="Quote"/>
        <w:tabs>
          <w:tab w:val="left" w:pos="1701"/>
        </w:tabs>
        <w:ind w:left="1701" w:hanging="425"/>
      </w:pPr>
      <w:r>
        <w:t>(d)</w:t>
      </w:r>
      <w:r>
        <w:tab/>
      </w:r>
      <w:r w:rsidRPr="00BF47FD">
        <w:t>that it does not contain matter more appropriate for parliamentary enactment.</w:t>
      </w:r>
    </w:p>
    <w:p w:rsidR="006D2C56" w:rsidRDefault="006D2C56" w:rsidP="006D2C56">
      <w:pPr>
        <w:pStyle w:val="Heading3"/>
      </w:pPr>
      <w:r w:rsidRPr="00F063AA">
        <w:lastRenderedPageBreak/>
        <w:t>Work of the committee</w:t>
      </w:r>
    </w:p>
    <w:p w:rsidR="006D2C56" w:rsidRPr="00F063AA" w:rsidRDefault="006D2C56" w:rsidP="006D2C56">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6D2C56" w:rsidRDefault="006D2C56" w:rsidP="006D2C56">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6D2C56" w:rsidRDefault="006D2C56" w:rsidP="006D2C56">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6D2C56" w:rsidRDefault="006D2C56" w:rsidP="006D2C56">
      <w:pPr>
        <w:pStyle w:val="Heading3"/>
      </w:pPr>
      <w:r>
        <w:t>Structure of the report</w:t>
      </w:r>
    </w:p>
    <w:p w:rsidR="006D2C56" w:rsidRDefault="006D2C56" w:rsidP="006D2C56">
      <w:pPr>
        <w:pStyle w:val="Level1"/>
        <w:numPr>
          <w:ilvl w:val="0"/>
          <w:numId w:val="0"/>
        </w:numPr>
      </w:pPr>
      <w:r>
        <w:t>The report is comprised of the following parts:</w:t>
      </w:r>
    </w:p>
    <w:p w:rsidR="006D2C56" w:rsidRDefault="006D2C56" w:rsidP="006D2C56">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6D2C56" w:rsidRDefault="006D2C56" w:rsidP="006D2C56">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6D2C56" w:rsidRDefault="006D2C56" w:rsidP="006D2C56">
      <w:pPr>
        <w:pStyle w:val="Bullet1"/>
        <w:spacing w:after="120"/>
      </w:pPr>
      <w:r>
        <w:t>Appendix 1 contains correspondence relating to concluded matters.</w:t>
      </w:r>
    </w:p>
    <w:p w:rsidR="006D2C56" w:rsidRDefault="006D2C56" w:rsidP="006D2C56">
      <w:pPr>
        <w:pStyle w:val="Bullet1"/>
        <w:spacing w:after="120"/>
      </w:pPr>
      <w:r>
        <w:t xml:space="preserve">Appendix 2 contains the committee's guideline on addressing the consultation requirements of the </w:t>
      </w:r>
      <w:r>
        <w:rPr>
          <w:i/>
        </w:rPr>
        <w:t>Legislative Instruments Act 2003</w:t>
      </w:r>
      <w:r>
        <w:t>.</w:t>
      </w:r>
    </w:p>
    <w:p w:rsidR="006D2C56" w:rsidRDefault="006D2C56" w:rsidP="006D2C56">
      <w:pPr>
        <w:pStyle w:val="Heading3"/>
      </w:pPr>
      <w:r>
        <w:t>Acknowledgement</w:t>
      </w:r>
    </w:p>
    <w:p w:rsidR="006D2C56" w:rsidRDefault="006D2C56" w:rsidP="006D2C56">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6D2C56" w:rsidRPr="00364316" w:rsidRDefault="006D2C56" w:rsidP="006D2C56">
      <w:pPr>
        <w:pStyle w:val="Bullet1"/>
        <w:numPr>
          <w:ilvl w:val="0"/>
          <w:numId w:val="0"/>
        </w:numPr>
        <w:ind w:left="851" w:hanging="851"/>
        <w:rPr>
          <w:b/>
        </w:rPr>
      </w:pPr>
      <w:r w:rsidRPr="00364316">
        <w:rPr>
          <w:b/>
        </w:rPr>
        <w:t xml:space="preserve">Senator </w:t>
      </w:r>
      <w:r>
        <w:rPr>
          <w:b/>
        </w:rPr>
        <w:t>John Williams</w:t>
      </w:r>
    </w:p>
    <w:p w:rsidR="006D2C56" w:rsidRPr="00364316" w:rsidRDefault="006D2C56" w:rsidP="006D2C56">
      <w:pPr>
        <w:pStyle w:val="Bullet1"/>
        <w:numPr>
          <w:ilvl w:val="0"/>
          <w:numId w:val="0"/>
        </w:numPr>
        <w:ind w:left="851" w:hanging="851"/>
        <w:rPr>
          <w:b/>
        </w:rPr>
      </w:pPr>
      <w:r w:rsidRPr="00364316">
        <w:rPr>
          <w:b/>
        </w:rPr>
        <w:t>Chair</w:t>
      </w:r>
    </w:p>
    <w:p w:rsidR="006D2C56" w:rsidRDefault="006D2C56" w:rsidP="00325264">
      <w:pPr>
        <w:sectPr w:rsidR="006D2C56" w:rsidSect="0059467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p>
    <w:p w:rsidR="006D2C56" w:rsidRPr="001F4E38" w:rsidRDefault="006D2C56" w:rsidP="006D2C56">
      <w:pPr>
        <w:pStyle w:val="Heading1"/>
      </w:pPr>
      <w:r w:rsidRPr="001F4E38">
        <w:lastRenderedPageBreak/>
        <w:t>Chapter 1</w:t>
      </w:r>
    </w:p>
    <w:p w:rsidR="006D2C56" w:rsidRPr="001F4E38" w:rsidRDefault="006D2C56" w:rsidP="006D2C56">
      <w:pPr>
        <w:pStyle w:val="Heading2"/>
      </w:pPr>
      <w:r w:rsidRPr="001F4E38">
        <w:t>New and continuing matters</w:t>
      </w:r>
    </w:p>
    <w:p w:rsidR="006D2C56" w:rsidRPr="001F4E38" w:rsidRDefault="006D2C56" w:rsidP="006D2C56">
      <w:pPr>
        <w:pStyle w:val="Level1"/>
        <w:numPr>
          <w:ilvl w:val="0"/>
          <w:numId w:val="0"/>
        </w:numPr>
      </w:pPr>
      <w:r w:rsidRPr="001F4E38">
        <w:t xml:space="preserve">This chapter lists new matters identified by the committee at its meeting on </w:t>
      </w:r>
      <w:r>
        <w:rPr>
          <w:b/>
        </w:rPr>
        <w:t>4 March </w:t>
      </w:r>
      <w:r w:rsidRPr="001F4E38">
        <w:rPr>
          <w:b/>
        </w:rPr>
        <w:t>201</w:t>
      </w:r>
      <w:r>
        <w:rPr>
          <w:b/>
        </w:rPr>
        <w:t>5</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6D2C56" w:rsidRDefault="006D2C56" w:rsidP="006D2C56">
      <w:pPr>
        <w:pStyle w:val="Level1"/>
        <w:numPr>
          <w:ilvl w:val="0"/>
          <w:numId w:val="0"/>
        </w:numPr>
      </w:pPr>
      <w:r w:rsidRPr="001F4E38">
        <w:t>Matters which the committee draws to the attention of the relevant minister or instrument maker are raised on an advice-only basis and do not require a response.</w:t>
      </w:r>
    </w:p>
    <w:p w:rsidR="006D2C56" w:rsidRDefault="006D2C56" w:rsidP="006D2C56">
      <w:pPr>
        <w:pStyle w:val="Level1"/>
        <w:numPr>
          <w:ilvl w:val="0"/>
          <w:numId w:val="0"/>
        </w:numPr>
      </w:pPr>
      <w:r>
        <w:t>This report considers all disallowable instruments tabled between 30 January 2015 and 19 February 2015. All instruments tabled in this period are listed on the Senate Disallowable Instruments List.</w:t>
      </w:r>
      <w:r>
        <w:rPr>
          <w:rStyle w:val="FootnoteReference"/>
        </w:rPr>
        <w:footnoteReference w:id="3"/>
      </w:r>
    </w:p>
    <w:p w:rsidR="006D2C56" w:rsidRDefault="006D2C56" w:rsidP="006D2C56">
      <w:pPr>
        <w:pStyle w:val="Heading2"/>
      </w:pPr>
      <w:r>
        <w:t>New matters</w:t>
      </w:r>
    </w:p>
    <w:p w:rsidR="006D2C56" w:rsidRDefault="006D2C56" w:rsidP="006D2C56">
      <w:pPr>
        <w:pStyle w:val="Heading3"/>
        <w:spacing w:after="0"/>
      </w:pPr>
      <w:r w:rsidRPr="00426A5E">
        <w:rPr>
          <w:rFonts w:ascii="Times New (W1)" w:hAnsi="Times New (W1)"/>
          <w:noProof/>
        </w:rPr>
        <w:t xml:space="preserve">AASB 15 </w:t>
      </w:r>
      <w:r>
        <w:rPr>
          <w:rFonts w:ascii="Times New (W1)" w:hAnsi="Times New (W1)"/>
          <w:noProof/>
        </w:rPr>
        <w:t>—</w:t>
      </w:r>
      <w:r w:rsidRPr="00426A5E">
        <w:rPr>
          <w:rFonts w:ascii="Times New (W1)" w:hAnsi="Times New (W1)"/>
          <w:noProof/>
        </w:rPr>
        <w:t xml:space="preserve"> Revenue from Contracts with Customers </w:t>
      </w:r>
      <w:r>
        <w:rPr>
          <w:rFonts w:ascii="Times New (W1)" w:hAnsi="Times New (W1)"/>
          <w:noProof/>
        </w:rPr>
        <w:t>—</w:t>
      </w:r>
      <w:r w:rsidRPr="00426A5E">
        <w:rPr>
          <w:rFonts w:ascii="Times New (W1)" w:hAnsi="Times New (W1)"/>
          <w:noProof/>
        </w:rPr>
        <w:t xml:space="preserve"> December 2014 [F2015L00115]</w:t>
      </w:r>
    </w:p>
    <w:p w:rsidR="006D2C56" w:rsidRPr="001E0577" w:rsidRDefault="006D2C56" w:rsidP="006D2C56">
      <w:pPr>
        <w:spacing w:after="120"/>
      </w:pPr>
    </w:p>
    <w:tbl>
      <w:tblPr>
        <w:tblW w:w="0" w:type="auto"/>
        <w:tblInd w:w="108" w:type="dxa"/>
        <w:tblLook w:val="04A0" w:firstRow="1" w:lastRow="0" w:firstColumn="1" w:lastColumn="0" w:noHBand="0" w:noVBand="1"/>
      </w:tblPr>
      <w:tblGrid>
        <w:gridCol w:w="2694"/>
        <w:gridCol w:w="6378"/>
      </w:tblGrid>
      <w:tr w:rsidR="006D2C56" w:rsidRPr="00164622" w:rsidTr="00132D1A">
        <w:tc>
          <w:tcPr>
            <w:tcW w:w="2694" w:type="dxa"/>
            <w:tcBorders>
              <w:top w:val="single" w:sz="12" w:space="0" w:color="auto"/>
              <w:right w:val="single" w:sz="12" w:space="0" w:color="auto"/>
            </w:tcBorders>
          </w:tcPr>
          <w:p w:rsidR="006D2C56" w:rsidRPr="00A77228" w:rsidRDefault="006D2C56" w:rsidP="00132D1A">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6D2C56" w:rsidRPr="00A77228" w:rsidRDefault="006D2C56" w:rsidP="00132D1A">
            <w:pPr>
              <w:spacing w:before="120" w:after="120"/>
              <w:rPr>
                <w:sz w:val="24"/>
                <w:szCs w:val="24"/>
              </w:rPr>
            </w:pPr>
            <w:r w:rsidRPr="00426A5E">
              <w:rPr>
                <w:noProof/>
                <w:sz w:val="24"/>
                <w:szCs w:val="24"/>
              </w:rPr>
              <w:t xml:space="preserve">Establishes the principles that an entity shall apply to report useful information to users of financial statements about the nature, amount, timing and uncertainty of revenue and cash flows arising from a </w:t>
            </w:r>
            <w:r>
              <w:rPr>
                <w:noProof/>
                <w:sz w:val="24"/>
                <w:szCs w:val="24"/>
              </w:rPr>
              <w:t>contract with a customer. This s</w:t>
            </w:r>
            <w:r w:rsidRPr="00426A5E">
              <w:rPr>
                <w:noProof/>
                <w:sz w:val="24"/>
                <w:szCs w:val="24"/>
              </w:rPr>
              <w:t xml:space="preserve">tandard applies to annual reporting </w:t>
            </w:r>
            <w:r>
              <w:rPr>
                <w:noProof/>
                <w:sz w:val="24"/>
                <w:szCs w:val="24"/>
              </w:rPr>
              <w:t>periods beginning on or after 1 </w:t>
            </w:r>
            <w:r w:rsidRPr="00426A5E">
              <w:rPr>
                <w:noProof/>
                <w:sz w:val="24"/>
                <w:szCs w:val="24"/>
              </w:rPr>
              <w:t>January 2017</w:t>
            </w:r>
          </w:p>
        </w:tc>
      </w:tr>
      <w:tr w:rsidR="006D2C56" w:rsidRPr="00164622" w:rsidTr="00132D1A">
        <w:tc>
          <w:tcPr>
            <w:tcW w:w="2694" w:type="dxa"/>
            <w:tcBorders>
              <w:right w:val="single" w:sz="12" w:space="0" w:color="auto"/>
            </w:tcBorders>
          </w:tcPr>
          <w:p w:rsidR="006D2C56" w:rsidRPr="00A77228" w:rsidRDefault="006D2C56" w:rsidP="00132D1A">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6D2C56" w:rsidRPr="00A77228" w:rsidRDefault="006D2C56" w:rsidP="00132D1A">
            <w:pPr>
              <w:spacing w:before="120" w:after="120"/>
              <w:rPr>
                <w:sz w:val="24"/>
                <w:szCs w:val="24"/>
              </w:rPr>
            </w:pPr>
            <w:r w:rsidRPr="00426A5E">
              <w:rPr>
                <w:noProof/>
                <w:sz w:val="24"/>
                <w:szCs w:val="24"/>
              </w:rPr>
              <w:t>12 May 2015</w:t>
            </w:r>
          </w:p>
        </w:tc>
      </w:tr>
      <w:tr w:rsidR="006D2C56" w:rsidRPr="00164622" w:rsidTr="00132D1A">
        <w:tc>
          <w:tcPr>
            <w:tcW w:w="2694" w:type="dxa"/>
            <w:tcBorders>
              <w:right w:val="single" w:sz="12" w:space="0" w:color="auto"/>
            </w:tcBorders>
          </w:tcPr>
          <w:p w:rsidR="006D2C56" w:rsidRPr="00A77228" w:rsidRDefault="006D2C56" w:rsidP="00132D1A">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6D2C56" w:rsidRPr="00932D1C" w:rsidRDefault="006D2C56" w:rsidP="00132D1A">
            <w:pPr>
              <w:spacing w:before="120" w:after="120"/>
              <w:rPr>
                <w:i/>
                <w:sz w:val="24"/>
                <w:szCs w:val="24"/>
              </w:rPr>
            </w:pPr>
            <w:r w:rsidRPr="00426A5E">
              <w:rPr>
                <w:i/>
                <w:noProof/>
                <w:sz w:val="24"/>
                <w:szCs w:val="24"/>
              </w:rPr>
              <w:t>Corporations Act 2001</w:t>
            </w:r>
          </w:p>
        </w:tc>
      </w:tr>
      <w:tr w:rsidR="006D2C56" w:rsidRPr="00164622" w:rsidTr="00132D1A">
        <w:tc>
          <w:tcPr>
            <w:tcW w:w="2694" w:type="dxa"/>
            <w:tcBorders>
              <w:bottom w:val="single" w:sz="12" w:space="0" w:color="auto"/>
              <w:right w:val="single" w:sz="12" w:space="0" w:color="auto"/>
            </w:tcBorders>
          </w:tcPr>
          <w:p w:rsidR="006D2C56" w:rsidRPr="00A77228" w:rsidRDefault="006D2C56" w:rsidP="00132D1A">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6D2C56" w:rsidRPr="00A77228" w:rsidRDefault="006D2C56" w:rsidP="00132D1A">
            <w:pPr>
              <w:spacing w:before="120" w:after="120"/>
              <w:rPr>
                <w:sz w:val="24"/>
                <w:szCs w:val="24"/>
              </w:rPr>
            </w:pPr>
            <w:r w:rsidRPr="00426A5E">
              <w:rPr>
                <w:noProof/>
                <w:sz w:val="24"/>
                <w:szCs w:val="24"/>
              </w:rPr>
              <w:t>Treasury</w:t>
            </w:r>
          </w:p>
        </w:tc>
      </w:tr>
    </w:tbl>
    <w:p w:rsidR="006D2C56" w:rsidRPr="00164622" w:rsidRDefault="006D2C56" w:rsidP="006D2C56">
      <w:pPr>
        <w:spacing w:after="0"/>
        <w:rPr>
          <w:szCs w:val="26"/>
        </w:rPr>
      </w:pPr>
    </w:p>
    <w:p w:rsidR="006D2C56" w:rsidRPr="00164622" w:rsidRDefault="006D2C56" w:rsidP="006D2C56">
      <w:pPr>
        <w:spacing w:after="120"/>
        <w:rPr>
          <w:b/>
          <w:szCs w:val="26"/>
        </w:rPr>
      </w:pPr>
      <w:r w:rsidRPr="00164622">
        <w:rPr>
          <w:b/>
          <w:szCs w:val="26"/>
        </w:rPr>
        <w:t>Issue:</w:t>
      </w:r>
    </w:p>
    <w:p w:rsidR="006D2C56" w:rsidRPr="00164622" w:rsidRDefault="006D2C56" w:rsidP="006D2C56">
      <w:pPr>
        <w:spacing w:after="120"/>
        <w:rPr>
          <w:i/>
          <w:noProof/>
          <w:szCs w:val="26"/>
        </w:rPr>
      </w:pPr>
      <w:r w:rsidRPr="00426A5E">
        <w:rPr>
          <w:i/>
          <w:noProof/>
          <w:szCs w:val="26"/>
        </w:rPr>
        <w:t>Retrospectiv</w:t>
      </w:r>
      <w:r>
        <w:rPr>
          <w:i/>
          <w:noProof/>
          <w:szCs w:val="26"/>
        </w:rPr>
        <w:t>e effect</w:t>
      </w:r>
    </w:p>
    <w:p w:rsidR="006D2C56" w:rsidRPr="00426A5E" w:rsidRDefault="006D2C56" w:rsidP="006D2C56">
      <w:pPr>
        <w:rPr>
          <w:noProof/>
          <w:szCs w:val="26"/>
        </w:rPr>
      </w:pPr>
      <w:r w:rsidRPr="00426A5E">
        <w:rPr>
          <w:noProof/>
          <w:szCs w:val="26"/>
        </w:rPr>
        <w:t>Paragraph Aus4.2 of the instrument provides that it applies to 'annual reporting periods beginning on or after 1 January 2017'. Paragraph</w:t>
      </w:r>
      <w:r>
        <w:rPr>
          <w:noProof/>
          <w:szCs w:val="26"/>
        </w:rPr>
        <w:t xml:space="preserve"> Aus4.3 provides the instrument </w:t>
      </w:r>
      <w:r w:rsidRPr="00426A5E">
        <w:rPr>
          <w:noProof/>
          <w:szCs w:val="26"/>
        </w:rPr>
        <w:t xml:space="preserve">'may be applied to annual reporting periods beginning on or after 1 January </w:t>
      </w:r>
      <w:r w:rsidRPr="00426A5E">
        <w:rPr>
          <w:noProof/>
          <w:szCs w:val="26"/>
        </w:rPr>
        <w:lastRenderedPageBreak/>
        <w:t xml:space="preserve">2005 but before 1 January 2017'. </w:t>
      </w:r>
      <w:r>
        <w:rPr>
          <w:noProof/>
          <w:szCs w:val="26"/>
        </w:rPr>
        <w:t>P</w:t>
      </w:r>
      <w:r w:rsidRPr="00426A5E">
        <w:rPr>
          <w:noProof/>
          <w:szCs w:val="26"/>
        </w:rPr>
        <w:t>aragraph C3 of Appendix C of the instrument (which deals with 'effective date and transition') provides:</w:t>
      </w:r>
    </w:p>
    <w:p w:rsidR="006D2C56" w:rsidRPr="00426A5E" w:rsidRDefault="006D2C56" w:rsidP="006D2C56">
      <w:pPr>
        <w:pStyle w:val="Quote"/>
        <w:rPr>
          <w:noProof/>
        </w:rPr>
      </w:pPr>
      <w:r w:rsidRPr="00426A5E">
        <w:rPr>
          <w:noProof/>
        </w:rPr>
        <w:t>C3 An entity shall apply this Standard using one of the following two methods:</w:t>
      </w:r>
    </w:p>
    <w:p w:rsidR="006D2C56" w:rsidRPr="00426A5E" w:rsidRDefault="006D2C56" w:rsidP="006D2C56">
      <w:pPr>
        <w:pStyle w:val="Quote"/>
        <w:rPr>
          <w:noProof/>
        </w:rPr>
      </w:pPr>
      <w:r w:rsidRPr="00426A5E">
        <w:rPr>
          <w:noProof/>
        </w:rPr>
        <w:t>(a) retrospectively to each prior reporting period presented in accordance with AASB 108 Accounting Policies, Changes in Accounting Estimates and Errors, subject to the expedients in paragraph C5; or</w:t>
      </w:r>
    </w:p>
    <w:p w:rsidR="006D2C56" w:rsidRPr="00426A5E" w:rsidRDefault="006D2C56" w:rsidP="006D2C56">
      <w:pPr>
        <w:pStyle w:val="Quote"/>
        <w:rPr>
          <w:noProof/>
        </w:rPr>
      </w:pPr>
      <w:r w:rsidRPr="00426A5E">
        <w:rPr>
          <w:noProof/>
        </w:rPr>
        <w:t>(b) retrospectively with the cumulative effect of initially applying this Standard recognised at the date of initial application in accordance with paragraphs C7–C8.</w:t>
      </w:r>
    </w:p>
    <w:p w:rsidR="006D2C56" w:rsidRDefault="006D2C56" w:rsidP="006D2C56">
      <w:pPr>
        <w:rPr>
          <w:b/>
          <w:noProof/>
          <w:szCs w:val="26"/>
        </w:rPr>
      </w:pPr>
      <w:r w:rsidRPr="00426A5E">
        <w:rPr>
          <w:noProof/>
          <w:szCs w:val="26"/>
        </w:rPr>
        <w:t>The two met</w:t>
      </w:r>
      <w:r>
        <w:rPr>
          <w:noProof/>
          <w:szCs w:val="26"/>
        </w:rPr>
        <w:t>hods for applying the standard indicate that</w:t>
      </w:r>
      <w:r w:rsidRPr="00426A5E">
        <w:rPr>
          <w:noProof/>
          <w:szCs w:val="26"/>
        </w:rPr>
        <w:t xml:space="preserve"> the instrument only has a retrospective operation. </w:t>
      </w:r>
      <w:r w:rsidRPr="00EF4E65">
        <w:rPr>
          <w:noProof/>
          <w:szCs w:val="26"/>
        </w:rPr>
        <w:t xml:space="preserve">The committee's usual approach </w:t>
      </w:r>
      <w:r>
        <w:rPr>
          <w:noProof/>
          <w:szCs w:val="26"/>
        </w:rPr>
        <w:t xml:space="preserve">is </w:t>
      </w:r>
      <w:r w:rsidRPr="00EF4E65">
        <w:rPr>
          <w:noProof/>
          <w:szCs w:val="26"/>
        </w:rPr>
        <w:t>to assess such cases against the requirement to ensure that instruments of delegated legislation do not unduly trespass on personal rights and liberties (scrutiny principle</w:t>
      </w:r>
      <w:r>
        <w:rPr>
          <w:noProof/>
          <w:szCs w:val="26"/>
        </w:rPr>
        <w:t> </w:t>
      </w:r>
      <w:r w:rsidRPr="00EF4E65">
        <w:rPr>
          <w:noProof/>
          <w:szCs w:val="26"/>
        </w:rPr>
        <w:t>(b)).</w:t>
      </w:r>
      <w:r>
        <w:rPr>
          <w:noProof/>
          <w:szCs w:val="26"/>
        </w:rPr>
        <w:t xml:space="preserve"> </w:t>
      </w:r>
      <w:r w:rsidRPr="00426A5E">
        <w:rPr>
          <w:noProof/>
          <w:szCs w:val="26"/>
        </w:rPr>
        <w:t>The committee's usual expectation is that th</w:t>
      </w:r>
      <w:r>
        <w:rPr>
          <w:noProof/>
          <w:szCs w:val="26"/>
        </w:rPr>
        <w:t>e</w:t>
      </w:r>
      <w:r w:rsidRPr="00426A5E">
        <w:rPr>
          <w:noProof/>
          <w:szCs w:val="26"/>
        </w:rPr>
        <w:t xml:space="preserve"> matter </w:t>
      </w:r>
      <w:r>
        <w:rPr>
          <w:noProof/>
          <w:szCs w:val="26"/>
        </w:rPr>
        <w:t xml:space="preserve">of the retrospective effect of the instrument </w:t>
      </w:r>
      <w:r w:rsidRPr="00426A5E">
        <w:rPr>
          <w:noProof/>
          <w:szCs w:val="26"/>
        </w:rPr>
        <w:t xml:space="preserve">would be specifically addressed in the </w:t>
      </w:r>
      <w:r>
        <w:rPr>
          <w:noProof/>
          <w:szCs w:val="26"/>
        </w:rPr>
        <w:t>explanatory statement (</w:t>
      </w:r>
      <w:r w:rsidRPr="00426A5E">
        <w:rPr>
          <w:noProof/>
          <w:szCs w:val="26"/>
        </w:rPr>
        <w:t>ES</w:t>
      </w:r>
      <w:r>
        <w:rPr>
          <w:noProof/>
          <w:szCs w:val="26"/>
        </w:rPr>
        <w:t>)</w:t>
      </w:r>
      <w:r w:rsidRPr="00426A5E">
        <w:rPr>
          <w:noProof/>
          <w:szCs w:val="26"/>
        </w:rPr>
        <w:t xml:space="preserve">. </w:t>
      </w:r>
      <w:r w:rsidRPr="004F59C8">
        <w:rPr>
          <w:b/>
          <w:noProof/>
          <w:szCs w:val="26"/>
        </w:rPr>
        <w:t>The committee therefore requests further information from the minister (as to the justification for this approach).</w:t>
      </w:r>
    </w:p>
    <w:p w:rsidR="006D2C56" w:rsidRDefault="006D2C56" w:rsidP="006D2C56">
      <w:pPr>
        <w:pStyle w:val="Heading2"/>
      </w:pPr>
      <w:r w:rsidRPr="009E27EC">
        <w:t>Continuing matters</w:t>
      </w:r>
    </w:p>
    <w:p w:rsidR="006D2C56" w:rsidRPr="00BC0AE8" w:rsidRDefault="006D2C56" w:rsidP="006D2C56">
      <w:pPr>
        <w:pStyle w:val="Heading3"/>
      </w:pPr>
      <w:r w:rsidRPr="00075F16">
        <w:t xml:space="preserve">Multiple instruments </w:t>
      </w:r>
      <w:r w:rsidRPr="00E35D4F">
        <w:t xml:space="preserve">that appear to rely on subsection 33(3) of the </w:t>
      </w:r>
      <w:r w:rsidRPr="00D66E0A">
        <w:rPr>
          <w:i/>
        </w:rPr>
        <w:t>Acts Interpretation Act 1901</w:t>
      </w:r>
    </w:p>
    <w:p w:rsidR="006D2C56" w:rsidRPr="00E35D4F" w:rsidRDefault="006D2C56" w:rsidP="006D2C56">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6D2C56" w:rsidRDefault="006D2C56" w:rsidP="006D2C56">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4"/>
      </w:r>
    </w:p>
    <w:p w:rsidR="006D2C56" w:rsidRDefault="006D2C56" w:rsidP="006D2C56">
      <w:pPr>
        <w:rPr>
          <w:b/>
        </w:rPr>
      </w:pPr>
      <w:r w:rsidRPr="00E35D4F">
        <w:rPr>
          <w:b/>
        </w:rPr>
        <w:lastRenderedPageBreak/>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2014-10 Amendments to Australian Accounting Standards – Sale or Contribution of Assets between an Investor and its Associate or Joint Venture [F2015L00138</w:t>
            </w:r>
            <w:r>
              <w:rPr>
                <w:color w:val="000000"/>
                <w:sz w:val="22"/>
                <w:szCs w:val="22"/>
              </w:rPr>
              <w:t>]</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535108">
              <w:rPr>
                <w:color w:val="000000"/>
                <w:sz w:val="22"/>
                <w:szCs w:val="22"/>
              </w:rPr>
              <w:t>AASB 2014-5 Amendments to Australian Accounting Standards arising from AASB 15 [F2015L00107]</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535108">
              <w:rPr>
                <w:color w:val="000000"/>
                <w:sz w:val="22"/>
                <w:szCs w:val="22"/>
              </w:rPr>
              <w:t>AASB 2014-6 - Amendments to Australian Accounting Standar</w:t>
            </w:r>
            <w:r>
              <w:rPr>
                <w:color w:val="000000"/>
                <w:sz w:val="22"/>
                <w:szCs w:val="22"/>
              </w:rPr>
              <w:t>ds – Agriculture: Bearer Plants [</w:t>
            </w:r>
            <w:r w:rsidRPr="00535108">
              <w:rPr>
                <w:color w:val="000000"/>
                <w:sz w:val="22"/>
                <w:szCs w:val="22"/>
              </w:rPr>
              <w:t>F2015L00106</w:t>
            </w:r>
            <w:r>
              <w:rPr>
                <w:color w:val="000000"/>
                <w:sz w:val="22"/>
                <w:szCs w:val="22"/>
              </w:rPr>
              <w:t>]</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2014-7 Amendments to Australian Accounting Standards arising from AASB 9 (December 2014) [F2015L00135</w:t>
            </w:r>
            <w:r>
              <w:rPr>
                <w:color w:val="000000"/>
                <w:sz w:val="22"/>
                <w:szCs w:val="22"/>
              </w:rPr>
              <w:t>]</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2014-8 Amendments to Australian Accounting Standards arising from AASB 9 (December 2014) – Application of AASB 9 (December 2009) and AASB 9 (December 2010) [F2015L00136</w:t>
            </w:r>
            <w:r>
              <w:rPr>
                <w:color w:val="000000"/>
                <w:sz w:val="22"/>
                <w:szCs w:val="22"/>
              </w:rPr>
              <w:t>]</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2014-9 Amendments to Australian Accounting Standards – Equity Method in Separate Financial Statements [F2015L00137</w:t>
            </w:r>
            <w:r>
              <w:rPr>
                <w:color w:val="000000"/>
                <w:sz w:val="22"/>
                <w:szCs w:val="22"/>
              </w:rPr>
              <w:t>]</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2015-1 Amendments to Australian Accounting Standards – Annual Improvements to Australian Accounting Standards 2012–2014 Cycle [F2015L00139]</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2015-2 Amendments to Australian Accounting Standards – Disclosure Initiative: Amendments to AASB 101 [F2015L00141</w:t>
            </w:r>
            <w:r>
              <w:rPr>
                <w:color w:val="000000"/>
                <w:sz w:val="22"/>
                <w:szCs w:val="22"/>
              </w:rPr>
              <w:t>]</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2015-3 - Amendments to Australian Accounting Standards arising from the Withdrawal of AASB 1031 Materiality - January 2015 [F2015L00134</w:t>
            </w:r>
            <w:r>
              <w:rPr>
                <w:color w:val="000000"/>
                <w:sz w:val="22"/>
                <w:szCs w:val="22"/>
              </w:rPr>
              <w:t>]</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AASB 2015-4 - Amendments to Australian Accounting Standards – Financial Reporting Requirements for Australian Groups with a Foreign Parent - January 2015 [F2015L00140]</w:t>
            </w:r>
          </w:p>
        </w:tc>
      </w:tr>
      <w:tr w:rsidR="006D2C56" w:rsidRPr="004B6804" w:rsidTr="00132D1A">
        <w:tc>
          <w:tcPr>
            <w:tcW w:w="8505" w:type="dxa"/>
            <w:tcBorders>
              <w:top w:val="nil"/>
              <w:left w:val="nil"/>
              <w:bottom w:val="nil"/>
              <w:right w:val="nil"/>
            </w:tcBorders>
          </w:tcPr>
          <w:p w:rsidR="006D2C56" w:rsidRPr="008723EA" w:rsidRDefault="006D2C56" w:rsidP="00132D1A">
            <w:pPr>
              <w:rPr>
                <w:color w:val="000000"/>
                <w:sz w:val="22"/>
                <w:szCs w:val="22"/>
              </w:rPr>
            </w:pPr>
            <w:r w:rsidRPr="00535108">
              <w:rPr>
                <w:color w:val="000000"/>
                <w:sz w:val="22"/>
                <w:szCs w:val="22"/>
              </w:rPr>
              <w:t>ASIC Derivative Transaction Rules (Nexus Derivatives) Class Exemption 2015 [F2015L00100]</w:t>
            </w:r>
          </w:p>
        </w:tc>
      </w:tr>
      <w:tr w:rsidR="006D2C56" w:rsidRPr="004B6804" w:rsidTr="00132D1A">
        <w:tc>
          <w:tcPr>
            <w:tcW w:w="8505" w:type="dxa"/>
            <w:tcBorders>
              <w:top w:val="nil"/>
              <w:left w:val="nil"/>
              <w:bottom w:val="nil"/>
              <w:right w:val="nil"/>
            </w:tcBorders>
          </w:tcPr>
          <w:p w:rsidR="006D2C56" w:rsidRPr="00BC29E5" w:rsidRDefault="006D2C56" w:rsidP="00132D1A">
            <w:pPr>
              <w:rPr>
                <w:color w:val="000000"/>
                <w:sz w:val="22"/>
                <w:szCs w:val="22"/>
              </w:rPr>
            </w:pPr>
            <w:r w:rsidRPr="00535108">
              <w:rPr>
                <w:color w:val="000000"/>
                <w:sz w:val="22"/>
                <w:szCs w:val="22"/>
              </w:rPr>
              <w:t>Australian Passports Amendment Determination 2015 (No. 1) [F2015L00129]</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535108">
              <w:rPr>
                <w:color w:val="000000"/>
                <w:sz w:val="22"/>
                <w:szCs w:val="22"/>
              </w:rPr>
              <w:t>Customs Act 1901 - CEO Directions No. 1 of 2015 [F2015L00099]</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535108">
              <w:rPr>
                <w:color w:val="000000"/>
                <w:sz w:val="22"/>
                <w:szCs w:val="22"/>
              </w:rPr>
              <w:t>Customs Act 1901 - CEO Directions No. 2 of 2015 [F2015L00101]</w:t>
            </w:r>
          </w:p>
        </w:tc>
      </w:tr>
      <w:tr w:rsidR="006D2C56" w:rsidRPr="004B6804" w:rsidTr="00132D1A">
        <w:tc>
          <w:tcPr>
            <w:tcW w:w="8505" w:type="dxa"/>
            <w:tcBorders>
              <w:top w:val="nil"/>
              <w:left w:val="nil"/>
              <w:bottom w:val="nil"/>
              <w:right w:val="nil"/>
            </w:tcBorders>
          </w:tcPr>
          <w:p w:rsidR="006D2C56" w:rsidRPr="008723EA" w:rsidRDefault="006D2C56" w:rsidP="00132D1A">
            <w:pPr>
              <w:rPr>
                <w:color w:val="000000"/>
                <w:sz w:val="22"/>
                <w:szCs w:val="22"/>
              </w:rPr>
            </w:pPr>
            <w:r w:rsidRPr="00535108">
              <w:rPr>
                <w:color w:val="000000"/>
                <w:sz w:val="22"/>
                <w:szCs w:val="22"/>
              </w:rPr>
              <w:t>Migration Regulations 1994 - Specification of Access to Movement Records 2015 - IMMI 15/011 [F2015L00114]</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535108">
              <w:rPr>
                <w:color w:val="000000"/>
                <w:sz w:val="22"/>
                <w:szCs w:val="22"/>
              </w:rPr>
              <w:t>National Health (Pharmaceutical Benefits (Application to supply pharmaceutical benefits following the death of approved pharmacist — documentary evidence) Determination 2015 (PB 5 of 2015) [F2015L00094]</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535108">
              <w:rPr>
                <w:color w:val="000000"/>
                <w:sz w:val="22"/>
                <w:szCs w:val="22"/>
              </w:rPr>
              <w:t>Public Governance, Performance and Accountability Legislation Amendment (Office of the Fair Work Building Industry Inspectorate) Rule 2015 [F2015L00086]</w:t>
            </w:r>
          </w:p>
        </w:tc>
      </w:tr>
    </w:tbl>
    <w:p w:rsidR="006D2C56" w:rsidRDefault="006D2C56" w:rsidP="006D2C56">
      <w:r>
        <w:br w:type="page"/>
      </w:r>
    </w:p>
    <w:tbl>
      <w:tblPr>
        <w:tblStyle w:val="TableGrid"/>
        <w:tblW w:w="0" w:type="auto"/>
        <w:tblInd w:w="392" w:type="dxa"/>
        <w:tblLook w:val="04A0" w:firstRow="1" w:lastRow="0" w:firstColumn="1" w:lastColumn="0" w:noHBand="0" w:noVBand="1"/>
      </w:tblPr>
      <w:tblGrid>
        <w:gridCol w:w="8505"/>
      </w:tblGrid>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535108">
              <w:rPr>
                <w:color w:val="000000"/>
                <w:sz w:val="22"/>
                <w:szCs w:val="22"/>
              </w:rPr>
              <w:lastRenderedPageBreak/>
              <w:t>Therapeutic Goods Information Specification 2009 Revocation Specification 2015 [F2015L00090]</w:t>
            </w:r>
          </w:p>
        </w:tc>
      </w:tr>
      <w:tr w:rsidR="006D2C56" w:rsidRPr="004B6804" w:rsidTr="00132D1A">
        <w:tc>
          <w:tcPr>
            <w:tcW w:w="8505" w:type="dxa"/>
            <w:tcBorders>
              <w:top w:val="nil"/>
              <w:left w:val="nil"/>
              <w:bottom w:val="nil"/>
              <w:right w:val="nil"/>
            </w:tcBorders>
          </w:tcPr>
          <w:p w:rsidR="006D2C56" w:rsidRPr="00BC29E5" w:rsidRDefault="006D2C56" w:rsidP="00132D1A">
            <w:pPr>
              <w:rPr>
                <w:color w:val="000000"/>
                <w:sz w:val="22"/>
                <w:szCs w:val="22"/>
              </w:rPr>
            </w:pPr>
            <w:r w:rsidRPr="00535108">
              <w:rPr>
                <w:color w:val="000000"/>
                <w:sz w:val="22"/>
                <w:szCs w:val="22"/>
              </w:rPr>
              <w:t>Woomera Prohibited Area Rule 2014 Determination of Exclusion Periods for Amber Zone 1 and Amber Zone 2 for Financial Year 2014-2015 Amendment [F2015L00097]</w:t>
            </w:r>
          </w:p>
        </w:tc>
      </w:tr>
      <w:tr w:rsidR="006D2C56" w:rsidRPr="004B6804" w:rsidTr="00132D1A">
        <w:tc>
          <w:tcPr>
            <w:tcW w:w="8505" w:type="dxa"/>
            <w:tcBorders>
              <w:top w:val="nil"/>
              <w:left w:val="nil"/>
              <w:bottom w:val="nil"/>
              <w:right w:val="nil"/>
            </w:tcBorders>
          </w:tcPr>
          <w:p w:rsidR="006D2C56" w:rsidRPr="00043D76" w:rsidRDefault="006D2C56" w:rsidP="00132D1A">
            <w:pPr>
              <w:rPr>
                <w:color w:val="000000"/>
                <w:sz w:val="22"/>
                <w:szCs w:val="22"/>
              </w:rPr>
            </w:pPr>
            <w:r w:rsidRPr="00CD4279">
              <w:rPr>
                <w:color w:val="000000"/>
                <w:sz w:val="22"/>
                <w:szCs w:val="22"/>
              </w:rPr>
              <w:t>Woomera Prohibited Area Rule 2014 Determination of Exclusion Periods for Amber Zone 1 and Amber Zone 2 for Financial Year 2014 - 2015 Amendment No. 2 [F2015L00155]</w:t>
            </w:r>
          </w:p>
        </w:tc>
      </w:tr>
    </w:tbl>
    <w:p w:rsidR="006D2C56" w:rsidRPr="00117C8E" w:rsidRDefault="006D2C56" w:rsidP="006D2C56"/>
    <w:p w:rsidR="006D2C56" w:rsidRDefault="006D2C56" w:rsidP="00325264">
      <w:pPr>
        <w:sectPr w:rsidR="006D2C56" w:rsidSect="00B66643">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6D2C56" w:rsidRPr="0076670E" w:rsidRDefault="006D2C56" w:rsidP="006D2C56">
      <w:pPr>
        <w:pStyle w:val="Heading1"/>
      </w:pPr>
      <w:r w:rsidRPr="0076670E">
        <w:lastRenderedPageBreak/>
        <w:t>Chapter 2</w:t>
      </w:r>
    </w:p>
    <w:p w:rsidR="006D2C56" w:rsidRPr="0076670E" w:rsidRDefault="006D2C56" w:rsidP="006D2C56">
      <w:pPr>
        <w:pStyle w:val="Heading2"/>
      </w:pPr>
      <w:r w:rsidRPr="0076670E">
        <w:t>Concluded matters</w:t>
      </w:r>
    </w:p>
    <w:p w:rsidR="006D2C56" w:rsidRDefault="006D2C56" w:rsidP="006D2C56">
      <w:pPr>
        <w:pStyle w:val="Level1"/>
        <w:numPr>
          <w:ilvl w:val="0"/>
          <w:numId w:val="0"/>
        </w:numPr>
      </w:pPr>
    </w:p>
    <w:p w:rsidR="006D2C56" w:rsidRPr="0076670E" w:rsidRDefault="006D2C56" w:rsidP="006D2C56">
      <w:pPr>
        <w:pStyle w:val="Level1"/>
        <w:numPr>
          <w:ilvl w:val="0"/>
          <w:numId w:val="0"/>
        </w:numPr>
      </w:pPr>
      <w:r w:rsidRPr="0076670E">
        <w:t>This chapter lists matters previously raised by the committee and considered at its meeting on</w:t>
      </w:r>
      <w:r>
        <w:t xml:space="preserve"> </w:t>
      </w:r>
      <w:r>
        <w:rPr>
          <w:b/>
        </w:rPr>
        <w:t>4 March 2015</w:t>
      </w:r>
      <w:r w:rsidRPr="0076670E">
        <w:t>. The committee has concluded its interest in these matters on the basis of responses received from ministers or relevant instrument-makers.</w:t>
      </w:r>
    </w:p>
    <w:p w:rsidR="006D2C56" w:rsidRDefault="006D2C56" w:rsidP="006D2C56">
      <w:pPr>
        <w:pStyle w:val="Level1"/>
        <w:numPr>
          <w:ilvl w:val="0"/>
          <w:numId w:val="0"/>
        </w:numPr>
      </w:pPr>
      <w:r w:rsidRPr="0076670E">
        <w:t xml:space="preserve">Correspondence relating to these matters is included at Appendix </w:t>
      </w:r>
      <w:r>
        <w:t>1</w:t>
      </w:r>
      <w:r w:rsidRPr="0076670E">
        <w:t>.</w:t>
      </w:r>
    </w:p>
    <w:p w:rsidR="006D2C56" w:rsidRPr="002D6558" w:rsidRDefault="006D2C56" w:rsidP="006D2C56">
      <w:pPr>
        <w:pStyle w:val="Heading3"/>
      </w:pPr>
      <w:r w:rsidRPr="002D6558">
        <w:t>ASIC Class Order [CO 14/1118] [F2014L01484]</w:t>
      </w:r>
    </w:p>
    <w:tbl>
      <w:tblPr>
        <w:tblW w:w="0" w:type="auto"/>
        <w:tblInd w:w="108" w:type="dxa"/>
        <w:tblLook w:val="04A0" w:firstRow="1" w:lastRow="0" w:firstColumn="1" w:lastColumn="0" w:noHBand="0" w:noVBand="1"/>
      </w:tblPr>
      <w:tblGrid>
        <w:gridCol w:w="2694"/>
        <w:gridCol w:w="6378"/>
      </w:tblGrid>
      <w:tr w:rsidR="006D2C56" w:rsidTr="00132D1A">
        <w:tc>
          <w:tcPr>
            <w:tcW w:w="2694" w:type="dxa"/>
            <w:tcBorders>
              <w:top w:val="single" w:sz="12" w:space="0" w:color="auto"/>
              <w:left w:val="nil"/>
              <w:bottom w:val="nil"/>
              <w:right w:val="single" w:sz="12" w:space="0" w:color="auto"/>
            </w:tcBorders>
            <w:hideMark/>
          </w:tcPr>
          <w:p w:rsidR="006D2C56" w:rsidRDefault="006D2C56" w:rsidP="00132D1A">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6D2C56" w:rsidRPr="0047142C" w:rsidRDefault="006D2C56" w:rsidP="00132D1A">
            <w:pPr>
              <w:rPr>
                <w:i/>
                <w:sz w:val="24"/>
                <w:szCs w:val="24"/>
              </w:rPr>
            </w:pPr>
            <w:r>
              <w:rPr>
                <w:sz w:val="24"/>
                <w:szCs w:val="24"/>
              </w:rPr>
              <w:t>A</w:t>
            </w:r>
            <w:r w:rsidRPr="003A6E45">
              <w:rPr>
                <w:sz w:val="24"/>
                <w:szCs w:val="24"/>
              </w:rPr>
              <w:t xml:space="preserve">mends </w:t>
            </w:r>
            <w:r w:rsidRPr="00FD181D">
              <w:rPr>
                <w:sz w:val="24"/>
                <w:szCs w:val="24"/>
              </w:rPr>
              <w:t xml:space="preserve">the ASIC Class Order [CO 12/749] by extending the relief from the shorter </w:t>
            </w:r>
            <w:r w:rsidRPr="00A50EE2">
              <w:rPr>
                <w:sz w:val="24"/>
                <w:szCs w:val="24"/>
              </w:rPr>
              <w:t>Product Disclosure Statement</w:t>
            </w:r>
            <w:r>
              <w:rPr>
                <w:sz w:val="24"/>
                <w:szCs w:val="24"/>
              </w:rPr>
              <w:t xml:space="preserve"> (PDS)</w:t>
            </w:r>
            <w:r w:rsidRPr="00FD181D">
              <w:rPr>
                <w:sz w:val="24"/>
                <w:szCs w:val="24"/>
              </w:rPr>
              <w:t xml:space="preserve"> regime, that was due to expire on 30 June 2015, to 30 June 2016 pending the outcome of the Financial System Inquiry and further work by the Government on the shorter PDS regime</w:t>
            </w:r>
          </w:p>
        </w:tc>
      </w:tr>
      <w:tr w:rsidR="006D2C56" w:rsidTr="00132D1A">
        <w:tc>
          <w:tcPr>
            <w:tcW w:w="2694" w:type="dxa"/>
            <w:tcBorders>
              <w:top w:val="nil"/>
              <w:left w:val="nil"/>
              <w:bottom w:val="nil"/>
              <w:right w:val="single" w:sz="12" w:space="0" w:color="auto"/>
            </w:tcBorders>
            <w:hideMark/>
          </w:tcPr>
          <w:p w:rsidR="006D2C56" w:rsidRDefault="006D2C56" w:rsidP="00132D1A">
            <w:pPr>
              <w:rPr>
                <w:b/>
                <w:sz w:val="24"/>
                <w:szCs w:val="24"/>
              </w:rPr>
            </w:pPr>
            <w:r w:rsidRPr="00A77228">
              <w:rPr>
                <w:b/>
                <w:sz w:val="24"/>
                <w:szCs w:val="24"/>
              </w:rPr>
              <w:t>Last day to disallow</w:t>
            </w:r>
          </w:p>
        </w:tc>
        <w:tc>
          <w:tcPr>
            <w:tcW w:w="6378" w:type="dxa"/>
            <w:tcBorders>
              <w:top w:val="nil"/>
              <w:left w:val="single" w:sz="12" w:space="0" w:color="auto"/>
              <w:bottom w:val="nil"/>
              <w:right w:val="nil"/>
            </w:tcBorders>
            <w:hideMark/>
          </w:tcPr>
          <w:p w:rsidR="006D2C56" w:rsidRDefault="006D2C56" w:rsidP="00132D1A">
            <w:pPr>
              <w:rPr>
                <w:sz w:val="24"/>
                <w:szCs w:val="24"/>
              </w:rPr>
            </w:pPr>
            <w:r>
              <w:rPr>
                <w:noProof/>
                <w:sz w:val="24"/>
                <w:szCs w:val="24"/>
              </w:rPr>
              <w:t>2 March 2015</w:t>
            </w:r>
          </w:p>
        </w:tc>
      </w:tr>
      <w:tr w:rsidR="006D2C56" w:rsidTr="00132D1A">
        <w:tc>
          <w:tcPr>
            <w:tcW w:w="2694" w:type="dxa"/>
            <w:tcBorders>
              <w:top w:val="nil"/>
              <w:left w:val="nil"/>
              <w:bottom w:val="nil"/>
              <w:right w:val="single" w:sz="12" w:space="0" w:color="auto"/>
            </w:tcBorders>
            <w:hideMark/>
          </w:tcPr>
          <w:p w:rsidR="006D2C56" w:rsidRPr="003B4756" w:rsidRDefault="006D2C56" w:rsidP="00132D1A">
            <w:pPr>
              <w:rPr>
                <w:b/>
                <w:sz w:val="24"/>
                <w:szCs w:val="24"/>
              </w:rPr>
            </w:pPr>
            <w:r w:rsidRPr="003B4756">
              <w:rPr>
                <w:b/>
                <w:sz w:val="24"/>
                <w:szCs w:val="24"/>
              </w:rPr>
              <w:t>Authorising legislation</w:t>
            </w:r>
          </w:p>
        </w:tc>
        <w:tc>
          <w:tcPr>
            <w:tcW w:w="6378" w:type="dxa"/>
            <w:tcBorders>
              <w:top w:val="nil"/>
              <w:left w:val="single" w:sz="12" w:space="0" w:color="auto"/>
              <w:bottom w:val="nil"/>
              <w:right w:val="nil"/>
            </w:tcBorders>
            <w:hideMark/>
          </w:tcPr>
          <w:p w:rsidR="006D2C56" w:rsidRPr="003B4756" w:rsidRDefault="006D2C56" w:rsidP="00132D1A">
            <w:pPr>
              <w:rPr>
                <w:i/>
                <w:sz w:val="24"/>
                <w:szCs w:val="24"/>
              </w:rPr>
            </w:pPr>
            <w:r>
              <w:rPr>
                <w:i/>
                <w:noProof/>
                <w:sz w:val="24"/>
                <w:szCs w:val="24"/>
              </w:rPr>
              <w:t>Corporations Act 2001</w:t>
            </w:r>
          </w:p>
        </w:tc>
      </w:tr>
      <w:tr w:rsidR="006D2C56" w:rsidTr="00132D1A">
        <w:tc>
          <w:tcPr>
            <w:tcW w:w="2694" w:type="dxa"/>
            <w:tcBorders>
              <w:top w:val="nil"/>
              <w:left w:val="nil"/>
              <w:bottom w:val="single" w:sz="12" w:space="0" w:color="auto"/>
              <w:right w:val="single" w:sz="12" w:space="0" w:color="auto"/>
            </w:tcBorders>
            <w:hideMark/>
          </w:tcPr>
          <w:p w:rsidR="006D2C56" w:rsidRDefault="006D2C56" w:rsidP="00132D1A">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6D2C56" w:rsidRDefault="006D2C56" w:rsidP="00132D1A">
            <w:pPr>
              <w:rPr>
                <w:sz w:val="24"/>
                <w:szCs w:val="24"/>
              </w:rPr>
            </w:pPr>
            <w:r>
              <w:rPr>
                <w:noProof/>
                <w:sz w:val="24"/>
                <w:szCs w:val="24"/>
              </w:rPr>
              <w:t>Treasury</w:t>
            </w:r>
          </w:p>
        </w:tc>
      </w:tr>
    </w:tbl>
    <w:p w:rsidR="006D2C56" w:rsidRDefault="006D2C56" w:rsidP="006D2C56">
      <w:r>
        <w:rPr>
          <w:b/>
        </w:rPr>
        <w:t xml:space="preserve">[The committee first reported on this instrument in </w:t>
      </w:r>
      <w:r>
        <w:rPr>
          <w:b/>
          <w:i/>
        </w:rPr>
        <w:t xml:space="preserve">Delegated legislation monitor </w:t>
      </w:r>
      <w:r>
        <w:rPr>
          <w:b/>
        </w:rPr>
        <w:t>No. 17 of 2014]</w:t>
      </w:r>
    </w:p>
    <w:p w:rsidR="006D2C56" w:rsidRDefault="006D2C56" w:rsidP="006D2C56">
      <w:pPr>
        <w:rPr>
          <w:b/>
          <w:szCs w:val="26"/>
        </w:rPr>
      </w:pPr>
      <w:r>
        <w:rPr>
          <w:b/>
          <w:szCs w:val="26"/>
        </w:rPr>
        <w:t>Issue:</w:t>
      </w:r>
    </w:p>
    <w:p w:rsidR="006D2C56" w:rsidRPr="002D6558" w:rsidRDefault="006D2C56" w:rsidP="006D2C56">
      <w:pPr>
        <w:rPr>
          <w:i/>
        </w:rPr>
      </w:pPr>
      <w:r w:rsidRPr="002D6558">
        <w:rPr>
          <w:i/>
        </w:rPr>
        <w:t>Timetable for making of substantive amendments to principal legislation</w:t>
      </w:r>
    </w:p>
    <w:p w:rsidR="006D2C56" w:rsidRPr="002D6558" w:rsidRDefault="006D2C56" w:rsidP="006D2C56">
      <w:r w:rsidRPr="002D6558">
        <w:t>Scrutiny principle (d) of the committee's terms of reference requires the committee to consider whether an instrument contains matters more appropriate for parliamentary enactment (that is, matters that should be enacted via pr</w:t>
      </w:r>
      <w:r>
        <w:t>imary</w:t>
      </w:r>
      <w:r w:rsidRPr="002D6558">
        <w:t xml:space="preserve"> rather than delegated legislation). This may include instruments which extend relief from compliance with principal legislation.</w:t>
      </w:r>
    </w:p>
    <w:p w:rsidR="006D2C56" w:rsidRDefault="006D2C56" w:rsidP="006D2C56">
      <w:r w:rsidRPr="002D6558">
        <w:t>The Corporations Amendment Regulations 2010 (No 5) established a new shorter Product Disclosure Statement (PDS) regime under Subdivision 4.2B (for superannuation products) and Subdivision 4.2C (for simple managed investment schemes) of Division 4 of Part 7.9 of the Corporations Regulation</w:t>
      </w:r>
      <w:r>
        <w:t>s 2001. The shorter PDS regime</w:t>
      </w:r>
      <w:r w:rsidRPr="002D6558">
        <w:t xml:space="preserve"> commenced </w:t>
      </w:r>
      <w:r>
        <w:t xml:space="preserve">in full </w:t>
      </w:r>
      <w:r w:rsidRPr="002D6558">
        <w:t>on 22 June 2012. ASIC Class Order [CO 12/749] provided interim relief, until 30 June 2015, excluding multi</w:t>
      </w:r>
      <w:r>
        <w:t>-</w:t>
      </w:r>
      <w:r w:rsidRPr="002D6558">
        <w:t xml:space="preserve">funds, superannuation platforms and hedge funds from the shorter PDS regime. </w:t>
      </w:r>
    </w:p>
    <w:p w:rsidR="006D2C56" w:rsidRPr="002D6558" w:rsidRDefault="006D2C56" w:rsidP="006D2C56">
      <w:r w:rsidRPr="002D6558">
        <w:t>Th</w:t>
      </w:r>
      <w:r>
        <w:t>i</w:t>
      </w:r>
      <w:r w:rsidRPr="002D6558">
        <w:t>s instrument extends</w:t>
      </w:r>
      <w:r>
        <w:t xml:space="preserve">, </w:t>
      </w:r>
      <w:r w:rsidRPr="002D6558">
        <w:t>until 30 June 2016</w:t>
      </w:r>
      <w:r>
        <w:t xml:space="preserve">, </w:t>
      </w:r>
      <w:r w:rsidRPr="002D6558">
        <w:t>the relief provided by Class Order [CO 12/749], pending the outcome of the Financial Syst</w:t>
      </w:r>
      <w:r>
        <w:t xml:space="preserve">em Inquiry and further work by </w:t>
      </w:r>
      <w:r>
        <w:lastRenderedPageBreak/>
        <w:t>g</w:t>
      </w:r>
      <w:r w:rsidRPr="002D6558">
        <w:t>overnment on the application of the shorter PDS regime to superannuation platforms, multi</w:t>
      </w:r>
      <w:r>
        <w:t>-</w:t>
      </w:r>
      <w:r w:rsidRPr="002D6558">
        <w:t>funds and hedge funds.</w:t>
      </w:r>
    </w:p>
    <w:p w:rsidR="006D2C56" w:rsidRPr="002D6558" w:rsidRDefault="006D2C56" w:rsidP="006D2C56">
      <w:r w:rsidRPr="002D6558">
        <w:t>The committee notes th</w:t>
      </w:r>
      <w:r>
        <w:t>e</w:t>
      </w:r>
      <w:r w:rsidRPr="002D6558">
        <w:t xml:space="preserve"> instrument extends the previous three years of relief by a further 12 months. The committee generally prefers that relief from compliance with an Act effected via legislative instrument does not operate as a de facto amendment to </w:t>
      </w:r>
      <w:r>
        <w:t>primary legislation.</w:t>
      </w:r>
    </w:p>
    <w:p w:rsidR="006D2C56" w:rsidRDefault="006D2C56" w:rsidP="006D2C56">
      <w:pPr>
        <w:rPr>
          <w:b/>
        </w:rPr>
      </w:pPr>
      <w:r>
        <w:rPr>
          <w:b/>
        </w:rPr>
        <w:t>[</w:t>
      </w:r>
      <w:r w:rsidRPr="00330A99">
        <w:rPr>
          <w:b/>
        </w:rPr>
        <w:t xml:space="preserve">Noting the final report of the Financial System Inquiry </w:t>
      </w:r>
      <w:r>
        <w:rPr>
          <w:b/>
        </w:rPr>
        <w:t>wa</w:t>
      </w:r>
      <w:r w:rsidRPr="00330A99">
        <w:rPr>
          <w:b/>
        </w:rPr>
        <w:t>s to be provided to the Treasurer by November 2014,</w:t>
      </w:r>
      <w:r w:rsidRPr="00330A99">
        <w:rPr>
          <w:rStyle w:val="FootnoteReference"/>
          <w:b/>
        </w:rPr>
        <w:footnoteReference w:id="5"/>
      </w:r>
      <w:r w:rsidRPr="00330A99">
        <w:rPr>
          <w:b/>
        </w:rPr>
        <w:t xml:space="preserve"> the committee s</w:t>
      </w:r>
      <w:r>
        <w:rPr>
          <w:b/>
        </w:rPr>
        <w:t>ought</w:t>
      </w:r>
      <w:r w:rsidRPr="00330A99">
        <w:rPr>
          <w:b/>
        </w:rPr>
        <w:t xml:space="preserve"> the minister's advice as to the progress of the further work by government on the application of the shorter PDS regime to superannuation platforms, multi-funds and hedge funds; and the appropriateness of continuing to provide relief via legislative instrument in this case</w:t>
      </w:r>
      <w:r>
        <w:rPr>
          <w:b/>
        </w:rPr>
        <w:t>]</w:t>
      </w:r>
      <w:r w:rsidRPr="00330A99">
        <w:rPr>
          <w:b/>
        </w:rPr>
        <w:t>.</w:t>
      </w:r>
    </w:p>
    <w:p w:rsidR="006D2C56" w:rsidRPr="007107BE" w:rsidRDefault="006D2C56" w:rsidP="006D2C56">
      <w:pPr>
        <w:rPr>
          <w:b/>
        </w:rPr>
      </w:pPr>
      <w:bookmarkStart w:id="20" w:name="OLE_LINK1"/>
      <w:r w:rsidRPr="007107BE">
        <w:rPr>
          <w:b/>
        </w:rPr>
        <w:t>MINISTER'S RESPONSE:</w:t>
      </w:r>
    </w:p>
    <w:p w:rsidR="006D2C56" w:rsidRDefault="006D2C56" w:rsidP="006D2C56">
      <w:pPr>
        <w:pStyle w:val="Level1"/>
        <w:numPr>
          <w:ilvl w:val="0"/>
          <w:numId w:val="0"/>
        </w:numPr>
      </w:pPr>
      <w:r>
        <w:t xml:space="preserve">The </w:t>
      </w:r>
      <w:bookmarkEnd w:id="20"/>
      <w:r>
        <w:t>Assistant Treasurer advised that the Class Order, in providing extended relief from the Corporations Regulations 2001, effectively restored the operation of the primary legislation pending the outcome of the government's response to the Financial System Inquiry:</w:t>
      </w:r>
    </w:p>
    <w:p w:rsidR="006D2C56" w:rsidRPr="006609C7" w:rsidRDefault="006D2C56" w:rsidP="006D2C56">
      <w:pPr>
        <w:pStyle w:val="Quote"/>
      </w:pPr>
      <w:r w:rsidRPr="006609C7">
        <w:t>ASIC Class Order [C014/1118] extends regulatory relief from the shorter Product Disclosure</w:t>
      </w:r>
      <w:r>
        <w:t xml:space="preserve"> </w:t>
      </w:r>
      <w:r w:rsidRPr="006609C7">
        <w:t>Statement (PDS) regime, originally granted in ASIC Class Order [C012/749], by a year to 30 June</w:t>
      </w:r>
      <w:r>
        <w:t xml:space="preserve"> </w:t>
      </w:r>
      <w:r w:rsidRPr="006609C7">
        <w:t>2016. The shorter PDS regime is contained in a legislative instrument, the Corporations Regulations 2001,</w:t>
      </w:r>
      <w:r>
        <w:t xml:space="preserve"> </w:t>
      </w:r>
      <w:r w:rsidRPr="006609C7">
        <w:t xml:space="preserve">and acts as an alternative regime to the PDS requirements in </w:t>
      </w:r>
      <w:r>
        <w:t>the primary legislation, the Cor</w:t>
      </w:r>
      <w:r w:rsidRPr="006609C7">
        <w:t>porations Act</w:t>
      </w:r>
      <w:r>
        <w:t xml:space="preserve"> </w:t>
      </w:r>
      <w:r w:rsidRPr="006609C7">
        <w:t>2001.</w:t>
      </w:r>
    </w:p>
    <w:p w:rsidR="006D2C56" w:rsidRPr="006609C7" w:rsidRDefault="006D2C56" w:rsidP="006D2C56">
      <w:pPr>
        <w:pStyle w:val="Quote"/>
      </w:pPr>
      <w:r w:rsidRPr="006609C7">
        <w:t>The shorter PDS regime applies to simple managed investment schemes (MIS). Whether a MIS is</w:t>
      </w:r>
      <w:r>
        <w:t xml:space="preserve"> </w:t>
      </w:r>
      <w:r w:rsidRPr="006609C7">
        <w:t>simple depends on whether it meets one of the liquidity tests, for example, whether 80 per cent of its</w:t>
      </w:r>
      <w:r>
        <w:t xml:space="preserve"> </w:t>
      </w:r>
      <w:r w:rsidRPr="006609C7">
        <w:t>assets in investments could be realised at market value within ten days.</w:t>
      </w:r>
    </w:p>
    <w:p w:rsidR="006D2C56" w:rsidRPr="006609C7" w:rsidRDefault="006D2C56" w:rsidP="006D2C56">
      <w:pPr>
        <w:pStyle w:val="Quote"/>
      </w:pPr>
      <w:r w:rsidRPr="006609C7">
        <w:t>As presently defined, the term 'simple MIS' inadvertently captures MIS which are liquid but would not</w:t>
      </w:r>
      <w:r>
        <w:t xml:space="preserve"> </w:t>
      </w:r>
      <w:r w:rsidRPr="006609C7">
        <w:t>be considered simple. This includes some superannuation platforms, multi-funds and hedge funds.</w:t>
      </w:r>
      <w:r>
        <w:t xml:space="preserve"> </w:t>
      </w:r>
      <w:r w:rsidRPr="006609C7">
        <w:t>The shorter PDS regime may be inappropriate for these more complex MIS and further work is</w:t>
      </w:r>
      <w:r>
        <w:t xml:space="preserve"> </w:t>
      </w:r>
      <w:r w:rsidRPr="006609C7">
        <w:t>required to determine whether and how the shorter PDS regime should apply. For this reason, the</w:t>
      </w:r>
      <w:r>
        <w:t xml:space="preserve"> </w:t>
      </w:r>
      <w:r w:rsidRPr="006609C7">
        <w:t>former Government provided exemptions for each of these categories of MIS from the shorter PDS</w:t>
      </w:r>
      <w:r>
        <w:t xml:space="preserve"> </w:t>
      </w:r>
      <w:r w:rsidRPr="006609C7">
        <w:t>regime in 2012.</w:t>
      </w:r>
    </w:p>
    <w:p w:rsidR="006D2C56" w:rsidRDefault="006D2C56" w:rsidP="006D2C56">
      <w:pPr>
        <w:pStyle w:val="Quote"/>
      </w:pPr>
      <w:r w:rsidRPr="006609C7">
        <w:t>I note the Committee's request for advice as to the progress of the Governments work on application</w:t>
      </w:r>
      <w:r>
        <w:t xml:space="preserve"> </w:t>
      </w:r>
      <w:r w:rsidRPr="006609C7">
        <w:t>of the shorter PDS regime to superannuation platforms, multi-funds and hedge funds, and on the</w:t>
      </w:r>
      <w:r>
        <w:t xml:space="preserve"> </w:t>
      </w:r>
      <w:r w:rsidRPr="006609C7">
        <w:lastRenderedPageBreak/>
        <w:t>appropriateness of continuing to provide relief from the shorter PDS regime via legislative instrument.</w:t>
      </w:r>
    </w:p>
    <w:p w:rsidR="006D2C56" w:rsidRDefault="006D2C56" w:rsidP="006D2C56">
      <w:pPr>
        <w:pStyle w:val="Quote"/>
      </w:pPr>
      <w:r w:rsidRPr="006609C7">
        <w:t>For the re</w:t>
      </w:r>
      <w:r>
        <w:t xml:space="preserve">asons which follow, I consider </w:t>
      </w:r>
      <w:r w:rsidRPr="006609C7">
        <w:t>that it is appropriate to continue providing relief from the</w:t>
      </w:r>
      <w:r>
        <w:t xml:space="preserve"> </w:t>
      </w:r>
      <w:r w:rsidRPr="006609C7">
        <w:t>shorter PDS re</w:t>
      </w:r>
      <w:r>
        <w:t>gime through ASIC Class Order [CO</w:t>
      </w:r>
      <w:r w:rsidRPr="006609C7">
        <w:t>14/1118</w:t>
      </w:r>
      <w:r>
        <w:t>]</w:t>
      </w:r>
      <w:r w:rsidRPr="006609C7">
        <w:t>.</w:t>
      </w:r>
    </w:p>
    <w:p w:rsidR="006D2C56" w:rsidRPr="006609C7" w:rsidRDefault="006D2C56" w:rsidP="006D2C56">
      <w:pPr>
        <w:pStyle w:val="Quote"/>
      </w:pPr>
      <w:r w:rsidRPr="006609C7">
        <w:t xml:space="preserve">As the Committee notes in its </w:t>
      </w:r>
      <w:r w:rsidRPr="006609C7">
        <w:rPr>
          <w:i/>
        </w:rPr>
        <w:t>Delegated legislation monitor</w:t>
      </w:r>
      <w:r w:rsidRPr="006609C7">
        <w:t xml:space="preserve"> No 17 of 2014, the regulatory relief provided in</w:t>
      </w:r>
      <w:r>
        <w:t xml:space="preserve"> </w:t>
      </w:r>
      <w:r w:rsidRPr="006609C7">
        <w:t>Class Order [C014/1118] was extended pending the outcome of the Financial System Inquiry (the</w:t>
      </w:r>
      <w:r>
        <w:t xml:space="preserve"> </w:t>
      </w:r>
      <w:r w:rsidRPr="006609C7">
        <w:t>Inquiry), and the Government's work on application of the shorter PDS regime to more complex MIS.</w:t>
      </w:r>
    </w:p>
    <w:p w:rsidR="006D2C56" w:rsidRPr="006609C7" w:rsidRDefault="006D2C56" w:rsidP="006D2C56">
      <w:pPr>
        <w:pStyle w:val="Quote"/>
      </w:pPr>
      <w:r>
        <w:t>The</w:t>
      </w:r>
      <w:r w:rsidRPr="006609C7">
        <w:t xml:space="preserve"> Government was unable to progress this work whilst the Inquiry was ongoing as the Inquiry may</w:t>
      </w:r>
      <w:r>
        <w:t xml:space="preserve"> </w:t>
      </w:r>
      <w:r w:rsidRPr="006609C7">
        <w:t>have recommended significant changes to the existing disclosure regime. The Inquiry's Final Report</w:t>
      </w:r>
      <w:r>
        <w:t xml:space="preserve"> </w:t>
      </w:r>
      <w:r w:rsidRPr="006609C7">
        <w:t>was released on 7 December 2014. The Government announced that it intends to consult on the</w:t>
      </w:r>
      <w:r>
        <w:t xml:space="preserve"> </w:t>
      </w:r>
      <w:r w:rsidRPr="006609C7">
        <w:t>Inquiry's final report before making any decisions on the recommendations. Written submissions will</w:t>
      </w:r>
      <w:r>
        <w:t xml:space="preserve"> </w:t>
      </w:r>
      <w:r w:rsidRPr="006609C7">
        <w:t>be accepted until 31 March 2015.</w:t>
      </w:r>
    </w:p>
    <w:p w:rsidR="006D2C56" w:rsidRPr="006609C7" w:rsidRDefault="006D2C56" w:rsidP="006D2C56">
      <w:pPr>
        <w:pStyle w:val="Quote"/>
      </w:pPr>
      <w:r w:rsidRPr="006609C7">
        <w:t>I understand the Committee's preference that relief from compliance with an Act which is effected via</w:t>
      </w:r>
      <w:r>
        <w:t xml:space="preserve"> </w:t>
      </w:r>
      <w:r w:rsidRPr="006609C7">
        <w:t>legislative instrument does not operate as a de facto amendment to primary legislation. In this case,</w:t>
      </w:r>
      <w:r>
        <w:t xml:space="preserve"> </w:t>
      </w:r>
      <w:r w:rsidRPr="006609C7">
        <w:t>ASIC Class Order [C014/1118] effectively restores the operation of the primary legislation, the</w:t>
      </w:r>
      <w:r>
        <w:t xml:space="preserve"> </w:t>
      </w:r>
      <w:r w:rsidRPr="006609C7">
        <w:rPr>
          <w:i/>
        </w:rPr>
        <w:t>Corporations Act 2001</w:t>
      </w:r>
      <w:r w:rsidRPr="006609C7">
        <w:t>, providing relief from the alternative regime provided for in the Corporations</w:t>
      </w:r>
      <w:r>
        <w:t xml:space="preserve"> Regu</w:t>
      </w:r>
      <w:r w:rsidRPr="006609C7">
        <w:t>lations 2001.</w:t>
      </w:r>
    </w:p>
    <w:p w:rsidR="006D2C56" w:rsidRPr="0076670E" w:rsidRDefault="006D2C56" w:rsidP="006D2C56">
      <w:pPr>
        <w:pStyle w:val="Level1"/>
        <w:numPr>
          <w:ilvl w:val="0"/>
          <w:numId w:val="0"/>
        </w:numPr>
        <w:rPr>
          <w:b/>
        </w:rPr>
      </w:pPr>
      <w:r w:rsidRPr="0076670E">
        <w:rPr>
          <w:b/>
        </w:rPr>
        <w:t>COMMITTEE RESPONSE:</w:t>
      </w:r>
    </w:p>
    <w:p w:rsidR="006D2C56" w:rsidRDefault="006D2C56" w:rsidP="006D2C56">
      <w:pPr>
        <w:pStyle w:val="Level1"/>
        <w:numPr>
          <w:ilvl w:val="0"/>
          <w:numId w:val="0"/>
        </w:numPr>
        <w:rPr>
          <w:b/>
        </w:rPr>
      </w:pPr>
      <w:r w:rsidRPr="001065DB">
        <w:rPr>
          <w:b/>
        </w:rPr>
        <w:t xml:space="preserve">The committee thanks the </w:t>
      </w:r>
      <w:r>
        <w:rPr>
          <w:b/>
        </w:rPr>
        <w:t>Assistant Treasurer</w:t>
      </w:r>
      <w:r w:rsidRPr="001065DB">
        <w:rPr>
          <w:b/>
        </w:rPr>
        <w:t xml:space="preserve"> for his response and has</w:t>
      </w:r>
      <w:r>
        <w:rPr>
          <w:b/>
        </w:rPr>
        <w:t xml:space="preserve">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6D2C56" w:rsidRDefault="006D2C56" w:rsidP="006D2C56">
      <w:pPr>
        <w:pStyle w:val="Level1"/>
        <w:numPr>
          <w:ilvl w:val="0"/>
          <w:numId w:val="0"/>
        </w:numPr>
        <w:rPr>
          <w:b/>
        </w:rPr>
      </w:pPr>
    </w:p>
    <w:p w:rsidR="006D2C56" w:rsidRDefault="006D2C56" w:rsidP="006D2C56">
      <w:pPr>
        <w:pStyle w:val="Heading3"/>
        <w:spacing w:after="0"/>
      </w:pPr>
      <w:r w:rsidRPr="00FB11EB">
        <w:rPr>
          <w:noProof/>
        </w:rPr>
        <w:t>Fair Work (Registered Organisations) Act 2009 - Reporting guidelines for the purposes of section 253 [F2014L01755]</w:t>
      </w:r>
    </w:p>
    <w:p w:rsidR="006D2C56" w:rsidRPr="001E0577" w:rsidRDefault="006D2C56" w:rsidP="006D2C56"/>
    <w:tbl>
      <w:tblPr>
        <w:tblW w:w="0" w:type="auto"/>
        <w:tblInd w:w="108" w:type="dxa"/>
        <w:tblLook w:val="04A0" w:firstRow="1" w:lastRow="0" w:firstColumn="1" w:lastColumn="0" w:noHBand="0" w:noVBand="1"/>
      </w:tblPr>
      <w:tblGrid>
        <w:gridCol w:w="2694"/>
        <w:gridCol w:w="6378"/>
      </w:tblGrid>
      <w:tr w:rsidR="006D2C56" w:rsidRPr="00164622" w:rsidTr="00132D1A">
        <w:tc>
          <w:tcPr>
            <w:tcW w:w="2694" w:type="dxa"/>
            <w:tcBorders>
              <w:top w:val="single" w:sz="12" w:space="0" w:color="auto"/>
              <w:right w:val="single" w:sz="12" w:space="0" w:color="auto"/>
            </w:tcBorders>
          </w:tcPr>
          <w:p w:rsidR="006D2C56" w:rsidRPr="00A77228" w:rsidRDefault="006D2C56" w:rsidP="00132D1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6D2C56" w:rsidRPr="00A77228" w:rsidRDefault="006D2C56" w:rsidP="00132D1A">
            <w:pPr>
              <w:rPr>
                <w:sz w:val="24"/>
                <w:szCs w:val="24"/>
              </w:rPr>
            </w:pPr>
            <w:r w:rsidRPr="00FB11EB">
              <w:rPr>
                <w:noProof/>
                <w:sz w:val="24"/>
                <w:szCs w:val="24"/>
              </w:rPr>
              <w:t xml:space="preserve">Provides for reporting guidelines for the purposes of section 253 of the </w:t>
            </w:r>
            <w:r w:rsidRPr="00EF7A50">
              <w:rPr>
                <w:i/>
                <w:noProof/>
                <w:sz w:val="24"/>
                <w:szCs w:val="24"/>
              </w:rPr>
              <w:t>Fair Work (Registered Organisations) Act 2009</w:t>
            </w:r>
          </w:p>
        </w:tc>
      </w:tr>
      <w:tr w:rsidR="006D2C56" w:rsidRPr="00164622" w:rsidTr="00132D1A">
        <w:tc>
          <w:tcPr>
            <w:tcW w:w="2694" w:type="dxa"/>
            <w:tcBorders>
              <w:right w:val="single" w:sz="12" w:space="0" w:color="auto"/>
            </w:tcBorders>
          </w:tcPr>
          <w:p w:rsidR="006D2C56" w:rsidRPr="00A77228" w:rsidRDefault="006D2C56" w:rsidP="00132D1A">
            <w:pPr>
              <w:rPr>
                <w:b/>
                <w:sz w:val="24"/>
                <w:szCs w:val="24"/>
              </w:rPr>
            </w:pPr>
            <w:r w:rsidRPr="00A77228">
              <w:rPr>
                <w:b/>
                <w:sz w:val="24"/>
                <w:szCs w:val="24"/>
              </w:rPr>
              <w:t>Last day to disallow</w:t>
            </w:r>
          </w:p>
        </w:tc>
        <w:tc>
          <w:tcPr>
            <w:tcW w:w="6378" w:type="dxa"/>
            <w:tcBorders>
              <w:left w:val="single" w:sz="12" w:space="0" w:color="auto"/>
            </w:tcBorders>
          </w:tcPr>
          <w:p w:rsidR="006D2C56" w:rsidRPr="00A77228" w:rsidRDefault="006D2C56" w:rsidP="00132D1A">
            <w:pPr>
              <w:rPr>
                <w:sz w:val="24"/>
                <w:szCs w:val="24"/>
              </w:rPr>
            </w:pPr>
            <w:r w:rsidRPr="00FB11EB">
              <w:rPr>
                <w:noProof/>
                <w:sz w:val="24"/>
                <w:szCs w:val="24"/>
              </w:rPr>
              <w:t>26 March 2015</w:t>
            </w:r>
          </w:p>
        </w:tc>
      </w:tr>
      <w:tr w:rsidR="006D2C56" w:rsidRPr="00164622" w:rsidTr="00132D1A">
        <w:tc>
          <w:tcPr>
            <w:tcW w:w="2694" w:type="dxa"/>
            <w:tcBorders>
              <w:right w:val="single" w:sz="12" w:space="0" w:color="auto"/>
            </w:tcBorders>
          </w:tcPr>
          <w:p w:rsidR="006D2C56" w:rsidRPr="00A77228" w:rsidRDefault="006D2C56" w:rsidP="00132D1A">
            <w:pPr>
              <w:rPr>
                <w:b/>
                <w:sz w:val="24"/>
                <w:szCs w:val="24"/>
              </w:rPr>
            </w:pPr>
            <w:r w:rsidRPr="00A77228">
              <w:rPr>
                <w:b/>
                <w:sz w:val="24"/>
                <w:szCs w:val="24"/>
              </w:rPr>
              <w:t>Authorising legislation</w:t>
            </w:r>
          </w:p>
        </w:tc>
        <w:tc>
          <w:tcPr>
            <w:tcW w:w="6378" w:type="dxa"/>
            <w:tcBorders>
              <w:left w:val="single" w:sz="12" w:space="0" w:color="auto"/>
            </w:tcBorders>
          </w:tcPr>
          <w:p w:rsidR="006D2C56" w:rsidRPr="00932D1C" w:rsidRDefault="006D2C56" w:rsidP="00132D1A">
            <w:pPr>
              <w:rPr>
                <w:i/>
                <w:sz w:val="24"/>
                <w:szCs w:val="24"/>
              </w:rPr>
            </w:pPr>
            <w:r w:rsidRPr="00FB11EB">
              <w:rPr>
                <w:i/>
                <w:noProof/>
                <w:sz w:val="24"/>
                <w:szCs w:val="24"/>
              </w:rPr>
              <w:t>Fair Work (Registered Organisations) Act 2009</w:t>
            </w:r>
          </w:p>
        </w:tc>
      </w:tr>
      <w:tr w:rsidR="006D2C56" w:rsidRPr="00164622" w:rsidTr="00132D1A">
        <w:tc>
          <w:tcPr>
            <w:tcW w:w="2694" w:type="dxa"/>
            <w:tcBorders>
              <w:bottom w:val="single" w:sz="12" w:space="0" w:color="auto"/>
              <w:right w:val="single" w:sz="12" w:space="0" w:color="auto"/>
            </w:tcBorders>
          </w:tcPr>
          <w:p w:rsidR="006D2C56" w:rsidRPr="00A77228" w:rsidRDefault="006D2C56" w:rsidP="00132D1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6D2C56" w:rsidRPr="00A77228" w:rsidRDefault="006D2C56" w:rsidP="00132D1A">
            <w:pPr>
              <w:rPr>
                <w:sz w:val="24"/>
                <w:szCs w:val="24"/>
              </w:rPr>
            </w:pPr>
            <w:r w:rsidRPr="00FB11EB">
              <w:rPr>
                <w:noProof/>
                <w:sz w:val="24"/>
                <w:szCs w:val="24"/>
              </w:rPr>
              <w:t>Fair Work Commission</w:t>
            </w:r>
          </w:p>
        </w:tc>
      </w:tr>
    </w:tbl>
    <w:p w:rsidR="006D2C56" w:rsidRDefault="006D2C56" w:rsidP="006D2C56">
      <w:r>
        <w:rPr>
          <w:b/>
        </w:rPr>
        <w:t xml:space="preserve">[The committee first reported on this instrument in </w:t>
      </w:r>
      <w:r>
        <w:rPr>
          <w:b/>
          <w:i/>
        </w:rPr>
        <w:t xml:space="preserve">Delegated legislation monitor </w:t>
      </w:r>
      <w:r>
        <w:rPr>
          <w:b/>
        </w:rPr>
        <w:t>No. 1 of 2015]</w:t>
      </w:r>
    </w:p>
    <w:p w:rsidR="006D2C56" w:rsidRPr="00164622" w:rsidRDefault="006D2C56" w:rsidP="006D2C56">
      <w:pPr>
        <w:rPr>
          <w:b/>
          <w:szCs w:val="26"/>
        </w:rPr>
      </w:pPr>
      <w:r w:rsidRPr="00164622">
        <w:rPr>
          <w:b/>
          <w:szCs w:val="26"/>
        </w:rPr>
        <w:lastRenderedPageBreak/>
        <w:t>Issue:</w:t>
      </w:r>
    </w:p>
    <w:p w:rsidR="006D2C56" w:rsidRPr="00164622" w:rsidRDefault="006D2C56" w:rsidP="006D2C56">
      <w:pPr>
        <w:rPr>
          <w:i/>
          <w:noProof/>
          <w:szCs w:val="26"/>
        </w:rPr>
      </w:pPr>
      <w:r w:rsidRPr="00FB11EB">
        <w:rPr>
          <w:i/>
          <w:noProof/>
          <w:szCs w:val="26"/>
        </w:rPr>
        <w:t>Retrospective effect of instrument</w:t>
      </w:r>
    </w:p>
    <w:p w:rsidR="006D2C56" w:rsidRDefault="006D2C56" w:rsidP="006D2C56">
      <w:pPr>
        <w:rPr>
          <w:noProof/>
          <w:szCs w:val="26"/>
        </w:rPr>
      </w:pPr>
      <w:r w:rsidRPr="00FB11EB">
        <w:rPr>
          <w:noProof/>
          <w:szCs w:val="26"/>
        </w:rPr>
        <w:t xml:space="preserve">The instrument determines reporting obligations for 'reporting units' to which the </w:t>
      </w:r>
      <w:r w:rsidRPr="00673050">
        <w:rPr>
          <w:i/>
          <w:noProof/>
          <w:szCs w:val="26"/>
        </w:rPr>
        <w:t xml:space="preserve">Fair Work (Registered Organisations) Act 2009 </w:t>
      </w:r>
      <w:r w:rsidRPr="00FB11EB">
        <w:rPr>
          <w:noProof/>
          <w:szCs w:val="26"/>
        </w:rPr>
        <w:t xml:space="preserve">applies. Section 4 of the instrument provides that the 'operative date' for the instrument is 'each financial year of a reporting unit that ends on or after 30 June 2014'. The instrument therefore applies </w:t>
      </w:r>
      <w:r>
        <w:rPr>
          <w:noProof/>
          <w:szCs w:val="26"/>
        </w:rPr>
        <w:t>in relation to the 2013-</w:t>
      </w:r>
      <w:r w:rsidRPr="00FB11EB">
        <w:rPr>
          <w:noProof/>
          <w:szCs w:val="26"/>
        </w:rPr>
        <w:t>14 financial year and has the effect of altering the reporting obligations that existed at the start of that financial year.</w:t>
      </w:r>
      <w:r>
        <w:rPr>
          <w:noProof/>
          <w:szCs w:val="26"/>
        </w:rPr>
        <w:t xml:space="preserve"> </w:t>
      </w:r>
      <w:r w:rsidRPr="00EF4E65">
        <w:rPr>
          <w:noProof/>
          <w:szCs w:val="26"/>
        </w:rPr>
        <w:t xml:space="preserve">Although the instrument is not strictly retrospective, </w:t>
      </w:r>
      <w:r>
        <w:rPr>
          <w:noProof/>
          <w:szCs w:val="26"/>
        </w:rPr>
        <w:t xml:space="preserve">the altering of the prior </w:t>
      </w:r>
      <w:r w:rsidRPr="00FB11EB">
        <w:rPr>
          <w:noProof/>
          <w:szCs w:val="26"/>
        </w:rPr>
        <w:t xml:space="preserve">reporting obligations </w:t>
      </w:r>
      <w:r>
        <w:rPr>
          <w:noProof/>
          <w:szCs w:val="26"/>
        </w:rPr>
        <w:t xml:space="preserve">for 2013-14 may be regarded as being retrospective in effect. </w:t>
      </w:r>
      <w:r w:rsidRPr="00EF4E65">
        <w:rPr>
          <w:noProof/>
          <w:szCs w:val="26"/>
        </w:rPr>
        <w:t xml:space="preserve">The committee's usual approach </w:t>
      </w:r>
      <w:r>
        <w:rPr>
          <w:noProof/>
          <w:szCs w:val="26"/>
        </w:rPr>
        <w:t xml:space="preserve">is </w:t>
      </w:r>
      <w:r w:rsidRPr="00EF4E65">
        <w:rPr>
          <w:noProof/>
          <w:szCs w:val="26"/>
        </w:rPr>
        <w:t>to assess such cases against the requirement to ensure that instruments of delegated legislation do not unduly trespass on personal rights and liberties (scrutiny principle</w:t>
      </w:r>
      <w:r>
        <w:rPr>
          <w:noProof/>
          <w:szCs w:val="26"/>
        </w:rPr>
        <w:t> </w:t>
      </w:r>
      <w:r w:rsidRPr="00EF4E65">
        <w:rPr>
          <w:noProof/>
          <w:szCs w:val="26"/>
        </w:rPr>
        <w:t>(b)).</w:t>
      </w:r>
      <w:r>
        <w:rPr>
          <w:noProof/>
          <w:szCs w:val="26"/>
        </w:rPr>
        <w:t xml:space="preserve"> </w:t>
      </w:r>
      <w:r w:rsidRPr="00FB11EB">
        <w:rPr>
          <w:noProof/>
          <w:szCs w:val="26"/>
        </w:rPr>
        <w:t xml:space="preserve">The committee notes that the General Manager of the Fair Work Commission consulted prior to 30 June 2014 with persons (or their representatives) likely to be affected by the instrument. </w:t>
      </w:r>
      <w:r>
        <w:rPr>
          <w:noProof/>
          <w:szCs w:val="26"/>
        </w:rPr>
        <w:t>However, t</w:t>
      </w:r>
      <w:r w:rsidRPr="00FB11EB">
        <w:rPr>
          <w:noProof/>
          <w:szCs w:val="26"/>
        </w:rPr>
        <w:t xml:space="preserve">he committee's usual expectation is that </w:t>
      </w:r>
      <w:r>
        <w:rPr>
          <w:noProof/>
          <w:szCs w:val="26"/>
        </w:rPr>
        <w:t xml:space="preserve">the </w:t>
      </w:r>
      <w:r w:rsidRPr="00FB11EB">
        <w:rPr>
          <w:noProof/>
          <w:szCs w:val="26"/>
        </w:rPr>
        <w:t xml:space="preserve">matter </w:t>
      </w:r>
      <w:r>
        <w:rPr>
          <w:noProof/>
          <w:szCs w:val="26"/>
        </w:rPr>
        <w:t xml:space="preserve">of the retrospective effect of the instrument </w:t>
      </w:r>
      <w:r w:rsidRPr="00FB11EB">
        <w:rPr>
          <w:noProof/>
          <w:szCs w:val="26"/>
        </w:rPr>
        <w:t xml:space="preserve">would be specifically addressed in the </w:t>
      </w:r>
      <w:r>
        <w:rPr>
          <w:noProof/>
          <w:szCs w:val="26"/>
        </w:rPr>
        <w:t>explanatory statement (</w:t>
      </w:r>
      <w:r w:rsidRPr="00FB11EB">
        <w:rPr>
          <w:noProof/>
          <w:szCs w:val="26"/>
        </w:rPr>
        <w:t>ES</w:t>
      </w:r>
      <w:r>
        <w:rPr>
          <w:noProof/>
          <w:szCs w:val="26"/>
        </w:rPr>
        <w:t>)</w:t>
      </w:r>
      <w:r w:rsidRPr="00FB11EB">
        <w:rPr>
          <w:noProof/>
          <w:szCs w:val="26"/>
        </w:rPr>
        <w:t xml:space="preserve">. </w:t>
      </w:r>
    </w:p>
    <w:p w:rsidR="006D2C56" w:rsidRPr="003B61CE" w:rsidRDefault="006D2C56" w:rsidP="006D2C56">
      <w:pPr>
        <w:rPr>
          <w:noProof/>
          <w:szCs w:val="26"/>
        </w:rPr>
      </w:pPr>
      <w:r w:rsidRPr="0026752F">
        <w:rPr>
          <w:b/>
          <w:noProof/>
          <w:szCs w:val="26"/>
        </w:rPr>
        <w:t>[</w:t>
      </w:r>
      <w:r w:rsidRPr="00673050">
        <w:rPr>
          <w:b/>
          <w:noProof/>
          <w:szCs w:val="26"/>
        </w:rPr>
        <w:t>The committee therefore request</w:t>
      </w:r>
      <w:r>
        <w:rPr>
          <w:b/>
          <w:noProof/>
          <w:szCs w:val="26"/>
        </w:rPr>
        <w:t>ed</w:t>
      </w:r>
      <w:r w:rsidRPr="00673050">
        <w:rPr>
          <w:b/>
          <w:noProof/>
          <w:szCs w:val="26"/>
        </w:rPr>
        <w:t xml:space="preserve"> further information from t</w:t>
      </w:r>
      <w:r>
        <w:rPr>
          <w:b/>
          <w:noProof/>
          <w:szCs w:val="26"/>
        </w:rPr>
        <w:t xml:space="preserve">he General Manager </w:t>
      </w:r>
      <w:r w:rsidRPr="00FC532D">
        <w:rPr>
          <w:b/>
          <w:noProof/>
          <w:szCs w:val="26"/>
        </w:rPr>
        <w:t xml:space="preserve">(as to the </w:t>
      </w:r>
      <w:r>
        <w:rPr>
          <w:b/>
          <w:noProof/>
          <w:szCs w:val="26"/>
        </w:rPr>
        <w:t>justification for this approach)]</w:t>
      </w:r>
      <w:r w:rsidRPr="00FC532D">
        <w:rPr>
          <w:b/>
          <w:noProof/>
          <w:szCs w:val="26"/>
        </w:rPr>
        <w:t>.</w:t>
      </w:r>
    </w:p>
    <w:p w:rsidR="006D2C56" w:rsidRPr="007107BE" w:rsidRDefault="006D2C56" w:rsidP="006D2C56">
      <w:pPr>
        <w:rPr>
          <w:b/>
        </w:rPr>
      </w:pPr>
      <w:r>
        <w:rPr>
          <w:b/>
        </w:rPr>
        <w:t>GENERAL MANAG</w:t>
      </w:r>
      <w:r w:rsidRPr="007107BE">
        <w:rPr>
          <w:b/>
        </w:rPr>
        <w:t>ER'S RESPONSE:</w:t>
      </w:r>
    </w:p>
    <w:p w:rsidR="006D2C56" w:rsidRDefault="006D2C56" w:rsidP="006D2C56">
      <w:pPr>
        <w:pStyle w:val="Level1"/>
        <w:numPr>
          <w:ilvl w:val="0"/>
          <w:numId w:val="0"/>
        </w:numPr>
      </w:pPr>
      <w:r>
        <w:t>The General Manager of the Fair Work Commission advised that the effect of the instrument was prospective rather than retrospective:</w:t>
      </w:r>
    </w:p>
    <w:p w:rsidR="006D2C56" w:rsidRPr="00BD687C" w:rsidRDefault="006D2C56" w:rsidP="006D2C56">
      <w:pPr>
        <w:pStyle w:val="Quote"/>
      </w:pPr>
      <w:r w:rsidRPr="00BD687C">
        <w:t xml:space="preserve">The instrument sets out specific disclosures that must be made in the General Purpose Financial Report (GPFR) of reporting units. Section 253 of the Act </w:t>
      </w:r>
      <w:r>
        <w:t>[</w:t>
      </w:r>
      <w:r w:rsidRPr="00BD687C">
        <w:rPr>
          <w:i/>
        </w:rPr>
        <w:t>Fair Work (Registered Organisations) Act 2009</w:t>
      </w:r>
      <w:r>
        <w:t xml:space="preserve">] </w:t>
      </w:r>
      <w:r w:rsidRPr="00BD687C">
        <w:t>requires a reporting unit to prepare a GPFR as soon as practicable after the end of the financial year. Although a GPFR prepared for a financial year ending 30 June 2014 contains information about financial transactions that occurred prior to 30 June 2014, the GPFR cannot be prepared until after 30 June 2014. The instrument therefore imposes obligations on reporting units that have no e</w:t>
      </w:r>
      <w:r>
        <w:t>ffect until after 30 June 2014.</w:t>
      </w:r>
    </w:p>
    <w:p w:rsidR="006D2C56" w:rsidRDefault="006D2C56" w:rsidP="006D2C56">
      <w:pPr>
        <w:pStyle w:val="Quote"/>
      </w:pPr>
      <w:r w:rsidRPr="00BD687C">
        <w:t>The Commission consulted with all registered organisations in the development of the instrument and most comments of the reporting units have been included. The Commission has also advised every reporting unit of the requirements, and provided a model set of financial statements to all reporting units to ensure that the requirements of</w:t>
      </w:r>
      <w:r>
        <w:t xml:space="preserve"> the instrument are satisfied. </w:t>
      </w:r>
      <w:r w:rsidRPr="00BD687C">
        <w:t>Of the 274 reporting units with a financial year ending 30 June 2014, all but eight have lodged their financial report with the Commission, or have sought an exemption. Our assessment of the GPFR</w:t>
      </w:r>
      <w:r>
        <w:t>'</w:t>
      </w:r>
      <w:r w:rsidRPr="00BD687C">
        <w:t>s lodged is that most reporting units have satisfied the requirements of the instrument. This illustrates that there is significant acceptance of and support for the requirements of the instruments.</w:t>
      </w:r>
    </w:p>
    <w:p w:rsidR="006D2C56" w:rsidRDefault="006D2C56" w:rsidP="006D2C56">
      <w:pPr>
        <w:rPr>
          <w:b/>
        </w:rPr>
      </w:pPr>
      <w:r w:rsidRPr="0076670E">
        <w:rPr>
          <w:b/>
        </w:rPr>
        <w:lastRenderedPageBreak/>
        <w:t>COMMITTEE RESPONSE:</w:t>
      </w:r>
    </w:p>
    <w:p w:rsidR="006D2C56" w:rsidRPr="006457AE" w:rsidRDefault="006D2C56" w:rsidP="006D2C56">
      <w:pPr>
        <w:rPr>
          <w:b/>
        </w:rPr>
      </w:pPr>
      <w:r w:rsidRPr="006457AE">
        <w:rPr>
          <w:b/>
        </w:rPr>
        <w:t>The committee thanks the General Manager for her response.</w:t>
      </w:r>
    </w:p>
    <w:p w:rsidR="006D2C56" w:rsidRDefault="006D2C56" w:rsidP="006D2C56">
      <w:pPr>
        <w:rPr>
          <w:b/>
        </w:rPr>
      </w:pPr>
      <w:r>
        <w:t xml:space="preserve">However, the committee notes the instrument was not registered until 18 December 2014. Therefore, under section 31 of the </w:t>
      </w:r>
      <w:r>
        <w:rPr>
          <w:i/>
        </w:rPr>
        <w:t>Legislative Instruments Act 2003</w:t>
      </w:r>
      <w:r>
        <w:t xml:space="preserve">, the instrument was not enforceable until that date. Given this, the committee regards it as correct to identify the character of the instrument as retrospective in effect. However, the committee notes that the information provided regarding the GPFR process and the high compliance rate of reporting units have addressed the substance of the committee's inquiry. </w:t>
      </w:r>
      <w:r w:rsidRPr="00C05856">
        <w:rPr>
          <w:b/>
        </w:rPr>
        <w:t xml:space="preserve">The committee therefore draws to the attention of the General Manager the provisions of the </w:t>
      </w:r>
      <w:r w:rsidRPr="00C05856">
        <w:rPr>
          <w:b/>
          <w:i/>
        </w:rPr>
        <w:t xml:space="preserve">Legislative Instruments Act 2003 </w:t>
      </w:r>
      <w:r w:rsidRPr="00C05856">
        <w:rPr>
          <w:b/>
        </w:rPr>
        <w:t>with regard to the registration of legislative instruments and has concluded its examination of the instrument.</w:t>
      </w:r>
    </w:p>
    <w:p w:rsidR="006D2C56" w:rsidRDefault="006D2C56" w:rsidP="006D2C56"/>
    <w:p w:rsidR="006D2C56" w:rsidRDefault="006D2C56" w:rsidP="006D2C56">
      <w:pPr>
        <w:pStyle w:val="Heading3"/>
        <w:spacing w:after="0"/>
      </w:pPr>
      <w:r w:rsidRPr="00FB11EB">
        <w:rPr>
          <w:noProof/>
        </w:rPr>
        <w:t>Competition and Consumer (Monitoring of Prices, Costs and Profits) Repeal Direction 2014 [F2014L01749]</w:t>
      </w:r>
    </w:p>
    <w:p w:rsidR="006D2C56" w:rsidRPr="001E0577" w:rsidRDefault="006D2C56" w:rsidP="006D2C56"/>
    <w:tbl>
      <w:tblPr>
        <w:tblW w:w="0" w:type="auto"/>
        <w:tblInd w:w="108" w:type="dxa"/>
        <w:tblLook w:val="04A0" w:firstRow="1" w:lastRow="0" w:firstColumn="1" w:lastColumn="0" w:noHBand="0" w:noVBand="1"/>
      </w:tblPr>
      <w:tblGrid>
        <w:gridCol w:w="2694"/>
        <w:gridCol w:w="6378"/>
      </w:tblGrid>
      <w:tr w:rsidR="006D2C56" w:rsidRPr="00164622" w:rsidTr="00132D1A">
        <w:tc>
          <w:tcPr>
            <w:tcW w:w="2694" w:type="dxa"/>
            <w:tcBorders>
              <w:top w:val="single" w:sz="12" w:space="0" w:color="auto"/>
              <w:right w:val="single" w:sz="12" w:space="0" w:color="auto"/>
            </w:tcBorders>
          </w:tcPr>
          <w:p w:rsidR="006D2C56" w:rsidRPr="00A77228" w:rsidRDefault="006D2C56" w:rsidP="00132D1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6D2C56" w:rsidRPr="00A77228" w:rsidRDefault="006D2C56" w:rsidP="00132D1A">
            <w:pPr>
              <w:rPr>
                <w:sz w:val="24"/>
                <w:szCs w:val="24"/>
              </w:rPr>
            </w:pPr>
            <w:r w:rsidRPr="00FB11EB">
              <w:rPr>
                <w:noProof/>
                <w:sz w:val="24"/>
                <w:szCs w:val="24"/>
              </w:rPr>
              <w:t xml:space="preserve">Revokes the direction given to the Australian Competition and Consumer Commission under section 95ZE of </w:t>
            </w:r>
            <w:r w:rsidRPr="00E348B2">
              <w:rPr>
                <w:i/>
                <w:noProof/>
                <w:sz w:val="24"/>
                <w:szCs w:val="24"/>
              </w:rPr>
              <w:t>the Competition and Consumer Act 2010</w:t>
            </w:r>
            <w:r w:rsidRPr="00FB11EB">
              <w:rPr>
                <w:noProof/>
                <w:sz w:val="24"/>
                <w:szCs w:val="24"/>
              </w:rPr>
              <w:t xml:space="preserve"> to monitor the prices, costs and profits relating to the supply of regulated goods by corporations and the supply of goods by liable entities to assess the general effect of the carbon tax scheme in Australia</w:t>
            </w:r>
          </w:p>
        </w:tc>
      </w:tr>
      <w:tr w:rsidR="006D2C56" w:rsidRPr="00164622" w:rsidTr="00132D1A">
        <w:tc>
          <w:tcPr>
            <w:tcW w:w="2694" w:type="dxa"/>
            <w:tcBorders>
              <w:right w:val="single" w:sz="12" w:space="0" w:color="auto"/>
            </w:tcBorders>
          </w:tcPr>
          <w:p w:rsidR="006D2C56" w:rsidRPr="00A77228" w:rsidRDefault="006D2C56" w:rsidP="00132D1A">
            <w:pPr>
              <w:rPr>
                <w:b/>
                <w:sz w:val="24"/>
                <w:szCs w:val="24"/>
              </w:rPr>
            </w:pPr>
            <w:r w:rsidRPr="00A77228">
              <w:rPr>
                <w:b/>
                <w:sz w:val="24"/>
                <w:szCs w:val="24"/>
              </w:rPr>
              <w:t>Last day to disallow</w:t>
            </w:r>
          </w:p>
        </w:tc>
        <w:tc>
          <w:tcPr>
            <w:tcW w:w="6378" w:type="dxa"/>
            <w:tcBorders>
              <w:left w:val="single" w:sz="12" w:space="0" w:color="auto"/>
            </w:tcBorders>
          </w:tcPr>
          <w:p w:rsidR="006D2C56" w:rsidRPr="00A77228" w:rsidRDefault="006D2C56" w:rsidP="00132D1A">
            <w:pPr>
              <w:rPr>
                <w:sz w:val="24"/>
                <w:szCs w:val="24"/>
              </w:rPr>
            </w:pPr>
            <w:r w:rsidRPr="00FB11EB">
              <w:rPr>
                <w:noProof/>
                <w:sz w:val="24"/>
                <w:szCs w:val="24"/>
              </w:rPr>
              <w:t>26 March 2015</w:t>
            </w:r>
          </w:p>
        </w:tc>
      </w:tr>
      <w:tr w:rsidR="006D2C56" w:rsidRPr="00164622" w:rsidTr="00132D1A">
        <w:tc>
          <w:tcPr>
            <w:tcW w:w="2694" w:type="dxa"/>
            <w:tcBorders>
              <w:right w:val="single" w:sz="12" w:space="0" w:color="auto"/>
            </w:tcBorders>
          </w:tcPr>
          <w:p w:rsidR="006D2C56" w:rsidRPr="00A77228" w:rsidRDefault="006D2C56" w:rsidP="00132D1A">
            <w:pPr>
              <w:rPr>
                <w:b/>
                <w:sz w:val="24"/>
                <w:szCs w:val="24"/>
              </w:rPr>
            </w:pPr>
            <w:r w:rsidRPr="00A77228">
              <w:rPr>
                <w:b/>
                <w:sz w:val="24"/>
                <w:szCs w:val="24"/>
              </w:rPr>
              <w:t>Authorising legislation</w:t>
            </w:r>
          </w:p>
        </w:tc>
        <w:tc>
          <w:tcPr>
            <w:tcW w:w="6378" w:type="dxa"/>
            <w:tcBorders>
              <w:left w:val="single" w:sz="12" w:space="0" w:color="auto"/>
            </w:tcBorders>
          </w:tcPr>
          <w:p w:rsidR="006D2C56" w:rsidRPr="00932D1C" w:rsidRDefault="006D2C56" w:rsidP="00132D1A">
            <w:pPr>
              <w:rPr>
                <w:i/>
                <w:sz w:val="24"/>
                <w:szCs w:val="24"/>
              </w:rPr>
            </w:pPr>
            <w:r w:rsidRPr="00FB11EB">
              <w:rPr>
                <w:i/>
                <w:noProof/>
                <w:sz w:val="24"/>
                <w:szCs w:val="24"/>
              </w:rPr>
              <w:t>Competition and Consumer Act 2010</w:t>
            </w:r>
          </w:p>
        </w:tc>
      </w:tr>
      <w:tr w:rsidR="006D2C56" w:rsidRPr="00164622" w:rsidTr="00132D1A">
        <w:tc>
          <w:tcPr>
            <w:tcW w:w="2694" w:type="dxa"/>
            <w:tcBorders>
              <w:bottom w:val="single" w:sz="12" w:space="0" w:color="auto"/>
              <w:right w:val="single" w:sz="12" w:space="0" w:color="auto"/>
            </w:tcBorders>
          </w:tcPr>
          <w:p w:rsidR="006D2C56" w:rsidRPr="00A77228" w:rsidRDefault="006D2C56" w:rsidP="00132D1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6D2C56" w:rsidRPr="00A77228" w:rsidRDefault="006D2C56" w:rsidP="00132D1A">
            <w:pPr>
              <w:rPr>
                <w:sz w:val="24"/>
                <w:szCs w:val="24"/>
              </w:rPr>
            </w:pPr>
            <w:r w:rsidRPr="00FB11EB">
              <w:rPr>
                <w:noProof/>
                <w:sz w:val="24"/>
                <w:szCs w:val="24"/>
              </w:rPr>
              <w:t>Treasury</w:t>
            </w:r>
          </w:p>
        </w:tc>
      </w:tr>
    </w:tbl>
    <w:p w:rsidR="006D2C56" w:rsidRDefault="006D2C56" w:rsidP="006D2C56">
      <w:r>
        <w:rPr>
          <w:b/>
        </w:rPr>
        <w:t xml:space="preserve">[The committee first reported on this instrument in </w:t>
      </w:r>
      <w:r>
        <w:rPr>
          <w:b/>
          <w:i/>
        </w:rPr>
        <w:t xml:space="preserve">Delegated legislation monitor </w:t>
      </w:r>
      <w:r>
        <w:rPr>
          <w:b/>
        </w:rPr>
        <w:t>No. 1 of 2015]</w:t>
      </w:r>
    </w:p>
    <w:p w:rsidR="006D2C56" w:rsidRPr="00164622" w:rsidRDefault="006D2C56" w:rsidP="006D2C56">
      <w:pPr>
        <w:rPr>
          <w:b/>
          <w:szCs w:val="26"/>
        </w:rPr>
      </w:pPr>
      <w:r w:rsidRPr="00164622">
        <w:rPr>
          <w:b/>
          <w:szCs w:val="26"/>
        </w:rPr>
        <w:t>Issue:</w:t>
      </w:r>
    </w:p>
    <w:p w:rsidR="006D2C56" w:rsidRPr="00164622" w:rsidRDefault="006D2C56" w:rsidP="006D2C56">
      <w:pPr>
        <w:rPr>
          <w:i/>
          <w:noProof/>
          <w:szCs w:val="26"/>
        </w:rPr>
      </w:pPr>
      <w:r w:rsidRPr="00FB11EB">
        <w:rPr>
          <w:i/>
          <w:noProof/>
          <w:szCs w:val="26"/>
        </w:rPr>
        <w:t>Insufficient information regarding consultation</w:t>
      </w:r>
    </w:p>
    <w:p w:rsidR="006D2C56" w:rsidRPr="00FB11EB" w:rsidRDefault="006D2C56" w:rsidP="006D2C56">
      <w:pPr>
        <w:rPr>
          <w:noProof/>
          <w:szCs w:val="26"/>
        </w:rPr>
      </w:pPr>
      <w:r w:rsidRPr="00FB11EB">
        <w:rPr>
          <w:noProof/>
          <w:szCs w:val="26"/>
        </w:rPr>
        <w:t xml:space="preserve">Section 17 of the </w:t>
      </w:r>
      <w:r w:rsidRPr="00673050">
        <w:rPr>
          <w:i/>
          <w:noProof/>
          <w:szCs w:val="26"/>
        </w:rPr>
        <w:t>Legislative Instruments Act 2003</w:t>
      </w:r>
      <w:r w:rsidRPr="00FB11EB">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 xml:space="preserve">hy none was undertaken </w:t>
      </w:r>
      <w:r>
        <w:rPr>
          <w:noProof/>
          <w:szCs w:val="26"/>
        </w:rPr>
        <w:lastRenderedPageBreak/>
        <w:t>(section </w:t>
      </w:r>
      <w:r w:rsidRPr="00FB11EB">
        <w:rPr>
          <w:noProof/>
          <w:szCs w:val="26"/>
        </w:rPr>
        <w:t>26). With reference to these requirements, the committee notes that the ES for each of this instrument states:</w:t>
      </w:r>
    </w:p>
    <w:p w:rsidR="006D2C56" w:rsidRPr="00FB11EB" w:rsidRDefault="006D2C56" w:rsidP="006D2C56">
      <w:pPr>
        <w:pStyle w:val="Quote"/>
        <w:rPr>
          <w:noProof/>
        </w:rPr>
      </w:pPr>
      <w:r w:rsidRPr="00FB11EB">
        <w:rPr>
          <w:noProof/>
        </w:rPr>
        <w:t xml:space="preserve">For the purposes of section 17 of the </w:t>
      </w:r>
      <w:r w:rsidRPr="00673050">
        <w:rPr>
          <w:i/>
          <w:noProof/>
        </w:rPr>
        <w:t>Legislative Instruments Act 2003</w:t>
      </w:r>
      <w:r w:rsidRPr="00FB11EB">
        <w:rPr>
          <w:noProof/>
        </w:rPr>
        <w:t>, consultation on the revocation of the price monitoring Direction has been undertaken.</w:t>
      </w:r>
    </w:p>
    <w:p w:rsidR="006D2C56" w:rsidRDefault="006D2C56" w:rsidP="006D2C56">
      <w:pPr>
        <w:rPr>
          <w:noProof/>
          <w:szCs w:val="26"/>
        </w:rPr>
      </w:pPr>
      <w:r w:rsidRPr="00FB11EB">
        <w:rPr>
          <w:noProof/>
          <w:szCs w:val="26"/>
        </w:rPr>
        <w:t>While the committee does not usually interpret section 26 as requiring a highly detailed description of consultation undertaken, it usual</w:t>
      </w:r>
      <w:r>
        <w:rPr>
          <w:noProof/>
          <w:szCs w:val="26"/>
        </w:rPr>
        <w:t>ly</w:t>
      </w:r>
      <w:r w:rsidRPr="00FB11EB">
        <w:rPr>
          <w:noProof/>
          <w:szCs w:val="26"/>
        </w:rPr>
        <w:t xml:space="preserve"> consider</w:t>
      </w:r>
      <w:r>
        <w:rPr>
          <w:noProof/>
          <w:szCs w:val="26"/>
        </w:rPr>
        <w:t>s that</w:t>
      </w:r>
      <w:r w:rsidRPr="00FB11EB">
        <w:rPr>
          <w:noProof/>
          <w:szCs w:val="26"/>
        </w:rPr>
        <w:t xml:space="preserve"> an overly bare or general desc</w:t>
      </w:r>
      <w:r>
        <w:rPr>
          <w:noProof/>
          <w:szCs w:val="26"/>
        </w:rPr>
        <w:t>ription, such as in this case, i</w:t>
      </w:r>
      <w:r w:rsidRPr="00FB11EB">
        <w:rPr>
          <w:noProof/>
          <w:szCs w:val="26"/>
        </w:rPr>
        <w:t xml:space="preserve">s not sufficient to satisfy the requirements of the </w:t>
      </w:r>
      <w:r w:rsidRPr="00673050">
        <w:rPr>
          <w:i/>
          <w:noProof/>
          <w:szCs w:val="26"/>
        </w:rPr>
        <w:t>Legislative Instruments Act 2003.</w:t>
      </w:r>
      <w:r w:rsidRPr="00FB11EB">
        <w:rPr>
          <w:noProof/>
          <w:szCs w:val="26"/>
        </w:rPr>
        <w:t xml:space="preserve"> The committee's expectations in this regard are set out in the 'Guideline on consultation' in Appendix </w:t>
      </w:r>
      <w:r>
        <w:rPr>
          <w:noProof/>
          <w:szCs w:val="26"/>
        </w:rPr>
        <w:t>2</w:t>
      </w:r>
      <w:r w:rsidRPr="00FB11EB">
        <w:rPr>
          <w:noProof/>
          <w:szCs w:val="26"/>
        </w:rPr>
        <w:t xml:space="preserve"> of this report. </w:t>
      </w:r>
    </w:p>
    <w:p w:rsidR="006D2C56" w:rsidRDefault="006D2C56" w:rsidP="006D2C56">
      <w:pPr>
        <w:rPr>
          <w:noProof/>
          <w:szCs w:val="26"/>
        </w:rPr>
      </w:pPr>
      <w:r>
        <w:rPr>
          <w:b/>
          <w:noProof/>
          <w:szCs w:val="26"/>
        </w:rPr>
        <w:t>[</w:t>
      </w:r>
      <w:r w:rsidRPr="00673050">
        <w:rPr>
          <w:b/>
          <w:noProof/>
          <w:szCs w:val="26"/>
        </w:rPr>
        <w:t>The committee therefor</w:t>
      </w:r>
      <w:r>
        <w:rPr>
          <w:b/>
          <w:noProof/>
          <w:szCs w:val="26"/>
        </w:rPr>
        <w:t>e requested</w:t>
      </w:r>
      <w:r w:rsidRPr="00673050">
        <w:rPr>
          <w:b/>
          <w:noProof/>
          <w:szCs w:val="26"/>
        </w:rPr>
        <w:t xml:space="preserve"> further information from the minister</w:t>
      </w:r>
      <w:r>
        <w:rPr>
          <w:b/>
          <w:noProof/>
          <w:szCs w:val="26"/>
        </w:rPr>
        <w:t>;</w:t>
      </w:r>
      <w:r w:rsidRPr="00673050">
        <w:rPr>
          <w:b/>
          <w:noProof/>
          <w:szCs w:val="26"/>
        </w:rPr>
        <w:t xml:space="preserve"> and request</w:t>
      </w:r>
      <w:r>
        <w:rPr>
          <w:b/>
          <w:noProof/>
          <w:szCs w:val="26"/>
        </w:rPr>
        <w:t>ed</w:t>
      </w:r>
      <w:r w:rsidRPr="00673050">
        <w:rPr>
          <w:b/>
          <w:noProof/>
          <w:szCs w:val="26"/>
        </w:rPr>
        <w:t xml:space="preserve"> that the ES be updated in accordance with the requirements of the </w:t>
      </w:r>
      <w:r w:rsidRPr="00673050">
        <w:rPr>
          <w:b/>
          <w:i/>
          <w:noProof/>
          <w:szCs w:val="26"/>
        </w:rPr>
        <w:t>Legislative Instruments Act 2003</w:t>
      </w:r>
      <w:r>
        <w:rPr>
          <w:b/>
          <w:noProof/>
          <w:szCs w:val="26"/>
        </w:rPr>
        <w:t>].</w:t>
      </w:r>
    </w:p>
    <w:p w:rsidR="006D2C56" w:rsidRPr="007107BE" w:rsidRDefault="006D2C56" w:rsidP="006D2C56">
      <w:pPr>
        <w:rPr>
          <w:b/>
        </w:rPr>
      </w:pPr>
      <w:r w:rsidRPr="007107BE">
        <w:rPr>
          <w:b/>
        </w:rPr>
        <w:t>MINISTER'S RESPONSE:</w:t>
      </w:r>
    </w:p>
    <w:p w:rsidR="006D2C56" w:rsidRDefault="006D2C56" w:rsidP="006D2C56">
      <w:r>
        <w:t>The Minister for Small Business advised that the instrument revoked the previous direction that had provided for price monitoring related to the Carbon Tax Repeal Bill. The minister advised that extensive public consultation occurred as part of the Carbon Tax Repeal Bill:</w:t>
      </w:r>
    </w:p>
    <w:p w:rsidR="006D2C56" w:rsidRPr="00BF321E" w:rsidRDefault="006D2C56" w:rsidP="006D2C56">
      <w:pPr>
        <w:pStyle w:val="Quote"/>
      </w:pPr>
      <w:r w:rsidRPr="00BF321E">
        <w:t>The Repeal Direction revoked the price monitoring Direction made on 18 Feb</w:t>
      </w:r>
      <w:r>
        <w:t>rua</w:t>
      </w:r>
      <w:r w:rsidRPr="00BF321E">
        <w:t>ry 2014 under section</w:t>
      </w:r>
      <w:r>
        <w:t xml:space="preserve"> </w:t>
      </w:r>
      <w:r w:rsidRPr="00BF321E">
        <w:t>95</w:t>
      </w:r>
      <w:r>
        <w:t xml:space="preserve">ZE of the </w:t>
      </w:r>
      <w:r w:rsidRPr="00424F54">
        <w:rPr>
          <w:i/>
        </w:rPr>
        <w:t>Competition and Consumer Act 2010</w:t>
      </w:r>
      <w:r w:rsidRPr="00BF321E">
        <w:t xml:space="preserve"> (CCA).</w:t>
      </w:r>
    </w:p>
    <w:p w:rsidR="006D2C56" w:rsidRPr="00BF321E" w:rsidRDefault="006D2C56" w:rsidP="006D2C56">
      <w:pPr>
        <w:pStyle w:val="Quote"/>
      </w:pPr>
      <w:r w:rsidRPr="00BF321E">
        <w:t>The price monitoring Direction, which commenced on 1 March 2014, was introduced given delays in</w:t>
      </w:r>
      <w:r>
        <w:t xml:space="preserve"> </w:t>
      </w:r>
      <w:r w:rsidRPr="00BF321E">
        <w:t xml:space="preserve">the passage of the </w:t>
      </w:r>
      <w:r w:rsidRPr="00AC1246">
        <w:rPr>
          <w:i/>
        </w:rPr>
        <w:t>Clean Energy Legislation (Carbon Tax Repeal) Act 2014</w:t>
      </w:r>
      <w:r w:rsidRPr="00BF321E">
        <w:t xml:space="preserve"> (the Carbon Tax Repeal Act). It</w:t>
      </w:r>
      <w:r>
        <w:t xml:space="preserve"> </w:t>
      </w:r>
      <w:r w:rsidRPr="00BF321E">
        <w:t>directed the Australian Competition and Consumer Commission (ACCC) to undertake formal</w:t>
      </w:r>
      <w:r>
        <w:t xml:space="preserve"> </w:t>
      </w:r>
      <w:r w:rsidRPr="00BF321E">
        <w:t>monitoring of the prices, costs and profits relating to the supply of regulated goods by corporations</w:t>
      </w:r>
      <w:r>
        <w:t xml:space="preserve"> </w:t>
      </w:r>
      <w:r w:rsidRPr="00BF321E">
        <w:t>and the supply of goods by liable entities, to assess the general effect of the carbon tax scheme in</w:t>
      </w:r>
      <w:r>
        <w:t xml:space="preserve"> </w:t>
      </w:r>
      <w:r w:rsidRPr="00BF321E">
        <w:t>Australia prior to it</w:t>
      </w:r>
      <w:r>
        <w:t>s repeal (Federal Register o</w:t>
      </w:r>
      <w:r w:rsidRPr="00BF321E">
        <w:t>f</w:t>
      </w:r>
      <w:r>
        <w:t xml:space="preserve"> </w:t>
      </w:r>
      <w:r w:rsidRPr="00BF321E">
        <w:t>Legislative Instr</w:t>
      </w:r>
      <w:r>
        <w:t>u</w:t>
      </w:r>
      <w:r w:rsidRPr="00BF321E">
        <w:t>m</w:t>
      </w:r>
      <w:r>
        <w:t>ents No.F2014L0</w:t>
      </w:r>
      <w:r w:rsidRPr="00BF321E">
        <w:t>0180).</w:t>
      </w:r>
    </w:p>
    <w:p w:rsidR="006D2C56" w:rsidRDefault="006D2C56" w:rsidP="006D2C56">
      <w:pPr>
        <w:pStyle w:val="Quote"/>
      </w:pPr>
      <w:r w:rsidRPr="00BF321E">
        <w:t>The price monitoring Direction was drafted to largely mirror the price monitoring provisions of the</w:t>
      </w:r>
      <w:r>
        <w:t xml:space="preserve"> </w:t>
      </w:r>
      <w:r w:rsidRPr="00BF321E">
        <w:t>Carbon Tax Repeal Bill. As outlined in the Explanatory Statement to the price monitoring Direction,</w:t>
      </w:r>
      <w:r>
        <w:t xml:space="preserve"> </w:t>
      </w:r>
      <w:r w:rsidRPr="00BF321E">
        <w:t>consultation on these arrangements occurred as part of extensive public consultation on the Exposure</w:t>
      </w:r>
      <w:r>
        <w:t xml:space="preserve"> </w:t>
      </w:r>
      <w:r w:rsidRPr="00BF321E">
        <w:t>Draft of the Bill from 15 October 2013 to 4 November 2014. The provisions of the Bill were also</w:t>
      </w:r>
      <w:r>
        <w:t xml:space="preserve"> </w:t>
      </w:r>
      <w:r w:rsidRPr="00BF321E">
        <w:t>examined by the Environment and Communications Legislation Committee Inquiry following referral</w:t>
      </w:r>
      <w:r>
        <w:t xml:space="preserve"> </w:t>
      </w:r>
      <w:r w:rsidRPr="00BF321E">
        <w:t>by the Senate on 14 November 2014.</w:t>
      </w:r>
    </w:p>
    <w:p w:rsidR="006D2C56" w:rsidRPr="00424F54" w:rsidRDefault="006D2C56" w:rsidP="006D2C56">
      <w:pPr>
        <w:pStyle w:val="Quote"/>
      </w:pPr>
      <w:r w:rsidRPr="00424F54">
        <w:t>The Carbon Tax Repeal Act, which took effect from 1</w:t>
      </w:r>
      <w:r>
        <w:t xml:space="preserve"> </w:t>
      </w:r>
      <w:r w:rsidRPr="00424F54">
        <w:t>July</w:t>
      </w:r>
      <w:r>
        <w:t xml:space="preserve"> </w:t>
      </w:r>
      <w:r w:rsidRPr="00424F54">
        <w:t>2014, introduced new powers for the</w:t>
      </w:r>
      <w:r>
        <w:t xml:space="preserve"> </w:t>
      </w:r>
      <w:r w:rsidRPr="00424F54">
        <w:t>ACCC to monitor the prices of certain goods to assess the general effect of the carbon tax scheme and</w:t>
      </w:r>
      <w:r>
        <w:t xml:space="preserve"> </w:t>
      </w:r>
      <w:r w:rsidRPr="00424F54">
        <w:t xml:space="preserve">its repeal. This included powers to monitor prices to assess the effect of the carbon tax </w:t>
      </w:r>
      <w:r w:rsidRPr="00424F54">
        <w:lastRenderedPageBreak/>
        <w:t>repeal on</w:t>
      </w:r>
      <w:r>
        <w:t xml:space="preserve"> </w:t>
      </w:r>
      <w:r w:rsidRPr="00424F54">
        <w:t>prices charged by entities for supplies in the carbon tax repeal transition period (from 1</w:t>
      </w:r>
      <w:r>
        <w:t xml:space="preserve"> </w:t>
      </w:r>
      <w:r w:rsidRPr="00424F54">
        <w:t>July</w:t>
      </w:r>
      <w:r>
        <w:t xml:space="preserve"> </w:t>
      </w:r>
      <w:r w:rsidRPr="00424F54">
        <w:t>2014 to</w:t>
      </w:r>
      <w:r>
        <w:t xml:space="preserve"> </w:t>
      </w:r>
      <w:r w:rsidRPr="00424F54">
        <w:t>30 June 2015) and to assist in considering whether an entity has engaged, is or may engage in price</w:t>
      </w:r>
      <w:r>
        <w:t xml:space="preserve"> </w:t>
      </w:r>
      <w:r w:rsidRPr="00424F54">
        <w:t>exploitation (section 60G of the CCA).</w:t>
      </w:r>
    </w:p>
    <w:p w:rsidR="006D2C56" w:rsidRPr="00424F54" w:rsidRDefault="006D2C56" w:rsidP="006D2C56">
      <w:pPr>
        <w:pStyle w:val="Quote"/>
      </w:pPr>
      <w:r w:rsidRPr="00424F54">
        <w:t>In effect, the repeal of the carbon tax scheme made the price monitoring Direction redundant. Its</w:t>
      </w:r>
      <w:r>
        <w:t xml:space="preserve"> </w:t>
      </w:r>
      <w:r w:rsidRPr="00424F54">
        <w:t>revocation by the Repeal Direction imposes no regulato</w:t>
      </w:r>
      <w:r>
        <w:t>r</w:t>
      </w:r>
      <w:r w:rsidRPr="00424F54">
        <w:t>y change on affected businesses as the</w:t>
      </w:r>
      <w:r>
        <w:t xml:space="preserve"> </w:t>
      </w:r>
      <w:r w:rsidRPr="00424F54">
        <w:t>reporting obligations have continued through the introduction of section 60G, while any perceived</w:t>
      </w:r>
      <w:r>
        <w:t xml:space="preserve"> </w:t>
      </w:r>
      <w:r w:rsidRPr="00424F54">
        <w:t>regulato</w:t>
      </w:r>
      <w:r>
        <w:t>r</w:t>
      </w:r>
      <w:r w:rsidRPr="00424F54">
        <w:t>y burden by having two monitoring regimes in place has been reduced.</w:t>
      </w:r>
    </w:p>
    <w:p w:rsidR="006D2C56" w:rsidRDefault="006D2C56" w:rsidP="006D2C56">
      <w:r>
        <w:t>The minister advised that further public consultation was therefore considered unnecessary '</w:t>
      </w:r>
      <w:r w:rsidRPr="009430CD">
        <w:t>as the revocation of the instrument did not substantially alter existing</w:t>
      </w:r>
      <w:r>
        <w:t xml:space="preserve"> </w:t>
      </w:r>
      <w:r w:rsidRPr="009430CD">
        <w:t>arrangements for which there was extensive public consultation through the Exposure Draft of the</w:t>
      </w:r>
      <w:r>
        <w:t xml:space="preserve"> </w:t>
      </w:r>
      <w:r w:rsidRPr="009430CD">
        <w:t>Carbon Tax Repeal Bill</w:t>
      </w:r>
      <w:r>
        <w:t>'</w:t>
      </w:r>
      <w:r w:rsidRPr="009430CD">
        <w:t>.</w:t>
      </w:r>
    </w:p>
    <w:p w:rsidR="006D2C56" w:rsidRDefault="006D2C56" w:rsidP="006D2C56">
      <w:r>
        <w:t>The minister further advised that the ES had been amended in accordance with the committee's request.</w:t>
      </w:r>
    </w:p>
    <w:p w:rsidR="006D2C56" w:rsidRDefault="006D2C56" w:rsidP="006D2C56">
      <w:pPr>
        <w:spacing w:after="0"/>
        <w:jc w:val="left"/>
      </w:pPr>
    </w:p>
    <w:p w:rsidR="006D2C56" w:rsidRPr="0076670E" w:rsidRDefault="006D2C56" w:rsidP="006D2C56">
      <w:pPr>
        <w:pStyle w:val="Level1"/>
        <w:numPr>
          <w:ilvl w:val="0"/>
          <w:numId w:val="0"/>
        </w:numPr>
        <w:rPr>
          <w:b/>
        </w:rPr>
      </w:pPr>
      <w:r w:rsidRPr="0076670E">
        <w:rPr>
          <w:b/>
        </w:rPr>
        <w:t>COMMITTEE RESPONSE:</w:t>
      </w:r>
    </w:p>
    <w:p w:rsidR="006D2C56" w:rsidRDefault="006D2C56" w:rsidP="006D2C56">
      <w:pPr>
        <w:pStyle w:val="Level1"/>
        <w:numPr>
          <w:ilvl w:val="0"/>
          <w:numId w:val="0"/>
        </w:numPr>
        <w:rPr>
          <w:b/>
        </w:rPr>
      </w:pPr>
      <w:r w:rsidRPr="001065DB">
        <w:rPr>
          <w:b/>
        </w:rPr>
        <w:t xml:space="preserve">The committee thanks the </w:t>
      </w:r>
      <w:r>
        <w:rPr>
          <w:b/>
        </w:rPr>
        <w:t>minister</w:t>
      </w:r>
      <w:r w:rsidRPr="001065DB">
        <w:rPr>
          <w:b/>
        </w:rPr>
        <w:t xml:space="preserve"> for his response and has</w:t>
      </w:r>
      <w:r>
        <w:rPr>
          <w:b/>
        </w:rPr>
        <w:t xml:space="preserve">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r w:rsidRPr="001065DB">
        <w:rPr>
          <w:b/>
        </w:rPr>
        <w:t>.</w:t>
      </w:r>
    </w:p>
    <w:p w:rsidR="006D2C56" w:rsidRDefault="006D2C56" w:rsidP="006D2C56">
      <w:pPr>
        <w:pStyle w:val="Level1"/>
        <w:numPr>
          <w:ilvl w:val="0"/>
          <w:numId w:val="0"/>
        </w:numPr>
        <w:rPr>
          <w:b/>
        </w:rPr>
      </w:pPr>
    </w:p>
    <w:p w:rsidR="006D2C56" w:rsidRDefault="006D2C56" w:rsidP="006D2C56">
      <w:pPr>
        <w:pStyle w:val="Heading3"/>
        <w:spacing w:after="0"/>
      </w:pPr>
      <w:r w:rsidRPr="007A722E">
        <w:rPr>
          <w:noProof/>
        </w:rPr>
        <w:t>Fair Work (Building Industry—Accreditation Scheme) Amendment Regulation 2014 [F2014L01736]</w:t>
      </w:r>
    </w:p>
    <w:p w:rsidR="006D2C56" w:rsidRPr="001E0577" w:rsidRDefault="006D2C56" w:rsidP="006D2C56"/>
    <w:tbl>
      <w:tblPr>
        <w:tblW w:w="0" w:type="auto"/>
        <w:tblInd w:w="108" w:type="dxa"/>
        <w:tblLook w:val="04A0" w:firstRow="1" w:lastRow="0" w:firstColumn="1" w:lastColumn="0" w:noHBand="0" w:noVBand="1"/>
      </w:tblPr>
      <w:tblGrid>
        <w:gridCol w:w="2694"/>
        <w:gridCol w:w="6378"/>
      </w:tblGrid>
      <w:tr w:rsidR="006D2C56" w:rsidRPr="00164622" w:rsidTr="00132D1A">
        <w:tc>
          <w:tcPr>
            <w:tcW w:w="2694" w:type="dxa"/>
            <w:tcBorders>
              <w:top w:val="single" w:sz="12" w:space="0" w:color="auto"/>
              <w:right w:val="single" w:sz="12" w:space="0" w:color="auto"/>
            </w:tcBorders>
          </w:tcPr>
          <w:p w:rsidR="006D2C56" w:rsidRPr="00A77228" w:rsidRDefault="006D2C56" w:rsidP="00132D1A">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6D2C56" w:rsidRPr="00A77228" w:rsidRDefault="006D2C56" w:rsidP="00132D1A">
            <w:pPr>
              <w:rPr>
                <w:sz w:val="24"/>
                <w:szCs w:val="24"/>
              </w:rPr>
            </w:pPr>
            <w:r w:rsidRPr="007A722E">
              <w:rPr>
                <w:noProof/>
                <w:sz w:val="24"/>
                <w:szCs w:val="24"/>
              </w:rPr>
              <w:t>Amends the Fair Work (Building Industry—Accreditation Scheme) Regulations 2005 to implement the Australian Government’s decision to accept all recommendations of a recent review of the Scheme, with two minor adjustments and makes a number of amendments that have been identified by the Federal Safety Commissioner to improve the clarity and effectiveness of the Scheme</w:t>
            </w:r>
          </w:p>
        </w:tc>
      </w:tr>
      <w:tr w:rsidR="006D2C56" w:rsidRPr="00164622" w:rsidTr="00132D1A">
        <w:tc>
          <w:tcPr>
            <w:tcW w:w="2694" w:type="dxa"/>
            <w:tcBorders>
              <w:right w:val="single" w:sz="12" w:space="0" w:color="auto"/>
            </w:tcBorders>
          </w:tcPr>
          <w:p w:rsidR="006D2C56" w:rsidRPr="00A77228" w:rsidRDefault="006D2C56" w:rsidP="00132D1A">
            <w:pPr>
              <w:rPr>
                <w:b/>
                <w:sz w:val="24"/>
                <w:szCs w:val="24"/>
              </w:rPr>
            </w:pPr>
            <w:r w:rsidRPr="00A77228">
              <w:rPr>
                <w:b/>
                <w:sz w:val="24"/>
                <w:szCs w:val="24"/>
              </w:rPr>
              <w:t>Last day to disallow</w:t>
            </w:r>
          </w:p>
        </w:tc>
        <w:tc>
          <w:tcPr>
            <w:tcW w:w="6378" w:type="dxa"/>
            <w:tcBorders>
              <w:left w:val="single" w:sz="12" w:space="0" w:color="auto"/>
            </w:tcBorders>
          </w:tcPr>
          <w:p w:rsidR="006D2C56" w:rsidRPr="00A77228" w:rsidRDefault="006D2C56" w:rsidP="00132D1A">
            <w:pPr>
              <w:rPr>
                <w:sz w:val="24"/>
                <w:szCs w:val="24"/>
              </w:rPr>
            </w:pPr>
            <w:r w:rsidRPr="007A722E">
              <w:rPr>
                <w:noProof/>
                <w:sz w:val="24"/>
                <w:szCs w:val="24"/>
              </w:rPr>
              <w:t>26 March 2015</w:t>
            </w:r>
          </w:p>
        </w:tc>
      </w:tr>
      <w:tr w:rsidR="006D2C56" w:rsidRPr="00164622" w:rsidTr="00132D1A">
        <w:tc>
          <w:tcPr>
            <w:tcW w:w="2694" w:type="dxa"/>
            <w:tcBorders>
              <w:right w:val="single" w:sz="12" w:space="0" w:color="auto"/>
            </w:tcBorders>
          </w:tcPr>
          <w:p w:rsidR="006D2C56" w:rsidRPr="00A77228" w:rsidRDefault="006D2C56" w:rsidP="00132D1A">
            <w:pPr>
              <w:rPr>
                <w:b/>
                <w:sz w:val="24"/>
                <w:szCs w:val="24"/>
              </w:rPr>
            </w:pPr>
            <w:r w:rsidRPr="00A77228">
              <w:rPr>
                <w:b/>
                <w:sz w:val="24"/>
                <w:szCs w:val="24"/>
              </w:rPr>
              <w:t>Authorising legislation</w:t>
            </w:r>
          </w:p>
        </w:tc>
        <w:tc>
          <w:tcPr>
            <w:tcW w:w="6378" w:type="dxa"/>
            <w:tcBorders>
              <w:left w:val="single" w:sz="12" w:space="0" w:color="auto"/>
            </w:tcBorders>
          </w:tcPr>
          <w:p w:rsidR="006D2C56" w:rsidRPr="00932D1C" w:rsidRDefault="006D2C56" w:rsidP="00132D1A">
            <w:pPr>
              <w:rPr>
                <w:i/>
                <w:sz w:val="24"/>
                <w:szCs w:val="24"/>
              </w:rPr>
            </w:pPr>
            <w:r w:rsidRPr="007A722E">
              <w:rPr>
                <w:i/>
                <w:noProof/>
                <w:sz w:val="24"/>
                <w:szCs w:val="24"/>
              </w:rPr>
              <w:t>Fair Work (Building Industry) Act 2012</w:t>
            </w:r>
          </w:p>
        </w:tc>
      </w:tr>
      <w:tr w:rsidR="006D2C56" w:rsidRPr="00164622" w:rsidTr="00132D1A">
        <w:tc>
          <w:tcPr>
            <w:tcW w:w="2694" w:type="dxa"/>
            <w:tcBorders>
              <w:bottom w:val="single" w:sz="12" w:space="0" w:color="auto"/>
              <w:right w:val="single" w:sz="12" w:space="0" w:color="auto"/>
            </w:tcBorders>
          </w:tcPr>
          <w:p w:rsidR="006D2C56" w:rsidRPr="00A77228" w:rsidRDefault="006D2C56" w:rsidP="00132D1A">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6D2C56" w:rsidRPr="00A77228" w:rsidRDefault="006D2C56" w:rsidP="00132D1A">
            <w:pPr>
              <w:rPr>
                <w:sz w:val="24"/>
                <w:szCs w:val="24"/>
              </w:rPr>
            </w:pPr>
            <w:r w:rsidRPr="007A722E">
              <w:rPr>
                <w:noProof/>
                <w:sz w:val="24"/>
                <w:szCs w:val="24"/>
              </w:rPr>
              <w:t>Employment</w:t>
            </w:r>
          </w:p>
        </w:tc>
      </w:tr>
    </w:tbl>
    <w:p w:rsidR="006D2C56" w:rsidRDefault="006D2C56" w:rsidP="006D2C56">
      <w:pPr>
        <w:rPr>
          <w:b/>
        </w:rPr>
      </w:pPr>
      <w:r>
        <w:rPr>
          <w:b/>
        </w:rPr>
        <w:t xml:space="preserve">[The committee first reported on this instrument in </w:t>
      </w:r>
      <w:r>
        <w:rPr>
          <w:b/>
          <w:i/>
        </w:rPr>
        <w:t xml:space="preserve">Delegated legislation monitor </w:t>
      </w:r>
      <w:r>
        <w:rPr>
          <w:b/>
        </w:rPr>
        <w:t>No. 1 of 2015]</w:t>
      </w:r>
    </w:p>
    <w:p w:rsidR="006D2C56" w:rsidRPr="00164622" w:rsidRDefault="006D2C56" w:rsidP="006D2C56">
      <w:pPr>
        <w:rPr>
          <w:b/>
          <w:szCs w:val="26"/>
        </w:rPr>
      </w:pPr>
      <w:r w:rsidRPr="00164622">
        <w:rPr>
          <w:b/>
          <w:szCs w:val="26"/>
        </w:rPr>
        <w:t>Issue:</w:t>
      </w:r>
    </w:p>
    <w:p w:rsidR="006D2C56" w:rsidRPr="00164622" w:rsidRDefault="006D2C56" w:rsidP="006D2C56">
      <w:pPr>
        <w:rPr>
          <w:i/>
          <w:noProof/>
          <w:szCs w:val="26"/>
        </w:rPr>
      </w:pPr>
      <w:r w:rsidRPr="007A722E">
        <w:rPr>
          <w:i/>
          <w:noProof/>
          <w:szCs w:val="26"/>
        </w:rPr>
        <w:lastRenderedPageBreak/>
        <w:t>No description regarding consultation</w:t>
      </w:r>
    </w:p>
    <w:p w:rsidR="006D2C56" w:rsidRDefault="006D2C56" w:rsidP="006D2C56">
      <w:pPr>
        <w:rPr>
          <w:noProof/>
          <w:szCs w:val="26"/>
        </w:rPr>
      </w:pPr>
      <w:r w:rsidRPr="007A722E">
        <w:rPr>
          <w:noProof/>
          <w:szCs w:val="26"/>
        </w:rPr>
        <w:t xml:space="preserve">Section 17 of the </w:t>
      </w:r>
      <w:r w:rsidRPr="00E5730F">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7A722E">
        <w:rPr>
          <w:noProof/>
          <w:szCs w:val="26"/>
        </w:rPr>
        <w:t xml:space="preserve">26). With reference to these requirements, the committee notes that the ES for this instrument provides no description of the nature of the consultation undertaken.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 </w:t>
      </w:r>
    </w:p>
    <w:p w:rsidR="006D2C56" w:rsidRPr="00E5730F" w:rsidRDefault="006D2C56" w:rsidP="006D2C56">
      <w:pPr>
        <w:rPr>
          <w:b/>
          <w:noProof/>
          <w:szCs w:val="26"/>
        </w:rPr>
      </w:pPr>
      <w:r>
        <w:rPr>
          <w:b/>
          <w:noProof/>
          <w:szCs w:val="26"/>
        </w:rPr>
        <w:t>[</w:t>
      </w:r>
      <w:r w:rsidRPr="00E5730F">
        <w:rPr>
          <w:b/>
          <w:noProof/>
          <w:szCs w:val="26"/>
        </w:rPr>
        <w:t>The committee therefore request</w:t>
      </w:r>
      <w:r>
        <w:rPr>
          <w:b/>
          <w:noProof/>
          <w:szCs w:val="26"/>
        </w:rPr>
        <w:t>ed</w:t>
      </w:r>
      <w:r w:rsidRPr="00E5730F">
        <w:rPr>
          <w:b/>
          <w:noProof/>
          <w:szCs w:val="26"/>
        </w:rPr>
        <w:t xml:space="preserve"> further information from the minister; and request</w:t>
      </w:r>
      <w:r>
        <w:rPr>
          <w:b/>
          <w:noProof/>
          <w:szCs w:val="26"/>
        </w:rPr>
        <w:t>ed</w:t>
      </w:r>
      <w:r w:rsidRPr="00E5730F">
        <w:rPr>
          <w:b/>
          <w:noProof/>
          <w:szCs w:val="26"/>
        </w:rPr>
        <w:t xml:space="preserve"> that the ES be updated in accordance with the requirements of the </w:t>
      </w:r>
      <w:r w:rsidRPr="00E5730F">
        <w:rPr>
          <w:b/>
          <w:i/>
          <w:noProof/>
          <w:szCs w:val="26"/>
        </w:rPr>
        <w:t>Legislative Instruments Act 2003</w:t>
      </w:r>
      <w:r>
        <w:rPr>
          <w:b/>
          <w:noProof/>
          <w:szCs w:val="26"/>
        </w:rPr>
        <w:t>].</w:t>
      </w:r>
    </w:p>
    <w:p w:rsidR="006D2C56" w:rsidRPr="007107BE" w:rsidRDefault="006D2C56" w:rsidP="006D2C56">
      <w:pPr>
        <w:rPr>
          <w:b/>
        </w:rPr>
      </w:pPr>
      <w:r w:rsidRPr="007107BE">
        <w:rPr>
          <w:b/>
        </w:rPr>
        <w:t>MINISTER'S RESPONSE:</w:t>
      </w:r>
    </w:p>
    <w:p w:rsidR="006D2C56" w:rsidRDefault="006D2C56" w:rsidP="006D2C56">
      <w:pPr>
        <w:pStyle w:val="Level1"/>
        <w:numPr>
          <w:ilvl w:val="0"/>
          <w:numId w:val="0"/>
        </w:numPr>
      </w:pPr>
      <w:r>
        <w:t xml:space="preserve">The Minister for Employment advised that extensive consultation had occurred during the review of the </w:t>
      </w:r>
      <w:r w:rsidRPr="00F24EA2">
        <w:t xml:space="preserve">Building </w:t>
      </w:r>
      <w:r>
        <w:t xml:space="preserve">and Construction Work Health Safety </w:t>
      </w:r>
      <w:r w:rsidRPr="00F24EA2">
        <w:t>Accreditation Scheme</w:t>
      </w:r>
      <w:r>
        <w:t xml:space="preserve"> (the review), and therefore further consultation was considered unnecessary:</w:t>
      </w:r>
    </w:p>
    <w:p w:rsidR="006D2C56" w:rsidRPr="00680E91" w:rsidRDefault="006D2C56" w:rsidP="006D2C56">
      <w:pPr>
        <w:pStyle w:val="Quote"/>
      </w:pPr>
      <w:r w:rsidRPr="00680E91">
        <w:t>As noted in the explanatory statement, the Regulation implements the Australian Government's</w:t>
      </w:r>
      <w:r>
        <w:t xml:space="preserve"> </w:t>
      </w:r>
      <w:r w:rsidRPr="00680E91">
        <w:t>decision to accept all recommendations of a recent review of the Australian Government Building</w:t>
      </w:r>
      <w:r>
        <w:t xml:space="preserve"> </w:t>
      </w:r>
      <w:r w:rsidRPr="00680E91">
        <w:t>and Construction Work Health Safety Accreditation Scheme, with two minor adjustments. 'A review</w:t>
      </w:r>
      <w:r>
        <w:t xml:space="preserve"> </w:t>
      </w:r>
      <w:r w:rsidRPr="00680E91">
        <w:t>to modernise the Office of the Federal Safety Commissioner and the Australian Government Building</w:t>
      </w:r>
      <w:r>
        <w:t xml:space="preserve"> </w:t>
      </w:r>
      <w:r w:rsidRPr="00680E91">
        <w:t>and Construction OHS Accreditation Scheme' identified options for streamlining and modernising</w:t>
      </w:r>
      <w:r>
        <w:t xml:space="preserve"> </w:t>
      </w:r>
      <w:r w:rsidRPr="00680E91">
        <w:t>the Scheme and to reduce any unnecessary regulatory burdens on builders.</w:t>
      </w:r>
    </w:p>
    <w:p w:rsidR="006D2C56" w:rsidRPr="00680E91" w:rsidRDefault="006D2C56" w:rsidP="006D2C56">
      <w:pPr>
        <w:pStyle w:val="Quote"/>
      </w:pPr>
      <w:r w:rsidRPr="00680E91">
        <w:t>The Review was conducted by the Department of Employment supported by an advisory panel of</w:t>
      </w:r>
      <w:r>
        <w:t xml:space="preserve"> </w:t>
      </w:r>
      <w:r w:rsidRPr="00680E91">
        <w:t>industry groups, unions and interested parties including Master Builders Australia, the Australian</w:t>
      </w:r>
      <w:r>
        <w:t xml:space="preserve"> </w:t>
      </w:r>
      <w:r w:rsidRPr="00680E91">
        <w:t>Constructors Association, the Australian Industry Group, the Civil Contractors Federation, and the</w:t>
      </w:r>
      <w:r>
        <w:t xml:space="preserve"> </w:t>
      </w:r>
      <w:r w:rsidRPr="00680E91">
        <w:t>Australian Council of Trade Unions.</w:t>
      </w:r>
    </w:p>
    <w:p w:rsidR="006D2C56" w:rsidRPr="00680E91" w:rsidRDefault="006D2C56" w:rsidP="006D2C56">
      <w:pPr>
        <w:pStyle w:val="Quote"/>
      </w:pPr>
      <w:r w:rsidRPr="00680E91">
        <w:t>The Review was also informed by public submissions provided in response to a discussion paper that</w:t>
      </w:r>
      <w:r>
        <w:t xml:space="preserve"> </w:t>
      </w:r>
      <w:r w:rsidRPr="00680E91">
        <w:t>was published on the Department of Employment's website. Emails inviting submissions were sent</w:t>
      </w:r>
      <w:r>
        <w:t xml:space="preserve"> </w:t>
      </w:r>
      <w:r w:rsidRPr="00680E91">
        <w:t>to all companies accredited under the Accreditation Scheme, state and territory work health and</w:t>
      </w:r>
      <w:r>
        <w:t xml:space="preserve"> </w:t>
      </w:r>
      <w:r w:rsidRPr="00680E91">
        <w:t>safety regulators, Safe Work Australia and a range of industry representatives.</w:t>
      </w:r>
    </w:p>
    <w:p w:rsidR="006D2C56" w:rsidRDefault="006D2C56" w:rsidP="006D2C56">
      <w:pPr>
        <w:pStyle w:val="Quote"/>
      </w:pPr>
      <w:r>
        <w:t>…</w:t>
      </w:r>
    </w:p>
    <w:p w:rsidR="006D2C56" w:rsidRPr="00680E91" w:rsidRDefault="006D2C56" w:rsidP="006D2C56">
      <w:pPr>
        <w:pStyle w:val="Quote"/>
      </w:pPr>
      <w:r w:rsidRPr="00680E91">
        <w:t>Because the Regulation implements recommendations from the Review and extensive consultation</w:t>
      </w:r>
      <w:r>
        <w:t xml:space="preserve"> </w:t>
      </w:r>
      <w:r w:rsidRPr="00680E91">
        <w:t xml:space="preserve">occurred throughout the Review process, it was </w:t>
      </w:r>
      <w:r w:rsidRPr="00680E91">
        <w:lastRenderedPageBreak/>
        <w:t>reasonably considered that any further consultation</w:t>
      </w:r>
      <w:r>
        <w:t xml:space="preserve"> </w:t>
      </w:r>
      <w:r w:rsidRPr="00680E91">
        <w:t>on the draft Regulation would be unnecessary if not excessive in the circumstances.</w:t>
      </w:r>
    </w:p>
    <w:p w:rsidR="006D2C56" w:rsidRDefault="006D2C56" w:rsidP="006D2C56">
      <w:r>
        <w:t>The minister also provided a copy of the review and a link to the review webpage including access to the full list of submissions.</w:t>
      </w:r>
    </w:p>
    <w:p w:rsidR="006D2C56" w:rsidRDefault="006D2C56" w:rsidP="006D2C56">
      <w:r>
        <w:t>The minister further advised that the ES would be updated in accordance with the committee's request.</w:t>
      </w:r>
    </w:p>
    <w:p w:rsidR="006D2C56" w:rsidRPr="0076670E" w:rsidRDefault="006D2C56" w:rsidP="006D2C56">
      <w:pPr>
        <w:pStyle w:val="Level1"/>
        <w:numPr>
          <w:ilvl w:val="0"/>
          <w:numId w:val="0"/>
        </w:numPr>
        <w:rPr>
          <w:b/>
        </w:rPr>
      </w:pPr>
      <w:r w:rsidRPr="0076670E">
        <w:rPr>
          <w:b/>
        </w:rPr>
        <w:t>COMMITTEE RESPONSE:</w:t>
      </w:r>
    </w:p>
    <w:p w:rsidR="006D2C56" w:rsidRPr="00680E91" w:rsidRDefault="006D2C56" w:rsidP="006D2C56">
      <w:pPr>
        <w:pStyle w:val="Level1"/>
        <w:numPr>
          <w:ilvl w:val="0"/>
          <w:numId w:val="0"/>
        </w:numPr>
        <w:rPr>
          <w:b/>
        </w:rPr>
      </w:pPr>
      <w:r w:rsidRPr="001065DB">
        <w:rPr>
          <w:b/>
        </w:rPr>
        <w:t xml:space="preserve">The committee thanks the </w:t>
      </w:r>
      <w:r>
        <w:rPr>
          <w:b/>
        </w:rPr>
        <w:t>minister</w:t>
      </w:r>
      <w:r w:rsidRPr="001065DB">
        <w:rPr>
          <w:b/>
        </w:rPr>
        <w:t xml:space="preserve"> for his response and has</w:t>
      </w:r>
      <w:r>
        <w:rPr>
          <w:b/>
        </w:rPr>
        <w:t xml:space="preserve"> </w:t>
      </w:r>
      <w:r w:rsidRPr="001065DB">
        <w:rPr>
          <w:b/>
        </w:rPr>
        <w:t xml:space="preserve">concluded its </w:t>
      </w:r>
      <w:r>
        <w:rPr>
          <w:b/>
        </w:rPr>
        <w:t>examination of</w:t>
      </w:r>
      <w:r w:rsidRPr="001065DB">
        <w:rPr>
          <w:b/>
        </w:rPr>
        <w:t xml:space="preserve"> th</w:t>
      </w:r>
      <w:r>
        <w:rPr>
          <w:b/>
        </w:rPr>
        <w:t>e</w:t>
      </w:r>
      <w:r w:rsidRPr="001065DB">
        <w:rPr>
          <w:b/>
        </w:rPr>
        <w:t xml:space="preserve"> </w:t>
      </w:r>
      <w:r>
        <w:rPr>
          <w:b/>
        </w:rPr>
        <w:t>instrument.</w:t>
      </w:r>
    </w:p>
    <w:p w:rsidR="006D2C56" w:rsidRDefault="006D2C56">
      <w:pPr>
        <w:spacing w:after="0"/>
        <w:jc w:val="left"/>
      </w:pPr>
      <w:r>
        <w:br w:type="page"/>
      </w:r>
    </w:p>
    <w:p w:rsidR="006D2C56" w:rsidRDefault="006D2C56" w:rsidP="00325264">
      <w:pPr>
        <w:sectPr w:rsidR="006D2C56" w:rsidSect="00F817AC">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5"/>
          <w:cols w:space="708"/>
          <w:titlePg/>
          <w:docGrid w:linePitch="360"/>
        </w:sectPr>
      </w:pPr>
    </w:p>
    <w:p w:rsidR="006D2C56" w:rsidRDefault="006D2C56">
      <w:pPr>
        <w:spacing w:after="0"/>
        <w:jc w:val="left"/>
      </w:pPr>
      <w:r>
        <w:lastRenderedPageBreak/>
        <w:br w:type="page"/>
      </w:r>
    </w:p>
    <w:p w:rsidR="006D2C56" w:rsidRDefault="006D2C56">
      <w:pPr>
        <w:spacing w:after="0"/>
        <w:jc w:val="left"/>
      </w:pPr>
    </w:p>
    <w:p w:rsidR="006D2C56" w:rsidRDefault="006D2C56" w:rsidP="006D2C56">
      <w:pPr>
        <w:pStyle w:val="Heading1"/>
      </w:pPr>
      <w:r>
        <w:t>Appendix 1</w:t>
      </w:r>
    </w:p>
    <w:p w:rsidR="006D2C56" w:rsidRPr="00520991" w:rsidRDefault="006D2C56" w:rsidP="006D2C56">
      <w:pPr>
        <w:pStyle w:val="Heading2"/>
      </w:pPr>
      <w:r>
        <w:t>Correspondence</w:t>
      </w:r>
    </w:p>
    <w:p w:rsidR="006D2C56" w:rsidRDefault="006D2C56">
      <w:pPr>
        <w:spacing w:after="0"/>
        <w:jc w:val="left"/>
      </w:pPr>
      <w:r>
        <w:br w:type="page"/>
      </w:r>
    </w:p>
    <w:p w:rsidR="006D2C56" w:rsidRDefault="006D2C56" w:rsidP="00325264">
      <w:pPr>
        <w:sectPr w:rsidR="006D2C56" w:rsidSect="00F817AC">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NumType w:start="5"/>
          <w:cols w:space="708"/>
          <w:titlePg/>
          <w:docGrid w:linePitch="360"/>
        </w:sectPr>
      </w:pPr>
    </w:p>
    <w:p w:rsidR="006D2C56" w:rsidRDefault="006D2C56">
      <w:pPr>
        <w:spacing w:after="0"/>
        <w:jc w:val="left"/>
      </w:pPr>
      <w:r>
        <w:lastRenderedPageBreak/>
        <w:br w:type="page"/>
      </w:r>
    </w:p>
    <w:p w:rsidR="006D2C56" w:rsidRDefault="006D2C56" w:rsidP="006D2C56">
      <w:pPr>
        <w:pStyle w:val="Heading1"/>
      </w:pPr>
      <w:r>
        <w:lastRenderedPageBreak/>
        <w:t>Appendix 2</w:t>
      </w:r>
    </w:p>
    <w:p w:rsidR="006D2C56" w:rsidRDefault="006D2C56" w:rsidP="006D2C56">
      <w:pPr>
        <w:pStyle w:val="Heading2"/>
        <w:spacing w:after="600"/>
      </w:pPr>
      <w:r>
        <w:t>Guideline on consultation</w:t>
      </w:r>
    </w:p>
    <w:p w:rsidR="006D2C56" w:rsidRDefault="006D2C56" w:rsidP="006D2C56">
      <w:pPr>
        <w:pBdr>
          <w:top w:val="single" w:sz="4" w:space="1" w:color="auto"/>
        </w:pBdr>
        <w:spacing w:after="0"/>
        <w:jc w:val="center"/>
        <w:rPr>
          <w:b/>
          <w:sz w:val="28"/>
          <w:szCs w:val="28"/>
        </w:rPr>
      </w:pPr>
    </w:p>
    <w:p w:rsidR="006D2C56" w:rsidRPr="00AB1ED8" w:rsidRDefault="006D2C56" w:rsidP="006D2C56">
      <w:pPr>
        <w:pBdr>
          <w:top w:val="single" w:sz="4" w:space="1" w:color="auto"/>
        </w:pBdr>
        <w:jc w:val="center"/>
        <w:rPr>
          <w:b/>
          <w:sz w:val="28"/>
          <w:szCs w:val="28"/>
        </w:rPr>
      </w:pPr>
      <w:r w:rsidRPr="00AB1ED8">
        <w:rPr>
          <w:b/>
          <w:sz w:val="28"/>
          <w:szCs w:val="28"/>
        </w:rPr>
        <w:t>Standing Committee on Regulations and Ordinances</w:t>
      </w:r>
    </w:p>
    <w:p w:rsidR="006D2C56" w:rsidRPr="00AB1ED8" w:rsidRDefault="006D2C56" w:rsidP="006D2C56">
      <w:pPr>
        <w:pBdr>
          <w:bottom w:val="single" w:sz="4" w:space="1" w:color="auto"/>
        </w:pBdr>
        <w:spacing w:after="0"/>
        <w:jc w:val="center"/>
        <w:rPr>
          <w:b/>
          <w:sz w:val="28"/>
          <w:szCs w:val="28"/>
        </w:rPr>
      </w:pPr>
      <w:r w:rsidRPr="00AB1ED8">
        <w:rPr>
          <w:b/>
          <w:sz w:val="28"/>
          <w:szCs w:val="28"/>
        </w:rPr>
        <w:t>Addressing consultation in explanatory statements</w:t>
      </w:r>
    </w:p>
    <w:p w:rsidR="006D2C56" w:rsidRPr="00AB1ED8" w:rsidRDefault="006D2C56" w:rsidP="006D2C56">
      <w:pPr>
        <w:pBdr>
          <w:bottom w:val="single" w:sz="4" w:space="1" w:color="auto"/>
        </w:pBdr>
        <w:spacing w:after="0"/>
        <w:jc w:val="center"/>
        <w:rPr>
          <w:b/>
          <w:szCs w:val="26"/>
        </w:rPr>
      </w:pPr>
    </w:p>
    <w:p w:rsidR="006D2C56" w:rsidRPr="00C22E53" w:rsidRDefault="006D2C56" w:rsidP="006D2C56">
      <w:pPr>
        <w:spacing w:before="360" w:after="60"/>
        <w:rPr>
          <w:b/>
          <w:i/>
          <w:szCs w:val="24"/>
        </w:rPr>
      </w:pPr>
      <w:r w:rsidRPr="00C22E53">
        <w:rPr>
          <w:b/>
          <w:i/>
          <w:szCs w:val="24"/>
        </w:rPr>
        <w:t>Role of the committee</w:t>
      </w:r>
    </w:p>
    <w:p w:rsidR="006D2C56" w:rsidRPr="00C22E53" w:rsidRDefault="006D2C56" w:rsidP="006D2C56">
      <w:pPr>
        <w:rPr>
          <w:szCs w:val="24"/>
        </w:rPr>
      </w:pPr>
      <w:r w:rsidRPr="00C22E53">
        <w:rPr>
          <w:szCs w:val="24"/>
        </w:rPr>
        <w:t xml:space="preserve">The Standing Committee on Regulations and Ordinances (the committee) undertakes scrutiny of legislative instruments to ensure compliance with </w:t>
      </w:r>
      <w:hyperlink r:id="rId49" w:history="1">
        <w:r w:rsidRPr="00C22E53">
          <w:rPr>
            <w:rStyle w:val="Hyperlink"/>
            <w:szCs w:val="24"/>
          </w:rPr>
          <w:t>non-partisan principles</w:t>
        </w:r>
      </w:hyperlink>
      <w:r w:rsidRPr="00C22E53">
        <w:rPr>
          <w:szCs w:val="24"/>
        </w:rPr>
        <w:t xml:space="preserve"> of personal rights and parliamentary propriety.</w:t>
      </w:r>
    </w:p>
    <w:p w:rsidR="006D2C56" w:rsidRPr="00C22E53" w:rsidRDefault="006D2C56" w:rsidP="006D2C56">
      <w:pPr>
        <w:spacing w:after="60"/>
        <w:rPr>
          <w:b/>
          <w:i/>
          <w:szCs w:val="24"/>
        </w:rPr>
      </w:pPr>
      <w:r w:rsidRPr="00C22E53">
        <w:rPr>
          <w:b/>
          <w:i/>
          <w:szCs w:val="24"/>
        </w:rPr>
        <w:t>Purpose of guideline</w:t>
      </w:r>
    </w:p>
    <w:p w:rsidR="006D2C56" w:rsidRPr="00C22E53" w:rsidRDefault="006D2C56" w:rsidP="006D2C56">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6D2C56" w:rsidRPr="00C22E53" w:rsidRDefault="006D2C56" w:rsidP="006D2C56">
      <w:pPr>
        <w:rPr>
          <w:szCs w:val="24"/>
        </w:rPr>
      </w:pPr>
      <w:r w:rsidRPr="00C22E53">
        <w:rPr>
          <w:szCs w:val="24"/>
        </w:rPr>
        <w:t xml:space="preserve">The committee scrutinises instruments to ensure, inter alia, that they meet the technical requirements of the </w:t>
      </w:r>
      <w:hyperlink r:id="rId50"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6D2C56" w:rsidRPr="00C22E53" w:rsidRDefault="006D2C56" w:rsidP="006D2C56">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1" w:history="1">
        <w:r w:rsidRPr="00C22E53">
          <w:rPr>
            <w:rStyle w:val="Hyperlink"/>
            <w:szCs w:val="24"/>
          </w:rPr>
          <w:t>disallowance</w:t>
        </w:r>
      </w:hyperlink>
      <w:r w:rsidRPr="00C22E53">
        <w:rPr>
          <w:szCs w:val="24"/>
        </w:rPr>
        <w:t>.</w:t>
      </w:r>
    </w:p>
    <w:p w:rsidR="006D2C56" w:rsidRPr="00C22E53" w:rsidRDefault="006D2C56" w:rsidP="006D2C56">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6D2C56" w:rsidRDefault="006D2C56" w:rsidP="006D2C56">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6D2C56" w:rsidRDefault="006D2C56" w:rsidP="006D2C56">
      <w:r>
        <w:br w:type="page"/>
      </w:r>
    </w:p>
    <w:p w:rsidR="006D2C56" w:rsidRDefault="006D2C56" w:rsidP="006D2C56">
      <w:pPr>
        <w:spacing w:after="60"/>
        <w:rPr>
          <w:b/>
          <w:i/>
          <w:szCs w:val="24"/>
        </w:rPr>
      </w:pPr>
    </w:p>
    <w:p w:rsidR="006D2C56" w:rsidRPr="00C22E53" w:rsidRDefault="006D2C56" w:rsidP="006D2C56">
      <w:pPr>
        <w:spacing w:after="60"/>
        <w:rPr>
          <w:b/>
          <w:szCs w:val="24"/>
        </w:rPr>
      </w:pPr>
      <w:r w:rsidRPr="00C22E53">
        <w:rPr>
          <w:b/>
          <w:i/>
          <w:szCs w:val="24"/>
        </w:rPr>
        <w:t>Requirements of the</w:t>
      </w:r>
      <w:r w:rsidRPr="00C22E53">
        <w:rPr>
          <w:b/>
          <w:szCs w:val="24"/>
        </w:rPr>
        <w:t xml:space="preserve"> Legislative Instruments Act 2003</w:t>
      </w:r>
    </w:p>
    <w:p w:rsidR="006D2C56" w:rsidRPr="00C22E53" w:rsidRDefault="006D2C56" w:rsidP="006D2C56">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6D2C56" w:rsidRPr="00C22E53" w:rsidRDefault="006D2C56" w:rsidP="006D2C56">
      <w:pPr>
        <w:rPr>
          <w:szCs w:val="24"/>
        </w:rPr>
      </w:pPr>
      <w:r w:rsidRPr="00C22E53">
        <w:rPr>
          <w:szCs w:val="24"/>
        </w:rPr>
        <w:t>Section 18 of the Act, however, provides that in some circumstances such consultation may be 'unnecessary or inappropriate'.</w:t>
      </w:r>
    </w:p>
    <w:p w:rsidR="006D2C56" w:rsidRPr="00C22E53" w:rsidRDefault="006D2C56" w:rsidP="006D2C56">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6D2C56" w:rsidRPr="00C22E53" w:rsidRDefault="006D2C56" w:rsidP="006D2C56">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6D2C56" w:rsidRPr="00C22E53" w:rsidRDefault="006D2C56" w:rsidP="006D2C56">
      <w:pPr>
        <w:rPr>
          <w:szCs w:val="24"/>
        </w:rPr>
      </w:pPr>
      <w:r w:rsidRPr="00C22E53">
        <w:rPr>
          <w:szCs w:val="24"/>
        </w:rPr>
        <w:t>If a RIS or similar assessment has been prepared, it should be provided to the committee along with the ES.</w:t>
      </w:r>
    </w:p>
    <w:p w:rsidR="006D2C56" w:rsidRPr="00C22E53" w:rsidRDefault="006D2C56" w:rsidP="006D2C56">
      <w:pPr>
        <w:spacing w:after="60"/>
        <w:rPr>
          <w:b/>
          <w:i/>
          <w:szCs w:val="24"/>
        </w:rPr>
      </w:pPr>
      <w:r w:rsidRPr="00C22E53">
        <w:rPr>
          <w:b/>
          <w:i/>
          <w:szCs w:val="24"/>
        </w:rPr>
        <w:t>Describing the nature of consultation</w:t>
      </w:r>
    </w:p>
    <w:p w:rsidR="006D2C56" w:rsidRPr="00C22E53" w:rsidRDefault="006D2C56" w:rsidP="006D2C56">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6D2C56" w:rsidRPr="00C22E53" w:rsidRDefault="006D2C56" w:rsidP="006D2C56">
      <w:pPr>
        <w:rPr>
          <w:szCs w:val="24"/>
        </w:rPr>
      </w:pPr>
      <w:r w:rsidRPr="00C22E53">
        <w:rPr>
          <w:szCs w:val="24"/>
        </w:rPr>
        <w:t>Where consultation has taken place, the ES to an instrument should set out the following information:</w:t>
      </w:r>
    </w:p>
    <w:p w:rsidR="006D2C56" w:rsidRPr="00C22E53" w:rsidRDefault="006D2C56" w:rsidP="006D2C56">
      <w:pPr>
        <w:spacing w:after="60"/>
        <w:rPr>
          <w:i/>
          <w:szCs w:val="24"/>
        </w:rPr>
      </w:pPr>
      <w:r w:rsidRPr="00C22E53">
        <w:rPr>
          <w:i/>
          <w:szCs w:val="24"/>
        </w:rPr>
        <w:t>Method and purpose of consultation</w:t>
      </w:r>
    </w:p>
    <w:p w:rsidR="006D2C56" w:rsidRPr="00C22E53" w:rsidRDefault="006D2C56" w:rsidP="006D2C56">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6D2C56" w:rsidRPr="00C22E53" w:rsidRDefault="006D2C56" w:rsidP="006D2C56">
      <w:pPr>
        <w:spacing w:after="60"/>
        <w:rPr>
          <w:i/>
          <w:szCs w:val="24"/>
        </w:rPr>
      </w:pPr>
      <w:r w:rsidRPr="00C22E53">
        <w:rPr>
          <w:i/>
          <w:szCs w:val="24"/>
        </w:rPr>
        <w:t>Bodies/groups/individuals consulted</w:t>
      </w:r>
    </w:p>
    <w:p w:rsidR="006D2C56" w:rsidRPr="00C22E53" w:rsidRDefault="006D2C56" w:rsidP="006D2C56">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6D2C56" w:rsidRDefault="006D2C56" w:rsidP="006D2C56">
      <w:pPr>
        <w:spacing w:after="60"/>
        <w:rPr>
          <w:i/>
          <w:szCs w:val="24"/>
        </w:rPr>
      </w:pPr>
    </w:p>
    <w:p w:rsidR="006D2C56" w:rsidRPr="00C22E53" w:rsidRDefault="006D2C56" w:rsidP="006D2C56">
      <w:pPr>
        <w:rPr>
          <w:i/>
          <w:szCs w:val="24"/>
        </w:rPr>
      </w:pPr>
      <w:r w:rsidRPr="00C22E53">
        <w:rPr>
          <w:i/>
          <w:szCs w:val="24"/>
        </w:rPr>
        <w:lastRenderedPageBreak/>
        <w:t>Issues raised in consultations and outcomes</w:t>
      </w:r>
    </w:p>
    <w:p w:rsidR="006D2C56" w:rsidRPr="00C22E53" w:rsidRDefault="006D2C56" w:rsidP="006D2C56">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6D2C56" w:rsidRPr="00C22E53" w:rsidRDefault="006D2C56" w:rsidP="006D2C56">
      <w:pPr>
        <w:spacing w:after="60"/>
        <w:rPr>
          <w:b/>
          <w:i/>
          <w:szCs w:val="24"/>
        </w:rPr>
      </w:pPr>
      <w:r w:rsidRPr="00C22E53">
        <w:rPr>
          <w:b/>
          <w:i/>
          <w:szCs w:val="24"/>
        </w:rPr>
        <w:t>Explaining why consultation has not been undertaken</w:t>
      </w:r>
    </w:p>
    <w:p w:rsidR="006D2C56" w:rsidRPr="00C22E53" w:rsidRDefault="006D2C56" w:rsidP="006D2C56">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6D2C56" w:rsidRPr="00C22E53" w:rsidRDefault="006D2C56" w:rsidP="006D2C56">
      <w:pPr>
        <w:rPr>
          <w:szCs w:val="24"/>
        </w:rPr>
      </w:pPr>
      <w:r w:rsidRPr="00C22E53">
        <w:rPr>
          <w:szCs w:val="24"/>
        </w:rPr>
        <w:t>In explaining why no consultation has taken place, it is important to note the following considerations:</w:t>
      </w:r>
    </w:p>
    <w:p w:rsidR="006D2C56" w:rsidRPr="00C22E53" w:rsidRDefault="006D2C56" w:rsidP="006D2C56">
      <w:pPr>
        <w:rPr>
          <w:i/>
          <w:szCs w:val="24"/>
        </w:rPr>
      </w:pPr>
      <w:r w:rsidRPr="00C22E53">
        <w:rPr>
          <w:i/>
          <w:szCs w:val="24"/>
        </w:rPr>
        <w:t>Specific examples listed in the Act</w:t>
      </w:r>
    </w:p>
    <w:p w:rsidR="006D2C56" w:rsidRPr="00C22E53" w:rsidRDefault="006D2C56" w:rsidP="006D2C56">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6D2C56" w:rsidRPr="00C22E53" w:rsidRDefault="006D2C56" w:rsidP="006D2C56">
      <w:pPr>
        <w:rPr>
          <w:i/>
          <w:szCs w:val="24"/>
        </w:rPr>
      </w:pPr>
      <w:r w:rsidRPr="00C22E53">
        <w:rPr>
          <w:i/>
          <w:szCs w:val="24"/>
        </w:rPr>
        <w:t>Timing of consultation</w:t>
      </w:r>
    </w:p>
    <w:p w:rsidR="006D2C56" w:rsidRPr="00C22E53" w:rsidRDefault="006D2C56" w:rsidP="006D2C56">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6D2C56" w:rsidRPr="00C22E53" w:rsidRDefault="006D2C56" w:rsidP="006D2C56">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6D2C56" w:rsidRDefault="006D2C56" w:rsidP="006D2C56">
      <w:pPr>
        <w:spacing w:after="0"/>
        <w:jc w:val="left"/>
        <w:rPr>
          <w:b/>
          <w:i/>
          <w:szCs w:val="24"/>
        </w:rPr>
      </w:pPr>
      <w:r>
        <w:rPr>
          <w:b/>
          <w:i/>
          <w:szCs w:val="24"/>
        </w:rPr>
        <w:br w:type="page"/>
      </w:r>
    </w:p>
    <w:p w:rsidR="006D2C56" w:rsidRDefault="006D2C56" w:rsidP="006D2C56">
      <w:pPr>
        <w:spacing w:after="60"/>
        <w:rPr>
          <w:b/>
          <w:i/>
          <w:szCs w:val="24"/>
        </w:rPr>
      </w:pPr>
    </w:p>
    <w:p w:rsidR="006D2C56" w:rsidRPr="00C22E53" w:rsidRDefault="006D2C56" w:rsidP="006D2C56">
      <w:pPr>
        <w:spacing w:after="60"/>
        <w:rPr>
          <w:b/>
          <w:i/>
          <w:szCs w:val="24"/>
        </w:rPr>
      </w:pPr>
      <w:r w:rsidRPr="00C22E53">
        <w:rPr>
          <w:b/>
          <w:i/>
          <w:szCs w:val="24"/>
        </w:rPr>
        <w:t>Seeking further advice or information</w:t>
      </w:r>
    </w:p>
    <w:p w:rsidR="006D2C56" w:rsidRPr="00C22E53" w:rsidRDefault="006D2C56" w:rsidP="006D2C56">
      <w:pPr>
        <w:rPr>
          <w:szCs w:val="24"/>
        </w:rPr>
      </w:pPr>
      <w:r w:rsidRPr="00C22E53">
        <w:rPr>
          <w:szCs w:val="24"/>
        </w:rPr>
        <w:t xml:space="preserve">Further information is available through the committee's website at </w:t>
      </w:r>
      <w:hyperlink r:id="rId52"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6D2C56" w:rsidRPr="00C22E53" w:rsidRDefault="006D2C56" w:rsidP="006D2C56">
      <w:pPr>
        <w:rPr>
          <w:szCs w:val="24"/>
        </w:rPr>
      </w:pPr>
    </w:p>
    <w:p w:rsidR="006D2C56" w:rsidRPr="00C22E53" w:rsidRDefault="006D2C56" w:rsidP="006D2C56">
      <w:pPr>
        <w:spacing w:after="60"/>
        <w:rPr>
          <w:szCs w:val="24"/>
        </w:rPr>
      </w:pPr>
      <w:r w:rsidRPr="00C22E53">
        <w:rPr>
          <w:szCs w:val="24"/>
        </w:rPr>
        <w:t>Committee Secretary</w:t>
      </w:r>
    </w:p>
    <w:p w:rsidR="006D2C56" w:rsidRPr="00C22E53" w:rsidRDefault="006D2C56" w:rsidP="006D2C56">
      <w:pPr>
        <w:spacing w:after="60"/>
        <w:rPr>
          <w:szCs w:val="24"/>
        </w:rPr>
      </w:pPr>
      <w:r w:rsidRPr="00C22E53">
        <w:rPr>
          <w:szCs w:val="24"/>
        </w:rPr>
        <w:t>Senate Regulations and Ordinances Committee</w:t>
      </w:r>
    </w:p>
    <w:p w:rsidR="006D2C56" w:rsidRPr="00C22E53" w:rsidRDefault="006D2C56" w:rsidP="006D2C56">
      <w:pPr>
        <w:spacing w:after="60"/>
        <w:rPr>
          <w:szCs w:val="24"/>
        </w:rPr>
      </w:pPr>
      <w:r w:rsidRPr="00C22E53">
        <w:rPr>
          <w:szCs w:val="24"/>
        </w:rPr>
        <w:t>PO Box 6100</w:t>
      </w:r>
    </w:p>
    <w:p w:rsidR="006D2C56" w:rsidRPr="00C22E53" w:rsidRDefault="006D2C56" w:rsidP="006D2C56">
      <w:pPr>
        <w:spacing w:after="60"/>
        <w:rPr>
          <w:szCs w:val="24"/>
        </w:rPr>
      </w:pPr>
      <w:r w:rsidRPr="00C22E53">
        <w:rPr>
          <w:szCs w:val="24"/>
        </w:rPr>
        <w:t>Parliament House</w:t>
      </w:r>
    </w:p>
    <w:p w:rsidR="006D2C56" w:rsidRPr="00C22E53" w:rsidRDefault="006D2C56" w:rsidP="006D2C56">
      <w:pPr>
        <w:spacing w:after="60"/>
        <w:rPr>
          <w:szCs w:val="24"/>
        </w:rPr>
      </w:pPr>
      <w:r w:rsidRPr="00C22E53">
        <w:rPr>
          <w:szCs w:val="24"/>
        </w:rPr>
        <w:t>Canberra ACT 2600</w:t>
      </w:r>
    </w:p>
    <w:p w:rsidR="006D2C56" w:rsidRPr="00C22E53" w:rsidRDefault="006D2C56" w:rsidP="006D2C56">
      <w:pPr>
        <w:spacing w:after="0"/>
        <w:rPr>
          <w:szCs w:val="24"/>
        </w:rPr>
      </w:pPr>
      <w:r w:rsidRPr="00C22E53">
        <w:rPr>
          <w:szCs w:val="24"/>
        </w:rPr>
        <w:t>Australia</w:t>
      </w:r>
    </w:p>
    <w:p w:rsidR="006D2C56" w:rsidRPr="00C22E53" w:rsidRDefault="006D2C56" w:rsidP="006D2C56">
      <w:pPr>
        <w:rPr>
          <w:szCs w:val="24"/>
        </w:rPr>
      </w:pPr>
    </w:p>
    <w:p w:rsidR="006D2C56" w:rsidRPr="00C22E53" w:rsidRDefault="006D2C56" w:rsidP="006D2C56">
      <w:pPr>
        <w:spacing w:after="60"/>
        <w:rPr>
          <w:szCs w:val="24"/>
        </w:rPr>
      </w:pPr>
      <w:r w:rsidRPr="00C22E53">
        <w:rPr>
          <w:szCs w:val="24"/>
        </w:rPr>
        <w:t xml:space="preserve">Phone: +61 2 6277 3066 </w:t>
      </w:r>
    </w:p>
    <w:p w:rsidR="006D2C56" w:rsidRPr="00C22E53" w:rsidRDefault="006D2C56" w:rsidP="006D2C56">
      <w:pPr>
        <w:spacing w:after="60"/>
        <w:rPr>
          <w:szCs w:val="24"/>
        </w:rPr>
      </w:pPr>
      <w:r w:rsidRPr="00C22E53">
        <w:rPr>
          <w:szCs w:val="24"/>
        </w:rPr>
        <w:t xml:space="preserve">Fax: +61 2 6277 5881 </w:t>
      </w:r>
    </w:p>
    <w:p w:rsidR="006D2C56" w:rsidRPr="00C22E53" w:rsidRDefault="006D2C56" w:rsidP="006D2C56">
      <w:pPr>
        <w:spacing w:after="0"/>
        <w:rPr>
          <w:szCs w:val="24"/>
        </w:rPr>
      </w:pPr>
      <w:r w:rsidRPr="00C22E53">
        <w:rPr>
          <w:szCs w:val="24"/>
        </w:rPr>
        <w:t xml:space="preserve">Email: </w:t>
      </w:r>
      <w:hyperlink r:id="rId53" w:history="1">
        <w:r w:rsidRPr="00C22E53">
          <w:rPr>
            <w:rStyle w:val="Hyperlink"/>
            <w:szCs w:val="24"/>
          </w:rPr>
          <w:t>RegOrds.Sen@aph.gov.au</w:t>
        </w:r>
      </w:hyperlink>
    </w:p>
    <w:p w:rsidR="006D2C56" w:rsidRPr="00965B14" w:rsidRDefault="006D2C56" w:rsidP="006D2C56">
      <w:pPr>
        <w:jc w:val="left"/>
      </w:pPr>
    </w:p>
    <w:p w:rsidR="00520991" w:rsidRPr="00520991" w:rsidRDefault="00520991" w:rsidP="00325264"/>
    <w:sectPr w:rsidR="00520991" w:rsidRPr="00520991" w:rsidSect="00F817AC">
      <w:headerReference w:type="even" r:id="rId54"/>
      <w:footerReference w:type="even" r:id="rId55"/>
      <w:pgSz w:w="11906" w:h="16838"/>
      <w:pgMar w:top="1440" w:right="1440" w:bottom="1440" w:left="1440" w:header="708" w:footer="708"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3"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684099">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684099">
        <w:pPr>
          <w:pStyle w:val="Footer"/>
          <w:jc w:val="center"/>
        </w:pPr>
        <w:r>
          <w:fldChar w:fldCharType="begin"/>
        </w:r>
        <w:r>
          <w:instrText xml:space="preserve"> PAGE   \* MERGEFORMAT </w:instrText>
        </w:r>
        <w:r>
          <w:fldChar w:fldCharType="separate"/>
        </w:r>
        <w:r w:rsidR="006D2C56">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684099">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684099">
        <w:pPr>
          <w:pStyle w:val="Footer"/>
          <w:jc w:val="center"/>
        </w:pPr>
        <w:r>
          <w:fldChar w:fldCharType="begin"/>
        </w:r>
        <w:r>
          <w:instrText xml:space="preserve"> PAGE   \* MERGEFORMAT </w:instrText>
        </w:r>
        <w:r>
          <w:fldChar w:fldCharType="separate"/>
        </w:r>
        <w:r w:rsidR="006D2C56">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684099">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684099">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684099">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684099">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684099">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684099">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684099">
        <w:pPr>
          <w:pStyle w:val="Footer"/>
          <w:jc w:val="center"/>
        </w:pPr>
        <w:r>
          <w:fldChar w:fldCharType="begin"/>
        </w:r>
        <w:r>
          <w:instrText xml:space="preserve"> PAGE   \* MERGEFORMAT </w:instrText>
        </w:r>
        <w:r>
          <w:fldChar w:fldCharType="separate"/>
        </w:r>
        <w:r w:rsidR="006D2C56">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684099">
        <w:pPr>
          <w:pStyle w:val="Footer"/>
          <w:jc w:val="center"/>
        </w:pPr>
        <w:r>
          <w:fldChar w:fldCharType="begin"/>
        </w:r>
        <w:r>
          <w:instrText xml:space="preserve"> PAGE   \* MERGEFORMAT </w:instrText>
        </w:r>
        <w:r>
          <w:fldChar w:fldCharType="separate"/>
        </w:r>
        <w:r w:rsidR="006D2C56">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6D2C56" w:rsidRDefault="006D2C56">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6D2C56" w:rsidRDefault="006D2C56">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6D2C56" w:rsidRPr="00F61935" w:rsidRDefault="006D2C56" w:rsidP="006D2C56">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6D2C56" w:rsidRPr="00ED4CC3" w:rsidRDefault="006D2C56" w:rsidP="006D2C56">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6D2C56" w:rsidRPr="000B044A" w:rsidRDefault="006D2C56" w:rsidP="006D2C56">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6D2C56" w:rsidRPr="00E35D4F" w:rsidRDefault="006D2C56" w:rsidP="006D2C56">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5">
    <w:p w:rsidR="006D2C56" w:rsidRPr="002D6558" w:rsidRDefault="006D2C56" w:rsidP="006D2C56">
      <w:pPr>
        <w:pStyle w:val="FootnoteText"/>
        <w:spacing w:after="120"/>
      </w:pPr>
      <w:r w:rsidRPr="002D6558">
        <w:rPr>
          <w:rStyle w:val="FootnoteReference"/>
          <w:vertAlign w:val="baseline"/>
        </w:rPr>
        <w:footnoteRef/>
      </w:r>
      <w:r w:rsidRPr="002D6558">
        <w:t xml:space="preserve"> </w:t>
      </w:r>
      <w:r>
        <w:tab/>
        <w:t xml:space="preserve">Commonwealth of Australia, Financial system inquiry, Terms of reference, </w:t>
      </w:r>
      <w:hyperlink r:id="rId3" w:history="1">
        <w:r w:rsidRPr="00E57909">
          <w:rPr>
            <w:rStyle w:val="Hyperlink"/>
          </w:rPr>
          <w:t>http://fsi.gov.au/terms-of-reference/</w:t>
        </w:r>
      </w:hyperlink>
      <w:r>
        <w:t xml:space="preserve"> (accessed 26 November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68409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6D2C56">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684099">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684099">
    <w:pPr>
      <w:pStyle w:val="Header"/>
      <w:pBdr>
        <w:bottom w:val="single" w:sz="4" w:space="1" w:color="auto"/>
      </w:pBdr>
      <w:tabs>
        <w:tab w:val="clear" w:pos="8306"/>
        <w:tab w:val="right" w:pos="9000"/>
      </w:tabs>
    </w:pPr>
    <w:r>
      <w:fldChar w:fldCharType="begin"/>
    </w:r>
    <w:r>
      <w:instrText xml:space="preserve"> PAGE </w:instrText>
    </w:r>
    <w:r>
      <w:fldChar w:fldCharType="separate"/>
    </w:r>
    <w:r w:rsidR="006D2C56">
      <w:rPr>
        <w:noProof/>
      </w:rPr>
      <w:t>4</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68409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6D2C56">
      <w:rPr>
        <w:noProof/>
      </w:rPr>
      <w:t>3</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684099">
    <w:pPr>
      <w:pStyle w:val="Header"/>
      <w:tabs>
        <w:tab w:val="clear" w:pos="8306"/>
        <w:tab w:val="right" w:pos="9000"/>
      </w:tabs>
    </w:pPr>
    <w:r>
      <w:tab/>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684099">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12</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68409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11</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684099">
    <w:pPr>
      <w:pStyle w:val="Header"/>
      <w:tabs>
        <w:tab w:val="clear" w:pos="8306"/>
        <w:tab w:val="right" w:pos="9000"/>
      </w:tabs>
    </w:pPr>
    <w:r>
      <w:tab/>
    </w:r>
    <w:r>
      <w:t>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Pr="006D2C56" w:rsidRDefault="006D2C56" w:rsidP="006D2C5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Pr="006D2C56" w:rsidRDefault="006D2C56" w:rsidP="006D2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Header"/>
      <w:tabs>
        <w:tab w:val="clear" w:pos="8306"/>
        <w:tab w:val="right" w:pos="9000"/>
      </w:tabs>
    </w:pP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Pr="006D2C56" w:rsidRDefault="006D2C56" w:rsidP="006D2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684099">
      <w:fldChar w:fldCharType="begin"/>
    </w:r>
    <w:r w:rsidR="00684099">
      <w:instrText xml:space="preserve"> PAGE </w:instrText>
    </w:r>
    <w:r w:rsidR="00684099">
      <w:fldChar w:fldCharType="separate"/>
    </w:r>
    <w:r w:rsidR="006D2C56">
      <w:rPr>
        <w:noProof/>
      </w:rPr>
      <w:t>v</w:t>
    </w:r>
    <w:r w:rsidR="00684099">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Pr="00F710D5" w:rsidRDefault="006D2C5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C56" w:rsidRDefault="006D2C56">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684099"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73513E0"/>
    <w:multiLevelType w:val="multilevel"/>
    <w:tmpl w:val="827AE67A"/>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54D03514"/>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3D2471F"/>
    <w:multiLevelType w:val="multilevel"/>
    <w:tmpl w:val="51EADA22"/>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4"/>
  </w:num>
  <w:num w:numId="2">
    <w:abstractNumId w:val="13"/>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2"/>
  </w:num>
  <w:num w:numId="19">
    <w:abstractNumId w:val="27"/>
  </w:num>
  <w:num w:numId="20">
    <w:abstractNumId w:val="10"/>
  </w:num>
  <w:num w:numId="21">
    <w:abstractNumId w:val="25"/>
  </w:num>
  <w:num w:numId="22">
    <w:abstractNumId w:val="20"/>
  </w:num>
  <w:num w:numId="23">
    <w:abstractNumId w:val="26"/>
  </w:num>
  <w:num w:numId="24">
    <w:abstractNumId w:val="21"/>
  </w:num>
  <w:num w:numId="25">
    <w:abstractNumId w:val="22"/>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8"/>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30A0"/>
    <w:rsid w:val="000B484C"/>
    <w:rsid w:val="000D56E8"/>
    <w:rsid w:val="001428C3"/>
    <w:rsid w:val="00151846"/>
    <w:rsid w:val="0018124A"/>
    <w:rsid w:val="00194588"/>
    <w:rsid w:val="001D0377"/>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84099"/>
    <w:rsid w:val="006D2C56"/>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6D2C56"/>
    <w:pPr>
      <w:keepNext/>
      <w:numPr>
        <w:ilvl w:val="3"/>
        <w:numId w:val="32"/>
      </w:numPr>
      <w:outlineLvl w:val="3"/>
    </w:pPr>
    <w:rPr>
      <w:b/>
      <w:i/>
    </w:rPr>
  </w:style>
  <w:style w:type="paragraph" w:styleId="Heading5">
    <w:name w:val="heading 5"/>
    <w:basedOn w:val="Normal"/>
    <w:next w:val="Normal"/>
    <w:qFormat/>
    <w:rsid w:val="006D2C56"/>
    <w:pPr>
      <w:keepNext/>
      <w:numPr>
        <w:ilvl w:val="4"/>
        <w:numId w:val="32"/>
      </w:numPr>
      <w:jc w:val="left"/>
      <w:outlineLvl w:val="4"/>
    </w:pPr>
    <w:rPr>
      <w:i/>
    </w:rPr>
  </w:style>
  <w:style w:type="paragraph" w:styleId="Heading6">
    <w:name w:val="heading 6"/>
    <w:basedOn w:val="Normal"/>
    <w:next w:val="Normal"/>
    <w:qFormat/>
    <w:locked/>
    <w:rsid w:val="006D2C56"/>
    <w:pPr>
      <w:numPr>
        <w:ilvl w:val="5"/>
        <w:numId w:val="32"/>
      </w:numPr>
      <w:spacing w:before="240" w:after="60"/>
      <w:outlineLvl w:val="5"/>
    </w:pPr>
    <w:rPr>
      <w:i/>
      <w:sz w:val="22"/>
    </w:rPr>
  </w:style>
  <w:style w:type="paragraph" w:styleId="Heading7">
    <w:name w:val="heading 7"/>
    <w:basedOn w:val="Normal"/>
    <w:next w:val="Normal"/>
    <w:qFormat/>
    <w:locked/>
    <w:rsid w:val="006D2C5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6D2C5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6D2C5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6D2C56"/>
    <w:pPr>
      <w:numPr>
        <w:numId w:val="32"/>
      </w:numPr>
    </w:pPr>
  </w:style>
  <w:style w:type="paragraph" w:customStyle="1" w:styleId="Level2">
    <w:name w:val="Level2"/>
    <w:basedOn w:val="Normal"/>
    <w:rsid w:val="006D2C56"/>
    <w:pPr>
      <w:numPr>
        <w:ilvl w:val="1"/>
        <w:numId w:val="32"/>
      </w:numPr>
    </w:pPr>
  </w:style>
  <w:style w:type="paragraph" w:customStyle="1" w:styleId="Level3">
    <w:name w:val="Level3"/>
    <w:basedOn w:val="Normal"/>
    <w:link w:val="Level3Char"/>
    <w:rsid w:val="006D2C56"/>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6D2C56"/>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6D2C56"/>
    <w:rPr>
      <w:rFonts w:ascii="Times New Roman" w:hAnsi="Times New Roman"/>
      <w:b/>
      <w:kern w:val="28"/>
      <w:sz w:val="40"/>
      <w:lang w:eastAsia="en-US"/>
    </w:rPr>
  </w:style>
  <w:style w:type="character" w:customStyle="1" w:styleId="HeaderChar">
    <w:name w:val="Header Char"/>
    <w:basedOn w:val="DefaultParagraphFont"/>
    <w:link w:val="Header"/>
    <w:semiHidden/>
    <w:rsid w:val="006D2C56"/>
    <w:rPr>
      <w:rFonts w:ascii="Times New Roman" w:hAnsi="Times New Roman"/>
      <w:sz w:val="22"/>
      <w:lang w:eastAsia="en-US"/>
    </w:rPr>
  </w:style>
  <w:style w:type="paragraph" w:customStyle="1" w:styleId="JNP2">
    <w:name w:val="JNP2"/>
    <w:basedOn w:val="Normal"/>
    <w:rsid w:val="006D2C56"/>
    <w:pPr>
      <w:spacing w:after="0"/>
      <w:ind w:left="2268"/>
    </w:pPr>
    <w:rPr>
      <w:lang w:val="en-US"/>
    </w:rPr>
  </w:style>
  <w:style w:type="character" w:customStyle="1" w:styleId="FootnoteTextChar">
    <w:name w:val="Footnote Text Char"/>
    <w:basedOn w:val="DefaultParagraphFont"/>
    <w:link w:val="FootnoteText"/>
    <w:rsid w:val="006D2C56"/>
    <w:rPr>
      <w:sz w:val="22"/>
      <w:lang w:eastAsia="en-US"/>
    </w:rPr>
  </w:style>
  <w:style w:type="character" w:customStyle="1" w:styleId="QuoteChar">
    <w:name w:val="Quote Char"/>
    <w:basedOn w:val="DefaultParagraphFont"/>
    <w:link w:val="Quote"/>
    <w:rsid w:val="006D2C56"/>
    <w:rPr>
      <w:rFonts w:ascii="Times New Roman" w:hAnsi="Times New Roman"/>
      <w:sz w:val="24"/>
      <w:lang w:eastAsia="en-US"/>
    </w:rPr>
  </w:style>
  <w:style w:type="character" w:customStyle="1" w:styleId="Heading2Char">
    <w:name w:val="Heading 2 Char"/>
    <w:basedOn w:val="DefaultParagraphFont"/>
    <w:link w:val="Heading2"/>
    <w:rsid w:val="006D2C56"/>
    <w:rPr>
      <w:rFonts w:ascii="Times New Roman" w:hAnsi="Times New Roman"/>
      <w:b/>
      <w:sz w:val="36"/>
      <w:lang w:eastAsia="en-US"/>
    </w:rPr>
  </w:style>
  <w:style w:type="character" w:customStyle="1" w:styleId="Heading3Char">
    <w:name w:val="Heading 3 Char"/>
    <w:basedOn w:val="DefaultParagraphFont"/>
    <w:link w:val="Heading3"/>
    <w:rsid w:val="006D2C56"/>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6D2C56"/>
    <w:pPr>
      <w:keepNext/>
      <w:numPr>
        <w:ilvl w:val="3"/>
        <w:numId w:val="32"/>
      </w:numPr>
      <w:outlineLvl w:val="3"/>
    </w:pPr>
    <w:rPr>
      <w:b/>
      <w:i/>
    </w:rPr>
  </w:style>
  <w:style w:type="paragraph" w:styleId="Heading5">
    <w:name w:val="heading 5"/>
    <w:basedOn w:val="Normal"/>
    <w:next w:val="Normal"/>
    <w:qFormat/>
    <w:rsid w:val="006D2C56"/>
    <w:pPr>
      <w:keepNext/>
      <w:numPr>
        <w:ilvl w:val="4"/>
        <w:numId w:val="32"/>
      </w:numPr>
      <w:jc w:val="left"/>
      <w:outlineLvl w:val="4"/>
    </w:pPr>
    <w:rPr>
      <w:i/>
    </w:rPr>
  </w:style>
  <w:style w:type="paragraph" w:styleId="Heading6">
    <w:name w:val="heading 6"/>
    <w:basedOn w:val="Normal"/>
    <w:next w:val="Normal"/>
    <w:qFormat/>
    <w:locked/>
    <w:rsid w:val="006D2C56"/>
    <w:pPr>
      <w:numPr>
        <w:ilvl w:val="5"/>
        <w:numId w:val="32"/>
      </w:numPr>
      <w:spacing w:before="240" w:after="60"/>
      <w:outlineLvl w:val="5"/>
    </w:pPr>
    <w:rPr>
      <w:i/>
      <w:sz w:val="22"/>
    </w:rPr>
  </w:style>
  <w:style w:type="paragraph" w:styleId="Heading7">
    <w:name w:val="heading 7"/>
    <w:basedOn w:val="Normal"/>
    <w:next w:val="Normal"/>
    <w:qFormat/>
    <w:locked/>
    <w:rsid w:val="006D2C5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6D2C5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6D2C5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6D2C56"/>
    <w:pPr>
      <w:numPr>
        <w:numId w:val="32"/>
      </w:numPr>
    </w:pPr>
  </w:style>
  <w:style w:type="paragraph" w:customStyle="1" w:styleId="Level2">
    <w:name w:val="Level2"/>
    <w:basedOn w:val="Normal"/>
    <w:rsid w:val="006D2C56"/>
    <w:pPr>
      <w:numPr>
        <w:ilvl w:val="1"/>
        <w:numId w:val="32"/>
      </w:numPr>
    </w:pPr>
  </w:style>
  <w:style w:type="paragraph" w:customStyle="1" w:styleId="Level3">
    <w:name w:val="Level3"/>
    <w:basedOn w:val="Normal"/>
    <w:link w:val="Level3Char"/>
    <w:rsid w:val="006D2C56"/>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6D2C56"/>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6D2C56"/>
    <w:rPr>
      <w:rFonts w:ascii="Times New Roman" w:hAnsi="Times New Roman"/>
      <w:b/>
      <w:kern w:val="28"/>
      <w:sz w:val="40"/>
      <w:lang w:eastAsia="en-US"/>
    </w:rPr>
  </w:style>
  <w:style w:type="character" w:customStyle="1" w:styleId="HeaderChar">
    <w:name w:val="Header Char"/>
    <w:basedOn w:val="DefaultParagraphFont"/>
    <w:link w:val="Header"/>
    <w:semiHidden/>
    <w:rsid w:val="006D2C56"/>
    <w:rPr>
      <w:rFonts w:ascii="Times New Roman" w:hAnsi="Times New Roman"/>
      <w:sz w:val="22"/>
      <w:lang w:eastAsia="en-US"/>
    </w:rPr>
  </w:style>
  <w:style w:type="paragraph" w:customStyle="1" w:styleId="JNP2">
    <w:name w:val="JNP2"/>
    <w:basedOn w:val="Normal"/>
    <w:rsid w:val="006D2C56"/>
    <w:pPr>
      <w:spacing w:after="0"/>
      <w:ind w:left="2268"/>
    </w:pPr>
    <w:rPr>
      <w:lang w:val="en-US"/>
    </w:rPr>
  </w:style>
  <w:style w:type="character" w:customStyle="1" w:styleId="FootnoteTextChar">
    <w:name w:val="Footnote Text Char"/>
    <w:basedOn w:val="DefaultParagraphFont"/>
    <w:link w:val="FootnoteText"/>
    <w:rsid w:val="006D2C56"/>
    <w:rPr>
      <w:sz w:val="22"/>
      <w:lang w:eastAsia="en-US"/>
    </w:rPr>
  </w:style>
  <w:style w:type="character" w:customStyle="1" w:styleId="QuoteChar">
    <w:name w:val="Quote Char"/>
    <w:basedOn w:val="DefaultParagraphFont"/>
    <w:link w:val="Quote"/>
    <w:rsid w:val="006D2C56"/>
    <w:rPr>
      <w:rFonts w:ascii="Times New Roman" w:hAnsi="Times New Roman"/>
      <w:sz w:val="24"/>
      <w:lang w:eastAsia="en-US"/>
    </w:rPr>
  </w:style>
  <w:style w:type="character" w:customStyle="1" w:styleId="Heading2Char">
    <w:name w:val="Heading 2 Char"/>
    <w:basedOn w:val="DefaultParagraphFont"/>
    <w:link w:val="Heading2"/>
    <w:rsid w:val="006D2C56"/>
    <w:rPr>
      <w:rFonts w:ascii="Times New Roman" w:hAnsi="Times New Roman"/>
      <w:b/>
      <w:sz w:val="36"/>
      <w:lang w:eastAsia="en-US"/>
    </w:rPr>
  </w:style>
  <w:style w:type="character" w:customStyle="1" w:styleId="Heading3Char">
    <w:name w:val="Heading 3 Char"/>
    <w:basedOn w:val="DefaultParagraphFont"/>
    <w:link w:val="Heading3"/>
    <w:rsid w:val="006D2C56"/>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yperlink" Target="http://www.comlaw.gov.au/Details/C2012C00041" TargetMode="External"/><Relationship Id="rId55"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yperlink" Target="mailto:RegOrds.Sen@aph.gov.au"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yperlink" Target="http://www.aph.gov.au/Parliamentary_Business/Committees/Senate_Committees?url=regord_ctte/guidelines.htm"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index.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aph.gov.au/Parliamentary_Business/Committees/Senate_Committees?url=regord_ctte/alert2012.htm"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fsi.gov.au/terms-of-reference/" TargetMode="External"/><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31</Pages>
  <Words>5883</Words>
  <Characters>33535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2015-03-04T04:10:00Z</dcterms:created>
  <dcterms:modified xsi:type="dcterms:W3CDTF">2015-03-04T04:10:00Z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