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EA3BD8">
        <w:rPr>
          <w:sz w:val="24"/>
          <w:szCs w:val="24"/>
        </w:rPr>
        <w:t>3</w:t>
      </w:r>
      <w:r>
        <w:rPr>
          <w:sz w:val="24"/>
          <w:szCs w:val="24"/>
        </w:rPr>
        <w:t xml:space="preserve"> of 201</w:t>
      </w:r>
      <w:r w:rsidR="00AB1147">
        <w:rPr>
          <w:sz w:val="24"/>
          <w:szCs w:val="24"/>
        </w:rPr>
        <w:t>4</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EA3BD8">
        <w:rPr>
          <w:sz w:val="28"/>
        </w:rPr>
        <w:t>19</w:t>
      </w:r>
      <w:r w:rsidR="005E6582">
        <w:rPr>
          <w:sz w:val="28"/>
        </w:rPr>
        <w:t xml:space="preserve"> </w:t>
      </w:r>
      <w:r w:rsidR="00EA3BD8">
        <w:rPr>
          <w:sz w:val="28"/>
        </w:rPr>
        <w:t>March</w:t>
      </w:r>
      <w:r w:rsidR="00AB1147">
        <w:rPr>
          <w:sz w:val="28"/>
        </w:rPr>
        <w:t xml:space="preserve"> </w:t>
      </w:r>
      <w:r w:rsidRPr="00BF4D76">
        <w:rPr>
          <w:rFonts w:ascii="Frutiger 55 roman" w:hAnsi="Frutiger 55 roman" w:cs="Calibri"/>
          <w:sz w:val="28"/>
        </w:rPr>
        <w:t>201</w:t>
      </w:r>
      <w:r w:rsidR="00AB1147">
        <w:rPr>
          <w:rFonts w:ascii="Frutiger 55 roman" w:hAnsi="Frutiger 55 roman" w:cs="Calibri"/>
          <w:sz w:val="28"/>
        </w:rPr>
        <w:t>4</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AB1147">
        <w:rPr>
          <w:spacing w:val="-3"/>
          <w:sz w:val="24"/>
          <w:szCs w:val="24"/>
        </w:rPr>
        <w:t>4</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 xml:space="preserve">This document was prepared by the Senate Standing Committee on Regulations and Ordinances and printed by the Senate Printing Unit, Department of the Senate, Parliament House, </w:t>
      </w:r>
      <w:proofErr w:type="gramStart"/>
      <w:r w:rsidRPr="00396DF7">
        <w:rPr>
          <w:spacing w:val="-3"/>
          <w:sz w:val="22"/>
          <w:szCs w:val="22"/>
        </w:rPr>
        <w:t>Canberra</w:t>
      </w:r>
      <w:proofErr w:type="gramEnd"/>
      <w:r w:rsidRPr="00396DF7">
        <w:rPr>
          <w:spacing w:val="-3"/>
          <w:sz w:val="22"/>
          <w:szCs w:val="22"/>
        </w:rPr>
        <w:t>.</w:t>
      </w:r>
    </w:p>
    <w:p w:rsidR="00FF625A" w:rsidRDefault="00FF625A" w:rsidP="00325264"/>
    <w:p w:rsidR="00FF625A" w:rsidRDefault="00FF625A" w:rsidP="00325264">
      <w:pPr>
        <w:sectPr w:rsidR="00FF625A"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FF625A" w:rsidRDefault="00FF625A" w:rsidP="00FF625A">
      <w:pPr>
        <w:pStyle w:val="Heading1"/>
      </w:pPr>
      <w:bookmarkStart w:id="1" w:name="_Toc340231481"/>
      <w:r>
        <w:lastRenderedPageBreak/>
        <w:t>Membership of the committee</w:t>
      </w:r>
      <w:bookmarkEnd w:id="1"/>
    </w:p>
    <w:p w:rsidR="00FF625A" w:rsidRDefault="00FF625A" w:rsidP="00FF625A">
      <w:pPr>
        <w:spacing w:after="0"/>
      </w:pPr>
    </w:p>
    <w:p w:rsidR="00FF625A" w:rsidRDefault="00FF625A" w:rsidP="00FF625A">
      <w:pPr>
        <w:spacing w:after="0"/>
      </w:pPr>
    </w:p>
    <w:p w:rsidR="00FF625A" w:rsidRDefault="00FF625A" w:rsidP="00FF625A">
      <w:pPr>
        <w:spacing w:after="0"/>
      </w:pPr>
    </w:p>
    <w:p w:rsidR="00FF625A" w:rsidRDefault="00FF625A" w:rsidP="00FF625A">
      <w:pPr>
        <w:spacing w:after="0"/>
      </w:pPr>
    </w:p>
    <w:p w:rsidR="00FF625A" w:rsidRDefault="00FF625A" w:rsidP="00FF625A">
      <w:pPr>
        <w:spacing w:after="0"/>
      </w:pPr>
    </w:p>
    <w:p w:rsidR="00FF625A" w:rsidRPr="008A46B0" w:rsidRDefault="00FF625A" w:rsidP="00FF625A">
      <w:pPr>
        <w:tabs>
          <w:tab w:val="left" w:pos="4536"/>
        </w:tabs>
        <w:outlineLvl w:val="0"/>
        <w:rPr>
          <w:b/>
        </w:rPr>
      </w:pPr>
      <w:bookmarkStart w:id="2" w:name="_Toc340231482"/>
      <w:r>
        <w:rPr>
          <w:b/>
        </w:rPr>
        <w:t>Current m</w:t>
      </w:r>
      <w:r w:rsidRPr="008A46B0">
        <w:rPr>
          <w:b/>
        </w:rPr>
        <w:t>embers</w:t>
      </w:r>
      <w:bookmarkEnd w:id="2"/>
    </w:p>
    <w:p w:rsidR="00FF625A" w:rsidRPr="001F6A19" w:rsidRDefault="00FF625A" w:rsidP="00FF625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FF625A" w:rsidRPr="001F6A19" w:rsidRDefault="00FF625A" w:rsidP="00FF625A">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FF625A" w:rsidRDefault="00FF625A" w:rsidP="00FF625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FF625A" w:rsidRPr="001F6A19" w:rsidRDefault="00FF625A" w:rsidP="00FF625A">
      <w:pPr>
        <w:pStyle w:val="JNP2"/>
        <w:tabs>
          <w:tab w:val="right" w:pos="9026"/>
        </w:tabs>
        <w:ind w:left="0"/>
        <w:rPr>
          <w:sz w:val="24"/>
          <w:szCs w:val="24"/>
          <w:lang w:val="en-AU"/>
        </w:rPr>
      </w:pPr>
      <w:r>
        <w:rPr>
          <w:sz w:val="24"/>
          <w:szCs w:val="24"/>
          <w:lang w:val="en-AU"/>
        </w:rPr>
        <w:t xml:space="preserve">Senator Sam </w:t>
      </w:r>
      <w:proofErr w:type="spellStart"/>
      <w:r>
        <w:rPr>
          <w:sz w:val="24"/>
          <w:szCs w:val="24"/>
          <w:lang w:val="en-AU"/>
        </w:rPr>
        <w:t>Dastyari</w:t>
      </w:r>
      <w:proofErr w:type="spellEnd"/>
      <w:r>
        <w:rPr>
          <w:sz w:val="24"/>
          <w:szCs w:val="24"/>
          <w:lang w:val="en-AU"/>
        </w:rPr>
        <w:tab/>
        <w:t>New South Wales, ALP</w:t>
      </w:r>
    </w:p>
    <w:p w:rsidR="00FF625A" w:rsidRPr="001F6A19" w:rsidRDefault="00FF625A" w:rsidP="00FF625A">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FF625A" w:rsidRDefault="00FF625A" w:rsidP="00FF625A">
      <w:pPr>
        <w:pStyle w:val="JNP2"/>
        <w:tabs>
          <w:tab w:val="right" w:pos="9026"/>
        </w:tabs>
        <w:ind w:left="0"/>
        <w:rPr>
          <w:sz w:val="24"/>
          <w:szCs w:val="24"/>
          <w:lang w:val="en-AU"/>
        </w:rPr>
      </w:pPr>
      <w:r>
        <w:rPr>
          <w:sz w:val="24"/>
          <w:szCs w:val="24"/>
          <w:lang w:val="en-AU"/>
        </w:rPr>
        <w:t xml:space="preserve">Senator Zed </w:t>
      </w:r>
      <w:proofErr w:type="spellStart"/>
      <w:r>
        <w:rPr>
          <w:sz w:val="24"/>
          <w:szCs w:val="24"/>
          <w:lang w:val="en-AU"/>
        </w:rPr>
        <w:t>Seselja</w:t>
      </w:r>
      <w:proofErr w:type="spellEnd"/>
      <w:r>
        <w:rPr>
          <w:sz w:val="24"/>
          <w:szCs w:val="24"/>
          <w:lang w:val="en-AU"/>
        </w:rPr>
        <w:tab/>
        <w:t>Australian Capital Territory, LP</w:t>
      </w:r>
    </w:p>
    <w:p w:rsidR="00FF625A" w:rsidRDefault="00FF625A" w:rsidP="00FF625A">
      <w:pPr>
        <w:spacing w:after="0"/>
        <w:rPr>
          <w:sz w:val="24"/>
          <w:szCs w:val="24"/>
        </w:rPr>
      </w:pPr>
    </w:p>
    <w:p w:rsidR="00FF625A" w:rsidRDefault="00FF625A" w:rsidP="00FF625A">
      <w:pPr>
        <w:spacing w:after="0"/>
        <w:rPr>
          <w:sz w:val="24"/>
          <w:szCs w:val="24"/>
        </w:rPr>
      </w:pPr>
    </w:p>
    <w:p w:rsidR="00FF625A" w:rsidRDefault="00FF625A" w:rsidP="00FF625A">
      <w:pPr>
        <w:spacing w:after="0"/>
        <w:rPr>
          <w:sz w:val="24"/>
          <w:szCs w:val="24"/>
        </w:rPr>
      </w:pPr>
    </w:p>
    <w:p w:rsidR="00FF625A" w:rsidRDefault="00FF625A" w:rsidP="00FF625A">
      <w:pPr>
        <w:spacing w:after="0"/>
        <w:rPr>
          <w:sz w:val="24"/>
          <w:szCs w:val="24"/>
        </w:rPr>
      </w:pPr>
    </w:p>
    <w:p w:rsidR="00FF625A" w:rsidRDefault="00FF625A" w:rsidP="00FF625A">
      <w:pPr>
        <w:spacing w:after="0"/>
        <w:rPr>
          <w:sz w:val="24"/>
          <w:szCs w:val="24"/>
        </w:rPr>
      </w:pPr>
    </w:p>
    <w:p w:rsidR="00FF625A" w:rsidRPr="00BE73BD" w:rsidRDefault="00FF625A" w:rsidP="00FF625A">
      <w:pPr>
        <w:rPr>
          <w:b/>
        </w:rPr>
      </w:pPr>
      <w:bookmarkStart w:id="3" w:name="_Toc340231484"/>
      <w:r w:rsidRPr="00BE73BD">
        <w:rPr>
          <w:b/>
        </w:rPr>
        <w:t>Secretariat</w:t>
      </w:r>
      <w:bookmarkEnd w:id="3"/>
    </w:p>
    <w:p w:rsidR="00FF625A" w:rsidRPr="00BE73BD" w:rsidRDefault="00FF625A" w:rsidP="00FF625A">
      <w:pPr>
        <w:spacing w:after="0"/>
        <w:rPr>
          <w:sz w:val="24"/>
          <w:szCs w:val="24"/>
        </w:rPr>
      </w:pPr>
      <w:bookmarkStart w:id="4" w:name="_Toc340231485"/>
      <w:r w:rsidRPr="00BE73BD">
        <w:rPr>
          <w:sz w:val="24"/>
          <w:szCs w:val="24"/>
        </w:rPr>
        <w:t>Mr Ivan Powell, Secretary</w:t>
      </w:r>
      <w:bookmarkEnd w:id="4"/>
    </w:p>
    <w:p w:rsidR="00FF625A" w:rsidRPr="00BE73BD" w:rsidRDefault="00FF625A" w:rsidP="00FF625A">
      <w:pPr>
        <w:spacing w:after="0"/>
        <w:rPr>
          <w:sz w:val="24"/>
          <w:szCs w:val="24"/>
        </w:rPr>
      </w:pPr>
      <w:r w:rsidRPr="00BE73BD">
        <w:rPr>
          <w:sz w:val="24"/>
          <w:szCs w:val="24"/>
        </w:rPr>
        <w:t>Dr Patrick Hodder, Senior Research Officer</w:t>
      </w:r>
    </w:p>
    <w:p w:rsidR="00FF625A" w:rsidRDefault="00FF625A" w:rsidP="00FF625A">
      <w:pPr>
        <w:spacing w:after="0"/>
        <w:rPr>
          <w:sz w:val="24"/>
          <w:szCs w:val="24"/>
        </w:rPr>
      </w:pPr>
    </w:p>
    <w:p w:rsidR="00FF625A" w:rsidRDefault="00FF625A" w:rsidP="00FF625A">
      <w:pPr>
        <w:spacing w:after="0"/>
        <w:rPr>
          <w:sz w:val="24"/>
          <w:szCs w:val="24"/>
        </w:rPr>
      </w:pPr>
    </w:p>
    <w:p w:rsidR="00FF625A" w:rsidRDefault="00FF625A" w:rsidP="00FF625A">
      <w:pPr>
        <w:spacing w:after="0"/>
        <w:rPr>
          <w:sz w:val="24"/>
          <w:szCs w:val="24"/>
        </w:rPr>
      </w:pPr>
    </w:p>
    <w:p w:rsidR="00FF625A" w:rsidRPr="007A6AAA" w:rsidRDefault="00FF625A" w:rsidP="00FF625A">
      <w:pPr>
        <w:spacing w:after="0"/>
        <w:rPr>
          <w:sz w:val="24"/>
          <w:szCs w:val="24"/>
        </w:rPr>
      </w:pPr>
    </w:p>
    <w:p w:rsidR="00FF625A" w:rsidRPr="00BE73BD" w:rsidRDefault="00FF625A" w:rsidP="00FF625A">
      <w:pPr>
        <w:rPr>
          <w:b/>
        </w:rPr>
      </w:pPr>
      <w:bookmarkStart w:id="5" w:name="_Toc340231486"/>
      <w:r w:rsidRPr="00BE73BD">
        <w:rPr>
          <w:b/>
        </w:rPr>
        <w:t>Committee legal adviser</w:t>
      </w:r>
      <w:bookmarkEnd w:id="5"/>
    </w:p>
    <w:p w:rsidR="00FF625A" w:rsidRPr="00BE73BD" w:rsidRDefault="00FF625A" w:rsidP="00FF625A">
      <w:pPr>
        <w:rPr>
          <w:sz w:val="24"/>
          <w:szCs w:val="24"/>
        </w:rPr>
      </w:pPr>
      <w:r w:rsidRPr="00BE73BD">
        <w:rPr>
          <w:sz w:val="24"/>
          <w:szCs w:val="24"/>
        </w:rPr>
        <w:t>Mr Stephen Argument</w:t>
      </w:r>
    </w:p>
    <w:p w:rsidR="00FF625A" w:rsidRDefault="00FF625A" w:rsidP="00FF625A">
      <w:pPr>
        <w:spacing w:after="0"/>
        <w:rPr>
          <w:sz w:val="24"/>
          <w:szCs w:val="24"/>
        </w:rPr>
      </w:pPr>
    </w:p>
    <w:p w:rsidR="00FF625A" w:rsidRDefault="00FF625A" w:rsidP="00FF625A">
      <w:pPr>
        <w:spacing w:after="0"/>
        <w:rPr>
          <w:sz w:val="24"/>
          <w:szCs w:val="24"/>
        </w:rPr>
      </w:pPr>
    </w:p>
    <w:p w:rsidR="00FF625A" w:rsidRPr="001B64F3" w:rsidRDefault="00FF625A" w:rsidP="00FF625A">
      <w:pPr>
        <w:spacing w:after="0"/>
        <w:rPr>
          <w:sz w:val="24"/>
          <w:szCs w:val="24"/>
        </w:rPr>
      </w:pPr>
    </w:p>
    <w:p w:rsidR="00FF625A" w:rsidRPr="001B64F3" w:rsidRDefault="00FF625A" w:rsidP="00FF625A">
      <w:pPr>
        <w:spacing w:after="0"/>
        <w:rPr>
          <w:sz w:val="24"/>
          <w:szCs w:val="24"/>
        </w:rPr>
      </w:pPr>
    </w:p>
    <w:p w:rsidR="00FF625A" w:rsidRPr="00BE73BD" w:rsidRDefault="00FF625A" w:rsidP="00FF625A">
      <w:pPr>
        <w:rPr>
          <w:b/>
        </w:rPr>
      </w:pPr>
      <w:bookmarkStart w:id="6" w:name="_Toc340231487"/>
      <w:r w:rsidRPr="00BE73BD">
        <w:rPr>
          <w:b/>
        </w:rPr>
        <w:t>Committee contacts</w:t>
      </w:r>
      <w:bookmarkEnd w:id="6"/>
    </w:p>
    <w:p w:rsidR="00FF625A" w:rsidRPr="00BE73BD" w:rsidRDefault="00FF625A" w:rsidP="00FF625A">
      <w:pPr>
        <w:spacing w:after="0"/>
        <w:rPr>
          <w:sz w:val="24"/>
          <w:szCs w:val="24"/>
        </w:rPr>
      </w:pPr>
      <w:bookmarkStart w:id="7" w:name="_Toc340231488"/>
      <w:r w:rsidRPr="00BE73BD">
        <w:rPr>
          <w:sz w:val="24"/>
          <w:szCs w:val="24"/>
        </w:rPr>
        <w:t>PO Box 6100</w:t>
      </w:r>
      <w:bookmarkEnd w:id="7"/>
    </w:p>
    <w:p w:rsidR="00FF625A" w:rsidRPr="00BE73BD" w:rsidRDefault="00FF625A" w:rsidP="00FF625A">
      <w:pPr>
        <w:spacing w:after="0"/>
        <w:rPr>
          <w:sz w:val="24"/>
          <w:szCs w:val="24"/>
        </w:rPr>
      </w:pPr>
      <w:r w:rsidRPr="00BE73BD">
        <w:rPr>
          <w:sz w:val="24"/>
          <w:szCs w:val="24"/>
        </w:rPr>
        <w:t>Parliament House</w:t>
      </w:r>
    </w:p>
    <w:p w:rsidR="00FF625A" w:rsidRPr="00BE73BD" w:rsidRDefault="00FF625A" w:rsidP="00FF625A">
      <w:pPr>
        <w:spacing w:after="0"/>
        <w:rPr>
          <w:sz w:val="24"/>
          <w:szCs w:val="24"/>
        </w:rPr>
      </w:pPr>
      <w:r w:rsidRPr="00BE73BD">
        <w:rPr>
          <w:sz w:val="24"/>
          <w:szCs w:val="24"/>
        </w:rPr>
        <w:t>Canberra ACT 2600</w:t>
      </w:r>
    </w:p>
    <w:p w:rsidR="00FF625A" w:rsidRPr="00BE73BD" w:rsidRDefault="00FF625A" w:rsidP="00FF625A">
      <w:pPr>
        <w:spacing w:after="0"/>
        <w:rPr>
          <w:sz w:val="24"/>
          <w:szCs w:val="24"/>
        </w:rPr>
      </w:pPr>
      <w:proofErr w:type="spellStart"/>
      <w:r w:rsidRPr="00BE73BD">
        <w:rPr>
          <w:sz w:val="24"/>
          <w:szCs w:val="24"/>
        </w:rPr>
        <w:t>Ph</w:t>
      </w:r>
      <w:proofErr w:type="spellEnd"/>
      <w:r w:rsidRPr="00BE73BD">
        <w:rPr>
          <w:sz w:val="24"/>
          <w:szCs w:val="24"/>
        </w:rPr>
        <w:t>: 02 6277 3066</w:t>
      </w:r>
    </w:p>
    <w:p w:rsidR="00FF625A" w:rsidRPr="00BE73BD" w:rsidRDefault="00FF625A" w:rsidP="00FF625A">
      <w:pPr>
        <w:spacing w:after="0"/>
        <w:rPr>
          <w:sz w:val="24"/>
          <w:szCs w:val="24"/>
        </w:rPr>
      </w:pPr>
      <w:r w:rsidRPr="00BE73BD">
        <w:rPr>
          <w:sz w:val="24"/>
          <w:szCs w:val="24"/>
        </w:rPr>
        <w:t>Email: regords.sen@aph.gov.au</w:t>
      </w:r>
    </w:p>
    <w:p w:rsidR="00FF625A" w:rsidRPr="007E04A9" w:rsidRDefault="00FF625A" w:rsidP="00FF625A">
      <w:pPr>
        <w:spacing w:after="0"/>
      </w:pPr>
      <w:bookmarkStart w:id="8" w:name="_Toc340231489"/>
      <w:r w:rsidRPr="00BE73BD">
        <w:rPr>
          <w:sz w:val="24"/>
          <w:szCs w:val="24"/>
        </w:rPr>
        <w:t xml:space="preserve">Website: </w:t>
      </w:r>
      <w:bookmarkEnd w:id="8"/>
      <w:r w:rsidRPr="007E04A9">
        <w:fldChar w:fldCharType="begin"/>
      </w:r>
      <w:r w:rsidRPr="007E04A9">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FF625A" w:rsidRDefault="00FF625A" w:rsidP="00FF625A">
      <w:pPr>
        <w:sectPr w:rsidR="00FF625A"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FF625A" w:rsidRDefault="00FF625A" w:rsidP="00FF625A">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382920821"/>
      <w:bookmarkStart w:id="19" w:name="_Toc382921074"/>
      <w:r>
        <w:lastRenderedPageBreak/>
        <w:t>Contents</w:t>
      </w:r>
      <w:bookmarkEnd w:id="9"/>
      <w:bookmarkEnd w:id="10"/>
      <w:bookmarkEnd w:id="11"/>
      <w:bookmarkEnd w:id="12"/>
      <w:bookmarkEnd w:id="13"/>
      <w:bookmarkEnd w:id="14"/>
      <w:bookmarkEnd w:id="15"/>
      <w:bookmarkEnd w:id="16"/>
      <w:bookmarkEnd w:id="17"/>
      <w:bookmarkEnd w:id="18"/>
      <w:bookmarkEnd w:id="19"/>
    </w:p>
    <w:p w:rsidR="00FF625A" w:rsidRDefault="00FF625A" w:rsidP="00FF625A"/>
    <w:p w:rsidR="00FF625A" w:rsidRPr="00530D8A" w:rsidRDefault="00FF625A" w:rsidP="00FF625A"/>
    <w:p w:rsidR="00FF625A" w:rsidRPr="00635538" w:rsidRDefault="00FF625A" w:rsidP="00FF625A">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FF625A" w:rsidRPr="00635538" w:rsidRDefault="00FF625A" w:rsidP="00FF625A">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FF625A" w:rsidRDefault="00FF625A" w:rsidP="00FF625A">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r w:rsidRPr="00530D8A">
        <w:rPr>
          <w:b w:val="0"/>
          <w:noProof/>
          <w:sz w:val="26"/>
          <w:szCs w:val="26"/>
        </w:rPr>
        <w:tab/>
        <w:t>1</w:t>
      </w:r>
    </w:p>
    <w:p w:rsidR="00FF625A" w:rsidRDefault="00FF625A" w:rsidP="00FF625A">
      <w:pPr>
        <w:pStyle w:val="TOC1"/>
        <w:tabs>
          <w:tab w:val="right" w:leader="dot" w:pos="9016"/>
        </w:tabs>
        <w:rPr>
          <w:rFonts w:asciiTheme="minorHAnsi" w:eastAsiaTheme="minorEastAsia" w:hAnsiTheme="minorHAnsi" w:cstheme="minorBidi"/>
          <w:b w:val="0"/>
          <w:noProof/>
          <w:sz w:val="22"/>
          <w:szCs w:val="22"/>
          <w:lang w:eastAsia="en-AU"/>
        </w:rPr>
      </w:pPr>
      <w:r>
        <w:rPr>
          <w:noProof/>
        </w:rPr>
        <w:t>Chapter 2 – Concluded matters</w:t>
      </w:r>
      <w:r w:rsidRPr="00530D8A">
        <w:rPr>
          <w:b w:val="0"/>
          <w:noProof/>
          <w:sz w:val="26"/>
          <w:szCs w:val="26"/>
        </w:rPr>
        <w:tab/>
        <w:t>3</w:t>
      </w:r>
    </w:p>
    <w:p w:rsidR="00FF625A" w:rsidRDefault="00FF625A" w:rsidP="00FF625A">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Index of instruments scrutinised</w:t>
      </w:r>
      <w:r w:rsidRPr="00635538">
        <w:rPr>
          <w:b w:val="0"/>
          <w:noProof/>
          <w:sz w:val="26"/>
          <w:szCs w:val="26"/>
        </w:rPr>
        <w:tab/>
      </w:r>
      <w:r>
        <w:rPr>
          <w:b w:val="0"/>
          <w:noProof/>
          <w:sz w:val="26"/>
          <w:szCs w:val="26"/>
        </w:rPr>
        <w:t>5</w:t>
      </w:r>
    </w:p>
    <w:p w:rsidR="00FF625A" w:rsidRDefault="00FF625A" w:rsidP="00FF625A">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t>7</w:t>
      </w:r>
    </w:p>
    <w:p w:rsidR="00FF625A" w:rsidRDefault="00FF625A" w:rsidP="00FF625A">
      <w:pPr>
        <w:tabs>
          <w:tab w:val="left" w:pos="1170"/>
        </w:tabs>
        <w:jc w:val="left"/>
        <w:rPr>
          <w:sz w:val="16"/>
          <w:szCs w:val="16"/>
        </w:rPr>
      </w:pPr>
    </w:p>
    <w:p w:rsidR="00FF625A" w:rsidRDefault="00FF625A" w:rsidP="00FF625A">
      <w:pPr>
        <w:tabs>
          <w:tab w:val="left" w:pos="1170"/>
        </w:tabs>
        <w:jc w:val="left"/>
        <w:rPr>
          <w:sz w:val="16"/>
          <w:szCs w:val="16"/>
        </w:rPr>
      </w:pPr>
    </w:p>
    <w:p w:rsidR="00FF625A" w:rsidRDefault="00FF625A" w:rsidP="00FF625A"/>
    <w:p w:rsidR="00FF625A" w:rsidRDefault="00FF625A" w:rsidP="00FF625A">
      <w:pPr>
        <w:sectPr w:rsidR="00FF625A" w:rsidSect="00635538">
          <w:headerReference w:type="even" r:id="rId20"/>
          <w:footerReference w:type="even" r:id="rId21"/>
          <w:footerReference w:type="default" r:id="rId22"/>
          <w:headerReference w:type="first" r:id="rId23"/>
          <w:footerReference w:type="first" r:id="rId24"/>
          <w:pgSz w:w="11906" w:h="16838" w:code="9"/>
          <w:pgMar w:top="1440" w:right="1440" w:bottom="1202" w:left="1440" w:header="1134" w:footer="720" w:gutter="0"/>
          <w:pgNumType w:fmt="lowerRoman" w:start="5"/>
          <w:cols w:space="720"/>
          <w:docGrid w:linePitch="354"/>
        </w:sectPr>
      </w:pPr>
    </w:p>
    <w:p w:rsidR="00FF625A" w:rsidRDefault="00FF625A" w:rsidP="00FF625A">
      <w:pPr>
        <w:pStyle w:val="Heading1"/>
      </w:pPr>
    </w:p>
    <w:p w:rsidR="00FF625A" w:rsidRDefault="00FF625A" w:rsidP="00FF625A">
      <w:pPr>
        <w:spacing w:after="0"/>
        <w:jc w:val="left"/>
        <w:sectPr w:rsidR="00FF625A" w:rsidSect="00635538">
          <w:pgSz w:w="11906" w:h="16838" w:code="9"/>
          <w:pgMar w:top="1440" w:right="1440" w:bottom="1202" w:left="1440" w:header="1134" w:footer="720" w:gutter="0"/>
          <w:pgNumType w:fmt="lowerRoman" w:start="5"/>
          <w:cols w:space="720"/>
          <w:docGrid w:linePitch="354"/>
        </w:sectPr>
      </w:pPr>
    </w:p>
    <w:p w:rsidR="00FF625A" w:rsidRPr="004B17F0" w:rsidRDefault="00FF625A" w:rsidP="00FF625A">
      <w:pPr>
        <w:pStyle w:val="Heading1"/>
      </w:pPr>
      <w:r>
        <w:lastRenderedPageBreak/>
        <w:t>Introduction</w:t>
      </w:r>
    </w:p>
    <w:p w:rsidR="00FF625A" w:rsidRDefault="00FF625A" w:rsidP="00FF625A">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FF625A" w:rsidRDefault="00FF625A" w:rsidP="00FF625A">
      <w:pPr>
        <w:pStyle w:val="Heading3"/>
      </w:pPr>
      <w:r>
        <w:t>The committee's terms of reference</w:t>
      </w:r>
    </w:p>
    <w:p w:rsidR="00FF625A" w:rsidRPr="00D233E5" w:rsidRDefault="00FF625A" w:rsidP="00FF625A">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FF625A" w:rsidRPr="00BF47FD" w:rsidRDefault="00FF625A" w:rsidP="00FF625A">
      <w:pPr>
        <w:pStyle w:val="Quote"/>
        <w:ind w:left="1276" w:hanging="425"/>
      </w:pPr>
      <w:r>
        <w:t xml:space="preserve">(1) </w:t>
      </w:r>
      <w:r w:rsidRPr="00BF47FD">
        <w:t>A Standing Committee on Regulations and Ordinances shall be appointed at the commencement of each Parliament.</w:t>
      </w:r>
    </w:p>
    <w:p w:rsidR="00FF625A" w:rsidRPr="00BF47FD" w:rsidRDefault="00FF625A" w:rsidP="00FF625A">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FF625A" w:rsidRPr="00BF47FD" w:rsidRDefault="00FF625A" w:rsidP="00FF625A">
      <w:pPr>
        <w:pStyle w:val="Quote"/>
        <w:ind w:left="1276"/>
      </w:pPr>
      <w:r w:rsidRPr="00BF47FD">
        <w:t>The committee shall scrutinise each instrument to ensure:</w:t>
      </w:r>
    </w:p>
    <w:p w:rsidR="00FF625A" w:rsidRPr="00BF47FD" w:rsidRDefault="00FF625A" w:rsidP="00FF625A">
      <w:pPr>
        <w:pStyle w:val="Quote"/>
        <w:tabs>
          <w:tab w:val="left" w:pos="1701"/>
        </w:tabs>
        <w:ind w:left="1701" w:hanging="425"/>
      </w:pPr>
      <w:r>
        <w:t>(a)</w:t>
      </w:r>
      <w:r>
        <w:tab/>
      </w:r>
      <w:proofErr w:type="gramStart"/>
      <w:r w:rsidRPr="00BF47FD">
        <w:t>that</w:t>
      </w:r>
      <w:proofErr w:type="gramEnd"/>
      <w:r w:rsidRPr="00BF47FD">
        <w:t xml:space="preserve"> it is in accordance with the statute;</w:t>
      </w:r>
    </w:p>
    <w:p w:rsidR="00FF625A" w:rsidRPr="00BF47FD" w:rsidRDefault="00FF625A" w:rsidP="00FF625A">
      <w:pPr>
        <w:pStyle w:val="Quote"/>
        <w:tabs>
          <w:tab w:val="left" w:pos="1701"/>
        </w:tabs>
        <w:ind w:left="1701" w:hanging="425"/>
      </w:pPr>
      <w:r>
        <w:t>(b)</w:t>
      </w:r>
      <w:r>
        <w:tab/>
      </w:r>
      <w:proofErr w:type="gramStart"/>
      <w:r w:rsidRPr="00BF47FD">
        <w:t>that</w:t>
      </w:r>
      <w:proofErr w:type="gramEnd"/>
      <w:r w:rsidRPr="00BF47FD">
        <w:t xml:space="preserve"> it does not trespass unduly on personal rights and liberties;</w:t>
      </w:r>
    </w:p>
    <w:p w:rsidR="00FF625A" w:rsidRPr="00BF47FD" w:rsidRDefault="00FF625A" w:rsidP="00FF625A">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FF625A" w:rsidRDefault="00FF625A" w:rsidP="00FF625A">
      <w:pPr>
        <w:pStyle w:val="Quote"/>
        <w:tabs>
          <w:tab w:val="left" w:pos="1701"/>
        </w:tabs>
        <w:ind w:left="1701" w:hanging="425"/>
      </w:pPr>
      <w:r>
        <w:t>(d)</w:t>
      </w:r>
      <w:r>
        <w:tab/>
      </w:r>
      <w:proofErr w:type="gramStart"/>
      <w:r w:rsidRPr="00BF47FD">
        <w:t>that</w:t>
      </w:r>
      <w:proofErr w:type="gramEnd"/>
      <w:r w:rsidRPr="00BF47FD">
        <w:t xml:space="preserve"> it does not contain matter more appropriate for parliamentary enactment.</w:t>
      </w:r>
    </w:p>
    <w:p w:rsidR="00FF625A" w:rsidRDefault="00FF625A" w:rsidP="00FF625A">
      <w:pPr>
        <w:pStyle w:val="Heading3"/>
      </w:pPr>
      <w:r w:rsidRPr="00F063AA">
        <w:t>Work of the committee</w:t>
      </w:r>
    </w:p>
    <w:p w:rsidR="00FF625A" w:rsidRPr="00F063AA" w:rsidRDefault="00FF625A" w:rsidP="00FF625A">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FF625A" w:rsidRDefault="00FF625A" w:rsidP="00FF625A">
      <w:pPr>
        <w:pStyle w:val="Level1"/>
        <w:numPr>
          <w:ilvl w:val="0"/>
          <w:numId w:val="0"/>
        </w:numPr>
      </w:pPr>
      <w:r w:rsidRPr="00F063AA">
        <w:lastRenderedPageBreak/>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FF625A" w:rsidRDefault="00FF625A" w:rsidP="00FF625A">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FF625A" w:rsidRDefault="00FF625A" w:rsidP="00FF625A">
      <w:pPr>
        <w:pStyle w:val="Heading3"/>
      </w:pPr>
      <w:r>
        <w:t>Structure of the report</w:t>
      </w:r>
    </w:p>
    <w:p w:rsidR="00FF625A" w:rsidRDefault="00FF625A" w:rsidP="00FF625A">
      <w:pPr>
        <w:pStyle w:val="Level1"/>
        <w:numPr>
          <w:ilvl w:val="0"/>
          <w:numId w:val="0"/>
        </w:numPr>
      </w:pPr>
      <w:r>
        <w:t>The report is comprised of the following parts:</w:t>
      </w:r>
    </w:p>
    <w:p w:rsidR="00FF625A" w:rsidRDefault="00FF625A" w:rsidP="00FF625A">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FF625A" w:rsidRDefault="00FF625A" w:rsidP="00FF625A">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FF625A" w:rsidRDefault="00FF625A" w:rsidP="00FF625A">
      <w:pPr>
        <w:pStyle w:val="Bullet1"/>
        <w:spacing w:after="120"/>
      </w:pPr>
      <w:r>
        <w:t>Appendix 1 provides an index listing all instruments scrutinised in the period covered by the report;</w:t>
      </w:r>
    </w:p>
    <w:p w:rsidR="00FF625A" w:rsidRDefault="00FF625A" w:rsidP="00FF625A">
      <w:pPr>
        <w:pStyle w:val="Bullet1"/>
        <w:spacing w:after="120"/>
      </w:pPr>
      <w:r>
        <w:t xml:space="preserve">Appendix 2 contains the committee's guideline on addressing the consultation requirements of the </w:t>
      </w:r>
      <w:r>
        <w:rPr>
          <w:i/>
        </w:rPr>
        <w:t>Legislative Instruments Act 2003</w:t>
      </w:r>
      <w:r>
        <w:t>.</w:t>
      </w:r>
    </w:p>
    <w:p w:rsidR="00FF625A" w:rsidRDefault="00FF625A" w:rsidP="00FF625A">
      <w:pPr>
        <w:pStyle w:val="Bullet1"/>
        <w:spacing w:after="120"/>
      </w:pPr>
      <w:r>
        <w:t>Appendix 3 contains correspondence relating to concluded matters.</w:t>
      </w:r>
    </w:p>
    <w:p w:rsidR="00FF625A" w:rsidRDefault="00FF625A" w:rsidP="00FF625A">
      <w:pPr>
        <w:pStyle w:val="Heading3"/>
      </w:pPr>
      <w:r>
        <w:t>Acknowledgement</w:t>
      </w:r>
    </w:p>
    <w:p w:rsidR="00FF625A" w:rsidRDefault="00FF625A" w:rsidP="00FF625A">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FF625A" w:rsidRDefault="00FF625A" w:rsidP="00FF625A">
      <w:pPr>
        <w:pStyle w:val="Bullet1"/>
        <w:numPr>
          <w:ilvl w:val="0"/>
          <w:numId w:val="0"/>
        </w:numPr>
        <w:ind w:left="851" w:hanging="851"/>
        <w:rPr>
          <w:b/>
        </w:rPr>
      </w:pPr>
    </w:p>
    <w:p w:rsidR="00FF625A" w:rsidRPr="00364316" w:rsidRDefault="00FF625A" w:rsidP="00FF625A">
      <w:pPr>
        <w:pStyle w:val="Bullet1"/>
        <w:numPr>
          <w:ilvl w:val="0"/>
          <w:numId w:val="0"/>
        </w:numPr>
        <w:ind w:left="851" w:hanging="851"/>
        <w:rPr>
          <w:b/>
        </w:rPr>
      </w:pPr>
      <w:r w:rsidRPr="00364316">
        <w:rPr>
          <w:b/>
        </w:rPr>
        <w:t xml:space="preserve">Senator </w:t>
      </w:r>
      <w:r>
        <w:rPr>
          <w:b/>
        </w:rPr>
        <w:t>Sean Edwards</w:t>
      </w:r>
    </w:p>
    <w:p w:rsidR="00FF625A" w:rsidRPr="00364316" w:rsidRDefault="00FF625A" w:rsidP="00FF625A">
      <w:pPr>
        <w:pStyle w:val="Bullet1"/>
        <w:numPr>
          <w:ilvl w:val="0"/>
          <w:numId w:val="0"/>
        </w:numPr>
        <w:ind w:left="851" w:hanging="851"/>
        <w:rPr>
          <w:b/>
        </w:rPr>
      </w:pPr>
      <w:r w:rsidRPr="00364316">
        <w:rPr>
          <w:b/>
        </w:rPr>
        <w:t>Chair</w:t>
      </w:r>
    </w:p>
    <w:p w:rsidR="00FF625A" w:rsidRDefault="00FF625A" w:rsidP="00325264">
      <w:pPr>
        <w:sectPr w:rsidR="00FF625A" w:rsidSect="000B1F77">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202" w:left="1440" w:header="1134" w:footer="720" w:gutter="0"/>
          <w:pgNumType w:fmt="lowerRoman" w:start="7"/>
          <w:cols w:space="720"/>
          <w:titlePg/>
        </w:sectPr>
      </w:pPr>
    </w:p>
    <w:p w:rsidR="005627A8" w:rsidRPr="001F4E38" w:rsidRDefault="005627A8" w:rsidP="005627A8">
      <w:pPr>
        <w:pStyle w:val="Heading1"/>
      </w:pPr>
      <w:r w:rsidRPr="001F4E38">
        <w:lastRenderedPageBreak/>
        <w:t>Chapter 1</w:t>
      </w:r>
    </w:p>
    <w:p w:rsidR="005627A8" w:rsidRPr="001F4E38" w:rsidRDefault="005627A8" w:rsidP="005627A8">
      <w:pPr>
        <w:pStyle w:val="Heading2"/>
        <w:spacing w:after="360"/>
      </w:pPr>
      <w:r w:rsidRPr="001F4E38">
        <w:t>New and continuing matters</w:t>
      </w:r>
    </w:p>
    <w:p w:rsidR="005627A8" w:rsidRPr="001F4E38" w:rsidRDefault="005627A8" w:rsidP="005627A8">
      <w:pPr>
        <w:pStyle w:val="Level1"/>
        <w:numPr>
          <w:ilvl w:val="0"/>
          <w:numId w:val="0"/>
        </w:numPr>
      </w:pPr>
      <w:r>
        <w:t xml:space="preserve">There are no new matters arising from the committee's meeting </w:t>
      </w:r>
      <w:r w:rsidRPr="001F4E38">
        <w:t xml:space="preserve">on </w:t>
      </w:r>
      <w:r w:rsidRPr="00B03160">
        <w:rPr>
          <w:b/>
        </w:rPr>
        <w:t>19</w:t>
      </w:r>
      <w:r w:rsidRPr="001F4E38">
        <w:rPr>
          <w:b/>
        </w:rPr>
        <w:t> </w:t>
      </w:r>
      <w:r>
        <w:rPr>
          <w:b/>
        </w:rPr>
        <w:t>March </w:t>
      </w:r>
      <w:r w:rsidRPr="001F4E38">
        <w:rPr>
          <w:b/>
        </w:rPr>
        <w:t>2014</w:t>
      </w:r>
      <w:r>
        <w:t>.</w:t>
      </w:r>
    </w:p>
    <w:p w:rsidR="005627A8" w:rsidRDefault="005627A8" w:rsidP="00325264">
      <w:pPr>
        <w:sectPr w:rsidR="005627A8" w:rsidSect="00B66643">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202" w:left="1440" w:header="1134" w:footer="720" w:gutter="0"/>
          <w:pgNumType w:start="1"/>
          <w:cols w:space="720"/>
          <w:titlePg/>
        </w:sectPr>
      </w:pPr>
    </w:p>
    <w:p w:rsidR="005627A8" w:rsidRPr="0076670E" w:rsidRDefault="005627A8" w:rsidP="005627A8">
      <w:pPr>
        <w:pStyle w:val="Heading1"/>
      </w:pPr>
      <w:r w:rsidRPr="0076670E">
        <w:lastRenderedPageBreak/>
        <w:t>Chapter 2</w:t>
      </w:r>
    </w:p>
    <w:p w:rsidR="005627A8" w:rsidRPr="0076670E" w:rsidRDefault="005627A8" w:rsidP="005627A8">
      <w:pPr>
        <w:pStyle w:val="Heading2"/>
        <w:spacing w:after="360"/>
      </w:pPr>
      <w:r w:rsidRPr="0076670E">
        <w:t>Concluded matters</w:t>
      </w:r>
    </w:p>
    <w:p w:rsidR="005627A8" w:rsidRDefault="005627A8" w:rsidP="005627A8">
      <w:pPr>
        <w:pStyle w:val="Level1"/>
        <w:numPr>
          <w:ilvl w:val="0"/>
          <w:numId w:val="0"/>
        </w:numPr>
      </w:pPr>
      <w:r>
        <w:t xml:space="preserve">There are no concluded matters arising from the committee's meeting </w:t>
      </w:r>
      <w:r w:rsidRPr="001F4E38">
        <w:t xml:space="preserve">on </w:t>
      </w:r>
      <w:r w:rsidRPr="00B03160">
        <w:rPr>
          <w:b/>
        </w:rPr>
        <w:t>19</w:t>
      </w:r>
      <w:r w:rsidRPr="001F4E38">
        <w:rPr>
          <w:b/>
        </w:rPr>
        <w:t> </w:t>
      </w:r>
      <w:r>
        <w:rPr>
          <w:b/>
        </w:rPr>
        <w:t>March </w:t>
      </w:r>
      <w:r w:rsidRPr="001F4E38">
        <w:rPr>
          <w:b/>
        </w:rPr>
        <w:t>2014</w:t>
      </w:r>
      <w:r>
        <w:t>.</w:t>
      </w:r>
    </w:p>
    <w:p w:rsidR="005627A8" w:rsidRDefault="005627A8" w:rsidP="00325264">
      <w:pPr>
        <w:sectPr w:rsidR="005627A8" w:rsidSect="00812FC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3"/>
          <w:cols w:space="708"/>
          <w:titlePg/>
          <w:docGrid w:linePitch="360"/>
        </w:sectPr>
      </w:pPr>
    </w:p>
    <w:p w:rsidR="005627A8" w:rsidRDefault="005627A8" w:rsidP="005627A8">
      <w:pPr>
        <w:pStyle w:val="Heading1"/>
        <w:tabs>
          <w:tab w:val="left" w:pos="284"/>
        </w:tabs>
      </w:pPr>
      <w:r>
        <w:lastRenderedPageBreak/>
        <w:t>Appendix 1</w:t>
      </w:r>
    </w:p>
    <w:p w:rsidR="005627A8" w:rsidRDefault="005627A8" w:rsidP="005627A8">
      <w:pPr>
        <w:pStyle w:val="Heading2"/>
        <w:tabs>
          <w:tab w:val="left" w:pos="284"/>
        </w:tabs>
        <w:spacing w:after="360"/>
      </w:pPr>
      <w:r>
        <w:t>Index of instruments scrutinised</w:t>
      </w:r>
    </w:p>
    <w:p w:rsidR="005627A8" w:rsidRPr="004623A3" w:rsidRDefault="005627A8" w:rsidP="005627A8">
      <w:pPr>
        <w:tabs>
          <w:tab w:val="left" w:pos="284"/>
        </w:tabs>
      </w:pPr>
      <w:r>
        <w:t xml:space="preserve">No instruments were considered by the committee at its meeting on </w:t>
      </w:r>
      <w:r>
        <w:rPr>
          <w:b/>
        </w:rPr>
        <w:t>19 March 2014</w:t>
      </w:r>
      <w:r>
        <w:t>.</w:t>
      </w:r>
    </w:p>
    <w:p w:rsidR="005627A8" w:rsidRDefault="005627A8" w:rsidP="00325264"/>
    <w:p w:rsidR="005627A8" w:rsidRDefault="005627A8" w:rsidP="00325264">
      <w:pPr>
        <w:sectPr w:rsidR="005627A8" w:rsidSect="0037429F">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202" w:left="1440" w:header="1134" w:footer="720" w:gutter="0"/>
          <w:pgNumType w:start="39"/>
          <w:cols w:space="720"/>
          <w:titlePg/>
        </w:sectPr>
      </w:pPr>
    </w:p>
    <w:p w:rsidR="005627A8" w:rsidRDefault="005627A8" w:rsidP="005627A8">
      <w:pPr>
        <w:pStyle w:val="Heading1"/>
      </w:pPr>
      <w:r>
        <w:lastRenderedPageBreak/>
        <w:t>Appendix 2</w:t>
      </w:r>
    </w:p>
    <w:p w:rsidR="005627A8" w:rsidRDefault="005627A8" w:rsidP="005627A8">
      <w:pPr>
        <w:pStyle w:val="Heading2"/>
      </w:pPr>
      <w:r>
        <w:t>Guideline on consultation</w:t>
      </w:r>
    </w:p>
    <w:p w:rsidR="005627A8" w:rsidRDefault="005627A8" w:rsidP="005627A8">
      <w:pPr>
        <w:spacing w:after="0"/>
        <w:jc w:val="left"/>
      </w:pPr>
      <w:r>
        <w:br w:type="page"/>
      </w:r>
    </w:p>
    <w:p w:rsidR="005627A8" w:rsidRDefault="005627A8" w:rsidP="005627A8"/>
    <w:p w:rsidR="005627A8" w:rsidRDefault="005627A8" w:rsidP="005627A8">
      <w:pPr>
        <w:spacing w:after="0"/>
        <w:jc w:val="left"/>
      </w:pPr>
      <w:r>
        <w:br w:type="page"/>
      </w:r>
    </w:p>
    <w:p w:rsidR="005627A8" w:rsidRPr="00390F32" w:rsidRDefault="005627A8" w:rsidP="005627A8">
      <w:pPr>
        <w:jc w:val="center"/>
        <w:rPr>
          <w:rFonts w:ascii="Calibri" w:hAnsi="Calibri"/>
        </w:rPr>
      </w:pPr>
      <w:r>
        <w:rPr>
          <w:rFonts w:ascii="Calibri" w:hAnsi="Calibri"/>
          <w:noProof/>
          <w:lang w:eastAsia="en-AU"/>
        </w:rPr>
        <w:lastRenderedPageBreak/>
        <w:drawing>
          <wp:inline distT="0" distB="0" distL="0" distR="0" wp14:anchorId="36EF6167" wp14:editId="18788656">
            <wp:extent cx="777875" cy="5867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77875" cy="586740"/>
                    </a:xfrm>
                    <a:prstGeom prst="rect">
                      <a:avLst/>
                    </a:prstGeom>
                    <a:noFill/>
                    <a:ln>
                      <a:noFill/>
                    </a:ln>
                  </pic:spPr>
                </pic:pic>
              </a:graphicData>
            </a:graphic>
          </wp:inline>
        </w:drawing>
      </w:r>
    </w:p>
    <w:p w:rsidR="005627A8" w:rsidRPr="00390F32" w:rsidRDefault="005627A8" w:rsidP="005627A8">
      <w:pPr>
        <w:jc w:val="center"/>
        <w:rPr>
          <w:rFonts w:ascii="Calibri" w:hAnsi="Calibri"/>
          <w:sz w:val="18"/>
        </w:rPr>
      </w:pPr>
      <w:r w:rsidRPr="00390F32">
        <w:rPr>
          <w:rFonts w:ascii="Calibri" w:hAnsi="Calibri"/>
          <w:sz w:val="18"/>
        </w:rPr>
        <w:t>AUSTRALIAN SENATE</w:t>
      </w:r>
    </w:p>
    <w:p w:rsidR="005627A8" w:rsidRPr="00390F32" w:rsidRDefault="005627A8" w:rsidP="005627A8">
      <w:pPr>
        <w:jc w:val="center"/>
        <w:rPr>
          <w:rFonts w:ascii="Calibri" w:hAnsi="Calibri"/>
          <w:sz w:val="20"/>
        </w:rPr>
      </w:pPr>
    </w:p>
    <w:p w:rsidR="005627A8" w:rsidRPr="00390F32" w:rsidRDefault="005627A8" w:rsidP="005627A8">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5627A8" w:rsidRPr="00390F32" w:rsidRDefault="005627A8" w:rsidP="005627A8">
      <w:pPr>
        <w:jc w:val="center"/>
        <w:rPr>
          <w:rFonts w:ascii="Calibri" w:hAnsi="Calibri"/>
          <w:b/>
          <w:sz w:val="28"/>
          <w:szCs w:val="28"/>
        </w:rPr>
      </w:pPr>
      <w:r>
        <w:rPr>
          <w:rFonts w:ascii="Calibri" w:hAnsi="Calibri"/>
          <w:b/>
          <w:sz w:val="28"/>
          <w:szCs w:val="28"/>
        </w:rPr>
        <w:t>Addressing consultation in e</w:t>
      </w:r>
      <w:r w:rsidRPr="00390F32">
        <w:rPr>
          <w:rFonts w:ascii="Calibri" w:hAnsi="Calibri"/>
          <w:b/>
          <w:sz w:val="28"/>
          <w:szCs w:val="28"/>
        </w:rPr>
        <w:t xml:space="preserve">xplanatory </w:t>
      </w:r>
      <w:r>
        <w:rPr>
          <w:rFonts w:ascii="Calibri" w:hAnsi="Calibri"/>
          <w:b/>
          <w:sz w:val="28"/>
          <w:szCs w:val="28"/>
        </w:rPr>
        <w:t>s</w:t>
      </w:r>
      <w:r w:rsidRPr="00390F32">
        <w:rPr>
          <w:rFonts w:ascii="Calibri" w:hAnsi="Calibri"/>
          <w:b/>
          <w:sz w:val="28"/>
          <w:szCs w:val="28"/>
        </w:rPr>
        <w:t>tatements</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b/>
          <w:i/>
          <w:szCs w:val="24"/>
        </w:rPr>
      </w:pPr>
      <w:r w:rsidRPr="00390F32">
        <w:rPr>
          <w:rFonts w:ascii="Calibri" w:hAnsi="Calibri"/>
          <w:b/>
          <w:i/>
          <w:szCs w:val="24"/>
        </w:rPr>
        <w:t>Role of the committee</w:t>
      </w:r>
    </w:p>
    <w:p w:rsidR="005627A8" w:rsidRPr="00390F32" w:rsidRDefault="005627A8" w:rsidP="005627A8">
      <w:pPr>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50"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b/>
          <w:i/>
          <w:szCs w:val="24"/>
        </w:rPr>
      </w:pPr>
      <w:r w:rsidRPr="00390F32">
        <w:rPr>
          <w:rFonts w:ascii="Calibri" w:hAnsi="Calibri"/>
          <w:b/>
          <w:i/>
          <w:szCs w:val="24"/>
        </w:rPr>
        <w:t>Purpose of guideline</w:t>
      </w:r>
    </w:p>
    <w:p w:rsidR="005627A8" w:rsidRPr="00390F32" w:rsidRDefault="005627A8" w:rsidP="005627A8">
      <w:pPr>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51"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390F32">
          <w:rPr>
            <w:rStyle w:val="Hyperlink"/>
            <w:rFonts w:ascii="Calibri" w:hAnsi="Calibri"/>
            <w:szCs w:val="24"/>
          </w:rPr>
          <w:t>disallowance</w:t>
        </w:r>
      </w:hyperlink>
      <w:r w:rsidRPr="00390F32">
        <w:rPr>
          <w:rFonts w:ascii="Calibri" w:hAnsi="Calibri"/>
          <w:szCs w:val="24"/>
        </w:rPr>
        <w: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w:t>
      </w:r>
      <w:r w:rsidRPr="00390F32">
        <w:rPr>
          <w:rFonts w:ascii="Calibri" w:hAnsi="Calibri"/>
          <w:szCs w:val="24"/>
        </w:rPr>
        <w:lastRenderedPageBreak/>
        <w:t>undertaken is appropriate is a matter decided by the rule-maker at the time an instrument is made.</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b/>
          <w:szCs w:val="24"/>
        </w:rPr>
      </w:pPr>
      <w:r w:rsidRPr="00390F32">
        <w:rPr>
          <w:rFonts w:ascii="Calibri" w:hAnsi="Calibri"/>
          <w:b/>
          <w:i/>
          <w:szCs w:val="24"/>
        </w:rPr>
        <w:t>Requirements of the</w:t>
      </w:r>
      <w:r w:rsidRPr="00390F32">
        <w:rPr>
          <w:rFonts w:ascii="Calibri" w:hAnsi="Calibri"/>
          <w:b/>
          <w:szCs w:val="24"/>
        </w:rPr>
        <w:t xml:space="preserve"> Legislative Instruments Act 2003</w:t>
      </w:r>
    </w:p>
    <w:p w:rsidR="005627A8" w:rsidRPr="00390F32" w:rsidRDefault="005627A8" w:rsidP="005627A8">
      <w:pPr>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If a RIS or similar assessment has been prepared, it should be provided to the committee along with the ES.</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b/>
          <w:i/>
          <w:szCs w:val="24"/>
        </w:rPr>
      </w:pPr>
      <w:r w:rsidRPr="00390F32">
        <w:rPr>
          <w:rFonts w:ascii="Calibri" w:hAnsi="Calibri"/>
          <w:b/>
          <w:i/>
          <w:szCs w:val="24"/>
        </w:rPr>
        <w:lastRenderedPageBreak/>
        <w:t>Describing the nature of consultation</w:t>
      </w:r>
    </w:p>
    <w:p w:rsidR="005627A8" w:rsidRPr="00390F32" w:rsidRDefault="005627A8" w:rsidP="005627A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xml:space="preserve">. The committee does not usually interpret this as requiring a highly detailed description of any consultation undertaken. However, a bare or </w:t>
      </w:r>
      <w:proofErr w:type="gramStart"/>
      <w:r w:rsidRPr="00390F32">
        <w:rPr>
          <w:rFonts w:ascii="Calibri" w:hAnsi="Calibri"/>
          <w:szCs w:val="24"/>
        </w:rPr>
        <w:t>very</w:t>
      </w:r>
      <w:proofErr w:type="gramEnd"/>
      <w:r w:rsidRPr="00390F32">
        <w:rPr>
          <w:rFonts w:ascii="Calibri" w:hAnsi="Calibri"/>
          <w:szCs w:val="24"/>
        </w:rPr>
        <w:t xml:space="preserve"> generalised statement of the fact that consultation has taken place may be considered insufficient to meet the requirements of the Act.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Where consultation has taken place, the ES to an instrument should set out the following information:</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i/>
          <w:szCs w:val="24"/>
        </w:rPr>
      </w:pPr>
      <w:r w:rsidRPr="00390F32">
        <w:rPr>
          <w:rFonts w:ascii="Calibri" w:hAnsi="Calibri"/>
          <w:i/>
          <w:szCs w:val="24"/>
        </w:rPr>
        <w:t>Method and purpose of consultation</w:t>
      </w:r>
    </w:p>
    <w:p w:rsidR="005627A8" w:rsidRPr="00390F32" w:rsidRDefault="005627A8" w:rsidP="005627A8">
      <w:pPr>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i/>
          <w:szCs w:val="24"/>
        </w:rPr>
      </w:pPr>
      <w:r w:rsidRPr="00390F32">
        <w:rPr>
          <w:rFonts w:ascii="Calibri" w:hAnsi="Calibri"/>
          <w:i/>
          <w:szCs w:val="24"/>
        </w:rPr>
        <w:t>Bodies/groups/individuals consulted</w:t>
      </w:r>
    </w:p>
    <w:p w:rsidR="005627A8" w:rsidRPr="00390F32" w:rsidRDefault="005627A8" w:rsidP="005627A8">
      <w:pPr>
        <w:rPr>
          <w:rFonts w:ascii="Calibri" w:hAnsi="Calibri"/>
          <w:szCs w:val="24"/>
        </w:rPr>
      </w:pPr>
      <w:r w:rsidRPr="00390F32">
        <w:rPr>
          <w:rFonts w:ascii="Calibri" w:hAnsi="Calibri"/>
          <w:szCs w:val="24"/>
        </w:rPr>
        <w:t xml:space="preserve">An ES should specify the actual names of departments, bodies, agencies, </w:t>
      </w:r>
      <w:proofErr w:type="gramStart"/>
      <w:r w:rsidRPr="00390F32">
        <w:rPr>
          <w:rFonts w:ascii="Calibri" w:hAnsi="Calibri"/>
          <w:szCs w:val="24"/>
        </w:rPr>
        <w:t>groups</w:t>
      </w:r>
      <w:proofErr w:type="gramEnd"/>
      <w:r w:rsidRPr="00390F32">
        <w:rPr>
          <w:rFonts w:ascii="Calibri" w:hAnsi="Calibri"/>
          <w:szCs w:val="24"/>
        </w:rPr>
        <w:t xml:space="preserve"> et cetera that were consulted. An ES should avoid overly generalised statements such as 'Relevant stakeholders were consulted'.</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i/>
          <w:szCs w:val="24"/>
        </w:rPr>
      </w:pPr>
      <w:r w:rsidRPr="00390F32">
        <w:rPr>
          <w:rFonts w:ascii="Calibri" w:hAnsi="Calibri"/>
          <w:i/>
          <w:szCs w:val="24"/>
        </w:rPr>
        <w:t>Issues raised in consultations and outcomes</w:t>
      </w:r>
    </w:p>
    <w:p w:rsidR="005627A8" w:rsidRPr="00390F32" w:rsidRDefault="005627A8" w:rsidP="005627A8">
      <w:pPr>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b/>
          <w:i/>
          <w:szCs w:val="24"/>
        </w:rPr>
      </w:pPr>
      <w:r w:rsidRPr="00390F32">
        <w:rPr>
          <w:rFonts w:ascii="Calibri" w:hAnsi="Calibri"/>
          <w:b/>
          <w:i/>
          <w:szCs w:val="24"/>
        </w:rPr>
        <w:t>Explaining why consultation has not been undertaken</w:t>
      </w:r>
    </w:p>
    <w:p w:rsidR="005627A8" w:rsidRPr="00390F32" w:rsidRDefault="005627A8" w:rsidP="005627A8">
      <w:pPr>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lastRenderedPageBreak/>
        <w:t>In explaining why no consultation has taken place, it is important to note the following considerations:</w:t>
      </w:r>
    </w:p>
    <w:p w:rsidR="005627A8" w:rsidRPr="00390F32" w:rsidRDefault="005627A8" w:rsidP="005627A8">
      <w:pPr>
        <w:rPr>
          <w:rFonts w:ascii="Calibri" w:hAnsi="Calibri"/>
          <w:szCs w:val="24"/>
        </w:rPr>
      </w:pPr>
    </w:p>
    <w:p w:rsidR="005627A8" w:rsidRPr="00390F32" w:rsidRDefault="005627A8" w:rsidP="005627A8">
      <w:pPr>
        <w:spacing w:after="60"/>
        <w:rPr>
          <w:rFonts w:ascii="Calibri" w:hAnsi="Calibri"/>
          <w:i/>
          <w:szCs w:val="24"/>
        </w:rPr>
      </w:pPr>
      <w:r w:rsidRPr="00390F32">
        <w:rPr>
          <w:rFonts w:ascii="Calibri" w:hAnsi="Calibri"/>
          <w:i/>
          <w:szCs w:val="24"/>
        </w:rPr>
        <w:t>Specific examples listed in the Act</w:t>
      </w:r>
    </w:p>
    <w:p w:rsidR="005627A8" w:rsidRPr="00390F32" w:rsidRDefault="005627A8" w:rsidP="005627A8">
      <w:pPr>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5627A8" w:rsidRPr="00390F32" w:rsidRDefault="005627A8" w:rsidP="005627A8">
      <w:pPr>
        <w:rPr>
          <w:rFonts w:ascii="Calibri" w:hAnsi="Calibri"/>
          <w:szCs w:val="24"/>
        </w:rPr>
      </w:pPr>
    </w:p>
    <w:p w:rsidR="005627A8" w:rsidRPr="00390F32" w:rsidRDefault="005627A8" w:rsidP="005627A8">
      <w:pPr>
        <w:rPr>
          <w:rFonts w:ascii="Calibri" w:hAnsi="Calibri"/>
          <w:i/>
          <w:szCs w:val="24"/>
        </w:rPr>
      </w:pPr>
      <w:r w:rsidRPr="00390F32">
        <w:rPr>
          <w:rFonts w:ascii="Calibri" w:hAnsi="Calibri"/>
          <w:i/>
          <w:szCs w:val="24"/>
        </w:rPr>
        <w:t>Timing of consultation</w:t>
      </w:r>
    </w:p>
    <w:p w:rsidR="005627A8" w:rsidRPr="00390F32" w:rsidRDefault="005627A8" w:rsidP="005627A8">
      <w:pPr>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5627A8" w:rsidRPr="00390F32" w:rsidRDefault="005627A8" w:rsidP="005627A8">
      <w:pPr>
        <w:spacing w:after="60"/>
        <w:rPr>
          <w:rFonts w:ascii="Calibri" w:hAnsi="Calibri"/>
          <w:b/>
          <w:szCs w:val="24"/>
        </w:rPr>
      </w:pPr>
    </w:p>
    <w:p w:rsidR="005627A8" w:rsidRPr="00390F32" w:rsidRDefault="005627A8" w:rsidP="005627A8">
      <w:pPr>
        <w:spacing w:after="60"/>
        <w:rPr>
          <w:rFonts w:ascii="Calibri" w:hAnsi="Calibri"/>
          <w:b/>
          <w:i/>
          <w:szCs w:val="24"/>
        </w:rPr>
      </w:pPr>
      <w:r w:rsidRPr="00390F32">
        <w:rPr>
          <w:rFonts w:ascii="Calibri" w:hAnsi="Calibri"/>
          <w:b/>
          <w:i/>
          <w:szCs w:val="24"/>
        </w:rPr>
        <w:t>Seeking further advice or information</w:t>
      </w:r>
    </w:p>
    <w:p w:rsidR="005627A8" w:rsidRPr="00390F32" w:rsidRDefault="005627A8" w:rsidP="005627A8">
      <w:pPr>
        <w:rPr>
          <w:rFonts w:ascii="Calibri" w:hAnsi="Calibri"/>
          <w:szCs w:val="24"/>
        </w:rPr>
      </w:pPr>
      <w:r w:rsidRPr="00390F32">
        <w:rPr>
          <w:rFonts w:ascii="Calibri" w:hAnsi="Calibri"/>
          <w:szCs w:val="24"/>
        </w:rPr>
        <w:t xml:space="preserve">Further information is available through the committee's website at </w:t>
      </w:r>
      <w:hyperlink r:id="rId53"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5627A8" w:rsidRDefault="005627A8">
      <w:pPr>
        <w:spacing w:after="0"/>
        <w:jc w:val="left"/>
        <w:rPr>
          <w:rFonts w:ascii="Calibri" w:hAnsi="Calibri"/>
          <w:szCs w:val="24"/>
        </w:rPr>
      </w:pPr>
      <w:r>
        <w:rPr>
          <w:rFonts w:ascii="Calibri" w:hAnsi="Calibri"/>
          <w:szCs w:val="24"/>
        </w:rPr>
        <w:br w:type="page"/>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Committee Secretary</w:t>
      </w:r>
    </w:p>
    <w:p w:rsidR="005627A8" w:rsidRPr="00390F32" w:rsidRDefault="005627A8" w:rsidP="005627A8">
      <w:pPr>
        <w:rPr>
          <w:rFonts w:ascii="Calibri" w:hAnsi="Calibri"/>
          <w:szCs w:val="24"/>
        </w:rPr>
      </w:pPr>
      <w:r w:rsidRPr="00390F32">
        <w:rPr>
          <w:rFonts w:ascii="Calibri" w:hAnsi="Calibri"/>
          <w:szCs w:val="24"/>
        </w:rPr>
        <w:t>Senate Regulations and Ordinances Committee</w:t>
      </w:r>
    </w:p>
    <w:p w:rsidR="005627A8" w:rsidRPr="00390F32" w:rsidRDefault="005627A8" w:rsidP="005627A8">
      <w:pPr>
        <w:rPr>
          <w:rFonts w:ascii="Calibri" w:hAnsi="Calibri"/>
          <w:szCs w:val="24"/>
        </w:rPr>
      </w:pPr>
      <w:r w:rsidRPr="00390F32">
        <w:rPr>
          <w:rFonts w:ascii="Calibri" w:hAnsi="Calibri"/>
          <w:szCs w:val="24"/>
        </w:rPr>
        <w:t>PO Box 6100</w:t>
      </w:r>
    </w:p>
    <w:p w:rsidR="005627A8" w:rsidRPr="00390F32" w:rsidRDefault="005627A8" w:rsidP="005627A8">
      <w:pPr>
        <w:rPr>
          <w:rFonts w:ascii="Calibri" w:hAnsi="Calibri"/>
          <w:szCs w:val="24"/>
        </w:rPr>
      </w:pPr>
      <w:r w:rsidRPr="00390F32">
        <w:rPr>
          <w:rFonts w:ascii="Calibri" w:hAnsi="Calibri"/>
          <w:szCs w:val="24"/>
        </w:rPr>
        <w:t>Parliament House</w:t>
      </w:r>
    </w:p>
    <w:p w:rsidR="005627A8" w:rsidRPr="00390F32" w:rsidRDefault="005627A8" w:rsidP="005627A8">
      <w:pPr>
        <w:rPr>
          <w:rFonts w:ascii="Calibri" w:hAnsi="Calibri"/>
          <w:szCs w:val="24"/>
        </w:rPr>
      </w:pPr>
      <w:r w:rsidRPr="00390F32">
        <w:rPr>
          <w:rFonts w:ascii="Calibri" w:hAnsi="Calibri"/>
          <w:szCs w:val="24"/>
        </w:rPr>
        <w:t>Canberra ACT 2600</w:t>
      </w:r>
    </w:p>
    <w:p w:rsidR="005627A8" w:rsidRPr="00390F32" w:rsidRDefault="005627A8" w:rsidP="005627A8">
      <w:pPr>
        <w:rPr>
          <w:rFonts w:ascii="Calibri" w:hAnsi="Calibri"/>
          <w:szCs w:val="24"/>
        </w:rPr>
      </w:pPr>
      <w:r w:rsidRPr="00390F32">
        <w:rPr>
          <w:rFonts w:ascii="Calibri" w:hAnsi="Calibri"/>
          <w:szCs w:val="24"/>
        </w:rPr>
        <w:t>Australia</w:t>
      </w:r>
    </w:p>
    <w:p w:rsidR="005627A8" w:rsidRPr="00390F32" w:rsidRDefault="005627A8" w:rsidP="005627A8">
      <w:pPr>
        <w:rPr>
          <w:rFonts w:ascii="Calibri" w:hAnsi="Calibri"/>
          <w:szCs w:val="24"/>
        </w:rPr>
      </w:pPr>
    </w:p>
    <w:p w:rsidR="005627A8" w:rsidRPr="00390F32" w:rsidRDefault="005627A8" w:rsidP="005627A8">
      <w:pPr>
        <w:rPr>
          <w:rFonts w:ascii="Calibri" w:hAnsi="Calibri"/>
          <w:szCs w:val="24"/>
        </w:rPr>
      </w:pPr>
      <w:r w:rsidRPr="00390F32">
        <w:rPr>
          <w:rFonts w:ascii="Calibri" w:hAnsi="Calibri"/>
          <w:szCs w:val="24"/>
        </w:rPr>
        <w:t xml:space="preserve">Phone: +61 2 6277 3066 </w:t>
      </w:r>
    </w:p>
    <w:p w:rsidR="005627A8" w:rsidRPr="00390F32" w:rsidRDefault="005627A8" w:rsidP="005627A8">
      <w:pPr>
        <w:rPr>
          <w:rFonts w:ascii="Calibri" w:hAnsi="Calibri"/>
          <w:szCs w:val="24"/>
        </w:rPr>
      </w:pPr>
      <w:r w:rsidRPr="00390F32">
        <w:rPr>
          <w:rFonts w:ascii="Calibri" w:hAnsi="Calibri"/>
          <w:szCs w:val="24"/>
        </w:rPr>
        <w:t xml:space="preserve">Fax: +61 2 6277 5881 </w:t>
      </w:r>
    </w:p>
    <w:p w:rsidR="005627A8" w:rsidRPr="00561AF0" w:rsidRDefault="005627A8" w:rsidP="005627A8">
      <w:pPr>
        <w:rPr>
          <w:rFonts w:ascii="Calibri" w:hAnsi="Calibri"/>
          <w:szCs w:val="24"/>
        </w:rPr>
      </w:pPr>
      <w:r w:rsidRPr="00390F32">
        <w:rPr>
          <w:rFonts w:ascii="Calibri" w:hAnsi="Calibri"/>
          <w:szCs w:val="24"/>
        </w:rPr>
        <w:t xml:space="preserve">Email: </w:t>
      </w:r>
      <w:hyperlink r:id="rId54" w:history="1">
        <w:r w:rsidRPr="00390F32">
          <w:rPr>
            <w:rStyle w:val="Hyperlink"/>
            <w:rFonts w:ascii="Calibri" w:hAnsi="Calibri"/>
            <w:szCs w:val="24"/>
          </w:rPr>
          <w:t>RegOrds.Sen@aph.gov.au</w:t>
        </w:r>
      </w:hyperlink>
    </w:p>
    <w:p w:rsidR="005627A8" w:rsidRPr="00965B14" w:rsidRDefault="005627A8" w:rsidP="005627A8">
      <w:pPr>
        <w:jc w:val="center"/>
      </w:pPr>
    </w:p>
    <w:p w:rsidR="00520991" w:rsidRPr="00520991" w:rsidRDefault="00520991" w:rsidP="00325264"/>
    <w:sectPr w:rsidR="00520991" w:rsidRPr="00520991" w:rsidSect="00761AF7">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5627A8">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3A5592" w:rsidRDefault="005627A8">
        <w:pPr>
          <w:pStyle w:val="Footer"/>
          <w:jc w:val="center"/>
        </w:pPr>
        <w:r>
          <w:fldChar w:fldCharType="begin"/>
        </w:r>
        <w:r>
          <w:instrText xml:space="preserve"> PAGE   \* MERGEFORMAT </w:instrText>
        </w:r>
        <w:r>
          <w:fldChar w:fldCharType="separate"/>
        </w:r>
        <w:r>
          <w:rPr>
            <w:noProof/>
          </w:rPr>
          <w:t>viii</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27A8">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592" w:rsidRDefault="005627A8">
    <w:pPr>
      <w:pStyle w:val="Foote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27A8">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27A8">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27A8">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27A8">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27A8">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27A8">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5627A8">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5627A8">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Default="005627A8">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8F59CB" w:rsidRDefault="005627A8">
        <w:pPr>
          <w:pStyle w:val="Footer"/>
          <w:jc w:val="center"/>
        </w:pPr>
        <w:r>
          <w:fldChar w:fldCharType="begin"/>
        </w:r>
        <w:r>
          <w:instrText xml:space="preserve"> PAGE   \* MERGEFORMAT </w:instrText>
        </w:r>
        <w:r>
          <w:fldChar w:fldCharType="separate"/>
        </w:r>
        <w:r w:rsidR="00FF625A">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5627A8">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5A" w:rsidRDefault="00FF625A">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FF625A" w:rsidRDefault="00FF625A">
        <w:pPr>
          <w:pStyle w:val="Footer"/>
          <w:jc w:val="center"/>
        </w:pPr>
        <w:r>
          <w:fldChar w:fldCharType="begin"/>
        </w:r>
        <w:r>
          <w:instrText xml:space="preserve"> PAGE   \* MERGEFORMAT </w:instrText>
        </w:r>
        <w:r>
          <w:fldChar w:fldCharType="separate"/>
        </w:r>
        <w:r w:rsidR="005627A8">
          <w:rPr>
            <w:noProof/>
          </w:rPr>
          <w:t>v</w:t>
        </w:r>
        <w:r>
          <w:rPr>
            <w:noProof/>
          </w:rPr>
          <w:fldChar w:fldCharType="end"/>
        </w:r>
      </w:p>
    </w:sdtContent>
  </w:sdt>
  <w:p w:rsidR="00FF625A" w:rsidRDefault="00FF625A">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5A" w:rsidRDefault="00FF625A">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FF625A" w:rsidRPr="00F61935" w:rsidRDefault="00FF625A" w:rsidP="00FF625A">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FF625A" w:rsidRPr="00ED4CC3" w:rsidRDefault="00FF625A" w:rsidP="00FF625A">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27A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FF625A">
      <w:rPr>
        <w:noProof/>
      </w:rPr>
      <w:t>ix</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627A8">
    <w:pPr>
      <w:pStyle w:val="Header"/>
      <w:tabs>
        <w:tab w:val="clear" w:pos="8306"/>
        <w:tab w:val="right" w:pos="900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Pr="00F710D5" w:rsidRDefault="005627A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w:t>
    </w:r>
    <w:r>
      <w:rPr>
        <w:noProof/>
      </w:rPr>
      <w:fldChar w:fldCharType="end"/>
    </w: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27A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15</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C1D" w:rsidRDefault="005627A8">
    <w:pPr>
      <w:pStyle w:val="Header"/>
      <w:tabs>
        <w:tab w:val="clear" w:pos="8306"/>
        <w:tab w:val="right" w:pos="9000"/>
      </w:tabs>
    </w:pPr>
    <w:r>
      <w:tab/>
    </w:r>
    <w:r>
      <w:t>1</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5627A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36</w:t>
    </w:r>
    <w:r>
      <w:rPr>
        <w:noProof/>
      </w:rPr>
      <w:fldChar w:fldCharType="end"/>
    </w: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27A8">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37</w:t>
    </w:r>
    <w:r>
      <w:rPr>
        <w:noProof/>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627A8">
    <w:pPr>
      <w:pStyle w:val="Header"/>
      <w:tabs>
        <w:tab w:val="clear" w:pos="8306"/>
        <w:tab w:val="right" w:pos="9000"/>
      </w:tabs>
    </w:pPr>
    <w:r>
      <w:tab/>
    </w:r>
    <w:r>
      <w:t>3</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5627A8">
    <w:pPr>
      <w:pStyle w:val="Header"/>
      <w:pBdr>
        <w:bottom w:val="single" w:sz="4" w:space="1" w:color="auto"/>
      </w:pBdr>
      <w:tabs>
        <w:tab w:val="clear" w:pos="8306"/>
        <w:tab w:val="right" w:pos="9000"/>
      </w:tabs>
    </w:pPr>
    <w:r w:rsidRPr="0037429F">
      <w:fldChar w:fldCharType="begin"/>
    </w:r>
    <w:r w:rsidRPr="0037429F">
      <w:instrText xml:space="preserve"> PAGE </w:instrText>
    </w:r>
    <w:r w:rsidRPr="0037429F">
      <w:fldChar w:fldCharType="separate"/>
    </w:r>
    <w:r>
      <w:rPr>
        <w:noProof/>
      </w:rPr>
      <w:t>40</w:t>
    </w:r>
    <w:r w:rsidRPr="0037429F">
      <w:rPr>
        <w:noProof/>
      </w:rPr>
      <w:fldChar w:fldCharType="end"/>
    </w:r>
    <w:r w:rsidRPr="0037429F">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37429F" w:rsidRDefault="005627A8">
    <w:pPr>
      <w:pStyle w:val="Header"/>
      <w:pBdr>
        <w:bottom w:val="single" w:sz="4" w:space="1" w:color="auto"/>
      </w:pBdr>
      <w:tabs>
        <w:tab w:val="clear" w:pos="8306"/>
        <w:tab w:val="right" w:pos="9000"/>
      </w:tabs>
    </w:pPr>
    <w:r>
      <w:tab/>
    </w:r>
    <w:r w:rsidRPr="0037429F">
      <w:fldChar w:fldCharType="begin"/>
    </w:r>
    <w:r w:rsidRPr="0037429F">
      <w:instrText xml:space="preserve"> PAGE </w:instrText>
    </w:r>
    <w:r w:rsidRPr="0037429F">
      <w:fldChar w:fldCharType="separate"/>
    </w:r>
    <w:r>
      <w:rPr>
        <w:noProof/>
      </w:rPr>
      <w:t>41</w:t>
    </w:r>
    <w:r w:rsidRPr="0037429F">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8C6" w:rsidRPr="004260E9" w:rsidRDefault="005627A8" w:rsidP="004260E9">
    <w:pPr>
      <w:pStyle w:val="Header"/>
      <w:jc w:val="right"/>
    </w:pPr>
    <w:r>
      <w:t>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627A8">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8</w:t>
    </w:r>
    <w:r>
      <w:rPr>
        <w:noProof/>
      </w:rPr>
      <w:fldChar w:fldCharType="end"/>
    </w:r>
    <w:r w:rsidR="00C77954">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627A8">
      <w:fldChar w:fldCharType="begin"/>
    </w:r>
    <w:r w:rsidR="005627A8">
      <w:instrText xml:space="preserve"> PAGE </w:instrText>
    </w:r>
    <w:r w:rsidR="005627A8">
      <w:fldChar w:fldCharType="separate"/>
    </w:r>
    <w:r w:rsidR="005627A8">
      <w:rPr>
        <w:noProof/>
      </w:rPr>
      <w:t>9</w:t>
    </w:r>
    <w:r w:rsidR="005627A8">
      <w:rPr>
        <w:noProof/>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627A8">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627A8">
      <w:fldChar w:fldCharType="begin"/>
    </w:r>
    <w:r w:rsidR="005627A8">
      <w:instrText xml:space="preserve"> PAGE </w:instrText>
    </w:r>
    <w:r w:rsidR="005627A8">
      <w:fldChar w:fldCharType="separate"/>
    </w:r>
    <w:r w:rsidR="005627A8">
      <w:rPr>
        <w:noProof/>
      </w:rPr>
      <w:t>v</w:t>
    </w:r>
    <w:r w:rsidR="005627A8">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5A" w:rsidRPr="00F710D5" w:rsidRDefault="00FF625A">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25A" w:rsidRDefault="00FF625A">
    <w:pPr>
      <w:pStyle w:val="Header"/>
      <w:tabs>
        <w:tab w:val="clear" w:pos="8306"/>
        <w:tab w:val="right" w:pos="900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5627A8" w:rsidP="007E6842">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2772AFB2"/>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47757B"/>
    <w:multiLevelType w:val="multilevel"/>
    <w:tmpl w:val="19D0C302"/>
    <w:lvl w:ilvl="0">
      <w:start w:val="1"/>
      <w:numFmt w:val="decimal"/>
      <w:pStyle w:val="Bullet3"/>
      <w:lvlText w:val="2.%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nsid w:val="63D2471F"/>
    <w:multiLevelType w:val="multilevel"/>
    <w:tmpl w:val="EEA832FC"/>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8">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7"/>
  </w:num>
  <w:num w:numId="20">
    <w:abstractNumId w:val="10"/>
  </w:num>
  <w:num w:numId="21">
    <w:abstractNumId w:val="25"/>
  </w:num>
  <w:num w:numId="22">
    <w:abstractNumId w:val="19"/>
  </w:num>
  <w:num w:numId="23">
    <w:abstractNumId w:val="26"/>
  </w:num>
  <w:num w:numId="24">
    <w:abstractNumId w:val="20"/>
  </w:num>
  <w:num w:numId="25">
    <w:abstractNumId w:val="21"/>
  </w:num>
  <w:num w:numId="26">
    <w:abstractNumId w:val="25"/>
  </w:num>
  <w:num w:numId="27">
    <w:abstractNumId w:val="25"/>
  </w:num>
  <w:num w:numId="28">
    <w:abstractNumId w:val="28"/>
  </w:num>
  <w:num w:numId="29">
    <w:abstractNumId w:val="28"/>
  </w:num>
  <w:num w:numId="30">
    <w:abstractNumId w:val="28"/>
  </w:num>
  <w:num w:numId="31">
    <w:abstractNumId w:val="25"/>
  </w:num>
  <w:num w:numId="32">
    <w:abstractNumId w:val="25"/>
  </w:num>
  <w:num w:numId="33">
    <w:abstractNumId w:val="17"/>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27A8"/>
    <w:rsid w:val="0056550E"/>
    <w:rsid w:val="005B3BA3"/>
    <w:rsid w:val="005D07D1"/>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A5729"/>
    <w:rsid w:val="00A31357"/>
    <w:rsid w:val="00A6738A"/>
    <w:rsid w:val="00A85B09"/>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B2C79"/>
    <w:rsid w:val="00CC3A7E"/>
    <w:rsid w:val="00CF1B25"/>
    <w:rsid w:val="00D0522E"/>
    <w:rsid w:val="00D2688E"/>
    <w:rsid w:val="00D35325"/>
    <w:rsid w:val="00D4535E"/>
    <w:rsid w:val="00D82DC0"/>
    <w:rsid w:val="00DA1837"/>
    <w:rsid w:val="00DE1781"/>
    <w:rsid w:val="00E0235E"/>
    <w:rsid w:val="00EA3BD8"/>
    <w:rsid w:val="00EB5055"/>
    <w:rsid w:val="00F47A8B"/>
    <w:rsid w:val="00FF0F26"/>
    <w:rsid w:val="00FF6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F625A"/>
    <w:pPr>
      <w:keepNext/>
      <w:numPr>
        <w:ilvl w:val="3"/>
        <w:numId w:val="32"/>
      </w:numPr>
      <w:outlineLvl w:val="3"/>
    </w:pPr>
    <w:rPr>
      <w:b/>
      <w:i/>
    </w:rPr>
  </w:style>
  <w:style w:type="paragraph" w:styleId="Heading5">
    <w:name w:val="heading 5"/>
    <w:basedOn w:val="Normal"/>
    <w:next w:val="Normal"/>
    <w:qFormat/>
    <w:rsid w:val="00FF625A"/>
    <w:pPr>
      <w:keepNext/>
      <w:numPr>
        <w:ilvl w:val="4"/>
        <w:numId w:val="32"/>
      </w:numPr>
      <w:jc w:val="left"/>
      <w:outlineLvl w:val="4"/>
    </w:pPr>
    <w:rPr>
      <w:i/>
    </w:rPr>
  </w:style>
  <w:style w:type="paragraph" w:styleId="Heading6">
    <w:name w:val="heading 6"/>
    <w:basedOn w:val="Normal"/>
    <w:next w:val="Normal"/>
    <w:qFormat/>
    <w:locked/>
    <w:rsid w:val="00FF625A"/>
    <w:pPr>
      <w:numPr>
        <w:ilvl w:val="5"/>
        <w:numId w:val="32"/>
      </w:numPr>
      <w:spacing w:before="240" w:after="60"/>
      <w:outlineLvl w:val="5"/>
    </w:pPr>
    <w:rPr>
      <w:i/>
      <w:sz w:val="22"/>
    </w:rPr>
  </w:style>
  <w:style w:type="paragraph" w:styleId="Heading7">
    <w:name w:val="heading 7"/>
    <w:basedOn w:val="Normal"/>
    <w:next w:val="Normal"/>
    <w:qFormat/>
    <w:locked/>
    <w:rsid w:val="00FF625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F625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F625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F625A"/>
    <w:pPr>
      <w:numPr>
        <w:numId w:val="32"/>
      </w:numPr>
    </w:pPr>
  </w:style>
  <w:style w:type="paragraph" w:customStyle="1" w:styleId="Level2">
    <w:name w:val="Level2"/>
    <w:basedOn w:val="Normal"/>
    <w:rsid w:val="00FF625A"/>
    <w:pPr>
      <w:numPr>
        <w:ilvl w:val="1"/>
        <w:numId w:val="32"/>
      </w:numPr>
    </w:pPr>
  </w:style>
  <w:style w:type="paragraph" w:customStyle="1" w:styleId="Level3">
    <w:name w:val="Level3"/>
    <w:basedOn w:val="Normal"/>
    <w:link w:val="Level3Char"/>
    <w:rsid w:val="00FF625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F625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FF625A"/>
    <w:rPr>
      <w:rFonts w:ascii="Times New Roman" w:hAnsi="Times New Roman"/>
      <w:b/>
      <w:kern w:val="28"/>
      <w:sz w:val="40"/>
      <w:lang w:eastAsia="en-US"/>
    </w:rPr>
  </w:style>
  <w:style w:type="character" w:customStyle="1" w:styleId="HeaderChar">
    <w:name w:val="Header Char"/>
    <w:basedOn w:val="DefaultParagraphFont"/>
    <w:link w:val="Header"/>
    <w:semiHidden/>
    <w:rsid w:val="00FF625A"/>
    <w:rPr>
      <w:rFonts w:ascii="Times New Roman" w:hAnsi="Times New Roman"/>
      <w:sz w:val="22"/>
      <w:lang w:eastAsia="en-US"/>
    </w:rPr>
  </w:style>
  <w:style w:type="paragraph" w:customStyle="1" w:styleId="JNP2">
    <w:name w:val="JNP2"/>
    <w:basedOn w:val="Normal"/>
    <w:rsid w:val="00FF625A"/>
    <w:pPr>
      <w:spacing w:after="0"/>
      <w:ind w:left="2268"/>
    </w:pPr>
    <w:rPr>
      <w:lang w:val="en-US"/>
    </w:rPr>
  </w:style>
  <w:style w:type="character" w:customStyle="1" w:styleId="FootnoteTextChar">
    <w:name w:val="Footnote Text Char"/>
    <w:basedOn w:val="DefaultParagraphFont"/>
    <w:link w:val="FootnoteText"/>
    <w:rsid w:val="00FF625A"/>
    <w:rPr>
      <w:sz w:val="22"/>
      <w:lang w:eastAsia="en-US"/>
    </w:rPr>
  </w:style>
  <w:style w:type="character" w:customStyle="1" w:styleId="QuoteChar">
    <w:name w:val="Quote Char"/>
    <w:basedOn w:val="DefaultParagraphFont"/>
    <w:link w:val="Quote"/>
    <w:rsid w:val="00FF625A"/>
    <w:rPr>
      <w:rFonts w:ascii="Times New Roman" w:hAnsi="Times New Roman"/>
      <w:sz w:val="24"/>
      <w:lang w:eastAsia="en-US"/>
    </w:rPr>
  </w:style>
  <w:style w:type="character" w:customStyle="1" w:styleId="Heading2Char">
    <w:name w:val="Heading 2 Char"/>
    <w:basedOn w:val="DefaultParagraphFont"/>
    <w:link w:val="Heading2"/>
    <w:rsid w:val="005627A8"/>
    <w:rPr>
      <w:rFonts w:ascii="Times New Roman" w:hAnsi="Times New Roman"/>
      <w:b/>
      <w:sz w:val="3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F625A"/>
    <w:pPr>
      <w:keepNext/>
      <w:numPr>
        <w:ilvl w:val="3"/>
        <w:numId w:val="32"/>
      </w:numPr>
      <w:outlineLvl w:val="3"/>
    </w:pPr>
    <w:rPr>
      <w:b/>
      <w:i/>
    </w:rPr>
  </w:style>
  <w:style w:type="paragraph" w:styleId="Heading5">
    <w:name w:val="heading 5"/>
    <w:basedOn w:val="Normal"/>
    <w:next w:val="Normal"/>
    <w:qFormat/>
    <w:rsid w:val="00FF625A"/>
    <w:pPr>
      <w:keepNext/>
      <w:numPr>
        <w:ilvl w:val="4"/>
        <w:numId w:val="32"/>
      </w:numPr>
      <w:jc w:val="left"/>
      <w:outlineLvl w:val="4"/>
    </w:pPr>
    <w:rPr>
      <w:i/>
    </w:rPr>
  </w:style>
  <w:style w:type="paragraph" w:styleId="Heading6">
    <w:name w:val="heading 6"/>
    <w:basedOn w:val="Normal"/>
    <w:next w:val="Normal"/>
    <w:qFormat/>
    <w:locked/>
    <w:rsid w:val="00FF625A"/>
    <w:pPr>
      <w:numPr>
        <w:ilvl w:val="5"/>
        <w:numId w:val="32"/>
      </w:numPr>
      <w:spacing w:before="240" w:after="60"/>
      <w:outlineLvl w:val="5"/>
    </w:pPr>
    <w:rPr>
      <w:i/>
      <w:sz w:val="22"/>
    </w:rPr>
  </w:style>
  <w:style w:type="paragraph" w:styleId="Heading7">
    <w:name w:val="heading 7"/>
    <w:basedOn w:val="Normal"/>
    <w:next w:val="Normal"/>
    <w:qFormat/>
    <w:locked/>
    <w:rsid w:val="00FF625A"/>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FF625A"/>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FF625A"/>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F625A"/>
    <w:pPr>
      <w:numPr>
        <w:numId w:val="32"/>
      </w:numPr>
    </w:pPr>
  </w:style>
  <w:style w:type="paragraph" w:customStyle="1" w:styleId="Level2">
    <w:name w:val="Level2"/>
    <w:basedOn w:val="Normal"/>
    <w:rsid w:val="00FF625A"/>
    <w:pPr>
      <w:numPr>
        <w:ilvl w:val="1"/>
        <w:numId w:val="32"/>
      </w:numPr>
    </w:pPr>
  </w:style>
  <w:style w:type="paragraph" w:customStyle="1" w:styleId="Level3">
    <w:name w:val="Level3"/>
    <w:basedOn w:val="Normal"/>
    <w:link w:val="Level3Char"/>
    <w:rsid w:val="00FF625A"/>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FF625A"/>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FF625A"/>
    <w:rPr>
      <w:rFonts w:ascii="Times New Roman" w:hAnsi="Times New Roman"/>
      <w:b/>
      <w:kern w:val="28"/>
      <w:sz w:val="40"/>
      <w:lang w:eastAsia="en-US"/>
    </w:rPr>
  </w:style>
  <w:style w:type="character" w:customStyle="1" w:styleId="HeaderChar">
    <w:name w:val="Header Char"/>
    <w:basedOn w:val="DefaultParagraphFont"/>
    <w:link w:val="Header"/>
    <w:semiHidden/>
    <w:rsid w:val="00FF625A"/>
    <w:rPr>
      <w:rFonts w:ascii="Times New Roman" w:hAnsi="Times New Roman"/>
      <w:sz w:val="22"/>
      <w:lang w:eastAsia="en-US"/>
    </w:rPr>
  </w:style>
  <w:style w:type="paragraph" w:customStyle="1" w:styleId="JNP2">
    <w:name w:val="JNP2"/>
    <w:basedOn w:val="Normal"/>
    <w:rsid w:val="00FF625A"/>
    <w:pPr>
      <w:spacing w:after="0"/>
      <w:ind w:left="2268"/>
    </w:pPr>
    <w:rPr>
      <w:lang w:val="en-US"/>
    </w:rPr>
  </w:style>
  <w:style w:type="character" w:customStyle="1" w:styleId="FootnoteTextChar">
    <w:name w:val="Footnote Text Char"/>
    <w:basedOn w:val="DefaultParagraphFont"/>
    <w:link w:val="FootnoteText"/>
    <w:rsid w:val="00FF625A"/>
    <w:rPr>
      <w:sz w:val="22"/>
      <w:lang w:eastAsia="en-US"/>
    </w:rPr>
  </w:style>
  <w:style w:type="character" w:customStyle="1" w:styleId="QuoteChar">
    <w:name w:val="Quote Char"/>
    <w:basedOn w:val="DefaultParagraphFont"/>
    <w:link w:val="Quote"/>
    <w:rsid w:val="00FF625A"/>
    <w:rPr>
      <w:rFonts w:ascii="Times New Roman" w:hAnsi="Times New Roman"/>
      <w:sz w:val="24"/>
      <w:lang w:eastAsia="en-US"/>
    </w:rPr>
  </w:style>
  <w:style w:type="character" w:customStyle="1" w:styleId="Heading2Char">
    <w:name w:val="Heading 2 Char"/>
    <w:basedOn w:val="DefaultParagraphFont"/>
    <w:link w:val="Heading2"/>
    <w:rsid w:val="005627A8"/>
    <w:rPr>
      <w:rFonts w:ascii="Times New Roman" w:hAnsi="Times New Roman"/>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1.png"/><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header" Target="header22.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header" Target="head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3</TotalTime>
  <Pages>23</Pages>
  <Words>1836</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3</cp:revision>
  <dcterms:created xsi:type="dcterms:W3CDTF">2014-03-19T00:16:00Z</dcterms:created>
  <dcterms:modified xsi:type="dcterms:W3CDTF">2014-03-19T00:18:00Z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