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7D" w:rsidRPr="00F0188D" w:rsidRDefault="0071407D" w:rsidP="0071407D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F0188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PARLIAMENTARY JOINT COMMITTEE ON HUMAN RIGHTS</w:t>
      </w:r>
    </w:p>
    <w:p w:rsidR="0071407D" w:rsidRPr="00F0188D" w:rsidRDefault="00DF1223" w:rsidP="0071407D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CHAIR'S </w:t>
      </w:r>
      <w:r w:rsidR="0071407D" w:rsidRPr="00F0188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TABLING STATEMENT</w:t>
      </w:r>
    </w:p>
    <w:p w:rsidR="0071407D" w:rsidRPr="00F0188D" w:rsidRDefault="009D3ECC" w:rsidP="0071407D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Tuesday </w:t>
      </w:r>
      <w:r w:rsidR="00084EF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9 May </w:t>
      </w:r>
      <w:r w:rsidR="00870D26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2017</w:t>
      </w:r>
    </w:p>
    <w:p w:rsidR="00E17C1C" w:rsidRDefault="00E17C1C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E17C1C">
        <w:rPr>
          <w:rFonts w:asciiTheme="majorHAnsi" w:hAnsiTheme="majorHAnsi"/>
          <w:sz w:val="30"/>
          <w:szCs w:val="30"/>
        </w:rPr>
        <w:t xml:space="preserve">I rise to speak to the tabling of the Parliamentary </w:t>
      </w:r>
      <w:r w:rsidR="00D43FA9">
        <w:rPr>
          <w:rFonts w:asciiTheme="majorHAnsi" w:hAnsiTheme="majorHAnsi"/>
          <w:sz w:val="30"/>
          <w:szCs w:val="30"/>
        </w:rPr>
        <w:t xml:space="preserve">Joint Committee on Human Rights' </w:t>
      </w:r>
      <w:r w:rsidR="00D43FA9" w:rsidRPr="0042464A">
        <w:rPr>
          <w:rFonts w:asciiTheme="majorHAnsi" w:hAnsiTheme="majorHAnsi"/>
          <w:i/>
          <w:sz w:val="30"/>
          <w:szCs w:val="30"/>
        </w:rPr>
        <w:t>Human Rights Scrutiny</w:t>
      </w:r>
      <w:r w:rsidRPr="0042464A">
        <w:rPr>
          <w:rFonts w:asciiTheme="majorHAnsi" w:hAnsiTheme="majorHAnsi"/>
          <w:i/>
          <w:sz w:val="30"/>
          <w:szCs w:val="30"/>
        </w:rPr>
        <w:t xml:space="preserve"> </w:t>
      </w:r>
      <w:r w:rsidR="001467B3" w:rsidRPr="0042464A">
        <w:rPr>
          <w:rFonts w:asciiTheme="majorHAnsi" w:hAnsiTheme="majorHAnsi"/>
          <w:i/>
          <w:sz w:val="30"/>
          <w:szCs w:val="30"/>
        </w:rPr>
        <w:t xml:space="preserve">Report </w:t>
      </w:r>
      <w:r w:rsidR="000E37BF">
        <w:rPr>
          <w:rFonts w:asciiTheme="majorHAnsi" w:hAnsiTheme="majorHAnsi"/>
          <w:i/>
          <w:sz w:val="30"/>
          <w:szCs w:val="30"/>
        </w:rPr>
        <w:t>4</w:t>
      </w:r>
      <w:r w:rsidR="00AB0A0F" w:rsidRPr="0042464A">
        <w:rPr>
          <w:rFonts w:asciiTheme="majorHAnsi" w:hAnsiTheme="majorHAnsi"/>
          <w:i/>
          <w:sz w:val="30"/>
          <w:szCs w:val="30"/>
        </w:rPr>
        <w:t xml:space="preserve"> of 201</w:t>
      </w:r>
      <w:r w:rsidR="00870D26" w:rsidRPr="0042464A">
        <w:rPr>
          <w:rFonts w:asciiTheme="majorHAnsi" w:hAnsiTheme="majorHAnsi"/>
          <w:i/>
          <w:sz w:val="30"/>
          <w:szCs w:val="30"/>
        </w:rPr>
        <w:t>7</w:t>
      </w:r>
      <w:r w:rsidRPr="00E17C1C">
        <w:rPr>
          <w:rFonts w:asciiTheme="majorHAnsi" w:hAnsiTheme="majorHAnsi"/>
          <w:sz w:val="30"/>
          <w:szCs w:val="30"/>
        </w:rPr>
        <w:t>.</w:t>
      </w:r>
    </w:p>
    <w:p w:rsidR="00150929" w:rsidRDefault="00873723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In accordance with the committee's</w:t>
      </w:r>
      <w:r w:rsidRPr="00D43FA9">
        <w:rPr>
          <w:rFonts w:asciiTheme="majorHAnsi" w:hAnsiTheme="majorHAnsi"/>
          <w:sz w:val="30"/>
          <w:szCs w:val="30"/>
        </w:rPr>
        <w:t xml:space="preserve"> legislative mandate under</w:t>
      </w:r>
      <w:r>
        <w:rPr>
          <w:rFonts w:asciiTheme="majorHAnsi" w:hAnsiTheme="majorHAnsi"/>
          <w:sz w:val="30"/>
          <w:szCs w:val="30"/>
        </w:rPr>
        <w:t xml:space="preserve"> section 7(a) of the</w:t>
      </w:r>
      <w:r w:rsidRPr="00D43FA9">
        <w:rPr>
          <w:rFonts w:asciiTheme="majorHAnsi" w:hAnsiTheme="majorHAnsi"/>
          <w:sz w:val="30"/>
          <w:szCs w:val="30"/>
        </w:rPr>
        <w:t xml:space="preserve"> </w:t>
      </w:r>
      <w:r w:rsidRPr="00D43FA9">
        <w:rPr>
          <w:rFonts w:asciiTheme="majorHAnsi" w:hAnsiTheme="majorHAnsi"/>
          <w:i/>
          <w:sz w:val="30"/>
          <w:szCs w:val="30"/>
        </w:rPr>
        <w:t>Human Rights (Parliamentary Scrutiny) Act 2011</w:t>
      </w:r>
      <w:r>
        <w:rPr>
          <w:rFonts w:asciiTheme="majorHAnsi" w:hAnsiTheme="majorHAnsi"/>
          <w:i/>
          <w:sz w:val="30"/>
          <w:szCs w:val="30"/>
        </w:rPr>
        <w:t xml:space="preserve"> </w:t>
      </w:r>
      <w:r>
        <w:rPr>
          <w:rFonts w:asciiTheme="majorHAnsi" w:hAnsiTheme="majorHAnsi"/>
          <w:sz w:val="30"/>
          <w:szCs w:val="30"/>
        </w:rPr>
        <w:t>t</w:t>
      </w:r>
      <w:r w:rsidR="00E17C1C" w:rsidRPr="00E17C1C">
        <w:rPr>
          <w:rFonts w:asciiTheme="majorHAnsi" w:hAnsiTheme="majorHAnsi"/>
          <w:sz w:val="30"/>
          <w:szCs w:val="30"/>
        </w:rPr>
        <w:t xml:space="preserve">he committee examines the compatibility of </w:t>
      </w:r>
      <w:r w:rsidR="000B3D66">
        <w:rPr>
          <w:rFonts w:asciiTheme="majorHAnsi" w:hAnsiTheme="majorHAnsi"/>
          <w:sz w:val="30"/>
          <w:szCs w:val="30"/>
        </w:rPr>
        <w:t xml:space="preserve">recent </w:t>
      </w:r>
      <w:r w:rsidR="00E17C1C" w:rsidRPr="00E17C1C">
        <w:rPr>
          <w:rFonts w:asciiTheme="majorHAnsi" w:hAnsiTheme="majorHAnsi"/>
          <w:sz w:val="30"/>
          <w:szCs w:val="30"/>
        </w:rPr>
        <w:t>bills and legislati</w:t>
      </w:r>
      <w:r w:rsidR="0022707F">
        <w:rPr>
          <w:rFonts w:asciiTheme="majorHAnsi" w:hAnsiTheme="majorHAnsi"/>
          <w:sz w:val="30"/>
          <w:szCs w:val="30"/>
        </w:rPr>
        <w:t>ve instruments with Australia's</w:t>
      </w:r>
      <w:r w:rsidR="00E17C1C" w:rsidRPr="00E17C1C">
        <w:rPr>
          <w:rFonts w:asciiTheme="majorHAnsi" w:hAnsiTheme="majorHAnsi"/>
          <w:sz w:val="30"/>
          <w:szCs w:val="30"/>
        </w:rPr>
        <w:t xml:space="preserve"> obligations</w:t>
      </w:r>
      <w:r w:rsidR="0022707F">
        <w:rPr>
          <w:rFonts w:asciiTheme="majorHAnsi" w:hAnsiTheme="majorHAnsi"/>
          <w:sz w:val="30"/>
          <w:szCs w:val="30"/>
        </w:rPr>
        <w:t xml:space="preserve"> under international human rights law</w:t>
      </w:r>
      <w:r w:rsidR="00D43FA9">
        <w:rPr>
          <w:rFonts w:asciiTheme="majorHAnsi" w:hAnsiTheme="majorHAnsi"/>
          <w:sz w:val="30"/>
          <w:szCs w:val="30"/>
        </w:rPr>
        <w:t>.</w:t>
      </w:r>
      <w:r w:rsidR="00D43FA9" w:rsidRPr="00D43FA9">
        <w:rPr>
          <w:rFonts w:asciiTheme="majorHAnsi" w:hAnsiTheme="majorHAnsi"/>
          <w:sz w:val="30"/>
          <w:szCs w:val="30"/>
        </w:rPr>
        <w:t xml:space="preserve"> </w:t>
      </w:r>
    </w:p>
    <w:p w:rsidR="00D43FA9" w:rsidRDefault="00873723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A key purpose of the scrutiny report is to provide parliament with credible technical analysis about the human rights implications of legislation. </w:t>
      </w:r>
      <w:r w:rsidR="00D43FA9">
        <w:rPr>
          <w:rFonts w:asciiTheme="majorHAnsi" w:hAnsiTheme="majorHAnsi"/>
          <w:sz w:val="30"/>
          <w:szCs w:val="30"/>
        </w:rPr>
        <w:t xml:space="preserve">The report is </w:t>
      </w:r>
      <w:r>
        <w:rPr>
          <w:rFonts w:asciiTheme="majorHAnsi" w:hAnsiTheme="majorHAnsi"/>
          <w:sz w:val="30"/>
          <w:szCs w:val="30"/>
        </w:rPr>
        <w:t xml:space="preserve">therefore </w:t>
      </w:r>
      <w:r w:rsidR="00D43FA9">
        <w:rPr>
          <w:rFonts w:asciiTheme="majorHAnsi" w:hAnsiTheme="majorHAnsi"/>
          <w:sz w:val="30"/>
          <w:szCs w:val="30"/>
        </w:rPr>
        <w:t>a</w:t>
      </w:r>
      <w:r w:rsidR="009D3ECC" w:rsidRPr="009D3ECC">
        <w:rPr>
          <w:rFonts w:asciiTheme="majorHAnsi" w:hAnsiTheme="majorHAnsi"/>
          <w:sz w:val="30"/>
          <w:szCs w:val="30"/>
        </w:rPr>
        <w:t xml:space="preserve"> technical examination and does not assess the broader merits or policy objectives of particular measures.</w:t>
      </w:r>
      <w:r w:rsidR="00150929">
        <w:rPr>
          <w:rFonts w:asciiTheme="majorHAnsi" w:hAnsiTheme="majorHAnsi"/>
          <w:sz w:val="30"/>
          <w:szCs w:val="30"/>
        </w:rPr>
        <w:t xml:space="preserve"> </w:t>
      </w:r>
      <w:r w:rsidR="00D43FA9">
        <w:rPr>
          <w:rFonts w:asciiTheme="majorHAnsi" w:hAnsiTheme="majorHAnsi"/>
          <w:sz w:val="30"/>
          <w:szCs w:val="30"/>
        </w:rPr>
        <w:t xml:space="preserve"> </w:t>
      </w:r>
    </w:p>
    <w:p w:rsidR="00167048" w:rsidRDefault="00873723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T</w:t>
      </w:r>
      <w:r w:rsidR="00167048" w:rsidRPr="00167048">
        <w:rPr>
          <w:rFonts w:asciiTheme="majorHAnsi" w:hAnsiTheme="majorHAnsi"/>
          <w:sz w:val="30"/>
          <w:szCs w:val="30"/>
        </w:rPr>
        <w:t>he committee receives legal advice in relation to the human rights compatibility of legislation</w:t>
      </w:r>
      <w:r w:rsidR="00042592">
        <w:rPr>
          <w:rFonts w:asciiTheme="majorHAnsi" w:hAnsiTheme="majorHAnsi"/>
          <w:sz w:val="30"/>
          <w:szCs w:val="30"/>
        </w:rPr>
        <w:t>.</w:t>
      </w:r>
      <w:r>
        <w:rPr>
          <w:rFonts w:asciiTheme="majorHAnsi" w:hAnsiTheme="majorHAnsi"/>
          <w:sz w:val="30"/>
          <w:szCs w:val="30"/>
        </w:rPr>
        <w:t xml:space="preserve"> </w:t>
      </w:r>
      <w:r w:rsidR="00042592">
        <w:rPr>
          <w:rFonts w:asciiTheme="majorHAnsi" w:hAnsiTheme="majorHAnsi"/>
          <w:sz w:val="30"/>
          <w:szCs w:val="30"/>
        </w:rPr>
        <w:t>It</w:t>
      </w:r>
      <w:r w:rsidR="00167048" w:rsidRPr="00167048">
        <w:rPr>
          <w:rFonts w:asciiTheme="majorHAnsi" w:hAnsiTheme="majorHAnsi"/>
          <w:sz w:val="30"/>
          <w:szCs w:val="30"/>
        </w:rPr>
        <w:t xml:space="preserve"> is served by an external legal adviser to the committee and secretariat staff. </w:t>
      </w:r>
    </w:p>
    <w:p w:rsidR="009D3ECC" w:rsidRDefault="00167048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C</w:t>
      </w:r>
      <w:r w:rsidR="00D43FA9" w:rsidRPr="00D43FA9">
        <w:rPr>
          <w:rFonts w:asciiTheme="majorHAnsi" w:hAnsiTheme="majorHAnsi"/>
          <w:sz w:val="30"/>
          <w:szCs w:val="30"/>
        </w:rPr>
        <w:t>ommittee members</w:t>
      </w:r>
      <w:r w:rsidR="00D43FA9">
        <w:rPr>
          <w:rFonts w:asciiTheme="majorHAnsi" w:hAnsiTheme="majorHAnsi"/>
          <w:sz w:val="30"/>
          <w:szCs w:val="30"/>
        </w:rPr>
        <w:t xml:space="preserve"> performing a scrutiny function</w:t>
      </w:r>
      <w:r w:rsidR="00D43FA9" w:rsidRPr="00D43FA9">
        <w:rPr>
          <w:rFonts w:asciiTheme="majorHAnsi" w:hAnsiTheme="majorHAnsi"/>
          <w:sz w:val="30"/>
          <w:szCs w:val="30"/>
        </w:rPr>
        <w:t xml:space="preserve"> are not</w:t>
      </w:r>
      <w:r w:rsidR="002E6A9E">
        <w:rPr>
          <w:rFonts w:asciiTheme="majorHAnsi" w:hAnsiTheme="majorHAnsi"/>
          <w:sz w:val="30"/>
          <w:szCs w:val="30"/>
        </w:rPr>
        <w:t>,</w:t>
      </w:r>
      <w:r w:rsidR="00D43FA9" w:rsidRPr="00D43FA9">
        <w:rPr>
          <w:rFonts w:asciiTheme="majorHAnsi" w:hAnsiTheme="majorHAnsi"/>
          <w:sz w:val="30"/>
          <w:szCs w:val="30"/>
        </w:rPr>
        <w:t xml:space="preserve"> and have never been</w:t>
      </w:r>
      <w:r w:rsidR="002E6A9E">
        <w:rPr>
          <w:rFonts w:asciiTheme="majorHAnsi" w:hAnsiTheme="majorHAnsi"/>
          <w:sz w:val="30"/>
          <w:szCs w:val="30"/>
        </w:rPr>
        <w:t>,</w:t>
      </w:r>
      <w:r w:rsidR="00D43FA9" w:rsidRPr="00D43FA9">
        <w:rPr>
          <w:rFonts w:asciiTheme="majorHAnsi" w:hAnsiTheme="majorHAnsi"/>
          <w:sz w:val="30"/>
          <w:szCs w:val="30"/>
        </w:rPr>
        <w:t xml:space="preserve"> bound by the contents or conclusions of scrutiny committee reports</w:t>
      </w:r>
      <w:r w:rsidR="002E6A9E">
        <w:rPr>
          <w:rFonts w:asciiTheme="majorHAnsi" w:hAnsiTheme="majorHAnsi"/>
          <w:sz w:val="30"/>
          <w:szCs w:val="30"/>
        </w:rPr>
        <w:t>.</w:t>
      </w:r>
      <w:r w:rsidR="0042464A">
        <w:rPr>
          <w:rFonts w:asciiTheme="majorHAnsi" w:hAnsiTheme="majorHAnsi"/>
          <w:sz w:val="30"/>
          <w:szCs w:val="30"/>
        </w:rPr>
        <w:t xml:space="preserve"> </w:t>
      </w:r>
      <w:r w:rsidR="002E6A9E">
        <w:rPr>
          <w:rFonts w:asciiTheme="majorHAnsi" w:hAnsiTheme="majorHAnsi"/>
          <w:sz w:val="30"/>
          <w:szCs w:val="30"/>
        </w:rPr>
        <w:t>L</w:t>
      </w:r>
      <w:r w:rsidR="00D43FA9" w:rsidRPr="00D43FA9">
        <w:rPr>
          <w:rFonts w:asciiTheme="majorHAnsi" w:hAnsiTheme="majorHAnsi"/>
          <w:sz w:val="30"/>
          <w:szCs w:val="30"/>
        </w:rPr>
        <w:t>ike all parliamentarians</w:t>
      </w:r>
      <w:r w:rsidR="00042592">
        <w:rPr>
          <w:rFonts w:asciiTheme="majorHAnsi" w:hAnsiTheme="majorHAnsi"/>
          <w:sz w:val="30"/>
          <w:szCs w:val="30"/>
        </w:rPr>
        <w:t>,</w:t>
      </w:r>
      <w:r w:rsidR="002E6A9E">
        <w:rPr>
          <w:rFonts w:asciiTheme="majorHAnsi" w:hAnsiTheme="majorHAnsi"/>
          <w:sz w:val="30"/>
          <w:szCs w:val="30"/>
        </w:rPr>
        <w:t xml:space="preserve"> committee members</w:t>
      </w:r>
      <w:r w:rsidR="00D43FA9" w:rsidRPr="00D43FA9">
        <w:rPr>
          <w:rFonts w:asciiTheme="majorHAnsi" w:hAnsiTheme="majorHAnsi"/>
          <w:sz w:val="30"/>
          <w:szCs w:val="30"/>
        </w:rPr>
        <w:t xml:space="preserve"> are free to engage in debates over the policy merits of legislation according to the dictates of party, conscience, belief or outlook.</w:t>
      </w:r>
      <w:r w:rsidR="00150929">
        <w:rPr>
          <w:rFonts w:asciiTheme="majorHAnsi" w:hAnsiTheme="majorHAnsi"/>
          <w:sz w:val="30"/>
          <w:szCs w:val="30"/>
        </w:rPr>
        <w:t xml:space="preserve"> </w:t>
      </w:r>
      <w:r w:rsidR="00150929">
        <w:rPr>
          <w:rFonts w:asciiTheme="majorHAnsi" w:hAnsiTheme="majorHAnsi"/>
          <w:sz w:val="30"/>
          <w:szCs w:val="30"/>
        </w:rPr>
        <w:lastRenderedPageBreak/>
        <w:t>Scrutiny committee</w:t>
      </w:r>
      <w:r w:rsidR="00150929" w:rsidRPr="00150929">
        <w:rPr>
          <w:rFonts w:asciiTheme="majorHAnsi" w:hAnsiTheme="majorHAnsi"/>
          <w:sz w:val="30"/>
          <w:szCs w:val="30"/>
        </w:rPr>
        <w:t xml:space="preserve"> members may</w:t>
      </w:r>
      <w:r w:rsidR="002E6A9E">
        <w:rPr>
          <w:rFonts w:asciiTheme="majorHAnsi" w:hAnsiTheme="majorHAnsi"/>
          <w:sz w:val="30"/>
          <w:szCs w:val="30"/>
        </w:rPr>
        <w:t>,</w:t>
      </w:r>
      <w:r w:rsidR="00150929" w:rsidRPr="00150929">
        <w:rPr>
          <w:rFonts w:asciiTheme="majorHAnsi" w:hAnsiTheme="majorHAnsi"/>
          <w:sz w:val="30"/>
          <w:szCs w:val="30"/>
        </w:rPr>
        <w:t xml:space="preserve"> and often do</w:t>
      </w:r>
      <w:r w:rsidR="002E6A9E">
        <w:rPr>
          <w:rFonts w:asciiTheme="majorHAnsi" w:hAnsiTheme="majorHAnsi"/>
          <w:sz w:val="30"/>
          <w:szCs w:val="30"/>
        </w:rPr>
        <w:t>,</w:t>
      </w:r>
      <w:r w:rsidR="00150929" w:rsidRPr="00150929">
        <w:rPr>
          <w:rFonts w:asciiTheme="majorHAnsi" w:hAnsiTheme="majorHAnsi"/>
          <w:sz w:val="30"/>
          <w:szCs w:val="30"/>
        </w:rPr>
        <w:t xml:space="preserve"> have different views in relation to the</w:t>
      </w:r>
      <w:r w:rsidR="00703C1E">
        <w:rPr>
          <w:rFonts w:asciiTheme="majorHAnsi" w:hAnsiTheme="majorHAnsi"/>
          <w:sz w:val="30"/>
          <w:szCs w:val="30"/>
        </w:rPr>
        <w:t xml:space="preserve"> policy merits of legislation. </w:t>
      </w:r>
    </w:p>
    <w:p w:rsidR="00061B42" w:rsidRDefault="00084EF4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Eighteen</w:t>
      </w:r>
      <w:r w:rsidR="00873723" w:rsidRPr="00E17C1C">
        <w:rPr>
          <w:rFonts w:asciiTheme="majorHAnsi" w:hAnsiTheme="majorHAnsi"/>
          <w:sz w:val="30"/>
          <w:szCs w:val="30"/>
        </w:rPr>
        <w:t xml:space="preserve"> </w:t>
      </w:r>
      <w:r w:rsidR="00E17C1C" w:rsidRPr="00E17C1C">
        <w:rPr>
          <w:rFonts w:asciiTheme="majorHAnsi" w:hAnsiTheme="majorHAnsi"/>
          <w:sz w:val="30"/>
          <w:szCs w:val="30"/>
        </w:rPr>
        <w:t xml:space="preserve">new bills are assessed </w:t>
      </w:r>
      <w:r w:rsidR="00D43FA9">
        <w:rPr>
          <w:rFonts w:asciiTheme="majorHAnsi" w:hAnsiTheme="majorHAnsi"/>
          <w:sz w:val="30"/>
          <w:szCs w:val="30"/>
        </w:rPr>
        <w:t xml:space="preserve">in </w:t>
      </w:r>
      <w:r w:rsidR="001A167A">
        <w:rPr>
          <w:rFonts w:asciiTheme="majorHAnsi" w:hAnsiTheme="majorHAnsi"/>
          <w:sz w:val="30"/>
          <w:szCs w:val="30"/>
        </w:rPr>
        <w:t xml:space="preserve">this </w:t>
      </w:r>
      <w:r w:rsidR="0070324B">
        <w:rPr>
          <w:rFonts w:asciiTheme="majorHAnsi" w:hAnsiTheme="majorHAnsi"/>
          <w:sz w:val="30"/>
          <w:szCs w:val="30"/>
        </w:rPr>
        <w:t>scrutiny</w:t>
      </w:r>
      <w:r w:rsidR="00D43FA9">
        <w:rPr>
          <w:rFonts w:asciiTheme="majorHAnsi" w:hAnsiTheme="majorHAnsi"/>
          <w:sz w:val="30"/>
          <w:szCs w:val="30"/>
        </w:rPr>
        <w:t xml:space="preserve"> report </w:t>
      </w:r>
      <w:r w:rsidR="00E17C1C" w:rsidRPr="00E17C1C">
        <w:rPr>
          <w:rFonts w:asciiTheme="majorHAnsi" w:hAnsiTheme="majorHAnsi"/>
          <w:sz w:val="30"/>
          <w:szCs w:val="30"/>
        </w:rPr>
        <w:t>as not raising human rights concerns</w:t>
      </w:r>
      <w:r w:rsidR="002E6A9E">
        <w:rPr>
          <w:rFonts w:asciiTheme="majorHAnsi" w:hAnsiTheme="majorHAnsi"/>
          <w:sz w:val="30"/>
          <w:szCs w:val="30"/>
        </w:rPr>
        <w:t>.</w:t>
      </w:r>
      <w:r w:rsidR="007721E3">
        <w:rPr>
          <w:rFonts w:asciiTheme="majorHAnsi" w:hAnsiTheme="majorHAnsi"/>
          <w:sz w:val="30"/>
          <w:szCs w:val="30"/>
        </w:rPr>
        <w:t xml:space="preserve"> </w:t>
      </w:r>
    </w:p>
    <w:p w:rsidR="002E57E6" w:rsidRDefault="002E6A9E" w:rsidP="00061B42">
      <w:pPr>
        <w:spacing w:line="360" w:lineRule="auto"/>
        <w:jc w:val="both"/>
        <w:rPr>
          <w:rFonts w:asciiTheme="majorHAnsi" w:hAnsiTheme="majorHAnsi" w:cs="Times New Roman"/>
          <w:color w:val="000000" w:themeColor="text1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T</w:t>
      </w:r>
      <w:r w:rsidR="007721E3">
        <w:rPr>
          <w:rFonts w:asciiTheme="majorHAnsi" w:hAnsiTheme="majorHAnsi"/>
          <w:sz w:val="30"/>
          <w:szCs w:val="30"/>
        </w:rPr>
        <w:t xml:space="preserve">he committee is </w:t>
      </w:r>
      <w:r>
        <w:rPr>
          <w:rFonts w:asciiTheme="majorHAnsi" w:hAnsiTheme="majorHAnsi"/>
          <w:sz w:val="30"/>
          <w:szCs w:val="30"/>
        </w:rPr>
        <w:t xml:space="preserve">also </w:t>
      </w:r>
      <w:r w:rsidR="007721E3">
        <w:rPr>
          <w:rFonts w:asciiTheme="majorHAnsi" w:hAnsiTheme="majorHAnsi"/>
          <w:sz w:val="30"/>
          <w:szCs w:val="30"/>
        </w:rPr>
        <w:t>seeking furthe</w:t>
      </w:r>
      <w:r w:rsidR="009D3ECC">
        <w:rPr>
          <w:rFonts w:asciiTheme="majorHAnsi" w:hAnsiTheme="majorHAnsi"/>
          <w:sz w:val="30"/>
          <w:szCs w:val="30"/>
        </w:rPr>
        <w:t xml:space="preserve">r information in relation to </w:t>
      </w:r>
      <w:r w:rsidR="00084EF4">
        <w:rPr>
          <w:rFonts w:asciiTheme="majorHAnsi" w:hAnsiTheme="majorHAnsi"/>
          <w:sz w:val="30"/>
          <w:szCs w:val="30"/>
        </w:rPr>
        <w:t>seven</w:t>
      </w:r>
      <w:r w:rsidR="004C40EF">
        <w:rPr>
          <w:rFonts w:asciiTheme="majorHAnsi" w:hAnsiTheme="majorHAnsi"/>
          <w:sz w:val="30"/>
          <w:szCs w:val="30"/>
        </w:rPr>
        <w:t xml:space="preserve"> </w:t>
      </w:r>
      <w:r w:rsidR="007721E3">
        <w:rPr>
          <w:rFonts w:asciiTheme="majorHAnsi" w:hAnsiTheme="majorHAnsi"/>
          <w:sz w:val="30"/>
          <w:szCs w:val="30"/>
        </w:rPr>
        <w:t>bills and legislative instruments</w:t>
      </w:r>
      <w:r w:rsidR="004C40EF">
        <w:rPr>
          <w:rFonts w:asciiTheme="majorHAnsi" w:hAnsiTheme="majorHAnsi"/>
          <w:sz w:val="30"/>
          <w:szCs w:val="30"/>
        </w:rPr>
        <w:t>.</w:t>
      </w:r>
      <w:r w:rsidR="00061B42">
        <w:rPr>
          <w:rFonts w:asciiTheme="majorHAnsi" w:hAnsiTheme="majorHAnsi"/>
          <w:sz w:val="30"/>
          <w:szCs w:val="30"/>
        </w:rPr>
        <w:t xml:space="preserve"> </w:t>
      </w:r>
      <w:r w:rsidR="00061B42">
        <w:rPr>
          <w:rFonts w:asciiTheme="majorHAnsi" w:hAnsiTheme="majorHAnsi" w:cs="Times New Roman"/>
          <w:color w:val="000000" w:themeColor="text1"/>
          <w:sz w:val="30"/>
          <w:szCs w:val="30"/>
        </w:rPr>
        <w:t>Such correspondence</w:t>
      </w:r>
      <w:r w:rsidR="00084EF4" w:rsidRPr="002A250B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</w:t>
      </w:r>
      <w:r w:rsidR="00061B42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with relevant ministers, legislation proponents and </w:t>
      </w:r>
      <w:r w:rsidR="00084EF4" w:rsidRPr="002A250B">
        <w:rPr>
          <w:rFonts w:asciiTheme="majorHAnsi" w:hAnsiTheme="majorHAnsi" w:cs="Times New Roman"/>
          <w:color w:val="000000" w:themeColor="text1"/>
          <w:sz w:val="30"/>
          <w:szCs w:val="30"/>
        </w:rPr>
        <w:t>of</w:t>
      </w:r>
      <w:r w:rsidR="00061B42">
        <w:rPr>
          <w:rFonts w:asciiTheme="majorHAnsi" w:hAnsiTheme="majorHAnsi" w:cs="Times New Roman"/>
          <w:color w:val="000000" w:themeColor="text1"/>
          <w:sz w:val="30"/>
          <w:szCs w:val="30"/>
        </w:rPr>
        <w:t>ficials</w:t>
      </w:r>
      <w:r w:rsidR="00084EF4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explore</w:t>
      </w:r>
      <w:r w:rsidR="00061B42">
        <w:rPr>
          <w:rFonts w:asciiTheme="majorHAnsi" w:hAnsiTheme="majorHAnsi" w:cs="Times New Roman"/>
          <w:color w:val="000000" w:themeColor="text1"/>
          <w:sz w:val="30"/>
          <w:szCs w:val="30"/>
        </w:rPr>
        <w:t>s</w:t>
      </w:r>
      <w:r w:rsidR="00084EF4" w:rsidRPr="002A250B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questions of human rights c</w:t>
      </w:r>
      <w:r w:rsidR="00084EF4">
        <w:rPr>
          <w:rFonts w:asciiTheme="majorHAnsi" w:hAnsiTheme="majorHAnsi" w:cs="Times New Roman"/>
          <w:color w:val="000000" w:themeColor="text1"/>
          <w:sz w:val="30"/>
          <w:szCs w:val="30"/>
        </w:rPr>
        <w:t>ompatibility</w:t>
      </w:r>
      <w:r w:rsidR="00061B42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through a dialogue model</w:t>
      </w:r>
      <w:r w:rsidR="00084EF4">
        <w:rPr>
          <w:rFonts w:asciiTheme="majorHAnsi" w:hAnsiTheme="majorHAnsi" w:cs="Times New Roman"/>
          <w:color w:val="000000" w:themeColor="text1"/>
          <w:sz w:val="30"/>
          <w:szCs w:val="30"/>
        </w:rPr>
        <w:t>.</w:t>
      </w:r>
      <w:r w:rsidR="00906DB7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</w:t>
      </w:r>
      <w:r w:rsidR="007B3B06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The committee needs to request additional information where </w:t>
      </w:r>
      <w:r w:rsidR="00906DB7" w:rsidRPr="00906DB7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human rights </w:t>
      </w:r>
      <w:r w:rsidR="007B3B06">
        <w:rPr>
          <w:rFonts w:asciiTheme="majorHAnsi" w:hAnsiTheme="majorHAnsi" w:cs="Times New Roman"/>
          <w:color w:val="000000" w:themeColor="text1"/>
          <w:sz w:val="30"/>
          <w:szCs w:val="30"/>
        </w:rPr>
        <w:t>matters</w:t>
      </w:r>
      <w:r w:rsidR="007B3B06" w:rsidRPr="00906DB7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</w:t>
      </w:r>
      <w:r w:rsidR="00906DB7" w:rsidRPr="00906DB7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have not been adequately addressed in the statement of compatibility. </w:t>
      </w:r>
    </w:p>
    <w:p w:rsidR="00906DB7" w:rsidRDefault="00061B42" w:rsidP="00061B42">
      <w:pPr>
        <w:spacing w:line="360" w:lineRule="auto"/>
        <w:jc w:val="both"/>
        <w:rPr>
          <w:rFonts w:asciiTheme="majorHAnsi" w:hAnsiTheme="majorHAnsi" w:cs="Times New Roman"/>
          <w:color w:val="000000" w:themeColor="text1"/>
          <w:sz w:val="30"/>
          <w:szCs w:val="30"/>
        </w:rPr>
      </w:pPr>
      <w:r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This report contains </w:t>
      </w:r>
      <w:r w:rsidR="007B3B06">
        <w:rPr>
          <w:rFonts w:asciiTheme="majorHAnsi" w:hAnsiTheme="majorHAnsi" w:cs="Times New Roman"/>
          <w:color w:val="000000" w:themeColor="text1"/>
          <w:sz w:val="30"/>
          <w:szCs w:val="30"/>
        </w:rPr>
        <w:t>many</w:t>
      </w:r>
      <w:r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positive examples of constructive engagement with the committee's </w:t>
      </w:r>
      <w:r w:rsidR="002E57E6">
        <w:rPr>
          <w:rFonts w:asciiTheme="majorHAnsi" w:hAnsiTheme="majorHAnsi" w:cs="Times New Roman"/>
          <w:color w:val="000000" w:themeColor="text1"/>
          <w:sz w:val="30"/>
          <w:szCs w:val="30"/>
        </w:rPr>
        <w:t>dialogue process</w:t>
      </w:r>
      <w:r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. In relation to </w:t>
      </w:r>
      <w:r w:rsidR="002E57E6">
        <w:rPr>
          <w:rFonts w:asciiTheme="majorHAnsi" w:hAnsiTheme="majorHAnsi" w:cs="Times New Roman"/>
          <w:color w:val="000000" w:themeColor="text1"/>
          <w:sz w:val="30"/>
          <w:szCs w:val="30"/>
        </w:rPr>
        <w:t>eight</w:t>
      </w:r>
      <w:r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bills and instruments, the committee received responses from the relevant minister or legislation proponent which allowed it to conclude that </w:t>
      </w:r>
      <w:r w:rsidR="00906DB7">
        <w:rPr>
          <w:rFonts w:asciiTheme="majorHAnsi" w:hAnsiTheme="majorHAnsi" w:cs="Times New Roman"/>
          <w:color w:val="000000" w:themeColor="text1"/>
          <w:sz w:val="30"/>
          <w:szCs w:val="30"/>
        </w:rPr>
        <w:t>the</w:t>
      </w:r>
      <w:r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legislation was likely to be </w:t>
      </w:r>
      <w:r w:rsidR="00906DB7">
        <w:rPr>
          <w:rFonts w:asciiTheme="majorHAnsi" w:hAnsiTheme="majorHAnsi" w:cs="Times New Roman"/>
          <w:color w:val="000000" w:themeColor="text1"/>
          <w:sz w:val="30"/>
          <w:szCs w:val="30"/>
        </w:rPr>
        <w:t>compatible</w:t>
      </w:r>
      <w:r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with human rights.</w:t>
      </w:r>
      <w:r w:rsidR="00906DB7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</w:t>
      </w:r>
    </w:p>
    <w:p w:rsidR="00084EF4" w:rsidRPr="00906DB7" w:rsidRDefault="00906DB7" w:rsidP="00061B42">
      <w:pPr>
        <w:spacing w:line="360" w:lineRule="auto"/>
        <w:jc w:val="both"/>
        <w:rPr>
          <w:rFonts w:asciiTheme="majorHAnsi" w:hAnsiTheme="majorHAnsi" w:cs="Times New Roman"/>
          <w:color w:val="000000" w:themeColor="text1"/>
          <w:sz w:val="30"/>
          <w:szCs w:val="30"/>
        </w:rPr>
      </w:pPr>
      <w:r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While this process </w:t>
      </w:r>
      <w:r w:rsidR="007B3B06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led to </w:t>
      </w:r>
      <w:r>
        <w:rPr>
          <w:rFonts w:asciiTheme="majorHAnsi" w:hAnsiTheme="majorHAnsi" w:cs="Times New Roman"/>
          <w:color w:val="000000" w:themeColor="text1"/>
          <w:sz w:val="30"/>
          <w:szCs w:val="30"/>
        </w:rPr>
        <w:t>very constructive</w:t>
      </w:r>
      <w:r w:rsidR="007B3B06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outcomes</w:t>
      </w:r>
      <w:r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, </w:t>
      </w:r>
      <w:r w:rsidR="007B3B06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the additional steps would be avoided </w:t>
      </w:r>
      <w:r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if this type of information </w:t>
      </w:r>
      <w:r w:rsidR="007B3B06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was </w:t>
      </w:r>
      <w:r>
        <w:rPr>
          <w:rFonts w:asciiTheme="majorHAnsi" w:hAnsiTheme="majorHAnsi" w:cs="Times New Roman"/>
          <w:color w:val="000000" w:themeColor="text1"/>
          <w:sz w:val="30"/>
          <w:szCs w:val="30"/>
        </w:rPr>
        <w:t>included in the statement of compatibility</w:t>
      </w:r>
      <w:r w:rsidR="007B3B06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itself</w:t>
      </w:r>
      <w:r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. </w:t>
      </w:r>
      <w:r w:rsidR="00061B42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 </w:t>
      </w:r>
    </w:p>
    <w:p w:rsidR="00084EF4" w:rsidRPr="002A250B" w:rsidRDefault="007B3B06" w:rsidP="00084EF4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Statements of compatibility are a critical tool for the committee, parliament more broadly and other interested persons. A comprehensive statement of compatibility </w:t>
      </w:r>
      <w:r w:rsidR="00E2523E">
        <w:rPr>
          <w:rFonts w:asciiTheme="majorHAnsi" w:hAnsiTheme="majorHAnsi"/>
          <w:sz w:val="30"/>
          <w:szCs w:val="30"/>
        </w:rPr>
        <w:t xml:space="preserve">that is considered and evidence-based </w:t>
      </w:r>
      <w:r w:rsidR="00906DB7">
        <w:rPr>
          <w:rFonts w:asciiTheme="majorHAnsi" w:hAnsiTheme="majorHAnsi"/>
          <w:sz w:val="30"/>
          <w:szCs w:val="30"/>
        </w:rPr>
        <w:t xml:space="preserve">may </w:t>
      </w:r>
      <w:r w:rsidR="000E37BF">
        <w:rPr>
          <w:rFonts w:asciiTheme="majorHAnsi" w:hAnsiTheme="majorHAnsi"/>
          <w:sz w:val="30"/>
          <w:szCs w:val="30"/>
        </w:rPr>
        <w:t xml:space="preserve">also </w:t>
      </w:r>
      <w:r w:rsidR="00906DB7">
        <w:rPr>
          <w:rFonts w:asciiTheme="majorHAnsi" w:hAnsiTheme="majorHAnsi"/>
          <w:sz w:val="30"/>
          <w:szCs w:val="30"/>
        </w:rPr>
        <w:t>permit an</w:t>
      </w:r>
      <w:r w:rsidR="000E37BF">
        <w:rPr>
          <w:rFonts w:asciiTheme="majorHAnsi" w:hAnsiTheme="majorHAnsi"/>
          <w:sz w:val="30"/>
          <w:szCs w:val="30"/>
        </w:rPr>
        <w:t xml:space="preserve"> initial</w:t>
      </w:r>
      <w:r w:rsidR="00906DB7">
        <w:rPr>
          <w:rFonts w:asciiTheme="majorHAnsi" w:hAnsiTheme="majorHAnsi"/>
          <w:sz w:val="30"/>
          <w:szCs w:val="30"/>
        </w:rPr>
        <w:t xml:space="preserve"> assessment that a measure </w:t>
      </w:r>
      <w:r w:rsidR="00906DB7">
        <w:rPr>
          <w:rFonts w:asciiTheme="majorHAnsi" w:hAnsiTheme="majorHAnsi"/>
          <w:sz w:val="30"/>
          <w:szCs w:val="30"/>
        </w:rPr>
        <w:lastRenderedPageBreak/>
        <w:t xml:space="preserve">constitutes a permissible limitation without the need for further correspondence. </w:t>
      </w:r>
    </w:p>
    <w:p w:rsidR="00084EF4" w:rsidRPr="00906DB7" w:rsidRDefault="00084EF4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2A250B">
        <w:rPr>
          <w:rFonts w:asciiTheme="majorHAnsi" w:hAnsiTheme="majorHAnsi"/>
          <w:sz w:val="30"/>
          <w:szCs w:val="30"/>
        </w:rPr>
        <w:t>For the benefit of those charged with the task of preparing statements of compatibility, I would emphasise the importance of clearly setting out</w:t>
      </w:r>
      <w:r w:rsidR="00906DB7">
        <w:rPr>
          <w:rFonts w:asciiTheme="majorHAnsi" w:hAnsiTheme="majorHAnsi"/>
          <w:sz w:val="30"/>
          <w:szCs w:val="30"/>
        </w:rPr>
        <w:t xml:space="preserve"> potential limitations. </w:t>
      </w:r>
      <w:r w:rsidR="00E2523E">
        <w:rPr>
          <w:rFonts w:asciiTheme="majorHAnsi" w:hAnsiTheme="majorHAnsi"/>
          <w:sz w:val="30"/>
          <w:szCs w:val="30"/>
        </w:rPr>
        <w:t>The concept of a limitation is commonplace in human rights analysis: a limitation is acceptable in many circumstances, but it requires explanation</w:t>
      </w:r>
      <w:r w:rsidR="004742E8">
        <w:rPr>
          <w:rFonts w:asciiTheme="majorHAnsi" w:hAnsiTheme="majorHAnsi"/>
          <w:sz w:val="30"/>
          <w:szCs w:val="30"/>
        </w:rPr>
        <w:t xml:space="preserve"> as to whether it is permissible</w:t>
      </w:r>
      <w:r w:rsidR="00E2523E">
        <w:rPr>
          <w:rFonts w:asciiTheme="majorHAnsi" w:hAnsiTheme="majorHAnsi"/>
          <w:sz w:val="30"/>
          <w:szCs w:val="30"/>
        </w:rPr>
        <w:t xml:space="preserve">. </w:t>
      </w:r>
      <w:r w:rsidR="00906DB7">
        <w:rPr>
          <w:rFonts w:asciiTheme="majorHAnsi" w:hAnsiTheme="majorHAnsi"/>
          <w:sz w:val="30"/>
          <w:szCs w:val="30"/>
        </w:rPr>
        <w:t>Where a measure may limit human rights the statement of compatibility should set out</w:t>
      </w:r>
      <w:r w:rsidRPr="002A250B">
        <w:rPr>
          <w:rFonts w:asciiTheme="majorHAnsi" w:hAnsiTheme="majorHAnsi"/>
          <w:sz w:val="30"/>
          <w:szCs w:val="30"/>
        </w:rPr>
        <w:t xml:space="preserve"> the </w:t>
      </w:r>
      <w:r>
        <w:rPr>
          <w:rFonts w:asciiTheme="majorHAnsi" w:hAnsiTheme="majorHAnsi"/>
          <w:sz w:val="30"/>
          <w:szCs w:val="30"/>
        </w:rPr>
        <w:t xml:space="preserve">legitimate </w:t>
      </w:r>
      <w:r w:rsidRPr="002A250B">
        <w:rPr>
          <w:rFonts w:asciiTheme="majorHAnsi" w:hAnsiTheme="majorHAnsi"/>
          <w:sz w:val="30"/>
          <w:szCs w:val="30"/>
        </w:rPr>
        <w:t xml:space="preserve">objective of the </w:t>
      </w:r>
      <w:r w:rsidR="00906DB7">
        <w:rPr>
          <w:rFonts w:asciiTheme="majorHAnsi" w:hAnsiTheme="majorHAnsi"/>
          <w:sz w:val="30"/>
          <w:szCs w:val="30"/>
        </w:rPr>
        <w:t>measure, how</w:t>
      </w:r>
      <w:r w:rsidR="004742E8">
        <w:rPr>
          <w:rFonts w:asciiTheme="majorHAnsi" w:hAnsiTheme="majorHAnsi"/>
          <w:sz w:val="30"/>
          <w:szCs w:val="30"/>
        </w:rPr>
        <w:t xml:space="preserve"> it</w:t>
      </w:r>
      <w:r w:rsidR="00906DB7">
        <w:rPr>
          <w:rFonts w:asciiTheme="majorHAnsi" w:hAnsiTheme="majorHAnsi"/>
          <w:sz w:val="30"/>
          <w:szCs w:val="30"/>
        </w:rPr>
        <w:t xml:space="preserve"> </w:t>
      </w:r>
      <w:r w:rsidRPr="002A250B">
        <w:rPr>
          <w:rFonts w:asciiTheme="majorHAnsi" w:hAnsiTheme="majorHAnsi"/>
          <w:sz w:val="30"/>
          <w:szCs w:val="30"/>
        </w:rPr>
        <w:t xml:space="preserve">is rationally connected to, </w:t>
      </w:r>
      <w:r w:rsidR="00E2523E">
        <w:rPr>
          <w:rFonts w:asciiTheme="majorHAnsi" w:hAnsiTheme="majorHAnsi"/>
          <w:sz w:val="30"/>
          <w:szCs w:val="30"/>
        </w:rPr>
        <w:t>(</w:t>
      </w:r>
      <w:r w:rsidRPr="002A250B">
        <w:rPr>
          <w:rFonts w:asciiTheme="majorHAnsi" w:hAnsiTheme="majorHAnsi"/>
          <w:sz w:val="30"/>
          <w:szCs w:val="30"/>
        </w:rPr>
        <w:t xml:space="preserve">which is to say </w:t>
      </w:r>
      <w:r w:rsidR="00E2523E">
        <w:rPr>
          <w:rFonts w:asciiTheme="majorHAnsi" w:hAnsiTheme="majorHAnsi"/>
          <w:sz w:val="30"/>
          <w:szCs w:val="30"/>
        </w:rPr>
        <w:t xml:space="preserve">it </w:t>
      </w:r>
      <w:r w:rsidRPr="002A250B">
        <w:rPr>
          <w:rFonts w:asciiTheme="majorHAnsi" w:hAnsiTheme="majorHAnsi"/>
          <w:sz w:val="30"/>
          <w:szCs w:val="30"/>
        </w:rPr>
        <w:t>w</w:t>
      </w:r>
      <w:r w:rsidR="00906DB7">
        <w:rPr>
          <w:rFonts w:asciiTheme="majorHAnsi" w:hAnsiTheme="majorHAnsi"/>
          <w:sz w:val="30"/>
          <w:szCs w:val="30"/>
        </w:rPr>
        <w:t>ill be effective to achieve</w:t>
      </w:r>
      <w:r w:rsidR="00E2523E">
        <w:rPr>
          <w:rFonts w:asciiTheme="majorHAnsi" w:hAnsiTheme="majorHAnsi"/>
          <w:sz w:val="30"/>
          <w:szCs w:val="30"/>
        </w:rPr>
        <w:t>)</w:t>
      </w:r>
      <w:r w:rsidRPr="002A250B">
        <w:rPr>
          <w:rFonts w:asciiTheme="majorHAnsi" w:hAnsiTheme="majorHAnsi"/>
          <w:sz w:val="30"/>
          <w:szCs w:val="30"/>
        </w:rPr>
        <w:t xml:space="preserve"> </w:t>
      </w:r>
      <w:r w:rsidR="00906DB7">
        <w:rPr>
          <w:rFonts w:asciiTheme="majorHAnsi" w:hAnsiTheme="majorHAnsi"/>
          <w:sz w:val="30"/>
          <w:szCs w:val="30"/>
        </w:rPr>
        <w:t>that</w:t>
      </w:r>
      <w:r w:rsidRPr="002A250B">
        <w:rPr>
          <w:rFonts w:asciiTheme="majorHAnsi" w:hAnsiTheme="majorHAnsi"/>
          <w:sz w:val="30"/>
          <w:szCs w:val="30"/>
        </w:rPr>
        <w:t xml:space="preserve"> objective, and explain whether the limitation is proportionate to that objective. The statement should also set out any safeguards that will b</w:t>
      </w:r>
      <w:bookmarkStart w:id="0" w:name="_GoBack"/>
      <w:bookmarkEnd w:id="0"/>
      <w:r w:rsidRPr="002A250B">
        <w:rPr>
          <w:rFonts w:asciiTheme="majorHAnsi" w:hAnsiTheme="majorHAnsi"/>
          <w:sz w:val="30"/>
          <w:szCs w:val="30"/>
        </w:rPr>
        <w:t>e applied to ensure that any limitations on human rights are implemented in the least</w:t>
      </w:r>
      <w:r w:rsidR="002E57E6">
        <w:rPr>
          <w:rFonts w:asciiTheme="majorHAnsi" w:hAnsiTheme="majorHAnsi"/>
          <w:sz w:val="30"/>
          <w:szCs w:val="30"/>
        </w:rPr>
        <w:t xml:space="preserve"> rights</w:t>
      </w:r>
      <w:r w:rsidRPr="002A250B">
        <w:rPr>
          <w:rFonts w:asciiTheme="majorHAnsi" w:hAnsiTheme="majorHAnsi"/>
          <w:sz w:val="30"/>
          <w:szCs w:val="30"/>
        </w:rPr>
        <w:t xml:space="preserve"> restrictive form.</w:t>
      </w:r>
      <w:r w:rsidRPr="00773270">
        <w:t xml:space="preserve"> </w:t>
      </w:r>
    </w:p>
    <w:p w:rsidR="008C0D3D" w:rsidRPr="00E57E21" w:rsidRDefault="007C3A48" w:rsidP="007C3A48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 encourage my fellow </w:t>
      </w:r>
      <w:r w:rsidR="00DF1223"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members </w:t>
      </w:r>
      <w:r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>and others to examine the committee's report to better inform their understanding of</w:t>
      </w:r>
      <w:r w:rsidR="008C0D3D"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the </w:t>
      </w:r>
      <w:r w:rsidR="00957B59"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>committee's work</w:t>
      </w:r>
      <w:r w:rsidR="008C0D3D"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902354" w:rsidRPr="008C0D3D" w:rsidRDefault="007C3A48" w:rsidP="007C3A48">
      <w:pPr>
        <w:spacing w:after="360" w:line="360" w:lineRule="auto"/>
        <w:jc w:val="both"/>
        <w:rPr>
          <w:rFonts w:asciiTheme="majorHAnsi" w:hAnsiTheme="majorHAnsi" w:cs="Times New Roman"/>
          <w:color w:val="000000" w:themeColor="text1"/>
          <w:sz w:val="30"/>
          <w:szCs w:val="30"/>
        </w:rPr>
      </w:pPr>
      <w:r w:rsidRPr="007C3A48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With these comments, I commend the committee's </w:t>
      </w:r>
      <w:r w:rsidR="00DF1223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Report </w:t>
      </w:r>
      <w:r w:rsidR="00084EF4">
        <w:rPr>
          <w:rFonts w:asciiTheme="majorHAnsi" w:hAnsiTheme="majorHAnsi" w:cs="Times New Roman"/>
          <w:color w:val="000000" w:themeColor="text1"/>
          <w:sz w:val="30"/>
          <w:szCs w:val="30"/>
        </w:rPr>
        <w:t>4</w:t>
      </w:r>
      <w:r w:rsidR="00870D26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of 2017</w:t>
      </w:r>
      <w:r w:rsidRPr="007C3A48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to the chamber.</w:t>
      </w:r>
    </w:p>
    <w:sectPr w:rsidR="00902354" w:rsidRPr="008C0D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E4C" w:rsidRDefault="00373E4C" w:rsidP="00DA19D6">
      <w:pPr>
        <w:spacing w:after="0" w:line="240" w:lineRule="auto"/>
      </w:pPr>
      <w:r>
        <w:separator/>
      </w:r>
    </w:p>
  </w:endnote>
  <w:endnote w:type="continuationSeparator" w:id="0">
    <w:p w:rsidR="00373E4C" w:rsidRDefault="00373E4C" w:rsidP="00DA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6" w:rsidRDefault="00DA19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6" w:rsidRDefault="00DA19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6" w:rsidRDefault="00DA19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E4C" w:rsidRDefault="00373E4C" w:rsidP="00DA19D6">
      <w:pPr>
        <w:spacing w:after="0" w:line="240" w:lineRule="auto"/>
      </w:pPr>
      <w:r>
        <w:separator/>
      </w:r>
    </w:p>
  </w:footnote>
  <w:footnote w:type="continuationSeparator" w:id="0">
    <w:p w:rsidR="00373E4C" w:rsidRDefault="00373E4C" w:rsidP="00DA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6" w:rsidRDefault="00DA19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6" w:rsidRDefault="00DA19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6" w:rsidRDefault="00DA19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A3C7A"/>
    <w:multiLevelType w:val="hybridMultilevel"/>
    <w:tmpl w:val="A29E0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C3A43"/>
    <w:multiLevelType w:val="hybridMultilevel"/>
    <w:tmpl w:val="DECE2ECA"/>
    <w:lvl w:ilvl="0" w:tplc="2D06C3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2471F"/>
    <w:multiLevelType w:val="multilevel"/>
    <w:tmpl w:val="5BE612B4"/>
    <w:lvl w:ilvl="0">
      <w:start w:val="1"/>
      <w:numFmt w:val="decimal"/>
      <w:pStyle w:val="Level1"/>
      <w:lvlText w:val="1.%1"/>
      <w:lvlJc w:val="left"/>
      <w:pPr>
        <w:tabs>
          <w:tab w:val="num" w:pos="850"/>
        </w:tabs>
        <w:ind w:left="0" w:firstLine="0"/>
      </w:pPr>
      <w:rPr>
        <w:rFonts w:hint="default"/>
        <w:b w:val="0"/>
        <w:i w:val="0"/>
        <w:sz w:val="26"/>
        <w:szCs w:val="26"/>
      </w:rPr>
    </w:lvl>
    <w:lvl w:ilvl="1">
      <w:start w:val="1"/>
      <w:numFmt w:val="lowerLetter"/>
      <w:pStyle w:val="Level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pStyle w:val="Level3"/>
      <w:lvlText w:val="(%3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  <w:b/>
        <w:i w:val="0"/>
        <w:sz w:val="40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7C6327F2"/>
    <w:multiLevelType w:val="hybridMultilevel"/>
    <w:tmpl w:val="1DDAA830"/>
    <w:lvl w:ilvl="0" w:tplc="9C2240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7D"/>
    <w:rsid w:val="00005D69"/>
    <w:rsid w:val="00042592"/>
    <w:rsid w:val="00042B52"/>
    <w:rsid w:val="0006105D"/>
    <w:rsid w:val="00061B42"/>
    <w:rsid w:val="000663BC"/>
    <w:rsid w:val="00084EF4"/>
    <w:rsid w:val="000B285A"/>
    <w:rsid w:val="000B3D66"/>
    <w:rsid w:val="000D0530"/>
    <w:rsid w:val="000E37BF"/>
    <w:rsid w:val="000F2E65"/>
    <w:rsid w:val="001071F2"/>
    <w:rsid w:val="0011128E"/>
    <w:rsid w:val="001161B0"/>
    <w:rsid w:val="001240D6"/>
    <w:rsid w:val="001467B3"/>
    <w:rsid w:val="00150929"/>
    <w:rsid w:val="001621B8"/>
    <w:rsid w:val="00167048"/>
    <w:rsid w:val="001A167A"/>
    <w:rsid w:val="001C4C08"/>
    <w:rsid w:val="001C52E9"/>
    <w:rsid w:val="001E75FA"/>
    <w:rsid w:val="00225691"/>
    <w:rsid w:val="0022707F"/>
    <w:rsid w:val="00262136"/>
    <w:rsid w:val="0026288B"/>
    <w:rsid w:val="0028500F"/>
    <w:rsid w:val="002877E0"/>
    <w:rsid w:val="00290A7D"/>
    <w:rsid w:val="00294DD5"/>
    <w:rsid w:val="002A02AA"/>
    <w:rsid w:val="002A250B"/>
    <w:rsid w:val="002A5909"/>
    <w:rsid w:val="002C6A16"/>
    <w:rsid w:val="002E57E6"/>
    <w:rsid w:val="002E6A9E"/>
    <w:rsid w:val="002F7685"/>
    <w:rsid w:val="0030535D"/>
    <w:rsid w:val="0031088B"/>
    <w:rsid w:val="00314D27"/>
    <w:rsid w:val="003470C8"/>
    <w:rsid w:val="00373E4C"/>
    <w:rsid w:val="003A65F3"/>
    <w:rsid w:val="003C1B97"/>
    <w:rsid w:val="0042464A"/>
    <w:rsid w:val="00427C81"/>
    <w:rsid w:val="004742E8"/>
    <w:rsid w:val="00482C5B"/>
    <w:rsid w:val="004A2FD2"/>
    <w:rsid w:val="004A52FF"/>
    <w:rsid w:val="004C40EF"/>
    <w:rsid w:val="004D1948"/>
    <w:rsid w:val="00525F95"/>
    <w:rsid w:val="005432B1"/>
    <w:rsid w:val="005458D5"/>
    <w:rsid w:val="00570A49"/>
    <w:rsid w:val="00572D25"/>
    <w:rsid w:val="005B46C7"/>
    <w:rsid w:val="005B506C"/>
    <w:rsid w:val="005C1860"/>
    <w:rsid w:val="005C40F7"/>
    <w:rsid w:val="00601875"/>
    <w:rsid w:val="00621E55"/>
    <w:rsid w:val="00623B07"/>
    <w:rsid w:val="00627407"/>
    <w:rsid w:val="00636679"/>
    <w:rsid w:val="00650054"/>
    <w:rsid w:val="006639E6"/>
    <w:rsid w:val="00691FE1"/>
    <w:rsid w:val="006C4E9A"/>
    <w:rsid w:val="006D3370"/>
    <w:rsid w:val="0070324B"/>
    <w:rsid w:val="00703C1E"/>
    <w:rsid w:val="0071407D"/>
    <w:rsid w:val="0071463E"/>
    <w:rsid w:val="00757B53"/>
    <w:rsid w:val="007721E3"/>
    <w:rsid w:val="00773270"/>
    <w:rsid w:val="007A21EF"/>
    <w:rsid w:val="007A4804"/>
    <w:rsid w:val="007B3B06"/>
    <w:rsid w:val="007C3A48"/>
    <w:rsid w:val="007F4AAC"/>
    <w:rsid w:val="00833F07"/>
    <w:rsid w:val="00863B19"/>
    <w:rsid w:val="00870D26"/>
    <w:rsid w:val="00873723"/>
    <w:rsid w:val="00876142"/>
    <w:rsid w:val="008B2A13"/>
    <w:rsid w:val="008B63C2"/>
    <w:rsid w:val="008C0D3D"/>
    <w:rsid w:val="008E1F6E"/>
    <w:rsid w:val="00902354"/>
    <w:rsid w:val="00906DB7"/>
    <w:rsid w:val="00907B43"/>
    <w:rsid w:val="00926209"/>
    <w:rsid w:val="00926359"/>
    <w:rsid w:val="00946FBD"/>
    <w:rsid w:val="00957B59"/>
    <w:rsid w:val="00960408"/>
    <w:rsid w:val="0096565A"/>
    <w:rsid w:val="00972A17"/>
    <w:rsid w:val="00981FE3"/>
    <w:rsid w:val="009A6E8B"/>
    <w:rsid w:val="009D3ECC"/>
    <w:rsid w:val="00A0250E"/>
    <w:rsid w:val="00A07B44"/>
    <w:rsid w:val="00A502FD"/>
    <w:rsid w:val="00AB0A0F"/>
    <w:rsid w:val="00AF1058"/>
    <w:rsid w:val="00B24A0C"/>
    <w:rsid w:val="00B43E04"/>
    <w:rsid w:val="00B44E9E"/>
    <w:rsid w:val="00B54906"/>
    <w:rsid w:val="00B84801"/>
    <w:rsid w:val="00BA461A"/>
    <w:rsid w:val="00BA4EE6"/>
    <w:rsid w:val="00BC133C"/>
    <w:rsid w:val="00BE3AF0"/>
    <w:rsid w:val="00BE5AB4"/>
    <w:rsid w:val="00BF46C6"/>
    <w:rsid w:val="00C14AD9"/>
    <w:rsid w:val="00C17DFC"/>
    <w:rsid w:val="00C30AB6"/>
    <w:rsid w:val="00C401AE"/>
    <w:rsid w:val="00C66065"/>
    <w:rsid w:val="00C720B8"/>
    <w:rsid w:val="00C74018"/>
    <w:rsid w:val="00CA28D7"/>
    <w:rsid w:val="00CB5520"/>
    <w:rsid w:val="00CB590C"/>
    <w:rsid w:val="00CE3A54"/>
    <w:rsid w:val="00CF6687"/>
    <w:rsid w:val="00D43FA9"/>
    <w:rsid w:val="00D466F3"/>
    <w:rsid w:val="00D633C4"/>
    <w:rsid w:val="00D6601C"/>
    <w:rsid w:val="00D82F47"/>
    <w:rsid w:val="00D85FD2"/>
    <w:rsid w:val="00DA19D6"/>
    <w:rsid w:val="00DA418E"/>
    <w:rsid w:val="00DF1223"/>
    <w:rsid w:val="00E163D5"/>
    <w:rsid w:val="00E17C1C"/>
    <w:rsid w:val="00E2523E"/>
    <w:rsid w:val="00E338E3"/>
    <w:rsid w:val="00E57E21"/>
    <w:rsid w:val="00E60957"/>
    <w:rsid w:val="00EC526A"/>
    <w:rsid w:val="00ED21B1"/>
    <w:rsid w:val="00ED68B9"/>
    <w:rsid w:val="00F03E1B"/>
    <w:rsid w:val="00F83217"/>
    <w:rsid w:val="00F8384B"/>
    <w:rsid w:val="00FC17E0"/>
    <w:rsid w:val="00FD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83217"/>
    <w:pPr>
      <w:keepNext/>
      <w:numPr>
        <w:ilvl w:val="3"/>
        <w:numId w:val="3"/>
      </w:numPr>
      <w:spacing w:before="120" w:after="120" w:line="240" w:lineRule="auto"/>
      <w:jc w:val="both"/>
      <w:outlineLvl w:val="3"/>
    </w:pPr>
    <w:rPr>
      <w:rFonts w:eastAsia="Times New Roman" w:cs="Times New Roman"/>
      <w:b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F83217"/>
    <w:pPr>
      <w:keepNext/>
      <w:numPr>
        <w:ilvl w:val="4"/>
        <w:numId w:val="3"/>
      </w:numPr>
      <w:spacing w:before="120" w:after="120" w:line="240" w:lineRule="auto"/>
      <w:outlineLvl w:val="4"/>
    </w:pPr>
    <w:rPr>
      <w:rFonts w:eastAsia="Times New Roman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F83217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eastAsia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F83217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83217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83217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40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4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16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1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B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12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2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9D6"/>
  </w:style>
  <w:style w:type="paragraph" w:styleId="Footer">
    <w:name w:val="footer"/>
    <w:basedOn w:val="Normal"/>
    <w:link w:val="Foot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9D6"/>
  </w:style>
  <w:style w:type="character" w:customStyle="1" w:styleId="Heading4Char">
    <w:name w:val="Heading 4 Char"/>
    <w:basedOn w:val="DefaultParagraphFont"/>
    <w:link w:val="Heading4"/>
    <w:rsid w:val="00F83217"/>
    <w:rPr>
      <w:rFonts w:eastAsia="Times New Roman" w:cs="Times New Roman"/>
      <w:b/>
      <w:i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F83217"/>
    <w:rPr>
      <w:rFonts w:eastAsia="Times New Roman" w:cs="Times New Roman"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F83217"/>
    <w:rPr>
      <w:rFonts w:eastAsia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F8321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83217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83217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Level1">
    <w:name w:val="Level1"/>
    <w:basedOn w:val="Normal"/>
    <w:rsid w:val="00F83217"/>
    <w:pPr>
      <w:numPr>
        <w:numId w:val="3"/>
      </w:numPr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2">
    <w:name w:val="Level2"/>
    <w:basedOn w:val="Normal"/>
    <w:rsid w:val="00F83217"/>
    <w:pPr>
      <w:numPr>
        <w:ilvl w:val="1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3">
    <w:name w:val="Level3"/>
    <w:basedOn w:val="Normal"/>
    <w:rsid w:val="00F83217"/>
    <w:pPr>
      <w:numPr>
        <w:ilvl w:val="2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83217"/>
    <w:pPr>
      <w:keepNext/>
      <w:numPr>
        <w:ilvl w:val="3"/>
        <w:numId w:val="3"/>
      </w:numPr>
      <w:spacing w:before="120" w:after="120" w:line="240" w:lineRule="auto"/>
      <w:jc w:val="both"/>
      <w:outlineLvl w:val="3"/>
    </w:pPr>
    <w:rPr>
      <w:rFonts w:eastAsia="Times New Roman" w:cs="Times New Roman"/>
      <w:b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F83217"/>
    <w:pPr>
      <w:keepNext/>
      <w:numPr>
        <w:ilvl w:val="4"/>
        <w:numId w:val="3"/>
      </w:numPr>
      <w:spacing w:before="120" w:after="120" w:line="240" w:lineRule="auto"/>
      <w:outlineLvl w:val="4"/>
    </w:pPr>
    <w:rPr>
      <w:rFonts w:eastAsia="Times New Roman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F83217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eastAsia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F83217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83217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83217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40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4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16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1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B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12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2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9D6"/>
  </w:style>
  <w:style w:type="paragraph" w:styleId="Footer">
    <w:name w:val="footer"/>
    <w:basedOn w:val="Normal"/>
    <w:link w:val="Foot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9D6"/>
  </w:style>
  <w:style w:type="character" w:customStyle="1" w:styleId="Heading4Char">
    <w:name w:val="Heading 4 Char"/>
    <w:basedOn w:val="DefaultParagraphFont"/>
    <w:link w:val="Heading4"/>
    <w:rsid w:val="00F83217"/>
    <w:rPr>
      <w:rFonts w:eastAsia="Times New Roman" w:cs="Times New Roman"/>
      <w:b/>
      <w:i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F83217"/>
    <w:rPr>
      <w:rFonts w:eastAsia="Times New Roman" w:cs="Times New Roman"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F83217"/>
    <w:rPr>
      <w:rFonts w:eastAsia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F8321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83217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83217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Level1">
    <w:name w:val="Level1"/>
    <w:basedOn w:val="Normal"/>
    <w:rsid w:val="00F83217"/>
    <w:pPr>
      <w:numPr>
        <w:numId w:val="3"/>
      </w:numPr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2">
    <w:name w:val="Level2"/>
    <w:basedOn w:val="Normal"/>
    <w:rsid w:val="00F83217"/>
    <w:pPr>
      <w:numPr>
        <w:ilvl w:val="1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3">
    <w:name w:val="Level3"/>
    <w:basedOn w:val="Normal"/>
    <w:rsid w:val="00F83217"/>
    <w:pPr>
      <w:numPr>
        <w:ilvl w:val="2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4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16055-F3CE-46EC-A24E-1C146F6A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Petrie, Alice (SEN)</dc:creator>
  <cp:lastModifiedBy>Hutchinson, Zoe (SEN)</cp:lastModifiedBy>
  <cp:revision>3</cp:revision>
  <cp:lastPrinted>2017-05-09T00:30:00Z</cp:lastPrinted>
  <dcterms:created xsi:type="dcterms:W3CDTF">2017-05-09T01:57:00Z</dcterms:created>
  <dcterms:modified xsi:type="dcterms:W3CDTF">2017-05-09T01:58:00Z</dcterms:modified>
</cp:coreProperties>
</file>